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378460</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t>UNITED STATES</w:t>
      </w:r>
    </w:p>
    <w:p>
      <w:pPr>
        <w:spacing w:after="0" w:line="14"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SECURITIES AND EXCHANGE COMMISSION</w:t>
      </w:r>
    </w:p>
    <w:p>
      <w:pPr>
        <w:spacing w:after="0" w:line="188" w:lineRule="exact"/>
        <w:rPr>
          <w:sz w:val="24"/>
          <w:szCs w:val="24"/>
          <w:color w:val="auto"/>
        </w:rPr>
      </w:pPr>
    </w:p>
    <w:p>
      <w:pPr>
        <w:jc w:val="center"/>
        <w:ind w:right="40"/>
        <w:spacing w:after="0"/>
        <w:rPr>
          <w:sz w:val="20"/>
          <w:szCs w:val="20"/>
          <w:color w:val="auto"/>
        </w:rPr>
      </w:pPr>
      <w:r>
        <w:rPr>
          <w:rFonts w:ascii="Arial" w:cs="Arial" w:eastAsia="Arial" w:hAnsi="Arial"/>
          <w:sz w:val="22"/>
          <w:szCs w:val="22"/>
          <w:color w:val="auto"/>
        </w:rPr>
        <w:t>Washington, D.C. 20549</w:t>
      </w:r>
    </w:p>
    <w:p>
      <w:pPr>
        <w:spacing w:after="0" w:line="200"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FORM 10-Q</w:t>
      </w:r>
    </w:p>
    <w:p>
      <w:pPr>
        <w:spacing w:after="0" w:line="239" w:lineRule="exact"/>
        <w:rPr>
          <w:sz w:val="24"/>
          <w:szCs w:val="24"/>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QUARTERLY REPORT PURSUANT TO SECTION 13 OR 15(d) OF THE SECURITIES EXCHANGE ACT OF 1934</w:t>
      </w:r>
    </w:p>
    <w:p>
      <w:pPr>
        <w:spacing w:after="0" w:line="246"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b w:val="1"/>
          <w:bCs w:val="1"/>
          <w:color w:val="auto"/>
        </w:rPr>
        <w:t>For the quarterly period ended September 30, 2009</w:t>
      </w:r>
    </w:p>
    <w:p>
      <w:pPr>
        <w:spacing w:after="0" w:line="285" w:lineRule="exact"/>
        <w:rPr>
          <w:sz w:val="24"/>
          <w:szCs w:val="24"/>
          <w:color w:val="auto"/>
        </w:rPr>
      </w:pPr>
    </w:p>
    <w:p>
      <w:pPr>
        <w:jc w:val="center"/>
        <w:ind w:left="580"/>
        <w:spacing w:after="0"/>
        <w:rPr>
          <w:sz w:val="20"/>
          <w:szCs w:val="20"/>
          <w:color w:val="auto"/>
        </w:rPr>
      </w:pPr>
      <w:r>
        <w:rPr>
          <w:rFonts w:ascii="Arial" w:cs="Arial" w:eastAsia="Arial" w:hAnsi="Arial"/>
          <w:sz w:val="18"/>
          <w:szCs w:val="18"/>
          <w:color w:val="auto"/>
        </w:rPr>
        <w:t>or</w:t>
      </w:r>
    </w:p>
    <w:p>
      <w:pPr>
        <w:spacing w:after="0" w:line="279" w:lineRule="exact"/>
        <w:rPr>
          <w:sz w:val="24"/>
          <w:szCs w:val="24"/>
          <w:color w:val="auto"/>
        </w:rPr>
      </w:pPr>
    </w:p>
    <w:p>
      <w:pPr>
        <w:ind w:left="580" w:right="2380" w:hanging="572"/>
        <w:spacing w:after="0" w:line="268" w:lineRule="auto"/>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TRANSITION REPORT PURSUANT TO SECTION 13 OR 15(d) OF THE SECURITIES EXCHANGE ACT OF 1934 For the transition period from: _____________________to _____________________</w:t>
      </w:r>
    </w:p>
    <w:p>
      <w:pPr>
        <w:spacing w:after="0" w:line="240" w:lineRule="exact"/>
        <w:rPr>
          <w:sz w:val="24"/>
          <w:szCs w:val="24"/>
          <w:color w:val="auto"/>
        </w:rPr>
      </w:pPr>
    </w:p>
    <w:tbl>
      <w:tblPr>
        <w:tblLayout w:type="fixed"/>
        <w:tblInd w:w="2900" w:type="dxa"/>
        <w:tblCellMar>
          <w:top w:w="0" w:type="dxa"/>
          <w:left w:w="0" w:type="dxa"/>
          <w:bottom w:w="0" w:type="dxa"/>
          <w:right w:w="0" w:type="dxa"/>
        </w:tblCellMar>
      </w:tblPr>
      <w:tr>
        <w:trPr>
          <w:trHeight w:val="222"/>
        </w:trPr>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0" w:type="dxa"/>
            <w:vAlign w:val="bottom"/>
            <w:gridSpan w:val="2"/>
          </w:tcPr>
          <w:p>
            <w:pPr>
              <w:jc w:val="center"/>
              <w:ind w:right="620"/>
              <w:spacing w:after="0"/>
              <w:rPr>
                <w:sz w:val="20"/>
                <w:szCs w:val="20"/>
                <w:color w:val="auto"/>
              </w:rPr>
            </w:pPr>
            <w:r>
              <w:rPr>
                <w:rFonts w:ascii="Arial" w:cs="Arial" w:eastAsia="Arial" w:hAnsi="Arial"/>
                <w:sz w:val="18"/>
                <w:szCs w:val="18"/>
                <w:color w:val="auto"/>
                <w:w w:val="89"/>
              </w:rPr>
              <w:t>Commission File Number: 1-13219</w:t>
            </w: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60"/>
        </w:trPr>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jc w:val="center"/>
              <w:ind w:right="92"/>
              <w:spacing w:after="0"/>
              <w:rPr>
                <w:sz w:val="20"/>
                <w:szCs w:val="20"/>
                <w:color w:val="auto"/>
              </w:rPr>
            </w:pPr>
            <w:r>
              <w:rPr>
                <w:rFonts w:ascii="Arial" w:cs="Arial" w:eastAsia="Arial" w:hAnsi="Arial"/>
                <w:sz w:val="18"/>
                <w:szCs w:val="18"/>
                <w:b w:val="1"/>
                <w:bCs w:val="1"/>
                <w:color w:val="auto"/>
                <w:w w:val="89"/>
              </w:rPr>
              <w:t>Ocwen Financial Corporation</w:t>
            </w: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7"/>
        </w:trPr>
        <w:tc>
          <w:tcPr>
            <w:tcW w:w="780" w:type="dxa"/>
            <w:vAlign w:val="bottom"/>
          </w:tcPr>
          <w:p>
            <w:pPr>
              <w:spacing w:after="0"/>
              <w:rPr>
                <w:sz w:val="18"/>
                <w:szCs w:val="18"/>
                <w:color w:val="auto"/>
              </w:rPr>
            </w:pPr>
          </w:p>
        </w:tc>
        <w:tc>
          <w:tcPr>
            <w:tcW w:w="3940" w:type="dxa"/>
            <w:vAlign w:val="bottom"/>
            <w:gridSpan w:val="4"/>
          </w:tcPr>
          <w:p>
            <w:pPr>
              <w:jc w:val="center"/>
              <w:ind w:left="32"/>
              <w:spacing w:after="0"/>
              <w:rPr>
                <w:sz w:val="20"/>
                <w:szCs w:val="20"/>
                <w:color w:val="auto"/>
              </w:rPr>
            </w:pPr>
            <w:r>
              <w:rPr>
                <w:rFonts w:ascii="Arial" w:cs="Arial" w:eastAsia="Arial" w:hAnsi="Arial"/>
                <w:sz w:val="18"/>
                <w:szCs w:val="18"/>
                <w:color w:val="auto"/>
                <w:w w:val="88"/>
              </w:rPr>
              <w:t>(Exact name of registrant as specified in its charter)</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64"/>
        </w:trPr>
        <w:tc>
          <w:tcPr>
            <w:tcW w:w="780" w:type="dxa"/>
            <w:vAlign w:val="bottom"/>
          </w:tcPr>
          <w:p>
            <w:pPr>
              <w:spacing w:after="0"/>
              <w:rPr>
                <w:sz w:val="24"/>
                <w:szCs w:val="24"/>
                <w:color w:val="auto"/>
              </w:rPr>
            </w:pPr>
          </w:p>
        </w:tc>
        <w:tc>
          <w:tcPr>
            <w:tcW w:w="3940" w:type="dxa"/>
            <w:vAlign w:val="bottom"/>
            <w:gridSpan w:val="4"/>
          </w:tcPr>
          <w:p>
            <w:pPr>
              <w:jc w:val="center"/>
              <w:ind w:right="3200"/>
              <w:spacing w:after="0"/>
              <w:rPr>
                <w:sz w:val="20"/>
                <w:szCs w:val="20"/>
                <w:color w:val="auto"/>
              </w:rPr>
            </w:pPr>
            <w:r>
              <w:rPr>
                <w:rFonts w:ascii="Arial" w:cs="Arial" w:eastAsia="Arial" w:hAnsi="Arial"/>
                <w:sz w:val="18"/>
                <w:szCs w:val="18"/>
                <w:color w:val="auto"/>
                <w:w w:val="90"/>
              </w:rPr>
              <w:t>Florida</w:t>
            </w:r>
          </w:p>
        </w:tc>
        <w:tc>
          <w:tcPr>
            <w:tcW w:w="1300" w:type="dxa"/>
            <w:vAlign w:val="bottom"/>
            <w:gridSpan w:val="2"/>
          </w:tcPr>
          <w:p>
            <w:pPr>
              <w:jc w:val="center"/>
              <w:ind w:left="92"/>
              <w:spacing w:after="0"/>
              <w:rPr>
                <w:sz w:val="20"/>
                <w:szCs w:val="20"/>
                <w:color w:val="auto"/>
              </w:rPr>
            </w:pPr>
            <w:r>
              <w:rPr>
                <w:rFonts w:ascii="Arial" w:cs="Arial" w:eastAsia="Arial" w:hAnsi="Arial"/>
                <w:sz w:val="18"/>
                <w:szCs w:val="18"/>
                <w:color w:val="auto"/>
                <w:w w:val="87"/>
              </w:rPr>
              <w:t>65-0039856</w:t>
            </w:r>
          </w:p>
        </w:tc>
        <w:tc>
          <w:tcPr>
            <w:tcW w:w="100" w:type="dxa"/>
            <w:vAlign w:val="bottom"/>
          </w:tcPr>
          <w:p>
            <w:pPr>
              <w:spacing w:after="0"/>
              <w:rPr>
                <w:sz w:val="24"/>
                <w:szCs w:val="24"/>
                <w:color w:val="auto"/>
              </w:rPr>
            </w:pPr>
          </w:p>
        </w:tc>
      </w:tr>
      <w:tr>
        <w:trPr>
          <w:trHeight w:val="29"/>
        </w:trPr>
        <w:tc>
          <w:tcPr>
            <w:tcW w:w="780" w:type="dxa"/>
            <w:vAlign w:val="bottom"/>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32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720" w:type="dxa"/>
            <w:vAlign w:val="bottom"/>
            <w:gridSpan w:val="5"/>
          </w:tcPr>
          <w:p>
            <w:pPr>
              <w:jc w:val="center"/>
              <w:ind w:right="2420"/>
              <w:spacing w:after="0"/>
              <w:rPr>
                <w:sz w:val="20"/>
                <w:szCs w:val="20"/>
                <w:color w:val="auto"/>
              </w:rPr>
            </w:pPr>
            <w:r>
              <w:rPr>
                <w:rFonts w:ascii="Arial" w:cs="Arial" w:eastAsia="Arial" w:hAnsi="Arial"/>
                <w:sz w:val="18"/>
                <w:szCs w:val="18"/>
                <w:color w:val="auto"/>
                <w:w w:val="90"/>
              </w:rPr>
              <w:t>(State or other jurisdiction</w:t>
            </w:r>
          </w:p>
        </w:tc>
        <w:tc>
          <w:tcPr>
            <w:tcW w:w="18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4"/>
              </w:rPr>
              <w:t>(I.R.S. Employer</w:t>
            </w:r>
          </w:p>
        </w:tc>
        <w:tc>
          <w:tcPr>
            <w:tcW w:w="100" w:type="dxa"/>
            <w:vAlign w:val="bottom"/>
          </w:tcPr>
          <w:p>
            <w:pPr>
              <w:spacing w:after="0"/>
              <w:rPr>
                <w:sz w:val="18"/>
                <w:szCs w:val="18"/>
                <w:color w:val="auto"/>
              </w:rPr>
            </w:pPr>
          </w:p>
        </w:tc>
      </w:tr>
      <w:tr>
        <w:trPr>
          <w:trHeight w:val="235"/>
        </w:trPr>
        <w:tc>
          <w:tcPr>
            <w:tcW w:w="4720" w:type="dxa"/>
            <w:vAlign w:val="bottom"/>
            <w:gridSpan w:val="5"/>
          </w:tcPr>
          <w:p>
            <w:pPr>
              <w:jc w:val="center"/>
              <w:ind w:right="2420"/>
              <w:spacing w:after="0"/>
              <w:rPr>
                <w:sz w:val="20"/>
                <w:szCs w:val="20"/>
                <w:color w:val="auto"/>
              </w:rPr>
            </w:pPr>
            <w:r>
              <w:rPr>
                <w:rFonts w:ascii="Arial" w:cs="Arial" w:eastAsia="Arial" w:hAnsi="Arial"/>
                <w:sz w:val="18"/>
                <w:szCs w:val="18"/>
                <w:color w:val="auto"/>
                <w:w w:val="90"/>
              </w:rPr>
              <w:t>of incorporation or organization)</w:t>
            </w:r>
          </w:p>
        </w:tc>
        <w:tc>
          <w:tcPr>
            <w:tcW w:w="1400" w:type="dxa"/>
            <w:vAlign w:val="bottom"/>
            <w:gridSpan w:val="3"/>
          </w:tcPr>
          <w:p>
            <w:pPr>
              <w:jc w:val="center"/>
              <w:spacing w:after="0"/>
              <w:rPr>
                <w:sz w:val="20"/>
                <w:szCs w:val="20"/>
                <w:color w:val="auto"/>
              </w:rPr>
            </w:pPr>
            <w:r>
              <w:rPr>
                <w:rFonts w:ascii="Arial" w:cs="Arial" w:eastAsia="Arial" w:hAnsi="Arial"/>
                <w:sz w:val="18"/>
                <w:szCs w:val="18"/>
                <w:color w:val="auto"/>
                <w:w w:val="94"/>
              </w:rPr>
              <w:t>Identification No.)</w:t>
            </w:r>
          </w:p>
        </w:tc>
      </w:tr>
    </w:tbl>
    <w:p>
      <w:pPr>
        <w:spacing w:after="0" w:line="264"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1661 Worthington Road, Suite 100, West Palm Beach, Florida 33409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1634490</wp:posOffset>
            </wp:positionH>
            <wp:positionV relativeFrom="paragraph">
              <wp:posOffset>10795</wp:posOffset>
            </wp:positionV>
            <wp:extent cx="39878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987800" cy="8890"/>
                    </a:xfrm>
                    <a:prstGeom prst="rect">
                      <a:avLst/>
                    </a:prstGeom>
                    <a:noFill/>
                  </pic:spPr>
                </pic:pic>
              </a:graphicData>
            </a:graphic>
          </wp:anchor>
        </w:drawing>
      </w:r>
    </w:p>
    <w:p>
      <w:pPr>
        <w:spacing w:after="0" w:line="3"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(Address of principal executive offices) (Zip Code)</w:t>
      </w:r>
    </w:p>
    <w:p>
      <w:pPr>
        <w:spacing w:after="0" w:line="252"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(561) 682-8000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3161030</wp:posOffset>
            </wp:positionH>
            <wp:positionV relativeFrom="paragraph">
              <wp:posOffset>10795</wp:posOffset>
            </wp:positionV>
            <wp:extent cx="9347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3"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(Registrant’s telephone number, including area code)</w:t>
      </w:r>
    </w:p>
    <w:p>
      <w:pPr>
        <w:spacing w:after="0" w:line="225" w:lineRule="exact"/>
        <w:rPr>
          <w:sz w:val="24"/>
          <w:szCs w:val="24"/>
          <w:color w:val="auto"/>
        </w:rPr>
      </w:pPr>
    </w:p>
    <w:p>
      <w:pPr>
        <w:ind w:right="240"/>
        <w:spacing w:after="0" w:line="305"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w:t>
      </w:r>
    </w:p>
    <w:p>
      <w:pPr>
        <w:spacing w:after="0"/>
        <w:tabs>
          <w:tab w:leader="none" w:pos="10080" w:val="left"/>
          <w:tab w:leader="none" w:pos="10600" w:val="left"/>
        </w:tabs>
        <w:rPr>
          <w:sz w:val="20"/>
          <w:szCs w:val="20"/>
          <w:color w:val="auto"/>
        </w:rPr>
      </w:pPr>
      <w:r>
        <w:rPr>
          <w:rFonts w:ascii="Arial" w:cs="Arial" w:eastAsia="Arial" w:hAnsi="Arial"/>
          <w:sz w:val="18"/>
          <w:szCs w:val="18"/>
          <w:color w:val="auto"/>
        </w:rPr>
        <w:t>the past 90 days.</w:t>
      </w:r>
      <w:r>
        <w:rPr>
          <w:sz w:val="20"/>
          <w:szCs w:val="20"/>
          <w:color w:val="auto"/>
        </w:rPr>
        <w:tab/>
      </w:r>
      <w:r>
        <w:rPr>
          <w:rFonts w:ascii="Arial" w:cs="Arial" w:eastAsia="Arial" w:hAnsi="Arial"/>
          <w:sz w:val="18"/>
          <w:szCs w:val="18"/>
          <w:color w:val="auto"/>
        </w:rPr>
        <w:t>Yes x</w:t>
      </w:r>
      <w:r>
        <w:rPr>
          <w:sz w:val="20"/>
          <w:szCs w:val="20"/>
          <w:color w:val="auto"/>
        </w:rPr>
        <w:tab/>
      </w:r>
      <w:r>
        <w:rPr>
          <w:rFonts w:ascii="Arial" w:cs="Arial" w:eastAsia="Arial" w:hAnsi="Arial"/>
          <w:sz w:val="16"/>
          <w:szCs w:val="16"/>
          <w:color w:val="auto"/>
        </w:rPr>
        <w:t>No o</w:t>
      </w:r>
    </w:p>
    <w:p>
      <w:pPr>
        <w:spacing w:after="0" w:line="219" w:lineRule="exact"/>
        <w:rPr>
          <w:sz w:val="24"/>
          <w:szCs w:val="24"/>
          <w:color w:val="auto"/>
        </w:rPr>
      </w:pPr>
    </w:p>
    <w:p>
      <w:pPr>
        <w:ind w:right="60"/>
        <w:spacing w:after="0" w:line="305" w:lineRule="auto"/>
        <w:rPr>
          <w:sz w:val="20"/>
          <w:szCs w:val="20"/>
          <w:color w:val="auto"/>
        </w:rPr>
      </w:pPr>
      <w:r>
        <w:rPr>
          <w:rFonts w:ascii="Arial" w:cs="Arial" w:eastAsia="Arial" w:hAnsi="Arial"/>
          <w:sz w:val="15"/>
          <w:szCs w:val="15"/>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w:t>
      </w:r>
    </w:p>
    <w:p>
      <w:pPr>
        <w:spacing w:after="0"/>
        <w:tabs>
          <w:tab w:leader="none" w:pos="10080" w:val="left"/>
          <w:tab w:leader="none" w:pos="10600" w:val="left"/>
        </w:tabs>
        <w:rPr>
          <w:sz w:val="20"/>
          <w:szCs w:val="20"/>
          <w:color w:val="auto"/>
        </w:rPr>
      </w:pPr>
      <w:r>
        <w:rPr>
          <w:rFonts w:ascii="Arial" w:cs="Arial" w:eastAsia="Arial" w:hAnsi="Arial"/>
          <w:sz w:val="18"/>
          <w:szCs w:val="18"/>
          <w:color w:val="auto"/>
        </w:rPr>
        <w:t>and post such files).</w:t>
      </w:r>
      <w:r>
        <w:rPr>
          <w:sz w:val="20"/>
          <w:szCs w:val="20"/>
          <w:color w:val="auto"/>
        </w:rPr>
        <w:tab/>
      </w:r>
      <w:r>
        <w:rPr>
          <w:rFonts w:ascii="Arial" w:cs="Arial" w:eastAsia="Arial" w:hAnsi="Arial"/>
          <w:sz w:val="18"/>
          <w:szCs w:val="18"/>
          <w:color w:val="auto"/>
        </w:rPr>
        <w:t>Yes x</w:t>
      </w:r>
      <w:r>
        <w:rPr>
          <w:sz w:val="20"/>
          <w:szCs w:val="20"/>
          <w:color w:val="auto"/>
        </w:rPr>
        <w:tab/>
      </w:r>
      <w:r>
        <w:rPr>
          <w:rFonts w:ascii="Arial" w:cs="Arial" w:eastAsia="Arial" w:hAnsi="Arial"/>
          <w:sz w:val="16"/>
          <w:szCs w:val="16"/>
          <w:color w:val="auto"/>
        </w:rPr>
        <w:t>No o</w:t>
      </w:r>
    </w:p>
    <w:p>
      <w:pPr>
        <w:spacing w:after="0" w:line="219" w:lineRule="exact"/>
        <w:rPr>
          <w:sz w:val="24"/>
          <w:szCs w:val="24"/>
          <w:color w:val="auto"/>
        </w:rPr>
      </w:pPr>
    </w:p>
    <w:p>
      <w:pPr>
        <w:ind w:right="48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53"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8460" w:type="dxa"/>
            <w:vAlign w:val="bottom"/>
          </w:tcPr>
          <w:p>
            <w:pPr>
              <w:ind w:left="700"/>
              <w:spacing w:after="0"/>
              <w:rPr>
                <w:sz w:val="20"/>
                <w:szCs w:val="20"/>
                <w:color w:val="auto"/>
              </w:rPr>
            </w:pPr>
            <w:r>
              <w:rPr>
                <w:rFonts w:ascii="Arial" w:cs="Arial" w:eastAsia="Arial" w:hAnsi="Arial"/>
                <w:sz w:val="18"/>
                <w:szCs w:val="18"/>
                <w:color w:val="auto"/>
              </w:rPr>
              <w:t>Large accelerated filero</w:t>
            </w:r>
          </w:p>
        </w:tc>
        <w:tc>
          <w:tcPr>
            <w:tcW w:w="3000" w:type="dxa"/>
            <w:vAlign w:val="bottom"/>
          </w:tcPr>
          <w:p>
            <w:pPr>
              <w:jc w:val="right"/>
              <w:ind w:right="392"/>
              <w:spacing w:after="0"/>
              <w:rPr>
                <w:sz w:val="20"/>
                <w:szCs w:val="20"/>
                <w:color w:val="auto"/>
              </w:rPr>
            </w:pPr>
            <w:r>
              <w:rPr>
                <w:rFonts w:ascii="Arial" w:cs="Arial" w:eastAsia="Arial" w:hAnsi="Arial"/>
                <w:sz w:val="18"/>
                <w:szCs w:val="18"/>
                <w:color w:val="auto"/>
              </w:rPr>
              <w:t>Accelerated filer x</w:t>
            </w:r>
          </w:p>
        </w:tc>
      </w:tr>
      <w:tr>
        <w:trPr>
          <w:trHeight w:val="243"/>
        </w:trPr>
        <w:tc>
          <w:tcPr>
            <w:tcW w:w="8460" w:type="dxa"/>
            <w:vAlign w:val="bottom"/>
          </w:tcPr>
          <w:p>
            <w:pPr>
              <w:ind w:left="700"/>
              <w:spacing w:after="0"/>
              <w:rPr>
                <w:sz w:val="20"/>
                <w:szCs w:val="20"/>
                <w:color w:val="auto"/>
              </w:rPr>
            </w:pPr>
            <w:r>
              <w:rPr>
                <w:rFonts w:ascii="Arial" w:cs="Arial" w:eastAsia="Arial" w:hAnsi="Arial"/>
                <w:sz w:val="18"/>
                <w:szCs w:val="18"/>
                <w:color w:val="auto"/>
              </w:rPr>
              <w:t>Non-accelerated filer o (Do not check if a smaller reporting company)</w:t>
            </w:r>
          </w:p>
        </w:tc>
        <w:tc>
          <w:tcPr>
            <w:tcW w:w="3000" w:type="dxa"/>
            <w:vAlign w:val="bottom"/>
          </w:tcPr>
          <w:p>
            <w:pPr>
              <w:jc w:val="right"/>
              <w:ind w:right="392"/>
              <w:spacing w:after="0"/>
              <w:rPr>
                <w:sz w:val="20"/>
                <w:szCs w:val="20"/>
                <w:color w:val="auto"/>
              </w:rPr>
            </w:pPr>
            <w:r>
              <w:rPr>
                <w:rFonts w:ascii="Arial" w:cs="Arial" w:eastAsia="Arial" w:hAnsi="Arial"/>
                <w:sz w:val="18"/>
                <w:szCs w:val="18"/>
                <w:color w:val="auto"/>
              </w:rPr>
              <w:t>Smaller reporting company o</w:t>
            </w:r>
          </w:p>
        </w:tc>
      </w:tr>
      <w:tr>
        <w:trPr>
          <w:trHeight w:val="453"/>
        </w:trPr>
        <w:tc>
          <w:tcPr>
            <w:tcW w:w="8460" w:type="dxa"/>
            <w:vAlign w:val="bottom"/>
          </w:tcPr>
          <w:p>
            <w:pPr>
              <w:spacing w:after="0"/>
              <w:rPr>
                <w:sz w:val="20"/>
                <w:szCs w:val="20"/>
                <w:color w:val="auto"/>
              </w:rPr>
            </w:pPr>
            <w:r>
              <w:rPr>
                <w:rFonts w:ascii="Arial" w:cs="Arial" w:eastAsia="Arial" w:hAnsi="Arial"/>
                <w:sz w:val="18"/>
                <w:szCs w:val="18"/>
                <w:color w:val="auto"/>
                <w:w w:val="93"/>
              </w:rPr>
              <w:t>Indicate by check mark whether the registrant is a shell company (as defined in Rule 12b-2 of the Exchange Act).</w:t>
            </w:r>
          </w:p>
        </w:tc>
        <w:tc>
          <w:tcPr>
            <w:tcW w:w="3000" w:type="dxa"/>
            <w:vAlign w:val="bottom"/>
          </w:tcPr>
          <w:p>
            <w:pPr>
              <w:spacing w:after="0"/>
              <w:rPr>
                <w:sz w:val="24"/>
                <w:szCs w:val="24"/>
                <w:color w:val="auto"/>
              </w:rPr>
            </w:pPr>
          </w:p>
        </w:tc>
      </w:tr>
      <w:tr>
        <w:trPr>
          <w:trHeight w:val="222"/>
        </w:trPr>
        <w:tc>
          <w:tcPr>
            <w:tcW w:w="8460" w:type="dxa"/>
            <w:vAlign w:val="bottom"/>
          </w:tcPr>
          <w:p>
            <w:pPr>
              <w:spacing w:after="0"/>
              <w:rPr>
                <w:sz w:val="20"/>
                <w:szCs w:val="20"/>
                <w:color w:val="auto"/>
              </w:rPr>
            </w:pPr>
            <w:r>
              <w:rPr>
                <w:rFonts w:ascii="Arial" w:cs="Arial" w:eastAsia="Arial" w:hAnsi="Arial"/>
                <w:sz w:val="18"/>
                <w:szCs w:val="18"/>
                <w:color w:val="auto"/>
              </w:rPr>
              <w:t>Yes o  No x</w:t>
            </w:r>
          </w:p>
        </w:tc>
        <w:tc>
          <w:tcPr>
            <w:tcW w:w="3000" w:type="dxa"/>
            <w:vAlign w:val="bottom"/>
          </w:tcPr>
          <w:p>
            <w:pPr>
              <w:spacing w:after="0"/>
              <w:rPr>
                <w:sz w:val="19"/>
                <w:szCs w:val="19"/>
                <w:color w:val="auto"/>
              </w:rPr>
            </w:pPr>
          </w:p>
        </w:tc>
      </w:tr>
      <w:tr>
        <w:trPr>
          <w:trHeight w:val="432"/>
        </w:trPr>
        <w:tc>
          <w:tcPr>
            <w:tcW w:w="8460" w:type="dxa"/>
            <w:vAlign w:val="bottom"/>
          </w:tcPr>
          <w:p>
            <w:pPr>
              <w:spacing w:after="0"/>
              <w:rPr>
                <w:sz w:val="20"/>
                <w:szCs w:val="20"/>
                <w:color w:val="auto"/>
              </w:rPr>
            </w:pPr>
            <w:r>
              <w:rPr>
                <w:rFonts w:ascii="Arial" w:cs="Arial" w:eastAsia="Arial" w:hAnsi="Arial"/>
                <w:sz w:val="18"/>
                <w:szCs w:val="18"/>
                <w:color w:val="auto"/>
                <w:w w:val="95"/>
              </w:rPr>
              <w:t>Number of shares of Common Stock, $0.01 par value, outstanding as of October 30, 2009: 99,835,097 shares.</w:t>
            </w:r>
          </w:p>
        </w:tc>
        <w:tc>
          <w:tcPr>
            <w:tcW w:w="3000" w:type="dxa"/>
            <w:vAlign w:val="bottom"/>
          </w:tcPr>
          <w:p>
            <w:pPr>
              <w:spacing w:after="0"/>
              <w:rPr>
                <w:sz w:val="24"/>
                <w:szCs w:val="24"/>
                <w:color w:val="auto"/>
              </w:rPr>
            </w:pPr>
          </w:p>
        </w:tc>
      </w:tr>
      <w:tr>
        <w:trPr>
          <w:trHeight w:val="215"/>
        </w:trPr>
        <w:tc>
          <w:tcPr>
            <w:tcW w:w="8460" w:type="dxa"/>
            <w:vAlign w:val="bottom"/>
          </w:tcPr>
          <w:p>
            <w:pPr>
              <w:spacing w:after="0"/>
              <w:rPr>
                <w:sz w:val="18"/>
                <w:szCs w:val="18"/>
                <w:color w:val="auto"/>
              </w:rPr>
            </w:pPr>
          </w:p>
        </w:tc>
        <w:tc>
          <w:tcPr>
            <w:tcW w:w="3000" w:type="dxa"/>
            <w:vAlign w:val="bottom"/>
          </w:tcPr>
          <w:p>
            <w:pPr>
              <w:spacing w:after="0"/>
              <w:rPr>
                <w:sz w:val="18"/>
                <w:szCs w:val="18"/>
                <w:color w:val="auto"/>
              </w:rPr>
            </w:pPr>
          </w:p>
        </w:tc>
      </w:tr>
      <w:tr>
        <w:trPr>
          <w:trHeight w:val="61"/>
        </w:trPr>
        <w:tc>
          <w:tcPr>
            <w:tcW w:w="8460" w:type="dxa"/>
            <w:vAlign w:val="bottom"/>
            <w:shd w:val="clear" w:color="auto" w:fill="000000"/>
          </w:tcPr>
          <w:p>
            <w:pPr>
              <w:spacing w:after="0"/>
              <w:rPr>
                <w:sz w:val="5"/>
                <w:szCs w:val="5"/>
                <w:color w:val="auto"/>
              </w:rPr>
            </w:pPr>
          </w:p>
        </w:tc>
        <w:tc>
          <w:tcPr>
            <w:tcW w:w="3000" w:type="dxa"/>
            <w:vAlign w:val="bottom"/>
            <w:shd w:val="clear" w:color="auto" w:fill="000000"/>
          </w:tcPr>
          <w:p>
            <w:pPr>
              <w:spacing w:after="0"/>
              <w:rPr>
                <w:sz w:val="5"/>
                <w:szCs w:val="5"/>
                <w:color w:val="auto"/>
              </w:rPr>
            </w:pPr>
          </w:p>
        </w:tc>
      </w:tr>
    </w:tbl>
    <w:p>
      <w:pPr>
        <w:sectPr>
          <w:pgSz w:w="11900" w:h="16838" w:orient="portrait"/>
          <w:cols w:equalWidth="0" w:num="1">
            <w:col w:w="11460"/>
          </w:cols>
          <w:pgMar w:left="240" w:top="841" w:right="19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6"/>
          <w:szCs w:val="16"/>
          <w:b w:val="1"/>
          <w:bCs w:val="1"/>
          <w:color w:val="auto"/>
        </w:rPr>
        <w:t>OCWEN FINANCIAL CORPORATION</w:t>
      </w:r>
    </w:p>
    <w:p>
      <w:pPr>
        <w:spacing w:after="0" w:line="4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FORM 10-Q</w:t>
      </w:r>
    </w:p>
    <w:p>
      <w:pPr>
        <w:spacing w:after="0" w:line="21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PART I – FINANCIAL INFORMATION</w:t>
        </w:r>
      </w:hyperlink>
    </w:p>
    <w:p>
      <w:pPr>
        <w:spacing w:after="0" w:line="285" w:lineRule="exact"/>
        <w:rPr>
          <w:sz w:val="20"/>
          <w:szCs w:val="20"/>
          <w:color w:val="auto"/>
        </w:rPr>
      </w:pPr>
    </w:p>
    <w:p>
      <w:pPr>
        <w:spacing w:after="0"/>
        <w:tabs>
          <w:tab w:leader="none" w:pos="1140" w:val="left"/>
        </w:tabs>
        <w:rPr>
          <w:rFonts w:ascii="Arial" w:cs="Arial" w:eastAsia="Arial" w:hAnsi="Arial"/>
          <w:sz w:val="15"/>
          <w:szCs w:val="15"/>
          <w:u w:val="single" w:color="auto"/>
          <w:color w:val="0000EE"/>
        </w:rPr>
      </w:pPr>
      <w:hyperlink w:anchor="page4">
        <w:r>
          <w:rPr>
            <w:rFonts w:ascii="Arial" w:cs="Arial" w:eastAsia="Arial" w:hAnsi="Arial"/>
            <w:sz w:val="18"/>
            <w:szCs w:val="18"/>
            <w:u w:val="single" w:color="auto"/>
            <w:color w:val="0000EE"/>
          </w:rPr>
          <w:t>Item 1.</w:t>
        </w:r>
      </w:hyperlink>
      <w:r>
        <w:rPr>
          <w:rFonts w:ascii="Arial" w:cs="Arial" w:eastAsia="Arial" w:hAnsi="Arial"/>
          <w:sz w:val="18"/>
          <w:szCs w:val="18"/>
          <w:u w:val="single" w:color="auto"/>
          <w:color w:val="0000EE"/>
        </w:rPr>
        <w:tab/>
      </w:r>
      <w:hyperlink w:anchor="page4">
        <w:r>
          <w:rPr>
            <w:rFonts w:ascii="Arial" w:cs="Arial" w:eastAsia="Arial" w:hAnsi="Arial"/>
            <w:sz w:val="15"/>
            <w:szCs w:val="15"/>
            <w:u w:val="single" w:color="auto"/>
            <w:color w:val="0000EE"/>
          </w:rPr>
          <w:t>Interim Consolidated Financial Statements (Unaudited)</w:t>
        </w:r>
      </w:hyperlink>
    </w:p>
    <w:p>
      <w:pPr>
        <w:spacing w:after="0" w:line="279" w:lineRule="exact"/>
        <w:rPr>
          <w:sz w:val="20"/>
          <w:szCs w:val="20"/>
          <w:color w:val="auto"/>
        </w:rPr>
      </w:pPr>
    </w:p>
    <w:p>
      <w:pPr>
        <w:ind w:left="11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Consolidated Balance Sheets at September 30, 2009 and December 31, 2008</w:t>
        </w:r>
      </w:hyperlink>
    </w:p>
    <w:p>
      <w:pPr>
        <w:spacing w:after="0" w:line="279" w:lineRule="exact"/>
        <w:rPr>
          <w:sz w:val="20"/>
          <w:szCs w:val="20"/>
          <w:color w:val="auto"/>
        </w:rPr>
      </w:pPr>
    </w:p>
    <w:p>
      <w:pPr>
        <w:ind w:left="11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Consolidated Statements of Operations for the Three and Nine Months Ended September 30, 2009 and 2008</w:t>
        </w:r>
      </w:hyperlink>
    </w:p>
    <w:p>
      <w:pPr>
        <w:spacing w:after="0" w:line="279" w:lineRule="exact"/>
        <w:rPr>
          <w:sz w:val="20"/>
          <w:szCs w:val="20"/>
          <w:color w:val="auto"/>
        </w:rPr>
      </w:pPr>
    </w:p>
    <w:p>
      <w:pPr>
        <w:jc w:val="right"/>
        <w:ind w:right="80"/>
        <w:spacing w:after="0"/>
        <w:rPr>
          <w:rFonts w:ascii="Arial" w:cs="Arial" w:eastAsia="Arial" w:hAnsi="Arial"/>
          <w:sz w:val="16"/>
          <w:szCs w:val="16"/>
          <w:u w:val="single" w:color="auto"/>
          <w:color w:val="0000EE"/>
        </w:rPr>
      </w:pPr>
      <w:hyperlink w:anchor="page7">
        <w:r>
          <w:rPr>
            <w:rFonts w:ascii="Arial" w:cs="Arial" w:eastAsia="Arial" w:hAnsi="Arial"/>
            <w:sz w:val="16"/>
            <w:szCs w:val="16"/>
            <w:u w:val="single" w:color="auto"/>
            <w:color w:val="0000EE"/>
          </w:rPr>
          <w:t>Consolidated Statements of Comprehensive Income (Loss) for the Three and Nine Months Ended September 30, 2009 and 2008</w:t>
        </w:r>
      </w:hyperlink>
    </w:p>
    <w:p>
      <w:pPr>
        <w:spacing w:after="0" w:line="302" w:lineRule="exact"/>
        <w:rPr>
          <w:sz w:val="20"/>
          <w:szCs w:val="20"/>
          <w:color w:val="auto"/>
        </w:rPr>
      </w:pPr>
    </w:p>
    <w:p>
      <w:pPr>
        <w:ind w:left="116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Consolidated Statement of Changes in Equity for the Nine Months Ended September 30, 2009</w:t>
        </w:r>
      </w:hyperlink>
    </w:p>
    <w:p>
      <w:pPr>
        <w:spacing w:after="0" w:line="279" w:lineRule="exact"/>
        <w:rPr>
          <w:sz w:val="20"/>
          <w:szCs w:val="20"/>
          <w:color w:val="auto"/>
        </w:rPr>
      </w:pPr>
    </w:p>
    <w:p>
      <w:pPr>
        <w:ind w:left="1160"/>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Consolidated Statements of Cash Flows for the Nine Months Ended September 30, 2009 and 2008</w:t>
        </w:r>
      </w:hyperlink>
    </w:p>
    <w:p>
      <w:pPr>
        <w:spacing w:after="0" w:line="279" w:lineRule="exact"/>
        <w:rPr>
          <w:sz w:val="20"/>
          <w:szCs w:val="20"/>
          <w:color w:val="auto"/>
        </w:rPr>
      </w:pPr>
    </w:p>
    <w:p>
      <w:pPr>
        <w:ind w:left="11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Notes to Interim Consolidated Financial Statements</w:t>
        </w:r>
      </w:hyperlink>
    </w:p>
    <w:p>
      <w:pPr>
        <w:spacing w:after="0" w:line="279" w:lineRule="exact"/>
        <w:rPr>
          <w:sz w:val="20"/>
          <w:szCs w:val="20"/>
          <w:color w:val="auto"/>
        </w:rPr>
      </w:pPr>
    </w:p>
    <w:p>
      <w:pPr>
        <w:spacing w:after="0"/>
        <w:tabs>
          <w:tab w:leader="none" w:pos="1140" w:val="left"/>
        </w:tabs>
        <w:rPr>
          <w:rFonts w:ascii="Arial" w:cs="Arial" w:eastAsia="Arial" w:hAnsi="Arial"/>
          <w:sz w:val="16"/>
          <w:szCs w:val="16"/>
          <w:u w:val="single" w:color="auto"/>
          <w:color w:val="0000EE"/>
        </w:rPr>
      </w:pPr>
      <w:hyperlink w:anchor="page39">
        <w:r>
          <w:rPr>
            <w:rFonts w:ascii="Arial" w:cs="Arial" w:eastAsia="Arial" w:hAnsi="Arial"/>
            <w:sz w:val="18"/>
            <w:szCs w:val="18"/>
            <w:u w:val="single" w:color="auto"/>
            <w:color w:val="0000EE"/>
          </w:rPr>
          <w:t>Item 2.</w:t>
        </w:r>
      </w:hyperlink>
      <w:r>
        <w:rPr>
          <w:rFonts w:ascii="Arial" w:cs="Arial" w:eastAsia="Arial" w:hAnsi="Arial"/>
          <w:sz w:val="18"/>
          <w:szCs w:val="18"/>
          <w:u w:val="single" w:color="auto"/>
          <w:color w:val="0000EE"/>
        </w:rPr>
        <w:tab/>
      </w:r>
      <w:hyperlink w:anchor="page39">
        <w:r>
          <w:rPr>
            <w:rFonts w:ascii="Arial" w:cs="Arial" w:eastAsia="Arial" w:hAnsi="Arial"/>
            <w:sz w:val="16"/>
            <w:szCs w:val="16"/>
            <w:u w:val="single" w:color="auto"/>
            <w:color w:val="0000EE"/>
          </w:rPr>
          <w:t>Management’s Discussion and Analysis of Financial Condition and Results of Operations</w:t>
        </w:r>
      </w:hyperlink>
    </w:p>
    <w:p>
      <w:pPr>
        <w:spacing w:after="0" w:line="279" w:lineRule="exact"/>
        <w:rPr>
          <w:sz w:val="20"/>
          <w:szCs w:val="20"/>
          <w:color w:val="auto"/>
        </w:rPr>
      </w:pPr>
    </w:p>
    <w:p>
      <w:pPr>
        <w:spacing w:after="0"/>
        <w:tabs>
          <w:tab w:leader="none" w:pos="1140" w:val="left"/>
        </w:tabs>
        <w:rPr>
          <w:rFonts w:ascii="Arial" w:cs="Arial" w:eastAsia="Arial" w:hAnsi="Arial"/>
          <w:sz w:val="16"/>
          <w:szCs w:val="16"/>
          <w:u w:val="single" w:color="auto"/>
          <w:color w:val="0000EE"/>
        </w:rPr>
      </w:pPr>
      <w:hyperlink w:anchor="page64">
        <w:r>
          <w:rPr>
            <w:rFonts w:ascii="Arial" w:cs="Arial" w:eastAsia="Arial" w:hAnsi="Arial"/>
            <w:sz w:val="18"/>
            <w:szCs w:val="18"/>
            <w:u w:val="single" w:color="auto"/>
            <w:color w:val="0000EE"/>
          </w:rPr>
          <w:t>Item 3.</w:t>
        </w:r>
      </w:hyperlink>
      <w:r>
        <w:rPr>
          <w:rFonts w:ascii="Arial" w:cs="Arial" w:eastAsia="Arial" w:hAnsi="Arial"/>
          <w:sz w:val="18"/>
          <w:szCs w:val="18"/>
          <w:u w:val="single" w:color="auto"/>
          <w:color w:val="0000EE"/>
        </w:rPr>
        <w:tab/>
      </w:r>
      <w:hyperlink w:anchor="page64">
        <w:r>
          <w:rPr>
            <w:rFonts w:ascii="Arial" w:cs="Arial" w:eastAsia="Arial" w:hAnsi="Arial"/>
            <w:sz w:val="16"/>
            <w:szCs w:val="16"/>
            <w:u w:val="single" w:color="auto"/>
            <w:color w:val="0000EE"/>
          </w:rPr>
          <w:t>Quantitative and Qualitative Disclosures About Market Risk</w:t>
        </w:r>
      </w:hyperlink>
    </w:p>
    <w:p>
      <w:pPr>
        <w:spacing w:after="0" w:line="279" w:lineRule="exact"/>
        <w:rPr>
          <w:sz w:val="20"/>
          <w:szCs w:val="20"/>
          <w:color w:val="auto"/>
        </w:rPr>
      </w:pPr>
    </w:p>
    <w:p>
      <w:pPr>
        <w:spacing w:after="0"/>
        <w:tabs>
          <w:tab w:leader="none" w:pos="1140" w:val="left"/>
        </w:tabs>
        <w:rPr>
          <w:rFonts w:ascii="Arial" w:cs="Arial" w:eastAsia="Arial" w:hAnsi="Arial"/>
          <w:sz w:val="15"/>
          <w:szCs w:val="15"/>
          <w:u w:val="single" w:color="auto"/>
          <w:color w:val="0000EE"/>
        </w:rPr>
      </w:pPr>
      <w:hyperlink w:anchor="page65">
        <w:r>
          <w:rPr>
            <w:rFonts w:ascii="Arial" w:cs="Arial" w:eastAsia="Arial" w:hAnsi="Arial"/>
            <w:sz w:val="18"/>
            <w:szCs w:val="18"/>
            <w:u w:val="single" w:color="auto"/>
            <w:color w:val="0000EE"/>
          </w:rPr>
          <w:t>Item 4.</w:t>
        </w:r>
      </w:hyperlink>
      <w:r>
        <w:rPr>
          <w:rFonts w:ascii="Arial" w:cs="Arial" w:eastAsia="Arial" w:hAnsi="Arial"/>
          <w:sz w:val="18"/>
          <w:szCs w:val="18"/>
          <w:u w:val="single" w:color="auto"/>
          <w:color w:val="0000EE"/>
        </w:rPr>
        <w:tab/>
      </w:r>
      <w:hyperlink w:anchor="page65">
        <w:r>
          <w:rPr>
            <w:rFonts w:ascii="Arial" w:cs="Arial" w:eastAsia="Arial" w:hAnsi="Arial"/>
            <w:sz w:val="15"/>
            <w:szCs w:val="15"/>
            <w:u w:val="single" w:color="auto"/>
            <w:color w:val="0000EE"/>
          </w:rPr>
          <w:t>Controls and Procedures</w:t>
        </w:r>
      </w:hyperlink>
    </w:p>
    <w:p>
      <w:pPr>
        <w:spacing w:after="0" w:line="273" w:lineRule="exact"/>
        <w:rPr>
          <w:sz w:val="20"/>
          <w:szCs w:val="20"/>
          <w:color w:val="auto"/>
        </w:rPr>
      </w:pPr>
    </w:p>
    <w:p>
      <w:pPr>
        <w:spacing w:after="0"/>
        <w:rPr>
          <w:rFonts w:ascii="Arial" w:cs="Arial" w:eastAsia="Arial" w:hAnsi="Arial"/>
          <w:sz w:val="18"/>
          <w:szCs w:val="18"/>
          <w:b w:val="1"/>
          <w:bCs w:val="1"/>
          <w:u w:val="single" w:color="auto"/>
          <w:color w:val="0000EE"/>
        </w:rPr>
      </w:pPr>
      <w:hyperlink w:anchor="page65">
        <w:r>
          <w:rPr>
            <w:rFonts w:ascii="Arial" w:cs="Arial" w:eastAsia="Arial" w:hAnsi="Arial"/>
            <w:sz w:val="18"/>
            <w:szCs w:val="18"/>
            <w:b w:val="1"/>
            <w:bCs w:val="1"/>
            <w:u w:val="single" w:color="auto"/>
            <w:color w:val="0000EE"/>
          </w:rPr>
          <w:t>PART II – OTHER INFORMATION</w:t>
        </w:r>
      </w:hyperlink>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Page</w:t>
      </w:r>
    </w:p>
    <w:p>
      <w:pPr>
        <w:spacing w:after="0" w:line="200" w:lineRule="exact"/>
        <w:rPr>
          <w:sz w:val="20"/>
          <w:szCs w:val="20"/>
          <w:color w:val="auto"/>
        </w:rPr>
      </w:pPr>
    </w:p>
    <w:p>
      <w:pPr>
        <w:spacing w:after="0" w:line="390" w:lineRule="exact"/>
        <w:rPr>
          <w:sz w:val="20"/>
          <w:szCs w:val="20"/>
          <w:color w:val="auto"/>
        </w:rPr>
      </w:pPr>
    </w:p>
    <w:p>
      <w:pPr>
        <w:ind w:left="140"/>
        <w:spacing w:after="0"/>
        <w:rPr>
          <w:sz w:val="20"/>
          <w:szCs w:val="20"/>
          <w:color w:val="auto"/>
        </w:rPr>
      </w:pPr>
      <w:r>
        <w:rPr>
          <w:rFonts w:ascii="Arial" w:cs="Arial" w:eastAsia="Arial" w:hAnsi="Arial"/>
          <w:sz w:val="18"/>
          <w:szCs w:val="18"/>
          <w:color w:val="auto"/>
        </w:rPr>
        <w:t>3</w:t>
      </w:r>
    </w:p>
    <w:p>
      <w:pPr>
        <w:spacing w:after="0" w:line="27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3</w:t>
      </w:r>
    </w:p>
    <w:p>
      <w:pPr>
        <w:spacing w:after="0" w:line="27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4</w:t>
      </w:r>
    </w:p>
    <w:p>
      <w:pPr>
        <w:spacing w:after="0" w:line="27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5</w:t>
      </w:r>
    </w:p>
    <w:p>
      <w:pPr>
        <w:spacing w:after="0" w:line="27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6</w:t>
      </w:r>
    </w:p>
    <w:p>
      <w:pPr>
        <w:spacing w:after="0" w:line="27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7</w:t>
      </w:r>
    </w:p>
    <w:p>
      <w:pPr>
        <w:spacing w:after="0" w:line="27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9</w:t>
      </w:r>
    </w:p>
    <w:p>
      <w:pPr>
        <w:spacing w:after="0" w:line="279" w:lineRule="exact"/>
        <w:rPr>
          <w:sz w:val="20"/>
          <w:szCs w:val="20"/>
          <w:color w:val="auto"/>
        </w:rPr>
      </w:pPr>
    </w:p>
    <w:p>
      <w:pPr>
        <w:ind w:left="80"/>
        <w:spacing w:after="0"/>
        <w:rPr>
          <w:sz w:val="20"/>
          <w:szCs w:val="20"/>
          <w:color w:val="auto"/>
        </w:rPr>
      </w:pPr>
      <w:r>
        <w:rPr>
          <w:rFonts w:ascii="Arial" w:cs="Arial" w:eastAsia="Arial" w:hAnsi="Arial"/>
          <w:sz w:val="18"/>
          <w:szCs w:val="18"/>
          <w:color w:val="auto"/>
        </w:rPr>
        <w:t>36</w:t>
      </w:r>
    </w:p>
    <w:p>
      <w:pPr>
        <w:spacing w:after="0" w:line="279" w:lineRule="exact"/>
        <w:rPr>
          <w:sz w:val="20"/>
          <w:szCs w:val="20"/>
          <w:color w:val="auto"/>
        </w:rPr>
      </w:pPr>
    </w:p>
    <w:p>
      <w:pPr>
        <w:ind w:left="80"/>
        <w:spacing w:after="0"/>
        <w:rPr>
          <w:sz w:val="20"/>
          <w:szCs w:val="20"/>
          <w:color w:val="auto"/>
        </w:rPr>
      </w:pPr>
      <w:r>
        <w:rPr>
          <w:rFonts w:ascii="Arial" w:cs="Arial" w:eastAsia="Arial" w:hAnsi="Arial"/>
          <w:sz w:val="18"/>
          <w:szCs w:val="18"/>
          <w:color w:val="auto"/>
        </w:rPr>
        <w:t>60</w:t>
      </w:r>
    </w:p>
    <w:p>
      <w:pPr>
        <w:spacing w:after="0" w:line="279" w:lineRule="exact"/>
        <w:rPr>
          <w:sz w:val="20"/>
          <w:szCs w:val="20"/>
          <w:color w:val="auto"/>
        </w:rPr>
      </w:pPr>
    </w:p>
    <w:p>
      <w:pPr>
        <w:ind w:left="80"/>
        <w:spacing w:after="0"/>
        <w:rPr>
          <w:sz w:val="20"/>
          <w:szCs w:val="20"/>
          <w:color w:val="auto"/>
        </w:rPr>
      </w:pPr>
      <w:r>
        <w:rPr>
          <w:rFonts w:ascii="Arial" w:cs="Arial" w:eastAsia="Arial" w:hAnsi="Arial"/>
          <w:sz w:val="18"/>
          <w:szCs w:val="18"/>
          <w:color w:val="auto"/>
        </w:rPr>
        <w:t>61</w:t>
      </w:r>
    </w:p>
    <w:p>
      <w:pPr>
        <w:spacing w:after="0" w:line="653" w:lineRule="exact"/>
        <w:rPr>
          <w:sz w:val="20"/>
          <w:szCs w:val="20"/>
          <w:color w:val="auto"/>
        </w:rPr>
      </w:pPr>
    </w:p>
    <w:p>
      <w:pPr>
        <w:sectPr>
          <w:pgSz w:w="11900" w:h="16838" w:orient="portrait"/>
          <w:cols w:equalWidth="0" w:num="2">
            <w:col w:w="10240" w:space="720"/>
            <w:col w:w="480"/>
          </w:cols>
          <w:pgMar w:left="240" w:top="125" w:right="219" w:bottom="1440" w:gutter="0" w:footer="0" w:header="0"/>
          <w:type w:val="continuous"/>
        </w:sectPr>
      </w:pP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00" w:type="dxa"/>
            <w:vAlign w:val="bottom"/>
            <w:tcBorders>
              <w:bottom w:val="single" w:sz="8" w:color="0000EE"/>
            </w:tcBorders>
            <w:gridSpan w:val="2"/>
          </w:tcPr>
          <w:p>
            <w:pPr>
              <w:spacing w:after="0"/>
              <w:rPr>
                <w:rFonts w:ascii="Arial" w:cs="Arial" w:eastAsia="Arial" w:hAnsi="Arial"/>
                <w:sz w:val="18"/>
                <w:szCs w:val="18"/>
                <w:color w:val="0000EE"/>
                <w:w w:val="87"/>
              </w:rPr>
            </w:pPr>
            <w:hyperlink w:anchor="page65">
              <w:r>
                <w:rPr>
                  <w:rFonts w:ascii="Arial" w:cs="Arial" w:eastAsia="Arial" w:hAnsi="Arial"/>
                  <w:sz w:val="18"/>
                  <w:szCs w:val="18"/>
                  <w:color w:val="0000EE"/>
                  <w:w w:val="87"/>
                </w:rPr>
                <w:t>Item 1.</w:t>
              </w:r>
            </w:hyperlink>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tcBorders>
              <w:bottom w:val="single" w:sz="8" w:color="0000EE"/>
            </w:tcBorders>
            <w:gridSpan w:val="3"/>
          </w:tcPr>
          <w:p>
            <w:pPr>
              <w:spacing w:after="0"/>
              <w:rPr>
                <w:rFonts w:ascii="Arial" w:cs="Arial" w:eastAsia="Arial" w:hAnsi="Arial"/>
                <w:sz w:val="18"/>
                <w:szCs w:val="18"/>
                <w:color w:val="0000EE"/>
                <w:w w:val="85"/>
              </w:rPr>
            </w:pPr>
            <w:hyperlink w:anchor="page65">
              <w:r>
                <w:rPr>
                  <w:rFonts w:ascii="Arial" w:cs="Arial" w:eastAsia="Arial" w:hAnsi="Arial"/>
                  <w:sz w:val="18"/>
                  <w:szCs w:val="18"/>
                  <w:color w:val="0000EE"/>
                  <w:w w:val="85"/>
                </w:rPr>
                <w:t>Legal Proceedings</w:t>
              </w:r>
            </w:hyperlink>
          </w:p>
        </w:tc>
        <w:tc>
          <w:tcPr>
            <w:tcW w:w="2780" w:type="dxa"/>
            <w:vAlign w:val="bottom"/>
          </w:tcPr>
          <w:p>
            <w:pPr>
              <w:spacing w:after="0"/>
              <w:rPr>
                <w:sz w:val="19"/>
                <w:szCs w:val="19"/>
                <w:color w:val="auto"/>
              </w:rPr>
            </w:pPr>
          </w:p>
        </w:tc>
        <w:tc>
          <w:tcPr>
            <w:tcW w:w="6200" w:type="dxa"/>
            <w:vAlign w:val="bottom"/>
          </w:tcPr>
          <w:p>
            <w:pPr>
              <w:jc w:val="right"/>
              <w:ind w:right="132"/>
              <w:spacing w:after="0"/>
              <w:rPr>
                <w:sz w:val="20"/>
                <w:szCs w:val="20"/>
                <w:color w:val="auto"/>
              </w:rPr>
            </w:pPr>
            <w:r>
              <w:rPr>
                <w:rFonts w:ascii="Arial" w:cs="Arial" w:eastAsia="Arial" w:hAnsi="Arial"/>
                <w:sz w:val="18"/>
                <w:szCs w:val="18"/>
                <w:color w:val="auto"/>
              </w:rPr>
              <w:t>61</w:t>
            </w:r>
          </w:p>
        </w:tc>
      </w:tr>
      <w:tr>
        <w:trPr>
          <w:trHeight w:val="466"/>
        </w:trPr>
        <w:tc>
          <w:tcPr>
            <w:tcW w:w="640" w:type="dxa"/>
            <w:vAlign w:val="bottom"/>
            <w:tcBorders>
              <w:bottom w:val="single" w:sz="8" w:color="0000EE"/>
            </w:tcBorders>
            <w:gridSpan w:val="3"/>
          </w:tcPr>
          <w:p>
            <w:pPr>
              <w:spacing w:after="0"/>
              <w:rPr>
                <w:rFonts w:ascii="Arial" w:cs="Arial" w:eastAsia="Arial" w:hAnsi="Arial"/>
                <w:sz w:val="18"/>
                <w:szCs w:val="18"/>
                <w:color w:val="0000EE"/>
                <w:w w:val="92"/>
              </w:rPr>
            </w:pPr>
            <w:hyperlink w:anchor="page65">
              <w:r>
                <w:rPr>
                  <w:rFonts w:ascii="Arial" w:cs="Arial" w:eastAsia="Arial" w:hAnsi="Arial"/>
                  <w:sz w:val="18"/>
                  <w:szCs w:val="18"/>
                  <w:color w:val="0000EE"/>
                  <w:w w:val="92"/>
                </w:rPr>
                <w:t>Item 1A.</w:t>
              </w:r>
            </w:hyperlink>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Borders>
              <w:bottom w:val="single" w:sz="8" w:color="0000EE"/>
            </w:tcBorders>
            <w:gridSpan w:val="2"/>
          </w:tcPr>
          <w:p>
            <w:pPr>
              <w:spacing w:after="0"/>
              <w:rPr>
                <w:rFonts w:ascii="Arial" w:cs="Arial" w:eastAsia="Arial" w:hAnsi="Arial"/>
                <w:sz w:val="18"/>
                <w:szCs w:val="18"/>
                <w:color w:val="0000EE"/>
                <w:w w:val="85"/>
              </w:rPr>
            </w:pPr>
            <w:hyperlink w:anchor="page65">
              <w:r>
                <w:rPr>
                  <w:rFonts w:ascii="Arial" w:cs="Arial" w:eastAsia="Arial" w:hAnsi="Arial"/>
                  <w:sz w:val="18"/>
                  <w:szCs w:val="18"/>
                  <w:color w:val="0000EE"/>
                  <w:w w:val="85"/>
                </w:rPr>
                <w:t>Risk Factors</w:t>
              </w:r>
            </w:hyperlink>
          </w:p>
        </w:tc>
        <w:tc>
          <w:tcPr>
            <w:tcW w:w="3200" w:type="dxa"/>
            <w:vAlign w:val="bottom"/>
            <w:gridSpan w:val="2"/>
          </w:tcPr>
          <w:p>
            <w:pPr>
              <w:spacing w:after="0"/>
              <w:rPr>
                <w:sz w:val="24"/>
                <w:szCs w:val="24"/>
                <w:color w:val="auto"/>
              </w:rPr>
            </w:pPr>
          </w:p>
        </w:tc>
        <w:tc>
          <w:tcPr>
            <w:tcW w:w="6200" w:type="dxa"/>
            <w:vAlign w:val="bottom"/>
          </w:tcPr>
          <w:p>
            <w:pPr>
              <w:jc w:val="right"/>
              <w:ind w:right="132"/>
              <w:spacing w:after="0"/>
              <w:rPr>
                <w:sz w:val="20"/>
                <w:szCs w:val="20"/>
                <w:color w:val="auto"/>
              </w:rPr>
            </w:pPr>
            <w:r>
              <w:rPr>
                <w:rFonts w:ascii="Arial" w:cs="Arial" w:eastAsia="Arial" w:hAnsi="Arial"/>
                <w:sz w:val="18"/>
                <w:szCs w:val="18"/>
                <w:color w:val="auto"/>
              </w:rPr>
              <w:t>61</w:t>
            </w:r>
          </w:p>
        </w:tc>
      </w:tr>
      <w:tr>
        <w:trPr>
          <w:trHeight w:val="532"/>
        </w:trPr>
        <w:tc>
          <w:tcPr>
            <w:tcW w:w="1160" w:type="dxa"/>
            <w:vAlign w:val="bottom"/>
            <w:gridSpan w:val="5"/>
          </w:tcPr>
          <w:p>
            <w:pPr>
              <w:spacing w:after="0"/>
              <w:rPr>
                <w:sz w:val="20"/>
                <w:szCs w:val="20"/>
                <w:color w:val="auto"/>
              </w:rPr>
            </w:pPr>
            <w:r>
              <w:rPr>
                <w:rFonts w:ascii="Arial" w:cs="Arial" w:eastAsia="Arial" w:hAnsi="Arial"/>
                <w:sz w:val="18"/>
                <w:szCs w:val="18"/>
                <w:color w:val="auto"/>
              </w:rPr>
              <w:t>Item 4.</w:t>
            </w:r>
          </w:p>
        </w:tc>
        <w:tc>
          <w:tcPr>
            <w:tcW w:w="4080" w:type="dxa"/>
            <w:vAlign w:val="bottom"/>
            <w:gridSpan w:val="4"/>
          </w:tcPr>
          <w:p>
            <w:pPr>
              <w:spacing w:after="0"/>
              <w:rPr>
                <w:sz w:val="20"/>
                <w:szCs w:val="20"/>
                <w:color w:val="auto"/>
              </w:rPr>
            </w:pPr>
            <w:r>
              <w:rPr>
                <w:rFonts w:ascii="Arial" w:cs="Arial" w:eastAsia="Arial" w:hAnsi="Arial"/>
                <w:sz w:val="18"/>
                <w:szCs w:val="18"/>
                <w:color w:val="auto"/>
                <w:w w:val="98"/>
              </w:rPr>
              <w:t>Submission of Matters to a Vote of Security Holders</w:t>
            </w:r>
          </w:p>
        </w:tc>
        <w:tc>
          <w:tcPr>
            <w:tcW w:w="6200" w:type="dxa"/>
            <w:vAlign w:val="bottom"/>
          </w:tcPr>
          <w:p>
            <w:pPr>
              <w:jc w:val="right"/>
              <w:ind w:right="132"/>
              <w:spacing w:after="0"/>
              <w:rPr>
                <w:sz w:val="20"/>
                <w:szCs w:val="20"/>
                <w:color w:val="auto"/>
              </w:rPr>
            </w:pPr>
            <w:r>
              <w:rPr>
                <w:rFonts w:ascii="Arial" w:cs="Arial" w:eastAsia="Arial" w:hAnsi="Arial"/>
                <w:sz w:val="18"/>
                <w:szCs w:val="18"/>
                <w:color w:val="auto"/>
              </w:rPr>
              <w:t>61</w:t>
            </w:r>
          </w:p>
        </w:tc>
      </w:tr>
      <w:tr>
        <w:trPr>
          <w:trHeight w:val="421"/>
        </w:trPr>
        <w:tc>
          <w:tcPr>
            <w:tcW w:w="500" w:type="dxa"/>
            <w:vAlign w:val="bottom"/>
            <w:tcBorders>
              <w:bottom w:val="single" w:sz="8" w:color="0000EE"/>
            </w:tcBorders>
            <w:gridSpan w:val="2"/>
          </w:tcPr>
          <w:p>
            <w:pPr>
              <w:spacing w:after="0"/>
              <w:rPr>
                <w:rFonts w:ascii="Arial" w:cs="Arial" w:eastAsia="Arial" w:hAnsi="Arial"/>
                <w:sz w:val="18"/>
                <w:szCs w:val="18"/>
                <w:color w:val="0000EE"/>
                <w:w w:val="87"/>
              </w:rPr>
            </w:pPr>
            <w:hyperlink w:anchor="page66">
              <w:r>
                <w:rPr>
                  <w:rFonts w:ascii="Arial" w:cs="Arial" w:eastAsia="Arial" w:hAnsi="Arial"/>
                  <w:sz w:val="18"/>
                  <w:szCs w:val="18"/>
                  <w:color w:val="0000EE"/>
                  <w:w w:val="87"/>
                </w:rPr>
                <w:t>Item 6.</w:t>
              </w:r>
            </w:hyperlink>
          </w:p>
        </w:tc>
        <w:tc>
          <w:tcPr>
            <w:tcW w:w="240" w:type="dxa"/>
            <w:vAlign w:val="bottom"/>
            <w:gridSpan w:val="2"/>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Borders>
              <w:bottom w:val="single" w:sz="8" w:color="0000EE"/>
            </w:tcBorders>
          </w:tcPr>
          <w:p>
            <w:pPr>
              <w:spacing w:after="0"/>
              <w:rPr>
                <w:rFonts w:ascii="Arial" w:cs="Arial" w:eastAsia="Arial" w:hAnsi="Arial"/>
                <w:sz w:val="18"/>
                <w:szCs w:val="18"/>
                <w:color w:val="0000EE"/>
                <w:w w:val="88"/>
              </w:rPr>
            </w:pPr>
            <w:hyperlink w:anchor="page66">
              <w:r>
                <w:rPr>
                  <w:rFonts w:ascii="Arial" w:cs="Arial" w:eastAsia="Arial" w:hAnsi="Arial"/>
                  <w:sz w:val="18"/>
                  <w:szCs w:val="18"/>
                  <w:color w:val="0000EE"/>
                  <w:w w:val="88"/>
                </w:rPr>
                <w:t>Exhibits</w:t>
              </w:r>
            </w:hyperlink>
          </w:p>
        </w:tc>
        <w:tc>
          <w:tcPr>
            <w:tcW w:w="3500" w:type="dxa"/>
            <w:vAlign w:val="bottom"/>
            <w:gridSpan w:val="3"/>
          </w:tcPr>
          <w:p>
            <w:pPr>
              <w:spacing w:after="0"/>
              <w:rPr>
                <w:sz w:val="24"/>
                <w:szCs w:val="24"/>
                <w:color w:val="auto"/>
              </w:rPr>
            </w:pPr>
          </w:p>
        </w:tc>
        <w:tc>
          <w:tcPr>
            <w:tcW w:w="6200" w:type="dxa"/>
            <w:vAlign w:val="bottom"/>
          </w:tcPr>
          <w:p>
            <w:pPr>
              <w:jc w:val="right"/>
              <w:ind w:right="132"/>
              <w:spacing w:after="0"/>
              <w:rPr>
                <w:sz w:val="20"/>
                <w:szCs w:val="20"/>
                <w:color w:val="auto"/>
              </w:rPr>
            </w:pPr>
            <w:r>
              <w:rPr>
                <w:rFonts w:ascii="Arial" w:cs="Arial" w:eastAsia="Arial" w:hAnsi="Arial"/>
                <w:sz w:val="18"/>
                <w:szCs w:val="18"/>
                <w:color w:val="auto"/>
              </w:rPr>
              <w:t>62</w:t>
            </w:r>
          </w:p>
        </w:tc>
      </w:tr>
      <w:tr>
        <w:trPr>
          <w:trHeight w:val="466"/>
        </w:trPr>
        <w:tc>
          <w:tcPr>
            <w:tcW w:w="20" w:type="dxa"/>
            <w:vAlign w:val="bottom"/>
          </w:tcPr>
          <w:p>
            <w:pPr>
              <w:spacing w:after="0"/>
              <w:rPr>
                <w:sz w:val="24"/>
                <w:szCs w:val="24"/>
                <w:color w:val="auto"/>
              </w:rPr>
            </w:pPr>
          </w:p>
        </w:tc>
        <w:tc>
          <w:tcPr>
            <w:tcW w:w="720" w:type="dxa"/>
            <w:vAlign w:val="bottom"/>
            <w:tcBorders>
              <w:bottom w:val="single" w:sz="8" w:color="0000EE"/>
            </w:tcBorders>
            <w:gridSpan w:val="3"/>
          </w:tcPr>
          <w:p>
            <w:pPr>
              <w:spacing w:after="0"/>
              <w:rPr>
                <w:rFonts w:ascii="Arial" w:cs="Arial" w:eastAsia="Arial" w:hAnsi="Arial"/>
                <w:sz w:val="18"/>
                <w:szCs w:val="18"/>
                <w:color w:val="0000EE"/>
                <w:w w:val="81"/>
              </w:rPr>
            </w:pPr>
            <w:hyperlink w:anchor="page68">
              <w:r>
                <w:rPr>
                  <w:rFonts w:ascii="Arial" w:cs="Arial" w:eastAsia="Arial" w:hAnsi="Arial"/>
                  <w:sz w:val="18"/>
                  <w:szCs w:val="18"/>
                  <w:color w:val="0000EE"/>
                  <w:w w:val="81"/>
                </w:rPr>
                <w:t>Signatures</w:t>
              </w:r>
            </w:hyperlink>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6200" w:type="dxa"/>
            <w:vAlign w:val="bottom"/>
          </w:tcPr>
          <w:p>
            <w:pPr>
              <w:jc w:val="right"/>
              <w:ind w:right="132"/>
              <w:spacing w:after="0"/>
              <w:rPr>
                <w:sz w:val="20"/>
                <w:szCs w:val="20"/>
                <w:color w:val="auto"/>
              </w:rPr>
            </w:pPr>
            <w:r>
              <w:rPr>
                <w:rFonts w:ascii="Arial" w:cs="Arial" w:eastAsia="Arial" w:hAnsi="Arial"/>
                <w:sz w:val="18"/>
                <w:szCs w:val="18"/>
                <w:color w:val="auto"/>
              </w:rPr>
              <w:t>63</w:t>
            </w:r>
          </w:p>
        </w:tc>
      </w:tr>
      <w:tr>
        <w:trPr>
          <w:trHeight w:val="478"/>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6200" w:type="dxa"/>
            <w:vAlign w:val="bottom"/>
          </w:tcPr>
          <w:p>
            <w:pPr>
              <w:jc w:val="right"/>
              <w:ind w:right="5592"/>
              <w:spacing w:after="0"/>
              <w:rPr>
                <w:sz w:val="20"/>
                <w:szCs w:val="20"/>
                <w:color w:val="auto"/>
              </w:rPr>
            </w:pPr>
            <w:r>
              <w:rPr>
                <w:rFonts w:ascii="Arial" w:cs="Arial" w:eastAsia="Arial" w:hAnsi="Arial"/>
                <w:sz w:val="18"/>
                <w:szCs w:val="18"/>
                <w:color w:val="auto"/>
              </w:rPr>
              <w:t>1</w:t>
            </w:r>
          </w:p>
        </w:tc>
      </w:tr>
      <w:tr>
        <w:trPr>
          <w:trHeight w:val="228"/>
        </w:trPr>
        <w:tc>
          <w:tcPr>
            <w:tcW w:w="20" w:type="dxa"/>
            <w:vAlign w:val="bottom"/>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2780" w:type="dxa"/>
            <w:vAlign w:val="bottom"/>
            <w:tcBorders>
              <w:bottom w:val="single" w:sz="8" w:color="808080"/>
            </w:tcBorders>
          </w:tcPr>
          <w:p>
            <w:pPr>
              <w:spacing w:after="0"/>
              <w:rPr>
                <w:sz w:val="19"/>
                <w:szCs w:val="19"/>
                <w:color w:val="auto"/>
              </w:rPr>
            </w:pPr>
          </w:p>
        </w:tc>
        <w:tc>
          <w:tcPr>
            <w:tcW w:w="62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type w:val="continuous"/>
        </w:sectPr>
      </w:pPr>
    </w:p>
    <w:bookmarkStart w:id="2" w:name="page3"/>
    <w:bookmarkEnd w:id="2"/>
    <w:p>
      <w:pPr>
        <w:spacing w:after="0"/>
        <w:rPr>
          <w:sz w:val="20"/>
          <w:szCs w:val="20"/>
          <w:color w:val="auto"/>
        </w:rPr>
      </w:pPr>
      <w:r>
        <w:rPr>
          <w:rFonts w:ascii="Arial" w:cs="Arial" w:eastAsia="Arial" w:hAnsi="Arial"/>
          <w:sz w:val="18"/>
          <w:szCs w:val="18"/>
          <w:b w:val="1"/>
          <w:bCs w:val="1"/>
          <w:color w:val="auto"/>
        </w:rPr>
        <w:t>FORWARD-LOOKING STATEMENTS</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This Quarterly Report contains forward-looking statements within the meaning of Section 27A of the Securities Act of 1933, as amended, and Section 21E of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Securities Exchange Act of 1934, as amended, including, but not limited to the following:</w:t>
      </w:r>
    </w:p>
    <w:p>
      <w:pPr>
        <w:spacing w:after="0" w:line="232" w:lineRule="exact"/>
        <w:rPr>
          <w:sz w:val="20"/>
          <w:szCs w:val="20"/>
          <w:color w:val="auto"/>
        </w:rPr>
      </w:pPr>
    </w:p>
    <w:p>
      <w:pPr>
        <w:ind w:left="580" w:hanging="572"/>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assumptions related to the sources of liquidity, our ability to fund advances and the adequacy of financial resources;</w:t>
      </w:r>
    </w:p>
    <w:p>
      <w:pPr>
        <w:spacing w:after="0" w:line="252" w:lineRule="exact"/>
        <w:rPr>
          <w:rFonts w:ascii="Arial" w:cs="Arial" w:eastAsia="Arial" w:hAnsi="Arial"/>
          <w:sz w:val="18"/>
          <w:szCs w:val="18"/>
          <w:color w:val="auto"/>
        </w:rPr>
      </w:pPr>
    </w:p>
    <w:p>
      <w:pPr>
        <w:ind w:left="580" w:hanging="572"/>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estimates regarding prepayment speeds, float balances, delinquency rates, advances and other servicing portfolio characteristics;</w:t>
      </w:r>
    </w:p>
    <w:p>
      <w:pPr>
        <w:spacing w:after="0" w:line="252" w:lineRule="exact"/>
        <w:rPr>
          <w:rFonts w:ascii="Arial" w:cs="Arial" w:eastAsia="Arial" w:hAnsi="Arial"/>
          <w:sz w:val="18"/>
          <w:szCs w:val="18"/>
          <w:color w:val="auto"/>
        </w:rPr>
      </w:pPr>
    </w:p>
    <w:p>
      <w:pPr>
        <w:ind w:left="580" w:hanging="572"/>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projections as to the performance of our fee-based loan processing business and our asset management vehicles;</w:t>
      </w:r>
    </w:p>
    <w:p>
      <w:pPr>
        <w:spacing w:after="0" w:line="252" w:lineRule="exact"/>
        <w:rPr>
          <w:rFonts w:ascii="Arial" w:cs="Arial" w:eastAsia="Arial" w:hAnsi="Arial"/>
          <w:sz w:val="18"/>
          <w:szCs w:val="18"/>
          <w:color w:val="auto"/>
        </w:rPr>
      </w:pPr>
    </w:p>
    <w:p>
      <w:pPr>
        <w:ind w:left="580" w:hanging="572"/>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assumptions about our ability to grow our business;</w:t>
      </w:r>
    </w:p>
    <w:p>
      <w:pPr>
        <w:spacing w:after="0" w:line="252" w:lineRule="exact"/>
        <w:rPr>
          <w:rFonts w:ascii="Arial" w:cs="Arial" w:eastAsia="Arial" w:hAnsi="Arial"/>
          <w:sz w:val="18"/>
          <w:szCs w:val="18"/>
          <w:color w:val="auto"/>
        </w:rPr>
      </w:pPr>
    </w:p>
    <w:p>
      <w:pPr>
        <w:ind w:left="580" w:hanging="572"/>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to continue to sell our non-core assets;</w:t>
      </w:r>
    </w:p>
    <w:p>
      <w:pPr>
        <w:spacing w:after="0" w:line="252" w:lineRule="exact"/>
        <w:rPr>
          <w:rFonts w:ascii="Arial" w:cs="Arial" w:eastAsia="Arial" w:hAnsi="Arial"/>
          <w:sz w:val="18"/>
          <w:szCs w:val="18"/>
          <w:color w:val="auto"/>
        </w:rPr>
      </w:pPr>
    </w:p>
    <w:p>
      <w:pPr>
        <w:ind w:left="580" w:hanging="572"/>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establish additional asset management vehicles;</w:t>
      </w:r>
    </w:p>
    <w:p>
      <w:pPr>
        <w:spacing w:after="0" w:line="252" w:lineRule="exact"/>
        <w:rPr>
          <w:rFonts w:ascii="Arial" w:cs="Arial" w:eastAsia="Arial" w:hAnsi="Arial"/>
          <w:sz w:val="18"/>
          <w:szCs w:val="18"/>
          <w:color w:val="auto"/>
        </w:rPr>
      </w:pPr>
    </w:p>
    <w:p>
      <w:pPr>
        <w:ind w:left="580" w:hanging="572"/>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reduce our cost structure;</w:t>
      </w:r>
    </w:p>
    <w:p>
      <w:pPr>
        <w:spacing w:after="0" w:line="252" w:lineRule="exact"/>
        <w:rPr>
          <w:rFonts w:ascii="Arial" w:cs="Arial" w:eastAsia="Arial" w:hAnsi="Arial"/>
          <w:sz w:val="18"/>
          <w:szCs w:val="18"/>
          <w:color w:val="auto"/>
        </w:rPr>
      </w:pPr>
    </w:p>
    <w:p>
      <w:pPr>
        <w:ind w:left="580" w:hanging="572"/>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analysis in support of the decision to spin Ocwen Solutions as a separate company;</w:t>
      </w:r>
    </w:p>
    <w:p>
      <w:pPr>
        <w:spacing w:after="0" w:line="252" w:lineRule="exact"/>
        <w:rPr>
          <w:rFonts w:ascii="Arial" w:cs="Arial" w:eastAsia="Arial" w:hAnsi="Arial"/>
          <w:sz w:val="18"/>
          <w:szCs w:val="18"/>
          <w:color w:val="auto"/>
        </w:rPr>
      </w:pPr>
    </w:p>
    <w:p>
      <w:pPr>
        <w:ind w:left="580" w:hanging="572"/>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continued ability to successfully modify delinquent loans and sell foreclosed properties;</w:t>
      </w:r>
    </w:p>
    <w:p>
      <w:pPr>
        <w:spacing w:after="0" w:line="252" w:lineRule="exact"/>
        <w:rPr>
          <w:rFonts w:ascii="Arial" w:cs="Arial" w:eastAsia="Arial" w:hAnsi="Arial"/>
          <w:sz w:val="18"/>
          <w:szCs w:val="18"/>
          <w:color w:val="auto"/>
        </w:rPr>
      </w:pPr>
    </w:p>
    <w:p>
      <w:pPr>
        <w:ind w:left="580" w:hanging="572"/>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estimates regarding our reserves, valuations and anticipated realization on assets; and</w:t>
      </w:r>
    </w:p>
    <w:p>
      <w:pPr>
        <w:spacing w:after="0" w:line="252" w:lineRule="exact"/>
        <w:rPr>
          <w:rFonts w:ascii="Arial" w:cs="Arial" w:eastAsia="Arial" w:hAnsi="Arial"/>
          <w:sz w:val="18"/>
          <w:szCs w:val="18"/>
          <w:color w:val="auto"/>
        </w:rPr>
      </w:pPr>
    </w:p>
    <w:p>
      <w:pPr>
        <w:ind w:left="580" w:hanging="572"/>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expectations as to the effect of resolution of pending legal proceedings on our financial condition.</w:t>
      </w:r>
    </w:p>
    <w:p>
      <w:pPr>
        <w:spacing w:after="0" w:line="225" w:lineRule="exact"/>
        <w:rPr>
          <w:sz w:val="20"/>
          <w:szCs w:val="20"/>
          <w:color w:val="auto"/>
        </w:rPr>
      </w:pPr>
    </w:p>
    <w:p>
      <w:pPr>
        <w:ind w:right="40" w:firstLine="439"/>
        <w:spacing w:after="0" w:line="259" w:lineRule="auto"/>
        <w:rPr>
          <w:sz w:val="20"/>
          <w:szCs w:val="20"/>
          <w:color w:val="auto"/>
        </w:rPr>
      </w:pPr>
      <w:r>
        <w:rPr>
          <w:rFonts w:ascii="Arial" w:cs="Arial" w:eastAsia="Arial" w:hAnsi="Arial"/>
          <w:sz w:val="18"/>
          <w:szCs w:val="18"/>
          <w:color w:val="auto"/>
        </w:rPr>
        <w:t>Forward-looking statements are not guarantees of future performance and involve a number of assumptions, risks and uncertainties that could cause actual results to differ materially. Important factors that could cause actual results to differ include, but are not limited to, the risks discussed in “Risk Factors” below and the following:</w:t>
      </w:r>
    </w:p>
    <w:p>
      <w:pPr>
        <w:spacing w:after="0" w:line="208" w:lineRule="exact"/>
        <w:rPr>
          <w:sz w:val="20"/>
          <w:szCs w:val="20"/>
          <w:color w:val="auto"/>
        </w:rPr>
      </w:pPr>
    </w:p>
    <w:p>
      <w:pPr>
        <w:ind w:left="580" w:hanging="572"/>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availability of adequate and timely sources of liquidity;</w:t>
      </w:r>
    </w:p>
    <w:p>
      <w:pPr>
        <w:spacing w:after="0" w:line="252" w:lineRule="exact"/>
        <w:rPr>
          <w:rFonts w:ascii="Arial" w:cs="Arial" w:eastAsia="Arial" w:hAnsi="Arial"/>
          <w:sz w:val="18"/>
          <w:szCs w:val="18"/>
          <w:color w:val="auto"/>
        </w:rPr>
      </w:pPr>
    </w:p>
    <w:p>
      <w:pPr>
        <w:ind w:left="580" w:hanging="572"/>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delinquencies, advances and availability of servicing;</w:t>
      </w:r>
    </w:p>
    <w:p>
      <w:pPr>
        <w:spacing w:after="0" w:line="252" w:lineRule="exact"/>
        <w:rPr>
          <w:rFonts w:ascii="Arial" w:cs="Arial" w:eastAsia="Arial" w:hAnsi="Arial"/>
          <w:sz w:val="18"/>
          <w:szCs w:val="18"/>
          <w:color w:val="auto"/>
        </w:rPr>
      </w:pPr>
    </w:p>
    <w:p>
      <w:pPr>
        <w:ind w:left="580" w:hanging="572"/>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general economic and market conditions;</w:t>
      </w:r>
    </w:p>
    <w:p>
      <w:pPr>
        <w:spacing w:after="0" w:line="252" w:lineRule="exact"/>
        <w:rPr>
          <w:rFonts w:ascii="Arial" w:cs="Arial" w:eastAsia="Arial" w:hAnsi="Arial"/>
          <w:sz w:val="18"/>
          <w:szCs w:val="18"/>
          <w:color w:val="auto"/>
        </w:rPr>
      </w:pPr>
    </w:p>
    <w:p>
      <w:pPr>
        <w:ind w:left="580" w:hanging="572"/>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uncertainty related to government programs, regulations and policies; and</w:t>
      </w:r>
    </w:p>
    <w:p>
      <w:pPr>
        <w:spacing w:after="0" w:line="252" w:lineRule="exact"/>
        <w:rPr>
          <w:rFonts w:ascii="Arial" w:cs="Arial" w:eastAsia="Arial" w:hAnsi="Arial"/>
          <w:sz w:val="18"/>
          <w:szCs w:val="18"/>
          <w:color w:val="auto"/>
        </w:rPr>
      </w:pPr>
    </w:p>
    <w:p>
      <w:pPr>
        <w:ind w:left="580" w:hanging="572"/>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uncertainty related to dispute resolution and litigation.</w:t>
      </w:r>
    </w:p>
    <w:p>
      <w:pPr>
        <w:spacing w:after="0" w:line="225" w:lineRule="exact"/>
        <w:rPr>
          <w:sz w:val="20"/>
          <w:szCs w:val="20"/>
          <w:color w:val="auto"/>
        </w:rPr>
      </w:pPr>
    </w:p>
    <w:p>
      <w:pPr>
        <w:ind w:right="160" w:firstLine="439"/>
        <w:spacing w:after="0" w:line="256" w:lineRule="auto"/>
        <w:rPr>
          <w:sz w:val="20"/>
          <w:szCs w:val="20"/>
          <w:color w:val="auto"/>
        </w:rPr>
      </w:pPr>
      <w:r>
        <w:rPr>
          <w:rFonts w:ascii="Arial" w:cs="Arial" w:eastAsia="Arial" w:hAnsi="Arial"/>
          <w:sz w:val="18"/>
          <w:szCs w:val="18"/>
          <w:color w:val="auto"/>
        </w:rPr>
        <w:t>Further information on the risks specific to our business are detailed within this report and our other reports and filings with the Securities and Exchange Commission, including our Annual report on Form 10-K for the year ended December 31, 2008, our quarterly reports on Form 10-Q and our current reports on Form 8-K. Forward-looking statements speak only as of the date they are made and should not be relied upon. Ocwen Financial Corporation undertakes no obligation to update or revise forward-looking statements.</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INTERIM CONSOLIDATED FINANCIAL STATEMENTS (Unaudited)</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1"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(Dollars in thousands, except share data)</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ind w:right="72"/>
              <w:spacing w:after="0"/>
              <w:rPr>
                <w:sz w:val="20"/>
                <w:szCs w:val="20"/>
                <w:color w:val="auto"/>
              </w:rPr>
            </w:pPr>
            <w:r>
              <w:rPr>
                <w:rFonts w:ascii="Arial" w:cs="Arial" w:eastAsia="Arial" w:hAnsi="Arial"/>
                <w:sz w:val="18"/>
                <w:szCs w:val="18"/>
                <w:b w:val="1"/>
                <w:bCs w:val="1"/>
                <w:color w:val="auto"/>
                <w:w w:val="87"/>
              </w:rPr>
              <w:t>September 30,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center"/>
              <w:ind w:right="92"/>
              <w:spacing w:after="0"/>
              <w:rPr>
                <w:sz w:val="20"/>
                <w:szCs w:val="20"/>
                <w:color w:val="auto"/>
              </w:rPr>
            </w:pPr>
            <w:r>
              <w:rPr>
                <w:rFonts w:ascii="Arial" w:cs="Arial" w:eastAsia="Arial" w:hAnsi="Arial"/>
                <w:sz w:val="18"/>
                <w:szCs w:val="18"/>
                <w:b w:val="1"/>
                <w:bCs w:val="1"/>
                <w:color w:val="auto"/>
                <w:w w:val="87"/>
              </w:rPr>
              <w:t>December 31,</w:t>
            </w:r>
          </w:p>
        </w:tc>
        <w:tc>
          <w:tcPr>
            <w:tcW w:w="120" w:type="dxa"/>
            <w:vAlign w:val="bottom"/>
          </w:tcPr>
          <w:p>
            <w:pPr>
              <w:spacing w:after="0"/>
              <w:rPr>
                <w:sz w:val="18"/>
                <w:szCs w:val="18"/>
                <w:color w:val="auto"/>
              </w:rPr>
            </w:pPr>
          </w:p>
        </w:tc>
      </w:tr>
      <w:tr>
        <w:trPr>
          <w:trHeight w:val="237"/>
        </w:trPr>
        <w:tc>
          <w:tcPr>
            <w:tcW w:w="8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b w:val="1"/>
                <w:bCs w:val="1"/>
                <w:color w:val="auto"/>
              </w:rPr>
              <w:t>2009</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72"/>
              <w:spacing w:after="0"/>
              <w:rPr>
                <w:sz w:val="20"/>
                <w:szCs w:val="20"/>
                <w:color w:val="auto"/>
              </w:rPr>
            </w:pPr>
            <w:r>
              <w:rPr>
                <w:rFonts w:ascii="Arial" w:cs="Arial" w:eastAsia="Arial" w:hAnsi="Arial"/>
                <w:sz w:val="18"/>
                <w:szCs w:val="18"/>
                <w:b w:val="1"/>
                <w:bCs w:val="1"/>
                <w:color w:val="auto"/>
                <w:w w:val="89"/>
              </w:rPr>
              <w:t>2008</w:t>
            </w:r>
          </w:p>
        </w:tc>
        <w:tc>
          <w:tcPr>
            <w:tcW w:w="120" w:type="dxa"/>
            <w:vAlign w:val="bottom"/>
          </w:tcPr>
          <w:p>
            <w:pPr>
              <w:spacing w:after="0"/>
              <w:rPr>
                <w:sz w:val="20"/>
                <w:szCs w:val="20"/>
                <w:color w:val="auto"/>
              </w:rPr>
            </w:pPr>
          </w:p>
        </w:tc>
      </w:tr>
      <w:tr>
        <w:trPr>
          <w:trHeight w:val="242"/>
        </w:trPr>
        <w:tc>
          <w:tcPr>
            <w:tcW w:w="8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center"/>
              <w:ind w:right="72"/>
              <w:spacing w:after="0"/>
              <w:rPr>
                <w:sz w:val="20"/>
                <w:szCs w:val="20"/>
                <w:color w:val="auto"/>
              </w:rPr>
            </w:pPr>
            <w:r>
              <w:rPr>
                <w:rFonts w:ascii="Arial" w:cs="Arial" w:eastAsia="Arial" w:hAnsi="Arial"/>
                <w:sz w:val="18"/>
                <w:szCs w:val="18"/>
                <w:b w:val="1"/>
                <w:bCs w:val="1"/>
                <w:color w:val="auto"/>
                <w:w w:val="88"/>
              </w:rPr>
              <w:t>(As Adjusted)</w:t>
            </w:r>
          </w:p>
        </w:tc>
        <w:tc>
          <w:tcPr>
            <w:tcW w:w="120" w:type="dxa"/>
            <w:vAlign w:val="bottom"/>
          </w:tcPr>
          <w:p>
            <w:pPr>
              <w:spacing w:after="0"/>
              <w:rPr>
                <w:sz w:val="21"/>
                <w:szCs w:val="21"/>
                <w:color w:val="auto"/>
              </w:rPr>
            </w:pPr>
          </w:p>
        </w:tc>
      </w:tr>
      <w:tr>
        <w:trPr>
          <w:trHeight w:val="244"/>
        </w:trPr>
        <w:tc>
          <w:tcPr>
            <w:tcW w:w="818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EAF9E8"/>
          </w:tcPr>
          <w:p>
            <w:pPr>
              <w:spacing w:after="0"/>
              <w:rPr>
                <w:sz w:val="21"/>
                <w:szCs w:val="21"/>
                <w:color w:val="auto"/>
              </w:rPr>
            </w:pPr>
          </w:p>
        </w:tc>
        <w:tc>
          <w:tcPr>
            <w:tcW w:w="1260" w:type="dxa"/>
            <w:vAlign w:val="bottom"/>
            <w:shd w:val="clear" w:color="auto" w:fill="EAF9E8"/>
          </w:tcPr>
          <w:p>
            <w:pPr>
              <w:spacing w:after="0"/>
              <w:rPr>
                <w:sz w:val="21"/>
                <w:szCs w:val="21"/>
                <w:color w:val="auto"/>
              </w:rPr>
            </w:pPr>
          </w:p>
        </w:tc>
        <w:tc>
          <w:tcPr>
            <w:tcW w:w="22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36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r>
      <w:tr>
        <w:trPr>
          <w:trHeight w:val="242"/>
        </w:trPr>
        <w:tc>
          <w:tcPr>
            <w:tcW w:w="8180" w:type="dxa"/>
            <w:vAlign w:val="bottom"/>
          </w:tcPr>
          <w:p>
            <w:pPr>
              <w:ind w:left="160"/>
              <w:spacing w:after="0"/>
              <w:rPr>
                <w:sz w:val="20"/>
                <w:szCs w:val="20"/>
                <w:color w:val="auto"/>
              </w:rPr>
            </w:pPr>
            <w:r>
              <w:rPr>
                <w:rFonts w:ascii="Arial" w:cs="Arial" w:eastAsia="Arial" w:hAnsi="Arial"/>
                <w:sz w:val="18"/>
                <w:szCs w:val="18"/>
                <w:color w:val="auto"/>
              </w:rPr>
              <w:t>Cash</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195,854</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201,025</w:t>
            </w:r>
          </w:p>
        </w:tc>
        <w:tc>
          <w:tcPr>
            <w:tcW w:w="120" w:type="dxa"/>
            <w:vAlign w:val="bottom"/>
          </w:tcPr>
          <w:p>
            <w:pPr>
              <w:spacing w:after="0"/>
              <w:rPr>
                <w:sz w:val="21"/>
                <w:szCs w:val="21"/>
                <w:color w:val="auto"/>
              </w:rPr>
            </w:pPr>
          </w:p>
        </w:tc>
      </w:tr>
      <w:tr>
        <w:trPr>
          <w:trHeight w:val="244"/>
        </w:trPr>
        <w:tc>
          <w:tcPr>
            <w:tcW w:w="81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Trading securities, at fair value</w:t>
            </w:r>
          </w:p>
        </w:tc>
        <w:tc>
          <w:tcPr>
            <w:tcW w:w="120" w:type="dxa"/>
            <w:vAlign w:val="bottom"/>
            <w:shd w:val="clear" w:color="auto" w:fill="EAF9E8"/>
          </w:tcPr>
          <w:p>
            <w:pPr>
              <w:spacing w:after="0"/>
              <w:rPr>
                <w:sz w:val="21"/>
                <w:szCs w:val="21"/>
                <w:color w:val="auto"/>
              </w:rPr>
            </w:pPr>
          </w:p>
        </w:tc>
        <w:tc>
          <w:tcPr>
            <w:tcW w:w="1260" w:type="dxa"/>
            <w:vAlign w:val="bottom"/>
            <w:shd w:val="clear" w:color="auto" w:fill="EAF9E8"/>
          </w:tcPr>
          <w:p>
            <w:pPr>
              <w:spacing w:after="0"/>
              <w:rPr>
                <w:sz w:val="21"/>
                <w:szCs w:val="21"/>
                <w:color w:val="auto"/>
              </w:rPr>
            </w:pPr>
          </w:p>
        </w:tc>
        <w:tc>
          <w:tcPr>
            <w:tcW w:w="22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36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r>
      <w:tr>
        <w:trPr>
          <w:trHeight w:val="242"/>
        </w:trPr>
        <w:tc>
          <w:tcPr>
            <w:tcW w:w="8180" w:type="dxa"/>
            <w:vAlign w:val="bottom"/>
          </w:tcPr>
          <w:p>
            <w:pPr>
              <w:ind w:left="320"/>
              <w:spacing w:after="0"/>
              <w:rPr>
                <w:sz w:val="20"/>
                <w:szCs w:val="20"/>
                <w:color w:val="auto"/>
              </w:rPr>
            </w:pPr>
            <w:r>
              <w:rPr>
                <w:rFonts w:ascii="Arial" w:cs="Arial" w:eastAsia="Arial" w:hAnsi="Arial"/>
                <w:sz w:val="18"/>
                <w:szCs w:val="18"/>
                <w:color w:val="auto"/>
              </w:rPr>
              <w:t>Auction rate</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250,099</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239,301</w:t>
            </w:r>
          </w:p>
        </w:tc>
        <w:tc>
          <w:tcPr>
            <w:tcW w:w="120" w:type="dxa"/>
            <w:vAlign w:val="bottom"/>
          </w:tcPr>
          <w:p>
            <w:pPr>
              <w:spacing w:after="0"/>
              <w:rPr>
                <w:sz w:val="21"/>
                <w:szCs w:val="21"/>
                <w:color w:val="auto"/>
              </w:rPr>
            </w:pPr>
          </w:p>
        </w:tc>
      </w:tr>
      <w:tr>
        <w:trPr>
          <w:trHeight w:val="244"/>
        </w:trPr>
        <w:tc>
          <w:tcPr>
            <w:tcW w:w="8180" w:type="dxa"/>
            <w:vAlign w:val="bottom"/>
            <w:shd w:val="clear" w:color="auto" w:fill="EAF9E8"/>
          </w:tcPr>
          <w:p>
            <w:pPr>
              <w:ind w:left="320"/>
              <w:spacing w:after="0"/>
              <w:rPr>
                <w:sz w:val="20"/>
                <w:szCs w:val="20"/>
                <w:color w:val="auto"/>
              </w:rPr>
            </w:pPr>
            <w:r>
              <w:rPr>
                <w:rFonts w:ascii="Arial" w:cs="Arial" w:eastAsia="Arial" w:hAnsi="Arial"/>
                <w:sz w:val="18"/>
                <w:szCs w:val="18"/>
                <w:color w:val="auto"/>
              </w:rPr>
              <w:t>Subordinates and residuals</w:t>
            </w:r>
          </w:p>
        </w:tc>
        <w:tc>
          <w:tcPr>
            <w:tcW w:w="120" w:type="dxa"/>
            <w:vAlign w:val="bottom"/>
            <w:shd w:val="clear" w:color="auto" w:fill="EAF9E8"/>
          </w:tcPr>
          <w:p>
            <w:pPr>
              <w:spacing w:after="0"/>
              <w:rPr>
                <w:sz w:val="21"/>
                <w:szCs w:val="21"/>
                <w:color w:val="auto"/>
              </w:rPr>
            </w:pPr>
          </w:p>
        </w:tc>
        <w:tc>
          <w:tcPr>
            <w:tcW w:w="12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4,417</w:t>
            </w:r>
          </w:p>
        </w:tc>
        <w:tc>
          <w:tcPr>
            <w:tcW w:w="22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3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4,369</w:t>
            </w:r>
          </w:p>
        </w:tc>
        <w:tc>
          <w:tcPr>
            <w:tcW w:w="120" w:type="dxa"/>
            <w:vAlign w:val="bottom"/>
            <w:shd w:val="clear" w:color="auto" w:fill="EAF9E8"/>
          </w:tcPr>
          <w:p>
            <w:pPr>
              <w:spacing w:after="0"/>
              <w:rPr>
                <w:sz w:val="21"/>
                <w:szCs w:val="21"/>
                <w:color w:val="auto"/>
              </w:rPr>
            </w:pPr>
          </w:p>
        </w:tc>
      </w:tr>
      <w:tr>
        <w:trPr>
          <w:trHeight w:val="242"/>
        </w:trPr>
        <w:tc>
          <w:tcPr>
            <w:tcW w:w="8180" w:type="dxa"/>
            <w:vAlign w:val="bottom"/>
          </w:tcPr>
          <w:p>
            <w:pPr>
              <w:ind w:left="160"/>
              <w:spacing w:after="0"/>
              <w:rPr>
                <w:sz w:val="20"/>
                <w:szCs w:val="20"/>
                <w:color w:val="auto"/>
              </w:rPr>
            </w:pPr>
            <w:r>
              <w:rPr>
                <w:rFonts w:ascii="Arial" w:cs="Arial" w:eastAsia="Arial" w:hAnsi="Arial"/>
                <w:sz w:val="18"/>
                <w:szCs w:val="18"/>
                <w:color w:val="auto"/>
              </w:rPr>
              <w:t>Loans held for resale, at lower of cost or fair value</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36,618</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49,918</w:t>
            </w:r>
          </w:p>
        </w:tc>
        <w:tc>
          <w:tcPr>
            <w:tcW w:w="120" w:type="dxa"/>
            <w:vAlign w:val="bottom"/>
          </w:tcPr>
          <w:p>
            <w:pPr>
              <w:spacing w:after="0"/>
              <w:rPr>
                <w:sz w:val="21"/>
                <w:szCs w:val="21"/>
                <w:color w:val="auto"/>
              </w:rPr>
            </w:pPr>
          </w:p>
        </w:tc>
      </w:tr>
      <w:tr>
        <w:trPr>
          <w:trHeight w:val="244"/>
        </w:trPr>
        <w:tc>
          <w:tcPr>
            <w:tcW w:w="81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Advances</w:t>
            </w:r>
          </w:p>
        </w:tc>
        <w:tc>
          <w:tcPr>
            <w:tcW w:w="120" w:type="dxa"/>
            <w:vAlign w:val="bottom"/>
            <w:shd w:val="clear" w:color="auto" w:fill="EAF9E8"/>
          </w:tcPr>
          <w:p>
            <w:pPr>
              <w:spacing w:after="0"/>
              <w:rPr>
                <w:sz w:val="21"/>
                <w:szCs w:val="21"/>
                <w:color w:val="auto"/>
              </w:rPr>
            </w:pPr>
          </w:p>
        </w:tc>
        <w:tc>
          <w:tcPr>
            <w:tcW w:w="12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131,360</w:t>
            </w:r>
          </w:p>
        </w:tc>
        <w:tc>
          <w:tcPr>
            <w:tcW w:w="22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3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102,085</w:t>
            </w:r>
          </w:p>
        </w:tc>
        <w:tc>
          <w:tcPr>
            <w:tcW w:w="120" w:type="dxa"/>
            <w:vAlign w:val="bottom"/>
            <w:shd w:val="clear" w:color="auto" w:fill="EAF9E8"/>
          </w:tcPr>
          <w:p>
            <w:pPr>
              <w:spacing w:after="0"/>
              <w:rPr>
                <w:sz w:val="21"/>
                <w:szCs w:val="21"/>
                <w:color w:val="auto"/>
              </w:rPr>
            </w:pPr>
          </w:p>
        </w:tc>
      </w:tr>
      <w:tr>
        <w:trPr>
          <w:trHeight w:val="242"/>
        </w:trPr>
        <w:tc>
          <w:tcPr>
            <w:tcW w:w="8180" w:type="dxa"/>
            <w:vAlign w:val="bottom"/>
          </w:tcPr>
          <w:p>
            <w:pPr>
              <w:ind w:left="160"/>
              <w:spacing w:after="0"/>
              <w:rPr>
                <w:sz w:val="20"/>
                <w:szCs w:val="20"/>
                <w:color w:val="auto"/>
              </w:rPr>
            </w:pPr>
            <w:r>
              <w:rPr>
                <w:rFonts w:ascii="Arial" w:cs="Arial" w:eastAsia="Arial" w:hAnsi="Arial"/>
                <w:sz w:val="18"/>
                <w:szCs w:val="18"/>
                <w:color w:val="auto"/>
              </w:rPr>
              <w:t>Match funded advances</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879,444</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1,100,555</w:t>
            </w:r>
          </w:p>
        </w:tc>
        <w:tc>
          <w:tcPr>
            <w:tcW w:w="120" w:type="dxa"/>
            <w:vAlign w:val="bottom"/>
          </w:tcPr>
          <w:p>
            <w:pPr>
              <w:spacing w:after="0"/>
              <w:rPr>
                <w:sz w:val="21"/>
                <w:szCs w:val="21"/>
                <w:color w:val="auto"/>
              </w:rPr>
            </w:pPr>
          </w:p>
        </w:tc>
      </w:tr>
      <w:tr>
        <w:trPr>
          <w:trHeight w:val="244"/>
        </w:trPr>
        <w:tc>
          <w:tcPr>
            <w:tcW w:w="81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Mortgage servicing rights</w:t>
            </w:r>
          </w:p>
        </w:tc>
        <w:tc>
          <w:tcPr>
            <w:tcW w:w="120" w:type="dxa"/>
            <w:vAlign w:val="bottom"/>
            <w:shd w:val="clear" w:color="auto" w:fill="EAF9E8"/>
          </w:tcPr>
          <w:p>
            <w:pPr>
              <w:spacing w:after="0"/>
              <w:rPr>
                <w:sz w:val="21"/>
                <w:szCs w:val="21"/>
                <w:color w:val="auto"/>
              </w:rPr>
            </w:pPr>
          </w:p>
        </w:tc>
        <w:tc>
          <w:tcPr>
            <w:tcW w:w="12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124,989</w:t>
            </w:r>
          </w:p>
        </w:tc>
        <w:tc>
          <w:tcPr>
            <w:tcW w:w="22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3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139,500</w:t>
            </w:r>
          </w:p>
        </w:tc>
        <w:tc>
          <w:tcPr>
            <w:tcW w:w="120" w:type="dxa"/>
            <w:vAlign w:val="bottom"/>
            <w:shd w:val="clear" w:color="auto" w:fill="EAF9E8"/>
          </w:tcPr>
          <w:p>
            <w:pPr>
              <w:spacing w:after="0"/>
              <w:rPr>
                <w:sz w:val="21"/>
                <w:szCs w:val="21"/>
                <w:color w:val="auto"/>
              </w:rPr>
            </w:pPr>
          </w:p>
        </w:tc>
      </w:tr>
      <w:tr>
        <w:trPr>
          <w:trHeight w:val="242"/>
        </w:trPr>
        <w:tc>
          <w:tcPr>
            <w:tcW w:w="8180" w:type="dxa"/>
            <w:vAlign w:val="bottom"/>
          </w:tcPr>
          <w:p>
            <w:pPr>
              <w:ind w:left="160"/>
              <w:spacing w:after="0"/>
              <w:rPr>
                <w:sz w:val="20"/>
                <w:szCs w:val="20"/>
                <w:color w:val="auto"/>
              </w:rPr>
            </w:pPr>
            <w:r>
              <w:rPr>
                <w:rFonts w:ascii="Arial" w:cs="Arial" w:eastAsia="Arial" w:hAnsi="Arial"/>
                <w:sz w:val="18"/>
                <w:szCs w:val="18"/>
                <w:color w:val="auto"/>
              </w:rPr>
              <w:t>Receivables, net</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33,135</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42,798</w:t>
            </w:r>
          </w:p>
        </w:tc>
        <w:tc>
          <w:tcPr>
            <w:tcW w:w="120" w:type="dxa"/>
            <w:vAlign w:val="bottom"/>
          </w:tcPr>
          <w:p>
            <w:pPr>
              <w:spacing w:after="0"/>
              <w:rPr>
                <w:sz w:val="21"/>
                <w:szCs w:val="21"/>
                <w:color w:val="auto"/>
              </w:rPr>
            </w:pPr>
          </w:p>
        </w:tc>
      </w:tr>
      <w:tr>
        <w:trPr>
          <w:trHeight w:val="244"/>
        </w:trPr>
        <w:tc>
          <w:tcPr>
            <w:tcW w:w="81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Deferred tax assets, net</w:t>
            </w:r>
          </w:p>
        </w:tc>
        <w:tc>
          <w:tcPr>
            <w:tcW w:w="120" w:type="dxa"/>
            <w:vAlign w:val="bottom"/>
            <w:shd w:val="clear" w:color="auto" w:fill="EAF9E8"/>
          </w:tcPr>
          <w:p>
            <w:pPr>
              <w:spacing w:after="0"/>
              <w:rPr>
                <w:sz w:val="21"/>
                <w:szCs w:val="21"/>
                <w:color w:val="auto"/>
              </w:rPr>
            </w:pPr>
          </w:p>
        </w:tc>
        <w:tc>
          <w:tcPr>
            <w:tcW w:w="12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129,116</w:t>
            </w:r>
          </w:p>
        </w:tc>
        <w:tc>
          <w:tcPr>
            <w:tcW w:w="22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3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175,145</w:t>
            </w:r>
          </w:p>
        </w:tc>
        <w:tc>
          <w:tcPr>
            <w:tcW w:w="120" w:type="dxa"/>
            <w:vAlign w:val="bottom"/>
            <w:shd w:val="clear" w:color="auto" w:fill="EAF9E8"/>
          </w:tcPr>
          <w:p>
            <w:pPr>
              <w:spacing w:after="0"/>
              <w:rPr>
                <w:sz w:val="21"/>
                <w:szCs w:val="21"/>
                <w:color w:val="auto"/>
              </w:rPr>
            </w:pPr>
          </w:p>
        </w:tc>
      </w:tr>
      <w:tr>
        <w:trPr>
          <w:trHeight w:val="242"/>
        </w:trPr>
        <w:tc>
          <w:tcPr>
            <w:tcW w:w="8180" w:type="dxa"/>
            <w:vAlign w:val="bottom"/>
          </w:tcPr>
          <w:p>
            <w:pPr>
              <w:ind w:left="160"/>
              <w:spacing w:after="0"/>
              <w:rPr>
                <w:sz w:val="20"/>
                <w:szCs w:val="20"/>
                <w:color w:val="auto"/>
              </w:rPr>
            </w:pPr>
            <w:r>
              <w:rPr>
                <w:rFonts w:ascii="Arial" w:cs="Arial" w:eastAsia="Arial" w:hAnsi="Arial"/>
                <w:sz w:val="18"/>
                <w:szCs w:val="18"/>
                <w:color w:val="auto"/>
              </w:rPr>
              <w:t>Intangibles, including goodwill</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46,227</w:t>
            </w:r>
          </w:p>
        </w:tc>
        <w:tc>
          <w:tcPr>
            <w:tcW w:w="120" w:type="dxa"/>
            <w:vAlign w:val="bottom"/>
          </w:tcPr>
          <w:p>
            <w:pPr>
              <w:spacing w:after="0"/>
              <w:rPr>
                <w:sz w:val="21"/>
                <w:szCs w:val="21"/>
                <w:color w:val="auto"/>
              </w:rPr>
            </w:pPr>
          </w:p>
        </w:tc>
      </w:tr>
      <w:tr>
        <w:trPr>
          <w:trHeight w:val="244"/>
        </w:trPr>
        <w:tc>
          <w:tcPr>
            <w:tcW w:w="81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Premises and equipment, net</w:t>
            </w:r>
          </w:p>
        </w:tc>
        <w:tc>
          <w:tcPr>
            <w:tcW w:w="120" w:type="dxa"/>
            <w:vAlign w:val="bottom"/>
            <w:shd w:val="clear" w:color="auto" w:fill="EAF9E8"/>
          </w:tcPr>
          <w:p>
            <w:pPr>
              <w:spacing w:after="0"/>
              <w:rPr>
                <w:sz w:val="21"/>
                <w:szCs w:val="21"/>
                <w:color w:val="auto"/>
              </w:rPr>
            </w:pPr>
          </w:p>
        </w:tc>
        <w:tc>
          <w:tcPr>
            <w:tcW w:w="12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3,954</w:t>
            </w:r>
          </w:p>
        </w:tc>
        <w:tc>
          <w:tcPr>
            <w:tcW w:w="22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3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12,926</w:t>
            </w:r>
          </w:p>
        </w:tc>
        <w:tc>
          <w:tcPr>
            <w:tcW w:w="120" w:type="dxa"/>
            <w:vAlign w:val="bottom"/>
            <w:shd w:val="clear" w:color="auto" w:fill="EAF9E8"/>
          </w:tcPr>
          <w:p>
            <w:pPr>
              <w:spacing w:after="0"/>
              <w:rPr>
                <w:sz w:val="21"/>
                <w:szCs w:val="21"/>
                <w:color w:val="auto"/>
              </w:rPr>
            </w:pPr>
          </w:p>
        </w:tc>
      </w:tr>
      <w:tr>
        <w:trPr>
          <w:trHeight w:val="242"/>
        </w:trPr>
        <w:tc>
          <w:tcPr>
            <w:tcW w:w="8180" w:type="dxa"/>
            <w:vAlign w:val="bottom"/>
          </w:tcPr>
          <w:p>
            <w:pPr>
              <w:ind w:left="160"/>
              <w:spacing w:after="0"/>
              <w:rPr>
                <w:sz w:val="20"/>
                <w:szCs w:val="20"/>
                <w:color w:val="auto"/>
              </w:rPr>
            </w:pPr>
            <w:r>
              <w:rPr>
                <w:rFonts w:ascii="Arial" w:cs="Arial" w:eastAsia="Arial" w:hAnsi="Arial"/>
                <w:sz w:val="18"/>
                <w:szCs w:val="18"/>
                <w:color w:val="auto"/>
              </w:rPr>
              <w:t>Investments in unconsolidated entities</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18,764</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25,663</w:t>
            </w:r>
          </w:p>
        </w:tc>
        <w:tc>
          <w:tcPr>
            <w:tcW w:w="120" w:type="dxa"/>
            <w:vAlign w:val="bottom"/>
          </w:tcPr>
          <w:p>
            <w:pPr>
              <w:spacing w:after="0"/>
              <w:rPr>
                <w:sz w:val="21"/>
                <w:szCs w:val="21"/>
                <w:color w:val="auto"/>
              </w:rPr>
            </w:pPr>
          </w:p>
        </w:tc>
      </w:tr>
      <w:tr>
        <w:trPr>
          <w:trHeight w:val="244"/>
        </w:trPr>
        <w:tc>
          <w:tcPr>
            <w:tcW w:w="81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Other assets</w:t>
            </w:r>
          </w:p>
        </w:tc>
        <w:tc>
          <w:tcPr>
            <w:tcW w:w="120" w:type="dxa"/>
            <w:vAlign w:val="bottom"/>
            <w:shd w:val="clear" w:color="auto" w:fill="EAF9E8"/>
          </w:tcPr>
          <w:p>
            <w:pPr>
              <w:spacing w:after="0"/>
              <w:rPr>
                <w:sz w:val="21"/>
                <w:szCs w:val="21"/>
                <w:color w:val="auto"/>
              </w:rPr>
            </w:pPr>
          </w:p>
        </w:tc>
        <w:tc>
          <w:tcPr>
            <w:tcW w:w="12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67,303</w:t>
            </w:r>
          </w:p>
        </w:tc>
        <w:tc>
          <w:tcPr>
            <w:tcW w:w="22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3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97,588</w:t>
            </w:r>
          </w:p>
        </w:tc>
        <w:tc>
          <w:tcPr>
            <w:tcW w:w="120" w:type="dxa"/>
            <w:vAlign w:val="bottom"/>
            <w:shd w:val="clear" w:color="auto" w:fill="EAF9E8"/>
          </w:tcPr>
          <w:p>
            <w:pPr>
              <w:spacing w:after="0"/>
              <w:rPr>
                <w:sz w:val="21"/>
                <w:szCs w:val="21"/>
                <w:color w:val="auto"/>
              </w:rPr>
            </w:pPr>
          </w:p>
        </w:tc>
      </w:tr>
      <w:tr>
        <w:trPr>
          <w:trHeight w:val="20"/>
        </w:trPr>
        <w:tc>
          <w:tcPr>
            <w:tcW w:w="8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7"/>
        </w:trPr>
        <w:tc>
          <w:tcPr>
            <w:tcW w:w="8180" w:type="dxa"/>
            <w:vAlign w:val="bottom"/>
          </w:tcPr>
          <w:p>
            <w:pPr>
              <w:ind w:left="320"/>
              <w:spacing w:after="0"/>
              <w:rPr>
                <w:sz w:val="20"/>
                <w:szCs w:val="20"/>
                <w:color w:val="auto"/>
              </w:rPr>
            </w:pPr>
            <w:r>
              <w:rPr>
                <w:rFonts w:ascii="Arial" w:cs="Arial" w:eastAsia="Arial" w:hAnsi="Arial"/>
                <w:sz w:val="18"/>
                <w:szCs w:val="18"/>
                <w:color w:val="auto"/>
              </w:rPr>
              <w:t>Total assets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1,875,053</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2,237,100</w:t>
            </w:r>
          </w:p>
        </w:tc>
        <w:tc>
          <w:tcPr>
            <w:tcW w:w="120" w:type="dxa"/>
            <w:vAlign w:val="bottom"/>
          </w:tcPr>
          <w:p>
            <w:pPr>
              <w:spacing w:after="0"/>
              <w:rPr>
                <w:sz w:val="20"/>
                <w:szCs w:val="20"/>
                <w:color w:val="auto"/>
              </w:rPr>
            </w:pPr>
          </w:p>
        </w:tc>
      </w:tr>
      <w:tr>
        <w:trPr>
          <w:trHeight w:val="20"/>
        </w:trPr>
        <w:tc>
          <w:tcPr>
            <w:tcW w:w="8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0"/>
        </w:trPr>
        <w:tc>
          <w:tcPr>
            <w:tcW w:w="8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43"/>
        </w:trPr>
        <w:tc>
          <w:tcPr>
            <w:tcW w:w="818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Liabilities and Equity</w:t>
            </w:r>
          </w:p>
        </w:tc>
        <w:tc>
          <w:tcPr>
            <w:tcW w:w="120" w:type="dxa"/>
            <w:vAlign w:val="bottom"/>
            <w:shd w:val="clear" w:color="auto" w:fill="EAF9E8"/>
          </w:tcPr>
          <w:p>
            <w:pPr>
              <w:spacing w:after="0"/>
              <w:rPr>
                <w:sz w:val="21"/>
                <w:szCs w:val="21"/>
                <w:color w:val="auto"/>
              </w:rPr>
            </w:pPr>
          </w:p>
        </w:tc>
        <w:tc>
          <w:tcPr>
            <w:tcW w:w="1260" w:type="dxa"/>
            <w:vAlign w:val="bottom"/>
            <w:shd w:val="clear" w:color="auto" w:fill="EAF9E8"/>
          </w:tcPr>
          <w:p>
            <w:pPr>
              <w:spacing w:after="0"/>
              <w:rPr>
                <w:sz w:val="21"/>
                <w:szCs w:val="21"/>
                <w:color w:val="auto"/>
              </w:rPr>
            </w:pPr>
          </w:p>
        </w:tc>
        <w:tc>
          <w:tcPr>
            <w:tcW w:w="22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36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r>
      <w:tr>
        <w:trPr>
          <w:trHeight w:val="242"/>
        </w:trPr>
        <w:tc>
          <w:tcPr>
            <w:tcW w:w="8180" w:type="dxa"/>
            <w:vAlign w:val="bottom"/>
          </w:tcPr>
          <w:p>
            <w:pPr>
              <w:ind w:left="160"/>
              <w:spacing w:after="0"/>
              <w:rPr>
                <w:sz w:val="20"/>
                <w:szCs w:val="20"/>
                <w:color w:val="auto"/>
              </w:rPr>
            </w:pPr>
            <w:r>
              <w:rPr>
                <w:rFonts w:ascii="Arial" w:cs="Arial" w:eastAsia="Arial" w:hAnsi="Arial"/>
                <w:sz w:val="18"/>
                <w:szCs w:val="18"/>
                <w:b w:val="1"/>
                <w:bCs w:val="1"/>
                <w:color w:val="auto"/>
              </w:rPr>
              <w:t>Liabilities</w:t>
            </w: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4"/>
        </w:trPr>
        <w:tc>
          <w:tcPr>
            <w:tcW w:w="8180" w:type="dxa"/>
            <w:vAlign w:val="bottom"/>
            <w:shd w:val="clear" w:color="auto" w:fill="EAF9E8"/>
          </w:tcPr>
          <w:p>
            <w:pPr>
              <w:ind w:left="320"/>
              <w:spacing w:after="0"/>
              <w:rPr>
                <w:sz w:val="20"/>
                <w:szCs w:val="20"/>
                <w:color w:val="auto"/>
              </w:rPr>
            </w:pPr>
            <w:r>
              <w:rPr>
                <w:rFonts w:ascii="Arial" w:cs="Arial" w:eastAsia="Arial" w:hAnsi="Arial"/>
                <w:sz w:val="18"/>
                <w:szCs w:val="18"/>
                <w:color w:val="auto"/>
              </w:rPr>
              <w:t>Match funded liabilities</w:t>
            </w:r>
          </w:p>
        </w:tc>
        <w:tc>
          <w:tcPr>
            <w:tcW w:w="12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529,779</w:t>
            </w:r>
          </w:p>
        </w:tc>
        <w:tc>
          <w:tcPr>
            <w:tcW w:w="38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13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961,939</w:t>
            </w:r>
          </w:p>
        </w:tc>
        <w:tc>
          <w:tcPr>
            <w:tcW w:w="120" w:type="dxa"/>
            <w:vAlign w:val="bottom"/>
            <w:shd w:val="clear" w:color="auto" w:fill="EAF9E8"/>
          </w:tcPr>
          <w:p>
            <w:pPr>
              <w:spacing w:after="0"/>
              <w:rPr>
                <w:sz w:val="21"/>
                <w:szCs w:val="21"/>
                <w:color w:val="auto"/>
              </w:rPr>
            </w:pPr>
          </w:p>
        </w:tc>
      </w:tr>
      <w:tr>
        <w:trPr>
          <w:trHeight w:val="242"/>
        </w:trPr>
        <w:tc>
          <w:tcPr>
            <w:tcW w:w="8180" w:type="dxa"/>
            <w:vAlign w:val="bottom"/>
          </w:tcPr>
          <w:p>
            <w:pPr>
              <w:ind w:left="320"/>
              <w:spacing w:after="0"/>
              <w:rPr>
                <w:sz w:val="20"/>
                <w:szCs w:val="20"/>
                <w:color w:val="auto"/>
              </w:rPr>
            </w:pPr>
            <w:r>
              <w:rPr>
                <w:rFonts w:ascii="Arial" w:cs="Arial" w:eastAsia="Arial" w:hAnsi="Arial"/>
                <w:sz w:val="18"/>
                <w:szCs w:val="18"/>
                <w:color w:val="auto"/>
              </w:rPr>
              <w:t>Lines of credit and other secured borrowings</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54,665</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116,870</w:t>
            </w:r>
          </w:p>
        </w:tc>
        <w:tc>
          <w:tcPr>
            <w:tcW w:w="120" w:type="dxa"/>
            <w:vAlign w:val="bottom"/>
          </w:tcPr>
          <w:p>
            <w:pPr>
              <w:spacing w:after="0"/>
              <w:rPr>
                <w:sz w:val="21"/>
                <w:szCs w:val="21"/>
                <w:color w:val="auto"/>
              </w:rPr>
            </w:pPr>
          </w:p>
        </w:tc>
      </w:tr>
      <w:tr>
        <w:trPr>
          <w:trHeight w:val="244"/>
        </w:trPr>
        <w:tc>
          <w:tcPr>
            <w:tcW w:w="8180" w:type="dxa"/>
            <w:vAlign w:val="bottom"/>
            <w:shd w:val="clear" w:color="auto" w:fill="EAF9E8"/>
          </w:tcPr>
          <w:p>
            <w:pPr>
              <w:ind w:left="320"/>
              <w:spacing w:after="0"/>
              <w:rPr>
                <w:sz w:val="20"/>
                <w:szCs w:val="20"/>
                <w:color w:val="auto"/>
              </w:rPr>
            </w:pPr>
            <w:r>
              <w:rPr>
                <w:rFonts w:ascii="Arial" w:cs="Arial" w:eastAsia="Arial" w:hAnsi="Arial"/>
                <w:sz w:val="18"/>
                <w:szCs w:val="18"/>
                <w:color w:val="auto"/>
              </w:rPr>
              <w:t>Investment line</w:t>
            </w:r>
          </w:p>
        </w:tc>
        <w:tc>
          <w:tcPr>
            <w:tcW w:w="120" w:type="dxa"/>
            <w:vAlign w:val="bottom"/>
            <w:shd w:val="clear" w:color="auto" w:fill="EAF9E8"/>
          </w:tcPr>
          <w:p>
            <w:pPr>
              <w:spacing w:after="0"/>
              <w:rPr>
                <w:sz w:val="21"/>
                <w:szCs w:val="21"/>
                <w:color w:val="auto"/>
              </w:rPr>
            </w:pPr>
          </w:p>
        </w:tc>
        <w:tc>
          <w:tcPr>
            <w:tcW w:w="12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167,168</w:t>
            </w:r>
          </w:p>
        </w:tc>
        <w:tc>
          <w:tcPr>
            <w:tcW w:w="22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3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200,719</w:t>
            </w:r>
          </w:p>
        </w:tc>
        <w:tc>
          <w:tcPr>
            <w:tcW w:w="120" w:type="dxa"/>
            <w:vAlign w:val="bottom"/>
            <w:shd w:val="clear" w:color="auto" w:fill="EAF9E8"/>
          </w:tcPr>
          <w:p>
            <w:pPr>
              <w:spacing w:after="0"/>
              <w:rPr>
                <w:sz w:val="21"/>
                <w:szCs w:val="21"/>
                <w:color w:val="auto"/>
              </w:rPr>
            </w:pPr>
          </w:p>
        </w:tc>
      </w:tr>
      <w:tr>
        <w:trPr>
          <w:trHeight w:val="242"/>
        </w:trPr>
        <w:tc>
          <w:tcPr>
            <w:tcW w:w="8180" w:type="dxa"/>
            <w:vAlign w:val="bottom"/>
          </w:tcPr>
          <w:p>
            <w:pPr>
              <w:ind w:left="320"/>
              <w:spacing w:after="0"/>
              <w:rPr>
                <w:sz w:val="20"/>
                <w:szCs w:val="20"/>
                <w:color w:val="auto"/>
              </w:rPr>
            </w:pPr>
            <w:r>
              <w:rPr>
                <w:rFonts w:ascii="Arial" w:cs="Arial" w:eastAsia="Arial" w:hAnsi="Arial"/>
                <w:sz w:val="18"/>
                <w:szCs w:val="18"/>
                <w:color w:val="auto"/>
              </w:rPr>
              <w:t>Servicer liabilities</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59,457</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135,751</w:t>
            </w:r>
          </w:p>
        </w:tc>
        <w:tc>
          <w:tcPr>
            <w:tcW w:w="120" w:type="dxa"/>
            <w:vAlign w:val="bottom"/>
          </w:tcPr>
          <w:p>
            <w:pPr>
              <w:spacing w:after="0"/>
              <w:rPr>
                <w:sz w:val="21"/>
                <w:szCs w:val="21"/>
                <w:color w:val="auto"/>
              </w:rPr>
            </w:pPr>
          </w:p>
        </w:tc>
      </w:tr>
      <w:tr>
        <w:trPr>
          <w:trHeight w:val="244"/>
        </w:trPr>
        <w:tc>
          <w:tcPr>
            <w:tcW w:w="8180" w:type="dxa"/>
            <w:vAlign w:val="bottom"/>
            <w:shd w:val="clear" w:color="auto" w:fill="EAF9E8"/>
          </w:tcPr>
          <w:p>
            <w:pPr>
              <w:ind w:left="320"/>
              <w:spacing w:after="0"/>
              <w:rPr>
                <w:sz w:val="20"/>
                <w:szCs w:val="20"/>
                <w:color w:val="auto"/>
              </w:rPr>
            </w:pPr>
            <w:r>
              <w:rPr>
                <w:rFonts w:ascii="Arial" w:cs="Arial" w:eastAsia="Arial" w:hAnsi="Arial"/>
                <w:sz w:val="18"/>
                <w:szCs w:val="18"/>
                <w:color w:val="auto"/>
              </w:rPr>
              <w:t>Debt securities</w:t>
            </w:r>
          </w:p>
        </w:tc>
        <w:tc>
          <w:tcPr>
            <w:tcW w:w="120" w:type="dxa"/>
            <w:vAlign w:val="bottom"/>
            <w:shd w:val="clear" w:color="auto" w:fill="EAF9E8"/>
          </w:tcPr>
          <w:p>
            <w:pPr>
              <w:spacing w:after="0"/>
              <w:rPr>
                <w:sz w:val="21"/>
                <w:szCs w:val="21"/>
                <w:color w:val="auto"/>
              </w:rPr>
            </w:pPr>
          </w:p>
        </w:tc>
        <w:tc>
          <w:tcPr>
            <w:tcW w:w="12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109,814</w:t>
            </w:r>
          </w:p>
        </w:tc>
        <w:tc>
          <w:tcPr>
            <w:tcW w:w="22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3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133,367</w:t>
            </w:r>
          </w:p>
        </w:tc>
        <w:tc>
          <w:tcPr>
            <w:tcW w:w="120" w:type="dxa"/>
            <w:vAlign w:val="bottom"/>
            <w:shd w:val="clear" w:color="auto" w:fill="EAF9E8"/>
          </w:tcPr>
          <w:p>
            <w:pPr>
              <w:spacing w:after="0"/>
              <w:rPr>
                <w:sz w:val="21"/>
                <w:szCs w:val="21"/>
                <w:color w:val="auto"/>
              </w:rPr>
            </w:pPr>
          </w:p>
        </w:tc>
      </w:tr>
      <w:tr>
        <w:trPr>
          <w:trHeight w:val="242"/>
        </w:trPr>
        <w:tc>
          <w:tcPr>
            <w:tcW w:w="8180" w:type="dxa"/>
            <w:vAlign w:val="bottom"/>
          </w:tcPr>
          <w:p>
            <w:pPr>
              <w:ind w:left="320"/>
              <w:spacing w:after="0"/>
              <w:rPr>
                <w:sz w:val="20"/>
                <w:szCs w:val="20"/>
                <w:color w:val="auto"/>
              </w:rPr>
            </w:pPr>
            <w:r>
              <w:rPr>
                <w:rFonts w:ascii="Arial" w:cs="Arial" w:eastAsia="Arial" w:hAnsi="Arial"/>
                <w:sz w:val="18"/>
                <w:szCs w:val="18"/>
                <w:color w:val="auto"/>
              </w:rPr>
              <w:t>Income taxes payable, net</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18,940</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r>
      <w:tr>
        <w:trPr>
          <w:trHeight w:val="244"/>
        </w:trPr>
        <w:tc>
          <w:tcPr>
            <w:tcW w:w="8180" w:type="dxa"/>
            <w:vAlign w:val="bottom"/>
            <w:shd w:val="clear" w:color="auto" w:fill="EAF9E8"/>
          </w:tcPr>
          <w:p>
            <w:pPr>
              <w:ind w:left="320"/>
              <w:spacing w:after="0"/>
              <w:rPr>
                <w:sz w:val="20"/>
                <w:szCs w:val="20"/>
                <w:color w:val="auto"/>
              </w:rPr>
            </w:pPr>
            <w:r>
              <w:rPr>
                <w:rFonts w:ascii="Arial" w:cs="Arial" w:eastAsia="Arial" w:hAnsi="Arial"/>
                <w:sz w:val="18"/>
                <w:szCs w:val="18"/>
                <w:color w:val="auto"/>
              </w:rPr>
              <w:t>Other liabilities</w:t>
            </w:r>
          </w:p>
        </w:tc>
        <w:tc>
          <w:tcPr>
            <w:tcW w:w="120" w:type="dxa"/>
            <w:vAlign w:val="bottom"/>
            <w:shd w:val="clear" w:color="auto" w:fill="EAF9E8"/>
          </w:tcPr>
          <w:p>
            <w:pPr>
              <w:spacing w:after="0"/>
              <w:rPr>
                <w:sz w:val="21"/>
                <w:szCs w:val="21"/>
                <w:color w:val="auto"/>
              </w:rPr>
            </w:pPr>
          </w:p>
        </w:tc>
        <w:tc>
          <w:tcPr>
            <w:tcW w:w="12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77,770</w:t>
            </w:r>
          </w:p>
        </w:tc>
        <w:tc>
          <w:tcPr>
            <w:tcW w:w="22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3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78,813</w:t>
            </w:r>
          </w:p>
        </w:tc>
        <w:tc>
          <w:tcPr>
            <w:tcW w:w="120" w:type="dxa"/>
            <w:vAlign w:val="bottom"/>
            <w:shd w:val="clear" w:color="auto" w:fill="EAF9E8"/>
          </w:tcPr>
          <w:p>
            <w:pPr>
              <w:spacing w:after="0"/>
              <w:rPr>
                <w:sz w:val="21"/>
                <w:szCs w:val="21"/>
                <w:color w:val="auto"/>
              </w:rPr>
            </w:pPr>
          </w:p>
        </w:tc>
      </w:tr>
      <w:tr>
        <w:trPr>
          <w:trHeight w:val="20"/>
        </w:trPr>
        <w:tc>
          <w:tcPr>
            <w:tcW w:w="8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7"/>
        </w:trPr>
        <w:tc>
          <w:tcPr>
            <w:tcW w:w="8180" w:type="dxa"/>
            <w:vAlign w:val="bottom"/>
          </w:tcPr>
          <w:p>
            <w:pPr>
              <w:ind w:left="480"/>
              <w:spacing w:after="0"/>
              <w:rPr>
                <w:sz w:val="20"/>
                <w:szCs w:val="20"/>
                <w:color w:val="auto"/>
              </w:rPr>
            </w:pPr>
            <w:r>
              <w:rPr>
                <w:rFonts w:ascii="Arial" w:cs="Arial" w:eastAsia="Arial" w:hAnsi="Arial"/>
                <w:sz w:val="18"/>
                <w:szCs w:val="18"/>
                <w:color w:val="auto"/>
              </w:rPr>
              <w:t>Total liabilities</w:t>
            </w: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1,017,593</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1,627,459</w:t>
            </w:r>
          </w:p>
        </w:tc>
        <w:tc>
          <w:tcPr>
            <w:tcW w:w="120" w:type="dxa"/>
            <w:vAlign w:val="bottom"/>
          </w:tcPr>
          <w:p>
            <w:pPr>
              <w:spacing w:after="0"/>
              <w:rPr>
                <w:sz w:val="20"/>
                <w:szCs w:val="20"/>
                <w:color w:val="auto"/>
              </w:rPr>
            </w:pPr>
          </w:p>
        </w:tc>
      </w:tr>
      <w:tr>
        <w:trPr>
          <w:trHeight w:val="243"/>
        </w:trPr>
        <w:tc>
          <w:tcPr>
            <w:tcW w:w="8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3"/>
        </w:trPr>
        <w:tc>
          <w:tcPr>
            <w:tcW w:w="818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Commitments and Contingencies (Note 24)</w:t>
            </w:r>
          </w:p>
        </w:tc>
        <w:tc>
          <w:tcPr>
            <w:tcW w:w="120" w:type="dxa"/>
            <w:vAlign w:val="bottom"/>
            <w:shd w:val="clear" w:color="auto" w:fill="EAF9E8"/>
          </w:tcPr>
          <w:p>
            <w:pPr>
              <w:spacing w:after="0"/>
              <w:rPr>
                <w:sz w:val="21"/>
                <w:szCs w:val="21"/>
                <w:color w:val="auto"/>
              </w:rPr>
            </w:pPr>
          </w:p>
        </w:tc>
        <w:tc>
          <w:tcPr>
            <w:tcW w:w="1260" w:type="dxa"/>
            <w:vAlign w:val="bottom"/>
            <w:shd w:val="clear" w:color="auto" w:fill="EAF9E8"/>
          </w:tcPr>
          <w:p>
            <w:pPr>
              <w:spacing w:after="0"/>
              <w:rPr>
                <w:sz w:val="21"/>
                <w:szCs w:val="21"/>
                <w:color w:val="auto"/>
              </w:rPr>
            </w:pPr>
          </w:p>
        </w:tc>
        <w:tc>
          <w:tcPr>
            <w:tcW w:w="22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36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r>
      <w:tr>
        <w:trPr>
          <w:trHeight w:val="485"/>
        </w:trPr>
        <w:tc>
          <w:tcPr>
            <w:tcW w:w="8180" w:type="dxa"/>
            <w:vAlign w:val="bottom"/>
          </w:tcPr>
          <w:p>
            <w:pPr>
              <w:spacing w:after="0"/>
              <w:rPr>
                <w:sz w:val="20"/>
                <w:szCs w:val="20"/>
                <w:color w:val="auto"/>
              </w:rPr>
            </w:pPr>
            <w:r>
              <w:rPr>
                <w:rFonts w:ascii="Arial" w:cs="Arial" w:eastAsia="Arial" w:hAnsi="Arial"/>
                <w:sz w:val="18"/>
                <w:szCs w:val="18"/>
                <w:b w:val="1"/>
                <w:bCs w:val="1"/>
                <w:color w:val="auto"/>
              </w:rPr>
              <w:t>Equity</w:t>
            </w: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44"/>
        </w:trPr>
        <w:tc>
          <w:tcPr>
            <w:tcW w:w="8180" w:type="dxa"/>
            <w:vAlign w:val="bottom"/>
            <w:shd w:val="clear" w:color="auto" w:fill="EAF9E8"/>
          </w:tcPr>
          <w:p>
            <w:pPr>
              <w:ind w:left="320"/>
              <w:spacing w:after="0"/>
              <w:rPr>
                <w:sz w:val="20"/>
                <w:szCs w:val="20"/>
                <w:color w:val="auto"/>
              </w:rPr>
            </w:pPr>
            <w:r>
              <w:rPr>
                <w:rFonts w:ascii="Arial" w:cs="Arial" w:eastAsia="Arial" w:hAnsi="Arial"/>
                <w:sz w:val="18"/>
                <w:szCs w:val="18"/>
                <w:color w:val="auto"/>
              </w:rPr>
              <w:t>Ocwen Financial Corporation stockholders’ equity</w:t>
            </w:r>
          </w:p>
        </w:tc>
        <w:tc>
          <w:tcPr>
            <w:tcW w:w="120" w:type="dxa"/>
            <w:vAlign w:val="bottom"/>
            <w:shd w:val="clear" w:color="auto" w:fill="EAF9E8"/>
          </w:tcPr>
          <w:p>
            <w:pPr>
              <w:spacing w:after="0"/>
              <w:rPr>
                <w:sz w:val="21"/>
                <w:szCs w:val="21"/>
                <w:color w:val="auto"/>
              </w:rPr>
            </w:pPr>
          </w:p>
        </w:tc>
        <w:tc>
          <w:tcPr>
            <w:tcW w:w="1260" w:type="dxa"/>
            <w:vAlign w:val="bottom"/>
            <w:shd w:val="clear" w:color="auto" w:fill="EAF9E8"/>
          </w:tcPr>
          <w:p>
            <w:pPr>
              <w:spacing w:after="0"/>
              <w:rPr>
                <w:sz w:val="21"/>
                <w:szCs w:val="21"/>
                <w:color w:val="auto"/>
              </w:rPr>
            </w:pPr>
          </w:p>
        </w:tc>
        <w:tc>
          <w:tcPr>
            <w:tcW w:w="22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36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r>
      <w:tr>
        <w:trPr>
          <w:trHeight w:val="208"/>
        </w:trPr>
        <w:tc>
          <w:tcPr>
            <w:tcW w:w="8180" w:type="dxa"/>
            <w:vAlign w:val="bottom"/>
          </w:tcPr>
          <w:p>
            <w:pPr>
              <w:ind w:left="480"/>
              <w:spacing w:after="0"/>
              <w:rPr>
                <w:sz w:val="20"/>
                <w:szCs w:val="20"/>
                <w:color w:val="auto"/>
              </w:rPr>
            </w:pPr>
            <w:r>
              <w:rPr>
                <w:rFonts w:ascii="Arial" w:cs="Arial" w:eastAsia="Arial" w:hAnsi="Arial"/>
                <w:sz w:val="18"/>
                <w:szCs w:val="18"/>
                <w:color w:val="auto"/>
                <w:w w:val="90"/>
              </w:rPr>
              <w:t>Common stock, $.01 par value; 200,000,000 shares authorized; 99,835,097 and 62,716,530 shares issued</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3"/>
        </w:trPr>
        <w:tc>
          <w:tcPr>
            <w:tcW w:w="8180" w:type="dxa"/>
            <w:vAlign w:val="bottom"/>
          </w:tcPr>
          <w:p>
            <w:pPr>
              <w:ind w:left="640"/>
              <w:spacing w:after="0"/>
              <w:rPr>
                <w:sz w:val="20"/>
                <w:szCs w:val="20"/>
                <w:color w:val="auto"/>
              </w:rPr>
            </w:pPr>
            <w:r>
              <w:rPr>
                <w:rFonts w:ascii="Arial" w:cs="Arial" w:eastAsia="Arial" w:hAnsi="Arial"/>
                <w:sz w:val="18"/>
                <w:szCs w:val="18"/>
                <w:color w:val="auto"/>
              </w:rPr>
              <w:t>and outstanding at September 30, 2009 and December 31, 2008, respectively</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998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627</w:t>
            </w:r>
          </w:p>
        </w:tc>
        <w:tc>
          <w:tcPr>
            <w:tcW w:w="120" w:type="dxa"/>
            <w:vAlign w:val="bottom"/>
          </w:tcPr>
          <w:p>
            <w:pPr>
              <w:spacing w:after="0"/>
              <w:rPr>
                <w:sz w:val="19"/>
                <w:szCs w:val="19"/>
                <w:color w:val="auto"/>
              </w:rPr>
            </w:pPr>
          </w:p>
        </w:tc>
      </w:tr>
      <w:tr>
        <w:trPr>
          <w:trHeight w:val="244"/>
        </w:trPr>
        <w:tc>
          <w:tcPr>
            <w:tcW w:w="8180" w:type="dxa"/>
            <w:vAlign w:val="bottom"/>
            <w:shd w:val="clear" w:color="auto" w:fill="EAF9E8"/>
          </w:tcPr>
          <w:p>
            <w:pPr>
              <w:ind w:left="480"/>
              <w:spacing w:after="0"/>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EAF9E8"/>
          </w:tcPr>
          <w:p>
            <w:pPr>
              <w:spacing w:after="0"/>
              <w:rPr>
                <w:sz w:val="21"/>
                <w:szCs w:val="21"/>
                <w:color w:val="auto"/>
              </w:rPr>
            </w:pPr>
          </w:p>
        </w:tc>
        <w:tc>
          <w:tcPr>
            <w:tcW w:w="12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458,822</w:t>
            </w:r>
          </w:p>
        </w:tc>
        <w:tc>
          <w:tcPr>
            <w:tcW w:w="22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3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201,831</w:t>
            </w:r>
          </w:p>
        </w:tc>
        <w:tc>
          <w:tcPr>
            <w:tcW w:w="120" w:type="dxa"/>
            <w:vAlign w:val="bottom"/>
            <w:shd w:val="clear" w:color="auto" w:fill="EAF9E8"/>
          </w:tcPr>
          <w:p>
            <w:pPr>
              <w:spacing w:after="0"/>
              <w:rPr>
                <w:sz w:val="21"/>
                <w:szCs w:val="21"/>
                <w:color w:val="auto"/>
              </w:rPr>
            </w:pPr>
          </w:p>
        </w:tc>
      </w:tr>
      <w:tr>
        <w:trPr>
          <w:trHeight w:val="242"/>
        </w:trPr>
        <w:tc>
          <w:tcPr>
            <w:tcW w:w="8180" w:type="dxa"/>
            <w:vAlign w:val="bottom"/>
          </w:tcPr>
          <w:p>
            <w:pPr>
              <w:ind w:left="480"/>
              <w:spacing w:after="0"/>
              <w:rPr>
                <w:sz w:val="20"/>
                <w:szCs w:val="20"/>
                <w:color w:val="auto"/>
              </w:rPr>
            </w:pPr>
            <w:r>
              <w:rPr>
                <w:rFonts w:ascii="Arial" w:cs="Arial" w:eastAsia="Arial" w:hAnsi="Arial"/>
                <w:sz w:val="18"/>
                <w:szCs w:val="18"/>
                <w:color w:val="auto"/>
              </w:rPr>
              <w:t>Retained earnings</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395,809</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404,901</w:t>
            </w:r>
          </w:p>
        </w:tc>
        <w:tc>
          <w:tcPr>
            <w:tcW w:w="120" w:type="dxa"/>
            <w:vAlign w:val="bottom"/>
          </w:tcPr>
          <w:p>
            <w:pPr>
              <w:spacing w:after="0"/>
              <w:rPr>
                <w:sz w:val="21"/>
                <w:szCs w:val="21"/>
                <w:color w:val="auto"/>
              </w:rPr>
            </w:pPr>
          </w:p>
        </w:tc>
      </w:tr>
      <w:tr>
        <w:trPr>
          <w:trHeight w:val="244"/>
        </w:trPr>
        <w:tc>
          <w:tcPr>
            <w:tcW w:w="8180" w:type="dxa"/>
            <w:vAlign w:val="bottom"/>
            <w:shd w:val="clear" w:color="auto" w:fill="EAF9E8"/>
          </w:tcPr>
          <w:p>
            <w:pPr>
              <w:ind w:left="480"/>
              <w:spacing w:after="0"/>
              <w:rPr>
                <w:sz w:val="20"/>
                <w:szCs w:val="20"/>
                <w:color w:val="auto"/>
              </w:rPr>
            </w:pPr>
            <w:r>
              <w:rPr>
                <w:rFonts w:ascii="Arial" w:cs="Arial" w:eastAsia="Arial" w:hAnsi="Arial"/>
                <w:sz w:val="18"/>
                <w:szCs w:val="18"/>
                <w:color w:val="auto"/>
              </w:rPr>
              <w:t>Accumulated other comprehensive income, net of income taxes</w:t>
            </w:r>
          </w:p>
        </w:tc>
        <w:tc>
          <w:tcPr>
            <w:tcW w:w="120" w:type="dxa"/>
            <w:vAlign w:val="bottom"/>
            <w:shd w:val="clear" w:color="auto" w:fill="EAF9E8"/>
          </w:tcPr>
          <w:p>
            <w:pPr>
              <w:spacing w:after="0"/>
              <w:rPr>
                <w:sz w:val="21"/>
                <w:szCs w:val="21"/>
                <w:color w:val="auto"/>
              </w:rPr>
            </w:pPr>
          </w:p>
        </w:tc>
        <w:tc>
          <w:tcPr>
            <w:tcW w:w="12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1,569</w:t>
            </w:r>
          </w:p>
        </w:tc>
        <w:tc>
          <w:tcPr>
            <w:tcW w:w="22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3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1,876</w:t>
            </w:r>
          </w:p>
        </w:tc>
        <w:tc>
          <w:tcPr>
            <w:tcW w:w="120" w:type="dxa"/>
            <w:vAlign w:val="bottom"/>
            <w:shd w:val="clear" w:color="auto" w:fill="EAF9E8"/>
          </w:tcPr>
          <w:p>
            <w:pPr>
              <w:spacing w:after="0"/>
              <w:rPr>
                <w:sz w:val="21"/>
                <w:szCs w:val="21"/>
                <w:color w:val="auto"/>
              </w:rPr>
            </w:pPr>
          </w:p>
        </w:tc>
      </w:tr>
      <w:tr>
        <w:trPr>
          <w:trHeight w:val="20"/>
        </w:trPr>
        <w:tc>
          <w:tcPr>
            <w:tcW w:w="8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9"/>
        </w:trPr>
        <w:tc>
          <w:tcPr>
            <w:tcW w:w="8180" w:type="dxa"/>
            <w:vAlign w:val="bottom"/>
          </w:tcPr>
          <w:p>
            <w:pPr>
              <w:ind w:left="640"/>
              <w:spacing w:after="0"/>
              <w:rPr>
                <w:sz w:val="20"/>
                <w:szCs w:val="20"/>
                <w:color w:val="auto"/>
              </w:rPr>
            </w:pPr>
            <w:r>
              <w:rPr>
                <w:rFonts w:ascii="Arial" w:cs="Arial" w:eastAsia="Arial" w:hAnsi="Arial"/>
                <w:sz w:val="18"/>
                <w:szCs w:val="18"/>
                <w:color w:val="auto"/>
              </w:rPr>
              <w:t>Total Ocwen Financial Corporation stockholders’ equity</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857,198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609,235</w:t>
            </w:r>
          </w:p>
        </w:tc>
        <w:tc>
          <w:tcPr>
            <w:tcW w:w="120" w:type="dxa"/>
            <w:vAlign w:val="bottom"/>
          </w:tcPr>
          <w:p>
            <w:pPr>
              <w:spacing w:after="0"/>
              <w:rPr>
                <w:sz w:val="19"/>
                <w:szCs w:val="19"/>
                <w:color w:val="auto"/>
              </w:rPr>
            </w:pPr>
          </w:p>
        </w:tc>
      </w:tr>
      <w:tr>
        <w:trPr>
          <w:trHeight w:val="244"/>
        </w:trPr>
        <w:tc>
          <w:tcPr>
            <w:tcW w:w="8180" w:type="dxa"/>
            <w:vAlign w:val="bottom"/>
            <w:shd w:val="clear" w:color="auto" w:fill="EAF9E8"/>
          </w:tcPr>
          <w:p>
            <w:pPr>
              <w:ind w:left="320"/>
              <w:spacing w:after="0"/>
              <w:rPr>
                <w:sz w:val="20"/>
                <w:szCs w:val="20"/>
                <w:color w:val="auto"/>
              </w:rPr>
            </w:pPr>
            <w:r>
              <w:rPr>
                <w:rFonts w:ascii="Arial" w:cs="Arial" w:eastAsia="Arial" w:hAnsi="Arial"/>
                <w:sz w:val="18"/>
                <w:szCs w:val="18"/>
                <w:color w:val="auto"/>
              </w:rPr>
              <w:t>Non-controlling interest in subsidiaries</w:t>
            </w:r>
          </w:p>
        </w:tc>
        <w:tc>
          <w:tcPr>
            <w:tcW w:w="120" w:type="dxa"/>
            <w:vAlign w:val="bottom"/>
            <w:shd w:val="clear" w:color="auto" w:fill="EAF9E8"/>
          </w:tcPr>
          <w:p>
            <w:pPr>
              <w:spacing w:after="0"/>
              <w:rPr>
                <w:sz w:val="21"/>
                <w:szCs w:val="21"/>
                <w:color w:val="auto"/>
              </w:rPr>
            </w:pPr>
          </w:p>
        </w:tc>
        <w:tc>
          <w:tcPr>
            <w:tcW w:w="12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262</w:t>
            </w:r>
          </w:p>
        </w:tc>
        <w:tc>
          <w:tcPr>
            <w:tcW w:w="22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3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406</w:t>
            </w:r>
          </w:p>
        </w:tc>
        <w:tc>
          <w:tcPr>
            <w:tcW w:w="120" w:type="dxa"/>
            <w:vAlign w:val="bottom"/>
            <w:shd w:val="clear" w:color="auto" w:fill="EAF9E8"/>
          </w:tcPr>
          <w:p>
            <w:pPr>
              <w:spacing w:after="0"/>
              <w:rPr>
                <w:sz w:val="21"/>
                <w:szCs w:val="21"/>
                <w:color w:val="auto"/>
              </w:rPr>
            </w:pPr>
          </w:p>
        </w:tc>
      </w:tr>
      <w:tr>
        <w:trPr>
          <w:trHeight w:val="20"/>
        </w:trPr>
        <w:tc>
          <w:tcPr>
            <w:tcW w:w="8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7"/>
        </w:trPr>
        <w:tc>
          <w:tcPr>
            <w:tcW w:w="8180" w:type="dxa"/>
            <w:vAlign w:val="bottom"/>
          </w:tcPr>
          <w:p>
            <w:pPr>
              <w:ind w:left="480"/>
              <w:spacing w:after="0"/>
              <w:rPr>
                <w:sz w:val="20"/>
                <w:szCs w:val="20"/>
                <w:color w:val="auto"/>
              </w:rPr>
            </w:pPr>
            <w:r>
              <w:rPr>
                <w:rFonts w:ascii="Arial" w:cs="Arial" w:eastAsia="Arial" w:hAnsi="Arial"/>
                <w:sz w:val="18"/>
                <w:szCs w:val="18"/>
                <w:color w:val="auto"/>
              </w:rPr>
              <w:t>Total equity</w:t>
            </w: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857,460</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609,641</w:t>
            </w:r>
          </w:p>
        </w:tc>
        <w:tc>
          <w:tcPr>
            <w:tcW w:w="120" w:type="dxa"/>
            <w:vAlign w:val="bottom"/>
          </w:tcPr>
          <w:p>
            <w:pPr>
              <w:spacing w:after="0"/>
              <w:rPr>
                <w:sz w:val="20"/>
                <w:szCs w:val="20"/>
                <w:color w:val="auto"/>
              </w:rPr>
            </w:pPr>
          </w:p>
        </w:tc>
      </w:tr>
      <w:tr>
        <w:trPr>
          <w:trHeight w:val="243"/>
        </w:trPr>
        <w:tc>
          <w:tcPr>
            <w:tcW w:w="8180" w:type="dxa"/>
            <w:vAlign w:val="bottom"/>
            <w:shd w:val="clear" w:color="auto" w:fill="EAF9E8"/>
          </w:tcPr>
          <w:p>
            <w:pPr>
              <w:ind w:left="640"/>
              <w:spacing w:after="0"/>
              <w:rPr>
                <w:sz w:val="20"/>
                <w:szCs w:val="20"/>
                <w:color w:val="auto"/>
              </w:rPr>
            </w:pPr>
            <w:r>
              <w:rPr>
                <w:rFonts w:ascii="Arial" w:cs="Arial" w:eastAsia="Arial" w:hAnsi="Arial"/>
                <w:sz w:val="18"/>
                <w:szCs w:val="18"/>
                <w:color w:val="auto"/>
              </w:rPr>
              <w:t>Total liabilities and equity</w:t>
            </w:r>
          </w:p>
        </w:tc>
        <w:tc>
          <w:tcPr>
            <w:tcW w:w="12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1,875,053</w:t>
            </w:r>
          </w:p>
        </w:tc>
        <w:tc>
          <w:tcPr>
            <w:tcW w:w="38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13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2,237,100</w:t>
            </w:r>
          </w:p>
        </w:tc>
        <w:tc>
          <w:tcPr>
            <w:tcW w:w="120" w:type="dxa"/>
            <w:vAlign w:val="bottom"/>
            <w:shd w:val="clear" w:color="auto" w:fill="EAF9E8"/>
          </w:tcPr>
          <w:p>
            <w:pPr>
              <w:spacing w:after="0"/>
              <w:rPr>
                <w:sz w:val="21"/>
                <w:szCs w:val="21"/>
                <w:color w:val="auto"/>
              </w:rPr>
            </w:pPr>
          </w:p>
        </w:tc>
      </w:tr>
      <w:tr>
        <w:trPr>
          <w:trHeight w:val="20"/>
        </w:trPr>
        <w:tc>
          <w:tcPr>
            <w:tcW w:w="8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
        </w:trPr>
        <w:tc>
          <w:tcPr>
            <w:tcW w:w="8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320" w:type="dxa"/>
            <w:vAlign w:val="bottom"/>
          </w:tcPr>
          <w:p>
            <w:pPr>
              <w:spacing w:after="0"/>
              <w:rPr>
                <w:sz w:val="20"/>
                <w:szCs w:val="20"/>
                <w:color w:val="auto"/>
              </w:rPr>
            </w:pPr>
            <w:r>
              <w:rPr>
                <w:rFonts w:ascii="Arial" w:cs="Arial" w:eastAsia="Arial" w:hAnsi="Arial"/>
                <w:sz w:val="18"/>
                <w:szCs w:val="18"/>
                <w:b w:val="1"/>
                <w:bCs w:val="1"/>
                <w:color w:val="auto"/>
              </w:rPr>
              <w:t>For the periods ended September 30,</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60" w:type="dxa"/>
            <w:vAlign w:val="bottom"/>
            <w:gridSpan w:val="5"/>
          </w:tcPr>
          <w:p>
            <w:pPr>
              <w:jc w:val="right"/>
              <w:ind w:right="1420"/>
              <w:spacing w:after="0"/>
              <w:rPr>
                <w:sz w:val="20"/>
                <w:szCs w:val="20"/>
                <w:color w:val="auto"/>
              </w:rPr>
            </w:pPr>
            <w:r>
              <w:rPr>
                <w:rFonts w:ascii="Arial" w:cs="Arial" w:eastAsia="Arial" w:hAnsi="Arial"/>
                <w:sz w:val="18"/>
                <w:szCs w:val="18"/>
                <w:b w:val="1"/>
                <w:bCs w:val="1"/>
                <w:color w:val="auto"/>
              </w:rPr>
              <w:t>Three months</w:t>
            </w:r>
          </w:p>
        </w:tc>
        <w:tc>
          <w:tcPr>
            <w:tcW w:w="280" w:type="dxa"/>
            <w:vAlign w:val="bottom"/>
          </w:tcPr>
          <w:p>
            <w:pPr>
              <w:spacing w:after="0"/>
              <w:rPr>
                <w:sz w:val="20"/>
                <w:szCs w:val="20"/>
                <w:color w:val="auto"/>
              </w:rPr>
            </w:pPr>
          </w:p>
        </w:tc>
        <w:tc>
          <w:tcPr>
            <w:tcW w:w="2940" w:type="dxa"/>
            <w:vAlign w:val="bottom"/>
            <w:gridSpan w:val="6"/>
          </w:tcPr>
          <w:p>
            <w:pPr>
              <w:jc w:val="right"/>
              <w:ind w:right="1200"/>
              <w:spacing w:after="0"/>
              <w:rPr>
                <w:sz w:val="20"/>
                <w:szCs w:val="20"/>
                <w:color w:val="auto"/>
              </w:rPr>
            </w:pPr>
            <w:r>
              <w:rPr>
                <w:rFonts w:ascii="Arial" w:cs="Arial" w:eastAsia="Arial" w:hAnsi="Arial"/>
                <w:sz w:val="18"/>
                <w:szCs w:val="18"/>
                <w:b w:val="1"/>
                <w:bCs w:val="1"/>
                <w:color w:val="auto"/>
              </w:rPr>
              <w:t>Nine months</w:t>
            </w:r>
          </w:p>
        </w:tc>
        <w:tc>
          <w:tcPr>
            <w:tcW w:w="0" w:type="dxa"/>
            <w:vAlign w:val="bottom"/>
          </w:tcPr>
          <w:p>
            <w:pPr>
              <w:spacing w:after="0"/>
              <w:rPr>
                <w:sz w:val="1"/>
                <w:szCs w:val="1"/>
                <w:color w:val="auto"/>
              </w:rPr>
            </w:pPr>
          </w:p>
        </w:tc>
      </w:tr>
      <w:tr>
        <w:trPr>
          <w:trHeight w:val="250"/>
        </w:trPr>
        <w:tc>
          <w:tcPr>
            <w:tcW w:w="4320" w:type="dxa"/>
            <w:vAlign w:val="bottom"/>
            <w:tcBorders>
              <w:top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2009</w:t>
            </w:r>
          </w:p>
        </w:tc>
        <w:tc>
          <w:tcPr>
            <w:tcW w:w="360" w:type="dxa"/>
            <w:vAlign w:val="bottom"/>
            <w:tcBorders>
              <w:top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38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8"/>
                <w:szCs w:val="18"/>
                <w:b w:val="1"/>
                <w:bCs w:val="1"/>
                <w:color w:val="auto"/>
              </w:rPr>
              <w:t>2008</w:t>
            </w:r>
          </w:p>
        </w:tc>
        <w:tc>
          <w:tcPr>
            <w:tcW w:w="340" w:type="dxa"/>
            <w:vAlign w:val="bottom"/>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8"/>
                <w:szCs w:val="18"/>
                <w:b w:val="1"/>
                <w:bCs w:val="1"/>
                <w:color w:val="auto"/>
              </w:rPr>
              <w:t>2009</w:t>
            </w:r>
          </w:p>
        </w:tc>
        <w:tc>
          <w:tcPr>
            <w:tcW w:w="20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30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8"/>
                <w:szCs w:val="18"/>
                <w:b w:val="1"/>
                <w:bCs w:val="1"/>
                <w:color w:val="auto"/>
              </w:rPr>
              <w:t>2008</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4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2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w w:val="93"/>
              </w:rPr>
              <w:t>(As Adjusted)</w:t>
            </w: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2"/>
              </w:rPr>
              <w:t>(As Adjusted)</w:t>
            </w:r>
          </w:p>
        </w:tc>
        <w:tc>
          <w:tcPr>
            <w:tcW w:w="0" w:type="dxa"/>
            <w:vAlign w:val="bottom"/>
          </w:tcPr>
          <w:p>
            <w:pPr>
              <w:spacing w:after="0"/>
              <w:rPr>
                <w:sz w:val="1"/>
                <w:szCs w:val="1"/>
                <w:color w:val="auto"/>
              </w:rPr>
            </w:pPr>
          </w:p>
        </w:tc>
      </w:tr>
      <w:tr>
        <w:trPr>
          <w:trHeight w:val="245"/>
        </w:trPr>
        <w:tc>
          <w:tcPr>
            <w:tcW w:w="4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2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Revenue</w:t>
            </w:r>
          </w:p>
        </w:tc>
        <w:tc>
          <w:tcPr>
            <w:tcW w:w="340" w:type="dxa"/>
            <w:vAlign w:val="bottom"/>
            <w:shd w:val="clear" w:color="auto" w:fill="EAF9E8"/>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1020" w:type="dxa"/>
            <w:vAlign w:val="bottom"/>
            <w:shd w:val="clear" w:color="auto" w:fill="EAF9E8"/>
          </w:tcPr>
          <w:p>
            <w:pPr>
              <w:spacing w:after="0"/>
              <w:rPr>
                <w:sz w:val="21"/>
                <w:szCs w:val="21"/>
                <w:color w:val="auto"/>
              </w:rPr>
            </w:pPr>
          </w:p>
        </w:tc>
        <w:tc>
          <w:tcPr>
            <w:tcW w:w="36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380" w:type="dxa"/>
            <w:vAlign w:val="bottom"/>
            <w:shd w:val="clear" w:color="auto" w:fill="EAF9E8"/>
          </w:tcPr>
          <w:p>
            <w:pPr>
              <w:spacing w:after="0"/>
              <w:rPr>
                <w:sz w:val="21"/>
                <w:szCs w:val="21"/>
                <w:color w:val="auto"/>
              </w:rPr>
            </w:pPr>
          </w:p>
        </w:tc>
        <w:tc>
          <w:tcPr>
            <w:tcW w:w="340" w:type="dxa"/>
            <w:vAlign w:val="bottom"/>
            <w:shd w:val="clear" w:color="auto" w:fill="EAF9E8"/>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1040" w:type="dxa"/>
            <w:vAlign w:val="bottom"/>
            <w:shd w:val="clear" w:color="auto" w:fill="EAF9E8"/>
          </w:tcPr>
          <w:p>
            <w:pPr>
              <w:spacing w:after="0"/>
              <w:rPr>
                <w:sz w:val="21"/>
                <w:szCs w:val="21"/>
                <w:color w:val="auto"/>
              </w:rPr>
            </w:pPr>
          </w:p>
        </w:tc>
        <w:tc>
          <w:tcPr>
            <w:tcW w:w="20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130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4320" w:type="dxa"/>
            <w:vAlign w:val="bottom"/>
          </w:tcPr>
          <w:p>
            <w:pPr>
              <w:ind w:left="160"/>
              <w:spacing w:after="0"/>
              <w:rPr>
                <w:sz w:val="20"/>
                <w:szCs w:val="20"/>
                <w:color w:val="auto"/>
              </w:rPr>
            </w:pPr>
            <w:r>
              <w:rPr>
                <w:rFonts w:ascii="Arial" w:cs="Arial" w:eastAsia="Arial" w:hAnsi="Arial"/>
                <w:sz w:val="18"/>
                <w:szCs w:val="18"/>
                <w:color w:val="auto"/>
              </w:rPr>
              <w:t>Servicing and subservicing fees</w:t>
            </w: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57,534</w:t>
            </w:r>
          </w:p>
        </w:tc>
        <w:tc>
          <w:tcPr>
            <w:tcW w:w="360" w:type="dxa"/>
            <w:vAlign w:val="bottom"/>
          </w:tcPr>
          <w:p>
            <w:pPr>
              <w:spacing w:after="0"/>
              <w:rPr>
                <w:sz w:val="21"/>
                <w:szCs w:val="21"/>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720" w:type="dxa"/>
            <w:vAlign w:val="bottom"/>
            <w:gridSpan w:val="2"/>
          </w:tcPr>
          <w:p>
            <w:pPr>
              <w:jc w:val="right"/>
              <w:ind w:right="340"/>
              <w:spacing w:after="0"/>
              <w:rPr>
                <w:sz w:val="20"/>
                <w:szCs w:val="20"/>
                <w:color w:val="auto"/>
              </w:rPr>
            </w:pPr>
            <w:r>
              <w:rPr>
                <w:rFonts w:ascii="Arial" w:cs="Arial" w:eastAsia="Arial" w:hAnsi="Arial"/>
                <w:sz w:val="18"/>
                <w:szCs w:val="18"/>
                <w:color w:val="auto"/>
              </w:rPr>
              <w:t>91,298</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201,832</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290,200</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3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Process management fees</w:t>
            </w:r>
          </w:p>
        </w:tc>
        <w:tc>
          <w:tcPr>
            <w:tcW w:w="340" w:type="dxa"/>
            <w:vAlign w:val="bottom"/>
            <w:shd w:val="clear" w:color="auto" w:fill="EAF9E8"/>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23,735</w:t>
            </w:r>
          </w:p>
        </w:tc>
        <w:tc>
          <w:tcPr>
            <w:tcW w:w="36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72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27,453</w:t>
            </w:r>
          </w:p>
        </w:tc>
        <w:tc>
          <w:tcPr>
            <w:tcW w:w="280" w:type="dxa"/>
            <w:vAlign w:val="bottom"/>
            <w:shd w:val="clear" w:color="auto" w:fill="EAF9E8"/>
          </w:tcPr>
          <w:p>
            <w:pPr>
              <w:spacing w:after="0"/>
              <w:rPr>
                <w:sz w:val="21"/>
                <w:szCs w:val="21"/>
                <w:color w:val="auto"/>
              </w:rPr>
            </w:pPr>
          </w:p>
        </w:tc>
        <w:tc>
          <w:tcPr>
            <w:tcW w:w="124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97,513</w:t>
            </w:r>
          </w:p>
        </w:tc>
        <w:tc>
          <w:tcPr>
            <w:tcW w:w="14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13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81,794</w:t>
            </w: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320" w:type="dxa"/>
            <w:vAlign w:val="bottom"/>
          </w:tcPr>
          <w:p>
            <w:pPr>
              <w:ind w:left="160"/>
              <w:spacing w:after="0"/>
              <w:rPr>
                <w:sz w:val="20"/>
                <w:szCs w:val="20"/>
                <w:color w:val="auto"/>
              </w:rPr>
            </w:pPr>
            <w:r>
              <w:rPr>
                <w:rFonts w:ascii="Arial" w:cs="Arial" w:eastAsia="Arial" w:hAnsi="Arial"/>
                <w:sz w:val="18"/>
                <w:szCs w:val="18"/>
                <w:color w:val="auto"/>
              </w:rPr>
              <w:t>Other revenues</w:t>
            </w:r>
          </w:p>
        </w:tc>
        <w:tc>
          <w:tcPr>
            <w:tcW w:w="3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2,083</w:t>
            </w:r>
          </w:p>
        </w:tc>
        <w:tc>
          <w:tcPr>
            <w:tcW w:w="3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2,510</w:t>
            </w:r>
          </w:p>
        </w:tc>
        <w:tc>
          <w:tcPr>
            <w:tcW w:w="3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7,776</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8,743</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20" w:type="dxa"/>
            <w:vAlign w:val="bottom"/>
            <w:shd w:val="clear" w:color="auto" w:fill="EAF9E8"/>
          </w:tcPr>
          <w:p>
            <w:pPr>
              <w:ind w:left="480"/>
              <w:spacing w:after="0"/>
              <w:rPr>
                <w:sz w:val="20"/>
                <w:szCs w:val="20"/>
                <w:color w:val="auto"/>
              </w:rPr>
            </w:pPr>
            <w:r>
              <w:rPr>
                <w:rFonts w:ascii="Arial" w:cs="Arial" w:eastAsia="Arial" w:hAnsi="Arial"/>
                <w:sz w:val="18"/>
                <w:szCs w:val="18"/>
                <w:color w:val="auto"/>
              </w:rPr>
              <w:t>Total revenue</w:t>
            </w:r>
          </w:p>
        </w:tc>
        <w:tc>
          <w:tcPr>
            <w:tcW w:w="340" w:type="dxa"/>
            <w:vAlign w:val="bottom"/>
            <w:shd w:val="clear" w:color="auto" w:fill="EAF9E8"/>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83,352</w:t>
            </w:r>
          </w:p>
        </w:tc>
        <w:tc>
          <w:tcPr>
            <w:tcW w:w="36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72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121,261</w:t>
            </w:r>
          </w:p>
        </w:tc>
        <w:tc>
          <w:tcPr>
            <w:tcW w:w="280" w:type="dxa"/>
            <w:vAlign w:val="bottom"/>
            <w:shd w:val="clear" w:color="auto" w:fill="EAF9E8"/>
          </w:tcPr>
          <w:p>
            <w:pPr>
              <w:spacing w:after="0"/>
              <w:rPr>
                <w:sz w:val="21"/>
                <w:szCs w:val="21"/>
                <w:color w:val="auto"/>
              </w:rPr>
            </w:pPr>
          </w:p>
        </w:tc>
        <w:tc>
          <w:tcPr>
            <w:tcW w:w="124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307,121</w:t>
            </w:r>
          </w:p>
        </w:tc>
        <w:tc>
          <w:tcPr>
            <w:tcW w:w="14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13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380,737</w:t>
            </w: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320" w:type="dxa"/>
            <w:vAlign w:val="bottom"/>
            <w:vMerge w:val="restart"/>
          </w:tcPr>
          <w:p>
            <w:pPr>
              <w:spacing w:after="0"/>
              <w:rPr>
                <w:sz w:val="20"/>
                <w:szCs w:val="20"/>
                <w:color w:val="auto"/>
              </w:rPr>
            </w:pPr>
            <w:r>
              <w:rPr>
                <w:rFonts w:ascii="Arial" w:cs="Arial" w:eastAsia="Arial" w:hAnsi="Arial"/>
                <w:sz w:val="18"/>
                <w:szCs w:val="18"/>
                <w:b w:val="1"/>
                <w:bCs w:val="1"/>
                <w:color w:val="auto"/>
              </w:rPr>
              <w:t>Operating expenses</w:t>
            </w: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2"/>
        </w:trPr>
        <w:tc>
          <w:tcPr>
            <w:tcW w:w="432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43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Compensation and benefits</w:t>
            </w:r>
          </w:p>
        </w:tc>
        <w:tc>
          <w:tcPr>
            <w:tcW w:w="340" w:type="dxa"/>
            <w:vAlign w:val="bottom"/>
            <w:shd w:val="clear" w:color="auto" w:fill="EAF9E8"/>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18,959</w:t>
            </w:r>
          </w:p>
        </w:tc>
        <w:tc>
          <w:tcPr>
            <w:tcW w:w="36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72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33,727</w:t>
            </w:r>
          </w:p>
        </w:tc>
        <w:tc>
          <w:tcPr>
            <w:tcW w:w="280" w:type="dxa"/>
            <w:vAlign w:val="bottom"/>
            <w:shd w:val="clear" w:color="auto" w:fill="EAF9E8"/>
          </w:tcPr>
          <w:p>
            <w:pPr>
              <w:spacing w:after="0"/>
              <w:rPr>
                <w:sz w:val="21"/>
                <w:szCs w:val="21"/>
                <w:color w:val="auto"/>
              </w:rPr>
            </w:pPr>
          </w:p>
        </w:tc>
        <w:tc>
          <w:tcPr>
            <w:tcW w:w="124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74,758</w:t>
            </w:r>
          </w:p>
        </w:tc>
        <w:tc>
          <w:tcPr>
            <w:tcW w:w="14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13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96,567</w:t>
            </w: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4320" w:type="dxa"/>
            <w:vAlign w:val="bottom"/>
          </w:tcPr>
          <w:p>
            <w:pPr>
              <w:ind w:left="160"/>
              <w:spacing w:after="0"/>
              <w:rPr>
                <w:sz w:val="20"/>
                <w:szCs w:val="20"/>
                <w:color w:val="auto"/>
              </w:rPr>
            </w:pPr>
            <w:r>
              <w:rPr>
                <w:rFonts w:ascii="Arial" w:cs="Arial" w:eastAsia="Arial" w:hAnsi="Arial"/>
                <w:sz w:val="18"/>
                <w:szCs w:val="18"/>
                <w:color w:val="auto"/>
              </w:rPr>
              <w:t>Amortization of servicing rights</w:t>
            </w: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7,159</w:t>
            </w: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20" w:type="dxa"/>
            <w:vAlign w:val="bottom"/>
            <w:gridSpan w:val="2"/>
          </w:tcPr>
          <w:p>
            <w:pPr>
              <w:jc w:val="right"/>
              <w:ind w:right="340"/>
              <w:spacing w:after="0"/>
              <w:rPr>
                <w:sz w:val="20"/>
                <w:szCs w:val="20"/>
                <w:color w:val="auto"/>
              </w:rPr>
            </w:pPr>
            <w:r>
              <w:rPr>
                <w:rFonts w:ascii="Arial" w:cs="Arial" w:eastAsia="Arial" w:hAnsi="Arial"/>
                <w:sz w:val="18"/>
                <w:szCs w:val="18"/>
                <w:color w:val="auto"/>
              </w:rPr>
              <w:t>12,106</w:t>
            </w:r>
          </w:p>
        </w:tc>
        <w:tc>
          <w:tcPr>
            <w:tcW w:w="28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25,743</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40,712</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3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Servicing and origination</w:t>
            </w:r>
          </w:p>
        </w:tc>
        <w:tc>
          <w:tcPr>
            <w:tcW w:w="340" w:type="dxa"/>
            <w:vAlign w:val="bottom"/>
            <w:shd w:val="clear" w:color="auto" w:fill="EAF9E8"/>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7,804</w:t>
            </w:r>
          </w:p>
        </w:tc>
        <w:tc>
          <w:tcPr>
            <w:tcW w:w="36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72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11,540</w:t>
            </w:r>
          </w:p>
        </w:tc>
        <w:tc>
          <w:tcPr>
            <w:tcW w:w="280" w:type="dxa"/>
            <w:vAlign w:val="bottom"/>
            <w:shd w:val="clear" w:color="auto" w:fill="EAF9E8"/>
          </w:tcPr>
          <w:p>
            <w:pPr>
              <w:spacing w:after="0"/>
              <w:rPr>
                <w:sz w:val="21"/>
                <w:szCs w:val="21"/>
                <w:color w:val="auto"/>
              </w:rPr>
            </w:pPr>
          </w:p>
        </w:tc>
        <w:tc>
          <w:tcPr>
            <w:tcW w:w="124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36,277</w:t>
            </w:r>
          </w:p>
        </w:tc>
        <w:tc>
          <w:tcPr>
            <w:tcW w:w="14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13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37,589</w:t>
            </w: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4320" w:type="dxa"/>
            <w:vAlign w:val="bottom"/>
          </w:tcPr>
          <w:p>
            <w:pPr>
              <w:ind w:left="160"/>
              <w:spacing w:after="0"/>
              <w:rPr>
                <w:sz w:val="20"/>
                <w:szCs w:val="20"/>
                <w:color w:val="auto"/>
              </w:rPr>
            </w:pPr>
            <w:r>
              <w:rPr>
                <w:rFonts w:ascii="Arial" w:cs="Arial" w:eastAsia="Arial" w:hAnsi="Arial"/>
                <w:sz w:val="18"/>
                <w:szCs w:val="18"/>
                <w:color w:val="auto"/>
              </w:rPr>
              <w:t>Technology and communications</w:t>
            </w: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4,206</w:t>
            </w: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20" w:type="dxa"/>
            <w:vAlign w:val="bottom"/>
            <w:gridSpan w:val="2"/>
          </w:tcPr>
          <w:p>
            <w:pPr>
              <w:jc w:val="right"/>
              <w:ind w:right="340"/>
              <w:spacing w:after="0"/>
              <w:rPr>
                <w:sz w:val="20"/>
                <w:szCs w:val="20"/>
                <w:color w:val="auto"/>
              </w:rPr>
            </w:pPr>
            <w:r>
              <w:rPr>
                <w:rFonts w:ascii="Arial" w:cs="Arial" w:eastAsia="Arial" w:hAnsi="Arial"/>
                <w:sz w:val="18"/>
                <w:szCs w:val="18"/>
                <w:color w:val="auto"/>
              </w:rPr>
              <w:t>6,022</w:t>
            </w:r>
          </w:p>
        </w:tc>
        <w:tc>
          <w:tcPr>
            <w:tcW w:w="28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13,495</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17,713</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3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Professional services</w:t>
            </w:r>
          </w:p>
        </w:tc>
        <w:tc>
          <w:tcPr>
            <w:tcW w:w="340" w:type="dxa"/>
            <w:vAlign w:val="bottom"/>
            <w:shd w:val="clear" w:color="auto" w:fill="EAF9E8"/>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6,378</w:t>
            </w:r>
          </w:p>
        </w:tc>
        <w:tc>
          <w:tcPr>
            <w:tcW w:w="36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72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5,973</w:t>
            </w:r>
          </w:p>
        </w:tc>
        <w:tc>
          <w:tcPr>
            <w:tcW w:w="280" w:type="dxa"/>
            <w:vAlign w:val="bottom"/>
            <w:shd w:val="clear" w:color="auto" w:fill="EAF9E8"/>
          </w:tcPr>
          <w:p>
            <w:pPr>
              <w:spacing w:after="0"/>
              <w:rPr>
                <w:sz w:val="21"/>
                <w:szCs w:val="21"/>
                <w:color w:val="auto"/>
              </w:rPr>
            </w:pPr>
          </w:p>
        </w:tc>
        <w:tc>
          <w:tcPr>
            <w:tcW w:w="124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21,772</w:t>
            </w:r>
          </w:p>
        </w:tc>
        <w:tc>
          <w:tcPr>
            <w:tcW w:w="14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13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27,058</w:t>
            </w: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4320" w:type="dxa"/>
            <w:vAlign w:val="bottom"/>
          </w:tcPr>
          <w:p>
            <w:pPr>
              <w:ind w:left="160"/>
              <w:spacing w:after="0"/>
              <w:rPr>
                <w:sz w:val="20"/>
                <w:szCs w:val="20"/>
                <w:color w:val="auto"/>
              </w:rPr>
            </w:pPr>
            <w:r>
              <w:rPr>
                <w:rFonts w:ascii="Arial" w:cs="Arial" w:eastAsia="Arial" w:hAnsi="Arial"/>
                <w:sz w:val="18"/>
                <w:szCs w:val="18"/>
                <w:color w:val="auto"/>
              </w:rPr>
              <w:t>Occupancy and equipment</w:t>
            </w: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4,192</w:t>
            </w: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20" w:type="dxa"/>
            <w:vAlign w:val="bottom"/>
            <w:gridSpan w:val="2"/>
          </w:tcPr>
          <w:p>
            <w:pPr>
              <w:jc w:val="right"/>
              <w:ind w:right="340"/>
              <w:spacing w:after="0"/>
              <w:rPr>
                <w:sz w:val="20"/>
                <w:szCs w:val="20"/>
                <w:color w:val="auto"/>
              </w:rPr>
            </w:pPr>
            <w:r>
              <w:rPr>
                <w:rFonts w:ascii="Arial" w:cs="Arial" w:eastAsia="Arial" w:hAnsi="Arial"/>
                <w:sz w:val="18"/>
                <w:szCs w:val="18"/>
                <w:color w:val="auto"/>
              </w:rPr>
              <w:t>5,131</w:t>
            </w:r>
          </w:p>
        </w:tc>
        <w:tc>
          <w:tcPr>
            <w:tcW w:w="28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15,056</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17,471</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3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Other operating expenses</w:t>
            </w:r>
          </w:p>
        </w:tc>
        <w:tc>
          <w:tcPr>
            <w:tcW w:w="340" w:type="dxa"/>
            <w:vAlign w:val="bottom"/>
            <w:shd w:val="clear" w:color="auto" w:fill="EAF9E8"/>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4,675</w:t>
            </w:r>
          </w:p>
        </w:tc>
        <w:tc>
          <w:tcPr>
            <w:tcW w:w="36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72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2,959</w:t>
            </w:r>
          </w:p>
        </w:tc>
        <w:tc>
          <w:tcPr>
            <w:tcW w:w="280" w:type="dxa"/>
            <w:vAlign w:val="bottom"/>
            <w:shd w:val="clear" w:color="auto" w:fill="EAF9E8"/>
          </w:tcPr>
          <w:p>
            <w:pPr>
              <w:spacing w:after="0"/>
              <w:rPr>
                <w:sz w:val="21"/>
                <w:szCs w:val="21"/>
                <w:color w:val="auto"/>
              </w:rPr>
            </w:pPr>
          </w:p>
        </w:tc>
        <w:tc>
          <w:tcPr>
            <w:tcW w:w="124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11,188</w:t>
            </w:r>
          </w:p>
        </w:tc>
        <w:tc>
          <w:tcPr>
            <w:tcW w:w="14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13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9,689</w:t>
            </w: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320" w:type="dxa"/>
            <w:vAlign w:val="bottom"/>
          </w:tcPr>
          <w:p>
            <w:pPr>
              <w:ind w:left="480"/>
              <w:spacing w:after="0"/>
              <w:rPr>
                <w:sz w:val="20"/>
                <w:szCs w:val="20"/>
                <w:color w:val="auto"/>
              </w:rPr>
            </w:pPr>
            <w:r>
              <w:rPr>
                <w:rFonts w:ascii="Arial" w:cs="Arial" w:eastAsia="Arial" w:hAnsi="Arial"/>
                <w:sz w:val="18"/>
                <w:szCs w:val="18"/>
                <w:color w:val="auto"/>
              </w:rPr>
              <w:t>Total operating expenses</w:t>
            </w:r>
          </w:p>
        </w:tc>
        <w:tc>
          <w:tcPr>
            <w:tcW w:w="3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53,373</w:t>
            </w:r>
          </w:p>
        </w:tc>
        <w:tc>
          <w:tcPr>
            <w:tcW w:w="3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77,458</w:t>
            </w:r>
          </w:p>
        </w:tc>
        <w:tc>
          <w:tcPr>
            <w:tcW w:w="3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198,289</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246,799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20" w:type="dxa"/>
            <w:vAlign w:val="bottom"/>
            <w:gridSpan w:val="2"/>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gridSpan w:val="2"/>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2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Income from operations</w:t>
            </w:r>
          </w:p>
        </w:tc>
        <w:tc>
          <w:tcPr>
            <w:tcW w:w="340" w:type="dxa"/>
            <w:vAlign w:val="bottom"/>
            <w:shd w:val="clear" w:color="auto" w:fill="EAF9E8"/>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29,979</w:t>
            </w:r>
          </w:p>
        </w:tc>
        <w:tc>
          <w:tcPr>
            <w:tcW w:w="36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72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43,803</w:t>
            </w:r>
          </w:p>
        </w:tc>
        <w:tc>
          <w:tcPr>
            <w:tcW w:w="280" w:type="dxa"/>
            <w:vAlign w:val="bottom"/>
            <w:shd w:val="clear" w:color="auto" w:fill="EAF9E8"/>
          </w:tcPr>
          <w:p>
            <w:pPr>
              <w:spacing w:after="0"/>
              <w:rPr>
                <w:sz w:val="21"/>
                <w:szCs w:val="21"/>
                <w:color w:val="auto"/>
              </w:rPr>
            </w:pPr>
          </w:p>
        </w:tc>
        <w:tc>
          <w:tcPr>
            <w:tcW w:w="124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108,832</w:t>
            </w:r>
          </w:p>
        </w:tc>
        <w:tc>
          <w:tcPr>
            <w:tcW w:w="14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13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133,938</w:t>
            </w: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320" w:type="dxa"/>
            <w:vAlign w:val="bottom"/>
            <w:vMerge w:val="restart"/>
          </w:tcPr>
          <w:p>
            <w:pPr>
              <w:spacing w:after="0"/>
              <w:rPr>
                <w:sz w:val="20"/>
                <w:szCs w:val="20"/>
                <w:color w:val="auto"/>
              </w:rPr>
            </w:pPr>
            <w:r>
              <w:rPr>
                <w:rFonts w:ascii="Arial" w:cs="Arial" w:eastAsia="Arial" w:hAnsi="Arial"/>
                <w:sz w:val="18"/>
                <w:szCs w:val="18"/>
                <w:b w:val="1"/>
                <w:bCs w:val="1"/>
                <w:color w:val="auto"/>
              </w:rPr>
              <w:t>Other income (expense)</w:t>
            </w: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2"/>
        </w:trPr>
        <w:tc>
          <w:tcPr>
            <w:tcW w:w="432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43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Interest income</w:t>
            </w:r>
          </w:p>
        </w:tc>
        <w:tc>
          <w:tcPr>
            <w:tcW w:w="340" w:type="dxa"/>
            <w:vAlign w:val="bottom"/>
            <w:shd w:val="clear" w:color="auto" w:fill="EAF9E8"/>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1,992</w:t>
            </w:r>
          </w:p>
        </w:tc>
        <w:tc>
          <w:tcPr>
            <w:tcW w:w="36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72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3,448</w:t>
            </w:r>
          </w:p>
        </w:tc>
        <w:tc>
          <w:tcPr>
            <w:tcW w:w="280" w:type="dxa"/>
            <w:vAlign w:val="bottom"/>
            <w:shd w:val="clear" w:color="auto" w:fill="EAF9E8"/>
          </w:tcPr>
          <w:p>
            <w:pPr>
              <w:spacing w:after="0"/>
              <w:rPr>
                <w:sz w:val="21"/>
                <w:szCs w:val="21"/>
                <w:color w:val="auto"/>
              </w:rPr>
            </w:pPr>
          </w:p>
        </w:tc>
        <w:tc>
          <w:tcPr>
            <w:tcW w:w="124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6,411</w:t>
            </w:r>
          </w:p>
        </w:tc>
        <w:tc>
          <w:tcPr>
            <w:tcW w:w="14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13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11,492</w:t>
            </w: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4320" w:type="dxa"/>
            <w:vAlign w:val="bottom"/>
          </w:tcPr>
          <w:p>
            <w:pPr>
              <w:ind w:left="160"/>
              <w:spacing w:after="0"/>
              <w:rPr>
                <w:sz w:val="20"/>
                <w:szCs w:val="20"/>
                <w:color w:val="auto"/>
              </w:rPr>
            </w:pPr>
            <w:r>
              <w:rPr>
                <w:rFonts w:ascii="Arial" w:cs="Arial" w:eastAsia="Arial" w:hAnsi="Arial"/>
                <w:sz w:val="18"/>
                <w:szCs w:val="18"/>
                <w:color w:val="auto"/>
              </w:rPr>
              <w:t>Interest expense</w:t>
            </w: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(16,145)</w:t>
            </w:r>
          </w:p>
        </w:tc>
        <w:tc>
          <w:tcPr>
            <w:tcW w:w="160" w:type="dxa"/>
            <w:vAlign w:val="bottom"/>
          </w:tcPr>
          <w:p>
            <w:pPr>
              <w:spacing w:after="0"/>
              <w:rPr>
                <w:sz w:val="21"/>
                <w:szCs w:val="21"/>
                <w:color w:val="auto"/>
              </w:rPr>
            </w:pPr>
          </w:p>
        </w:tc>
        <w:tc>
          <w:tcPr>
            <w:tcW w:w="1720" w:type="dxa"/>
            <w:vAlign w:val="bottom"/>
            <w:gridSpan w:val="2"/>
          </w:tcPr>
          <w:p>
            <w:pPr>
              <w:jc w:val="right"/>
              <w:ind w:right="280"/>
              <w:spacing w:after="0"/>
              <w:rPr>
                <w:sz w:val="20"/>
                <w:szCs w:val="20"/>
                <w:color w:val="auto"/>
              </w:rPr>
            </w:pPr>
            <w:r>
              <w:rPr>
                <w:rFonts w:ascii="Arial" w:cs="Arial" w:eastAsia="Arial" w:hAnsi="Arial"/>
                <w:sz w:val="18"/>
                <w:szCs w:val="18"/>
                <w:color w:val="auto"/>
              </w:rPr>
              <w:t>(19,334)</w:t>
            </w:r>
          </w:p>
        </w:tc>
        <w:tc>
          <w:tcPr>
            <w:tcW w:w="280" w:type="dxa"/>
            <w:vAlign w:val="bottom"/>
          </w:tcPr>
          <w:p>
            <w:pPr>
              <w:spacing w:after="0"/>
              <w:rPr>
                <w:sz w:val="21"/>
                <w:szCs w:val="21"/>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(50,108)</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(66,513)</w:t>
            </w:r>
          </w:p>
        </w:tc>
        <w:tc>
          <w:tcPr>
            <w:tcW w:w="0" w:type="dxa"/>
            <w:vAlign w:val="bottom"/>
          </w:tcPr>
          <w:p>
            <w:pPr>
              <w:spacing w:after="0"/>
              <w:rPr>
                <w:sz w:val="1"/>
                <w:szCs w:val="1"/>
                <w:color w:val="auto"/>
              </w:rPr>
            </w:pPr>
          </w:p>
        </w:tc>
      </w:tr>
      <w:tr>
        <w:trPr>
          <w:trHeight w:val="244"/>
        </w:trPr>
        <w:tc>
          <w:tcPr>
            <w:tcW w:w="43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Gain (loss) on trading securities</w:t>
            </w:r>
          </w:p>
        </w:tc>
        <w:tc>
          <w:tcPr>
            <w:tcW w:w="340" w:type="dxa"/>
            <w:vAlign w:val="bottom"/>
            <w:shd w:val="clear" w:color="auto" w:fill="EAF9E8"/>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8,291</w:t>
            </w:r>
          </w:p>
        </w:tc>
        <w:tc>
          <w:tcPr>
            <w:tcW w:w="36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72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(621)</w:t>
            </w:r>
          </w:p>
        </w:tc>
        <w:tc>
          <w:tcPr>
            <w:tcW w:w="280" w:type="dxa"/>
            <w:vAlign w:val="bottom"/>
            <w:shd w:val="clear" w:color="auto" w:fill="EAF9E8"/>
          </w:tcPr>
          <w:p>
            <w:pPr>
              <w:spacing w:after="0"/>
              <w:rPr>
                <w:sz w:val="21"/>
                <w:szCs w:val="21"/>
                <w:color w:val="auto"/>
              </w:rPr>
            </w:pPr>
          </w:p>
        </w:tc>
        <w:tc>
          <w:tcPr>
            <w:tcW w:w="124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13,346</w:t>
            </w:r>
          </w:p>
        </w:tc>
        <w:tc>
          <w:tcPr>
            <w:tcW w:w="14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142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(22,366)</w:t>
            </w:r>
          </w:p>
        </w:tc>
        <w:tc>
          <w:tcPr>
            <w:tcW w:w="0" w:type="dxa"/>
            <w:vAlign w:val="bottom"/>
          </w:tcPr>
          <w:p>
            <w:pPr>
              <w:spacing w:after="0"/>
              <w:rPr>
                <w:sz w:val="1"/>
                <w:szCs w:val="1"/>
                <w:color w:val="auto"/>
              </w:rPr>
            </w:pPr>
          </w:p>
        </w:tc>
      </w:tr>
      <w:tr>
        <w:trPr>
          <w:trHeight w:val="242"/>
        </w:trPr>
        <w:tc>
          <w:tcPr>
            <w:tcW w:w="4320" w:type="dxa"/>
            <w:vAlign w:val="bottom"/>
          </w:tcPr>
          <w:p>
            <w:pPr>
              <w:ind w:left="160"/>
              <w:spacing w:after="0"/>
              <w:rPr>
                <w:sz w:val="20"/>
                <w:szCs w:val="20"/>
                <w:color w:val="auto"/>
              </w:rPr>
            </w:pPr>
            <w:r>
              <w:rPr>
                <w:rFonts w:ascii="Arial" w:cs="Arial" w:eastAsia="Arial" w:hAnsi="Arial"/>
                <w:sz w:val="18"/>
                <w:szCs w:val="18"/>
                <w:color w:val="auto"/>
              </w:rPr>
              <w:t>Gain (loss) on debt redemption</w:t>
            </w: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1,600</w:t>
            </w: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2,134</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44"/>
        </w:trPr>
        <w:tc>
          <w:tcPr>
            <w:tcW w:w="43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Loss on loans held for resale, net</w:t>
            </w:r>
          </w:p>
        </w:tc>
        <w:tc>
          <w:tcPr>
            <w:tcW w:w="340" w:type="dxa"/>
            <w:vAlign w:val="bottom"/>
            <w:shd w:val="clear" w:color="auto" w:fill="EAF9E8"/>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1380" w:type="dxa"/>
            <w:vAlign w:val="bottom"/>
            <w:gridSpan w:val="2"/>
            <w:shd w:val="clear" w:color="auto" w:fill="EAF9E8"/>
          </w:tcPr>
          <w:p>
            <w:pPr>
              <w:jc w:val="right"/>
              <w:ind w:right="300"/>
              <w:spacing w:after="0"/>
              <w:rPr>
                <w:sz w:val="20"/>
                <w:szCs w:val="20"/>
                <w:color w:val="auto"/>
              </w:rPr>
            </w:pPr>
            <w:r>
              <w:rPr>
                <w:rFonts w:ascii="Arial" w:cs="Arial" w:eastAsia="Arial" w:hAnsi="Arial"/>
                <w:sz w:val="18"/>
                <w:szCs w:val="18"/>
                <w:color w:val="auto"/>
              </w:rPr>
              <w:t>(1,242)</w:t>
            </w:r>
          </w:p>
        </w:tc>
        <w:tc>
          <w:tcPr>
            <w:tcW w:w="160" w:type="dxa"/>
            <w:vAlign w:val="bottom"/>
            <w:shd w:val="clear" w:color="auto" w:fill="EAF9E8"/>
          </w:tcPr>
          <w:p>
            <w:pPr>
              <w:spacing w:after="0"/>
              <w:rPr>
                <w:sz w:val="21"/>
                <w:szCs w:val="21"/>
                <w:color w:val="auto"/>
              </w:rPr>
            </w:pPr>
          </w:p>
        </w:tc>
        <w:tc>
          <w:tcPr>
            <w:tcW w:w="172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(674)</w:t>
            </w:r>
          </w:p>
        </w:tc>
        <w:tc>
          <w:tcPr>
            <w:tcW w:w="280" w:type="dxa"/>
            <w:vAlign w:val="bottom"/>
            <w:shd w:val="clear" w:color="auto" w:fill="EAF9E8"/>
          </w:tcPr>
          <w:p>
            <w:pPr>
              <w:spacing w:after="0"/>
              <w:rPr>
                <w:sz w:val="21"/>
                <w:szCs w:val="21"/>
                <w:color w:val="auto"/>
              </w:rPr>
            </w:pPr>
          </w:p>
        </w:tc>
        <w:tc>
          <w:tcPr>
            <w:tcW w:w="124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(8,783)</w:t>
            </w:r>
          </w:p>
        </w:tc>
        <w:tc>
          <w:tcPr>
            <w:tcW w:w="14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142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(11,112)</w:t>
            </w:r>
          </w:p>
        </w:tc>
        <w:tc>
          <w:tcPr>
            <w:tcW w:w="0" w:type="dxa"/>
            <w:vAlign w:val="bottom"/>
          </w:tcPr>
          <w:p>
            <w:pPr>
              <w:spacing w:after="0"/>
              <w:rPr>
                <w:sz w:val="1"/>
                <w:szCs w:val="1"/>
                <w:color w:val="auto"/>
              </w:rPr>
            </w:pPr>
          </w:p>
        </w:tc>
      </w:tr>
      <w:tr>
        <w:trPr>
          <w:trHeight w:val="242"/>
        </w:trPr>
        <w:tc>
          <w:tcPr>
            <w:tcW w:w="4320" w:type="dxa"/>
            <w:vAlign w:val="bottom"/>
          </w:tcPr>
          <w:p>
            <w:pPr>
              <w:ind w:left="160"/>
              <w:spacing w:after="0"/>
              <w:rPr>
                <w:sz w:val="20"/>
                <w:szCs w:val="20"/>
                <w:color w:val="auto"/>
              </w:rPr>
            </w:pPr>
            <w:r>
              <w:rPr>
                <w:rFonts w:ascii="Arial" w:cs="Arial" w:eastAsia="Arial" w:hAnsi="Arial"/>
                <w:sz w:val="18"/>
                <w:szCs w:val="18"/>
                <w:color w:val="auto"/>
              </w:rPr>
              <w:t>Equity in losses of unconsolidated entities</w:t>
            </w: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(1,059)</w:t>
            </w:r>
          </w:p>
        </w:tc>
        <w:tc>
          <w:tcPr>
            <w:tcW w:w="160" w:type="dxa"/>
            <w:vAlign w:val="bottom"/>
          </w:tcPr>
          <w:p>
            <w:pPr>
              <w:spacing w:after="0"/>
              <w:rPr>
                <w:sz w:val="21"/>
                <w:szCs w:val="21"/>
                <w:color w:val="auto"/>
              </w:rPr>
            </w:pPr>
          </w:p>
        </w:tc>
        <w:tc>
          <w:tcPr>
            <w:tcW w:w="1720" w:type="dxa"/>
            <w:vAlign w:val="bottom"/>
            <w:gridSpan w:val="2"/>
          </w:tcPr>
          <w:p>
            <w:pPr>
              <w:jc w:val="right"/>
              <w:ind w:right="280"/>
              <w:spacing w:after="0"/>
              <w:rPr>
                <w:sz w:val="20"/>
                <w:szCs w:val="20"/>
                <w:color w:val="auto"/>
              </w:rPr>
            </w:pPr>
            <w:r>
              <w:rPr>
                <w:rFonts w:ascii="Arial" w:cs="Arial" w:eastAsia="Arial" w:hAnsi="Arial"/>
                <w:sz w:val="18"/>
                <w:szCs w:val="18"/>
                <w:color w:val="auto"/>
              </w:rPr>
              <w:t>(2,928)</w:t>
            </w:r>
          </w:p>
        </w:tc>
        <w:tc>
          <w:tcPr>
            <w:tcW w:w="280" w:type="dxa"/>
            <w:vAlign w:val="bottom"/>
          </w:tcPr>
          <w:p>
            <w:pPr>
              <w:spacing w:after="0"/>
              <w:rPr>
                <w:sz w:val="21"/>
                <w:szCs w:val="21"/>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(1,608)</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(10,628)</w:t>
            </w:r>
          </w:p>
        </w:tc>
        <w:tc>
          <w:tcPr>
            <w:tcW w:w="0" w:type="dxa"/>
            <w:vAlign w:val="bottom"/>
          </w:tcPr>
          <w:p>
            <w:pPr>
              <w:spacing w:after="0"/>
              <w:rPr>
                <w:sz w:val="1"/>
                <w:szCs w:val="1"/>
                <w:color w:val="auto"/>
              </w:rPr>
            </w:pPr>
          </w:p>
        </w:tc>
      </w:tr>
      <w:tr>
        <w:trPr>
          <w:trHeight w:val="244"/>
        </w:trPr>
        <w:tc>
          <w:tcPr>
            <w:tcW w:w="43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Other, net</w:t>
            </w:r>
          </w:p>
        </w:tc>
        <w:tc>
          <w:tcPr>
            <w:tcW w:w="340" w:type="dxa"/>
            <w:vAlign w:val="bottom"/>
            <w:shd w:val="clear" w:color="auto" w:fill="EAF9E8"/>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42</w:t>
            </w:r>
          </w:p>
        </w:tc>
        <w:tc>
          <w:tcPr>
            <w:tcW w:w="36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72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(284)</w:t>
            </w:r>
          </w:p>
        </w:tc>
        <w:tc>
          <w:tcPr>
            <w:tcW w:w="280" w:type="dxa"/>
            <w:vAlign w:val="bottom"/>
            <w:shd w:val="clear" w:color="auto" w:fill="EAF9E8"/>
          </w:tcPr>
          <w:p>
            <w:pPr>
              <w:spacing w:after="0"/>
              <w:rPr>
                <w:sz w:val="21"/>
                <w:szCs w:val="21"/>
                <w:color w:val="auto"/>
              </w:rPr>
            </w:pPr>
          </w:p>
        </w:tc>
        <w:tc>
          <w:tcPr>
            <w:tcW w:w="124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2,843</w:t>
            </w:r>
          </w:p>
        </w:tc>
        <w:tc>
          <w:tcPr>
            <w:tcW w:w="14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13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214</w:t>
            </w: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320" w:type="dxa"/>
            <w:vAlign w:val="bottom"/>
          </w:tcPr>
          <w:p>
            <w:pPr>
              <w:ind w:left="480"/>
              <w:spacing w:after="0"/>
              <w:rPr>
                <w:sz w:val="20"/>
                <w:szCs w:val="20"/>
                <w:color w:val="auto"/>
              </w:rPr>
            </w:pPr>
            <w:r>
              <w:rPr>
                <w:rFonts w:ascii="Arial" w:cs="Arial" w:eastAsia="Arial" w:hAnsi="Arial"/>
                <w:sz w:val="18"/>
                <w:szCs w:val="18"/>
                <w:color w:val="auto"/>
              </w:rPr>
              <w:t>Other expense, net</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(6,521)</w:t>
            </w:r>
          </w:p>
        </w:tc>
        <w:tc>
          <w:tcPr>
            <w:tcW w:w="160" w:type="dxa"/>
            <w:vAlign w:val="bottom"/>
          </w:tcPr>
          <w:p>
            <w:pPr>
              <w:spacing w:after="0"/>
              <w:rPr>
                <w:sz w:val="20"/>
                <w:szCs w:val="20"/>
                <w:color w:val="auto"/>
              </w:rPr>
            </w:pPr>
          </w:p>
        </w:tc>
        <w:tc>
          <w:tcPr>
            <w:tcW w:w="1720" w:type="dxa"/>
            <w:vAlign w:val="bottom"/>
            <w:gridSpan w:val="2"/>
          </w:tcPr>
          <w:p>
            <w:pPr>
              <w:jc w:val="right"/>
              <w:ind w:right="280"/>
              <w:spacing w:after="0"/>
              <w:rPr>
                <w:sz w:val="20"/>
                <w:szCs w:val="20"/>
                <w:color w:val="auto"/>
              </w:rPr>
            </w:pPr>
            <w:r>
              <w:rPr>
                <w:rFonts w:ascii="Arial" w:cs="Arial" w:eastAsia="Arial" w:hAnsi="Arial"/>
                <w:sz w:val="18"/>
                <w:szCs w:val="18"/>
                <w:color w:val="auto"/>
              </w:rPr>
              <w:t>(20,393)</w:t>
            </w:r>
          </w:p>
        </w:tc>
        <w:tc>
          <w:tcPr>
            <w:tcW w:w="28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(35,765)</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(98,999)</w:t>
            </w:r>
          </w:p>
        </w:tc>
        <w:tc>
          <w:tcPr>
            <w:tcW w:w="0" w:type="dxa"/>
            <w:vAlign w:val="bottom"/>
          </w:tcPr>
          <w:p>
            <w:pPr>
              <w:spacing w:after="0"/>
              <w:rPr>
                <w:sz w:val="1"/>
                <w:szCs w:val="1"/>
                <w:color w:val="auto"/>
              </w:rPr>
            </w:pPr>
          </w:p>
        </w:tc>
      </w:tr>
      <w:tr>
        <w:trPr>
          <w:trHeight w:val="243"/>
        </w:trPr>
        <w:tc>
          <w:tcPr>
            <w:tcW w:w="4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36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380" w:type="dxa"/>
            <w:vAlign w:val="bottom"/>
            <w:tcBorders>
              <w:top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20" w:type="dxa"/>
            <w:vAlign w:val="bottom"/>
            <w:shd w:val="clear" w:color="auto" w:fill="EAF9E8"/>
          </w:tcPr>
          <w:p>
            <w:pPr>
              <w:spacing w:after="0"/>
              <w:rPr>
                <w:sz w:val="20"/>
                <w:szCs w:val="20"/>
                <w:color w:val="auto"/>
              </w:rPr>
            </w:pPr>
            <w:r>
              <w:rPr>
                <w:rFonts w:ascii="Arial" w:cs="Arial" w:eastAsia="Arial" w:hAnsi="Arial"/>
                <w:sz w:val="18"/>
                <w:szCs w:val="18"/>
                <w:color w:val="auto"/>
                <w:w w:val="97"/>
              </w:rPr>
              <w:t>Income from continuing operations before income taxes</w:t>
            </w:r>
          </w:p>
        </w:tc>
        <w:tc>
          <w:tcPr>
            <w:tcW w:w="340" w:type="dxa"/>
            <w:vAlign w:val="bottom"/>
            <w:shd w:val="clear" w:color="auto" w:fill="EAF9E8"/>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23,458</w:t>
            </w:r>
          </w:p>
        </w:tc>
        <w:tc>
          <w:tcPr>
            <w:tcW w:w="36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72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23,410</w:t>
            </w:r>
          </w:p>
        </w:tc>
        <w:tc>
          <w:tcPr>
            <w:tcW w:w="280" w:type="dxa"/>
            <w:vAlign w:val="bottom"/>
            <w:shd w:val="clear" w:color="auto" w:fill="EAF9E8"/>
          </w:tcPr>
          <w:p>
            <w:pPr>
              <w:spacing w:after="0"/>
              <w:rPr>
                <w:sz w:val="21"/>
                <w:szCs w:val="21"/>
                <w:color w:val="auto"/>
              </w:rPr>
            </w:pPr>
          </w:p>
        </w:tc>
        <w:tc>
          <w:tcPr>
            <w:tcW w:w="124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73,067</w:t>
            </w:r>
          </w:p>
        </w:tc>
        <w:tc>
          <w:tcPr>
            <w:tcW w:w="14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13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34,939</w:t>
            </w: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320" w:type="dxa"/>
            <w:vAlign w:val="bottom"/>
          </w:tcPr>
          <w:p>
            <w:pPr>
              <w:spacing w:after="0"/>
              <w:rPr>
                <w:sz w:val="20"/>
                <w:szCs w:val="20"/>
                <w:color w:val="auto"/>
              </w:rPr>
            </w:pPr>
            <w:r>
              <w:rPr>
                <w:rFonts w:ascii="Arial" w:cs="Arial" w:eastAsia="Arial" w:hAnsi="Arial"/>
                <w:sz w:val="18"/>
                <w:szCs w:val="18"/>
                <w:color w:val="auto"/>
              </w:rPr>
              <w:t>Income tax expense</w:t>
            </w:r>
          </w:p>
        </w:tc>
        <w:tc>
          <w:tcPr>
            <w:tcW w:w="3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65,294</w:t>
            </w:r>
          </w:p>
        </w:tc>
        <w:tc>
          <w:tcPr>
            <w:tcW w:w="3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8,330</w:t>
            </w:r>
          </w:p>
        </w:tc>
        <w:tc>
          <w:tcPr>
            <w:tcW w:w="3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82,803</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11,693</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20" w:type="dxa"/>
            <w:vAlign w:val="bottom"/>
            <w:shd w:val="clear" w:color="auto" w:fill="EAF9E8"/>
          </w:tcPr>
          <w:p>
            <w:pPr>
              <w:ind w:left="160"/>
              <w:spacing w:after="0"/>
              <w:rPr>
                <w:sz w:val="20"/>
                <w:szCs w:val="20"/>
                <w:color w:val="auto"/>
              </w:rPr>
            </w:pPr>
            <w:r>
              <w:rPr>
                <w:rFonts w:ascii="Arial" w:cs="Arial" w:eastAsia="Arial" w:hAnsi="Arial"/>
                <w:sz w:val="18"/>
                <w:szCs w:val="18"/>
                <w:b w:val="1"/>
                <w:bCs w:val="1"/>
                <w:color w:val="auto"/>
              </w:rPr>
              <w:t>Income (loss) from continuing operations</w:t>
            </w:r>
          </w:p>
        </w:tc>
        <w:tc>
          <w:tcPr>
            <w:tcW w:w="340" w:type="dxa"/>
            <w:vAlign w:val="bottom"/>
            <w:shd w:val="clear" w:color="auto" w:fill="EAF9E8"/>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1380" w:type="dxa"/>
            <w:vAlign w:val="bottom"/>
            <w:gridSpan w:val="2"/>
            <w:shd w:val="clear" w:color="auto" w:fill="EAF9E8"/>
          </w:tcPr>
          <w:p>
            <w:pPr>
              <w:jc w:val="right"/>
              <w:ind w:right="300"/>
              <w:spacing w:after="0"/>
              <w:rPr>
                <w:sz w:val="20"/>
                <w:szCs w:val="20"/>
                <w:color w:val="auto"/>
              </w:rPr>
            </w:pPr>
            <w:r>
              <w:rPr>
                <w:rFonts w:ascii="Arial" w:cs="Arial" w:eastAsia="Arial" w:hAnsi="Arial"/>
                <w:sz w:val="18"/>
                <w:szCs w:val="18"/>
                <w:color w:val="auto"/>
              </w:rPr>
              <w:t>(41,836)</w:t>
            </w:r>
          </w:p>
        </w:tc>
        <w:tc>
          <w:tcPr>
            <w:tcW w:w="160" w:type="dxa"/>
            <w:vAlign w:val="bottom"/>
            <w:shd w:val="clear" w:color="auto" w:fill="EAF9E8"/>
          </w:tcPr>
          <w:p>
            <w:pPr>
              <w:spacing w:after="0"/>
              <w:rPr>
                <w:sz w:val="21"/>
                <w:szCs w:val="21"/>
                <w:color w:val="auto"/>
              </w:rPr>
            </w:pPr>
          </w:p>
        </w:tc>
        <w:tc>
          <w:tcPr>
            <w:tcW w:w="172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15,080</w:t>
            </w:r>
          </w:p>
        </w:tc>
        <w:tc>
          <w:tcPr>
            <w:tcW w:w="280" w:type="dxa"/>
            <w:vAlign w:val="bottom"/>
            <w:shd w:val="clear" w:color="auto" w:fill="EAF9E8"/>
          </w:tcPr>
          <w:p>
            <w:pPr>
              <w:spacing w:after="0"/>
              <w:rPr>
                <w:sz w:val="21"/>
                <w:szCs w:val="21"/>
                <w:color w:val="auto"/>
              </w:rPr>
            </w:pPr>
          </w:p>
        </w:tc>
        <w:tc>
          <w:tcPr>
            <w:tcW w:w="124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(9,736)</w:t>
            </w:r>
          </w:p>
        </w:tc>
        <w:tc>
          <w:tcPr>
            <w:tcW w:w="14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13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23,246</w:t>
            </w: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4320" w:type="dxa"/>
            <w:vAlign w:val="bottom"/>
          </w:tcPr>
          <w:p>
            <w:pPr>
              <w:spacing w:after="0"/>
              <w:rPr>
                <w:sz w:val="20"/>
                <w:szCs w:val="20"/>
                <w:color w:val="auto"/>
              </w:rPr>
            </w:pPr>
            <w:r>
              <w:rPr>
                <w:rFonts w:ascii="Arial" w:cs="Arial" w:eastAsia="Arial" w:hAnsi="Arial"/>
                <w:sz w:val="18"/>
                <w:szCs w:val="18"/>
                <w:color w:val="auto"/>
                <w:w w:val="93"/>
              </w:rPr>
              <w:t>Income (loss) from discontinued operations, net of income</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20" w:type="dxa"/>
            <w:vAlign w:val="bottom"/>
          </w:tcPr>
          <w:p>
            <w:pPr>
              <w:ind w:left="160"/>
              <w:spacing w:after="0"/>
              <w:rPr>
                <w:sz w:val="20"/>
                <w:szCs w:val="20"/>
                <w:color w:val="auto"/>
              </w:rPr>
            </w:pPr>
            <w:r>
              <w:rPr>
                <w:rFonts w:ascii="Arial" w:cs="Arial" w:eastAsia="Arial" w:hAnsi="Arial"/>
                <w:sz w:val="18"/>
                <w:szCs w:val="18"/>
                <w:color w:val="auto"/>
              </w:rPr>
              <w:t>taxes</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(231)</w:t>
            </w:r>
          </w:p>
        </w:tc>
        <w:tc>
          <w:tcPr>
            <w:tcW w:w="160" w:type="dxa"/>
            <w:vAlign w:val="bottom"/>
          </w:tcPr>
          <w:p>
            <w:pPr>
              <w:spacing w:after="0"/>
              <w:rPr>
                <w:sz w:val="20"/>
                <w:szCs w:val="20"/>
                <w:color w:val="auto"/>
              </w:rPr>
            </w:pPr>
          </w:p>
        </w:tc>
        <w:tc>
          <w:tcPr>
            <w:tcW w:w="1720" w:type="dxa"/>
            <w:vAlign w:val="bottom"/>
            <w:gridSpan w:val="2"/>
          </w:tcPr>
          <w:p>
            <w:pPr>
              <w:jc w:val="right"/>
              <w:ind w:right="280"/>
              <w:spacing w:after="0"/>
              <w:rPr>
                <w:sz w:val="20"/>
                <w:szCs w:val="20"/>
                <w:color w:val="auto"/>
              </w:rPr>
            </w:pPr>
            <w:r>
              <w:rPr>
                <w:rFonts w:ascii="Arial" w:cs="Arial" w:eastAsia="Arial" w:hAnsi="Arial"/>
                <w:sz w:val="18"/>
                <w:szCs w:val="18"/>
                <w:color w:val="auto"/>
              </w:rPr>
              <w:t>(186)</w:t>
            </w:r>
          </w:p>
        </w:tc>
        <w:tc>
          <w:tcPr>
            <w:tcW w:w="28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633</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(5,572)</w:t>
            </w:r>
          </w:p>
        </w:tc>
        <w:tc>
          <w:tcPr>
            <w:tcW w:w="0" w:type="dxa"/>
            <w:vAlign w:val="bottom"/>
          </w:tcPr>
          <w:p>
            <w:pPr>
              <w:spacing w:after="0"/>
              <w:rPr>
                <w:sz w:val="1"/>
                <w:szCs w:val="1"/>
                <w:color w:val="auto"/>
              </w:rPr>
            </w:pPr>
          </w:p>
        </w:tc>
      </w:tr>
      <w:tr>
        <w:trPr>
          <w:trHeight w:val="21"/>
        </w:trPr>
        <w:tc>
          <w:tcPr>
            <w:tcW w:w="4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4320" w:type="dxa"/>
            <w:vAlign w:val="bottom"/>
            <w:shd w:val="clear" w:color="auto" w:fill="EAF9E8"/>
          </w:tcPr>
          <w:p>
            <w:pPr>
              <w:ind w:left="480"/>
              <w:spacing w:after="0"/>
              <w:rPr>
                <w:sz w:val="20"/>
                <w:szCs w:val="20"/>
                <w:color w:val="auto"/>
              </w:rPr>
            </w:pPr>
            <w:r>
              <w:rPr>
                <w:rFonts w:ascii="Arial" w:cs="Arial" w:eastAsia="Arial" w:hAnsi="Arial"/>
                <w:sz w:val="18"/>
                <w:szCs w:val="18"/>
                <w:b w:val="1"/>
                <w:bCs w:val="1"/>
                <w:color w:val="auto"/>
              </w:rPr>
              <w:t>Net income (loss)</w:t>
            </w:r>
          </w:p>
        </w:tc>
        <w:tc>
          <w:tcPr>
            <w:tcW w:w="340" w:type="dxa"/>
            <w:vAlign w:val="bottom"/>
            <w:shd w:val="clear" w:color="auto" w:fill="EAF9E8"/>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1380" w:type="dxa"/>
            <w:vAlign w:val="bottom"/>
            <w:gridSpan w:val="2"/>
            <w:shd w:val="clear" w:color="auto" w:fill="EAF9E8"/>
          </w:tcPr>
          <w:p>
            <w:pPr>
              <w:jc w:val="right"/>
              <w:ind w:right="300"/>
              <w:spacing w:after="0"/>
              <w:rPr>
                <w:sz w:val="20"/>
                <w:szCs w:val="20"/>
                <w:color w:val="auto"/>
              </w:rPr>
            </w:pPr>
            <w:r>
              <w:rPr>
                <w:rFonts w:ascii="Arial" w:cs="Arial" w:eastAsia="Arial" w:hAnsi="Arial"/>
                <w:sz w:val="18"/>
                <w:szCs w:val="18"/>
                <w:color w:val="auto"/>
              </w:rPr>
              <w:t>(42,067)</w:t>
            </w:r>
          </w:p>
        </w:tc>
        <w:tc>
          <w:tcPr>
            <w:tcW w:w="160" w:type="dxa"/>
            <w:vAlign w:val="bottom"/>
            <w:shd w:val="clear" w:color="auto" w:fill="EAF9E8"/>
          </w:tcPr>
          <w:p>
            <w:pPr>
              <w:spacing w:after="0"/>
              <w:rPr>
                <w:sz w:val="21"/>
                <w:szCs w:val="21"/>
                <w:color w:val="auto"/>
              </w:rPr>
            </w:pPr>
          </w:p>
        </w:tc>
        <w:tc>
          <w:tcPr>
            <w:tcW w:w="172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14,894</w:t>
            </w:r>
          </w:p>
        </w:tc>
        <w:tc>
          <w:tcPr>
            <w:tcW w:w="280" w:type="dxa"/>
            <w:vAlign w:val="bottom"/>
            <w:shd w:val="clear" w:color="auto" w:fill="EAF9E8"/>
          </w:tcPr>
          <w:p>
            <w:pPr>
              <w:spacing w:after="0"/>
              <w:rPr>
                <w:sz w:val="21"/>
                <w:szCs w:val="21"/>
                <w:color w:val="auto"/>
              </w:rPr>
            </w:pPr>
          </w:p>
        </w:tc>
        <w:tc>
          <w:tcPr>
            <w:tcW w:w="124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(9,103)</w:t>
            </w:r>
          </w:p>
        </w:tc>
        <w:tc>
          <w:tcPr>
            <w:tcW w:w="14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13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17,674</w:t>
            </w: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4320" w:type="dxa"/>
            <w:vAlign w:val="bottom"/>
          </w:tcPr>
          <w:p>
            <w:pPr>
              <w:spacing w:after="0"/>
              <w:rPr>
                <w:sz w:val="20"/>
                <w:szCs w:val="20"/>
                <w:color w:val="auto"/>
              </w:rPr>
            </w:pPr>
            <w:r>
              <w:rPr>
                <w:rFonts w:ascii="Arial" w:cs="Arial" w:eastAsia="Arial" w:hAnsi="Arial"/>
                <w:sz w:val="18"/>
                <w:szCs w:val="18"/>
                <w:color w:val="auto"/>
                <w:w w:val="93"/>
              </w:rPr>
              <w:t>Net loss (income) attributable to non-controlling interest in</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4320" w:type="dxa"/>
            <w:vAlign w:val="bottom"/>
          </w:tcPr>
          <w:p>
            <w:pPr>
              <w:ind w:left="160"/>
              <w:spacing w:after="0"/>
              <w:rPr>
                <w:sz w:val="20"/>
                <w:szCs w:val="20"/>
                <w:color w:val="auto"/>
              </w:rPr>
            </w:pPr>
            <w:r>
              <w:rPr>
                <w:rFonts w:ascii="Arial" w:cs="Arial" w:eastAsia="Arial" w:hAnsi="Arial"/>
                <w:sz w:val="18"/>
                <w:szCs w:val="18"/>
                <w:color w:val="auto"/>
              </w:rPr>
              <w:t>subsidiaries</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w:t>
            </w: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20" w:type="dxa"/>
            <w:vAlign w:val="bottom"/>
            <w:gridSpan w:val="2"/>
          </w:tcPr>
          <w:p>
            <w:pPr>
              <w:jc w:val="right"/>
              <w:ind w:right="340"/>
              <w:spacing w:after="0"/>
              <w:rPr>
                <w:sz w:val="20"/>
                <w:szCs w:val="20"/>
                <w:color w:val="auto"/>
              </w:rPr>
            </w:pPr>
            <w:r>
              <w:rPr>
                <w:rFonts w:ascii="Arial" w:cs="Arial" w:eastAsia="Arial" w:hAnsi="Arial"/>
                <w:sz w:val="18"/>
                <w:szCs w:val="18"/>
                <w:color w:val="auto"/>
              </w:rPr>
              <w:t>82</w:t>
            </w:r>
          </w:p>
        </w:tc>
        <w:tc>
          <w:tcPr>
            <w:tcW w:w="28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02"/>
        </w:trPr>
        <w:tc>
          <w:tcPr>
            <w:tcW w:w="4320" w:type="dxa"/>
            <w:vAlign w:val="bottom"/>
            <w:shd w:val="clear" w:color="auto" w:fill="EAF9E8"/>
          </w:tcPr>
          <w:p>
            <w:pPr>
              <w:ind w:left="480"/>
              <w:spacing w:after="0" w:line="201" w:lineRule="exact"/>
              <w:rPr>
                <w:sz w:val="20"/>
                <w:szCs w:val="20"/>
                <w:color w:val="auto"/>
              </w:rPr>
            </w:pPr>
            <w:r>
              <w:rPr>
                <w:rFonts w:ascii="Arial" w:cs="Arial" w:eastAsia="Arial" w:hAnsi="Arial"/>
                <w:sz w:val="18"/>
                <w:szCs w:val="18"/>
                <w:b w:val="1"/>
                <w:bCs w:val="1"/>
                <w:color w:val="auto"/>
                <w:w w:val="90"/>
              </w:rPr>
              <w:t>Net income (loss) attributable to Ocwen Financial</w:t>
            </w:r>
          </w:p>
        </w:tc>
        <w:tc>
          <w:tcPr>
            <w:tcW w:w="340" w:type="dxa"/>
            <w:vAlign w:val="bottom"/>
            <w:shd w:val="clear" w:color="auto" w:fill="EAF9E8"/>
          </w:tcPr>
          <w:p>
            <w:pPr>
              <w:spacing w:after="0"/>
              <w:rPr>
                <w:sz w:val="17"/>
                <w:szCs w:val="17"/>
                <w:color w:val="auto"/>
              </w:rPr>
            </w:pPr>
          </w:p>
        </w:tc>
        <w:tc>
          <w:tcPr>
            <w:tcW w:w="280" w:type="dxa"/>
            <w:vAlign w:val="bottom"/>
            <w:tcBorders>
              <w:top w:val="single" w:sz="8" w:color="auto"/>
            </w:tcBorders>
            <w:shd w:val="clear" w:color="auto" w:fill="EAF9E8"/>
          </w:tcPr>
          <w:p>
            <w:pPr>
              <w:spacing w:after="0"/>
              <w:rPr>
                <w:sz w:val="17"/>
                <w:szCs w:val="17"/>
                <w:color w:val="auto"/>
              </w:rPr>
            </w:pPr>
          </w:p>
        </w:tc>
        <w:tc>
          <w:tcPr>
            <w:tcW w:w="1020" w:type="dxa"/>
            <w:vAlign w:val="bottom"/>
            <w:tcBorders>
              <w:top w:val="single" w:sz="8" w:color="auto"/>
            </w:tcBorders>
            <w:shd w:val="clear" w:color="auto" w:fill="EAF9E8"/>
          </w:tcPr>
          <w:p>
            <w:pPr>
              <w:spacing w:after="0"/>
              <w:rPr>
                <w:sz w:val="17"/>
                <w:szCs w:val="17"/>
                <w:color w:val="auto"/>
              </w:rPr>
            </w:pPr>
          </w:p>
        </w:tc>
        <w:tc>
          <w:tcPr>
            <w:tcW w:w="360" w:type="dxa"/>
            <w:vAlign w:val="bottom"/>
            <w:shd w:val="clear" w:color="auto" w:fill="EAF9E8"/>
          </w:tcPr>
          <w:p>
            <w:pPr>
              <w:spacing w:after="0"/>
              <w:rPr>
                <w:sz w:val="17"/>
                <w:szCs w:val="17"/>
                <w:color w:val="auto"/>
              </w:rPr>
            </w:pPr>
          </w:p>
        </w:tc>
        <w:tc>
          <w:tcPr>
            <w:tcW w:w="160" w:type="dxa"/>
            <w:vAlign w:val="bottom"/>
            <w:tcBorders>
              <w:top w:val="single" w:sz="8" w:color="auto"/>
            </w:tcBorders>
            <w:shd w:val="clear" w:color="auto" w:fill="EAF9E8"/>
          </w:tcPr>
          <w:p>
            <w:pPr>
              <w:spacing w:after="0"/>
              <w:rPr>
                <w:sz w:val="17"/>
                <w:szCs w:val="17"/>
                <w:color w:val="auto"/>
              </w:rPr>
            </w:pPr>
          </w:p>
        </w:tc>
        <w:tc>
          <w:tcPr>
            <w:tcW w:w="1380" w:type="dxa"/>
            <w:vAlign w:val="bottom"/>
            <w:tcBorders>
              <w:top w:val="single" w:sz="8" w:color="auto"/>
            </w:tcBorders>
            <w:shd w:val="clear" w:color="auto" w:fill="EAF9E8"/>
          </w:tcPr>
          <w:p>
            <w:pPr>
              <w:spacing w:after="0"/>
              <w:rPr>
                <w:sz w:val="17"/>
                <w:szCs w:val="17"/>
                <w:color w:val="auto"/>
              </w:rPr>
            </w:pPr>
          </w:p>
        </w:tc>
        <w:tc>
          <w:tcPr>
            <w:tcW w:w="340" w:type="dxa"/>
            <w:vAlign w:val="bottom"/>
            <w:shd w:val="clear" w:color="auto" w:fill="EAF9E8"/>
          </w:tcPr>
          <w:p>
            <w:pPr>
              <w:spacing w:after="0"/>
              <w:rPr>
                <w:sz w:val="17"/>
                <w:szCs w:val="17"/>
                <w:color w:val="auto"/>
              </w:rPr>
            </w:pPr>
          </w:p>
        </w:tc>
        <w:tc>
          <w:tcPr>
            <w:tcW w:w="280" w:type="dxa"/>
            <w:vAlign w:val="bottom"/>
            <w:tcBorders>
              <w:top w:val="single" w:sz="8" w:color="auto"/>
            </w:tcBorders>
            <w:shd w:val="clear" w:color="auto" w:fill="EAF9E8"/>
          </w:tcPr>
          <w:p>
            <w:pPr>
              <w:spacing w:after="0"/>
              <w:rPr>
                <w:sz w:val="17"/>
                <w:szCs w:val="17"/>
                <w:color w:val="auto"/>
              </w:rPr>
            </w:pPr>
          </w:p>
        </w:tc>
        <w:tc>
          <w:tcPr>
            <w:tcW w:w="1040" w:type="dxa"/>
            <w:vAlign w:val="bottom"/>
            <w:tcBorders>
              <w:top w:val="single" w:sz="8" w:color="auto"/>
            </w:tcBorders>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140" w:type="dxa"/>
            <w:vAlign w:val="bottom"/>
            <w:tcBorders>
              <w:top w:val="single" w:sz="8" w:color="auto"/>
            </w:tcBorders>
            <w:shd w:val="clear" w:color="auto" w:fill="EAF9E8"/>
          </w:tcPr>
          <w:p>
            <w:pPr>
              <w:spacing w:after="0"/>
              <w:rPr>
                <w:sz w:val="17"/>
                <w:szCs w:val="17"/>
                <w:color w:val="auto"/>
              </w:rPr>
            </w:pPr>
          </w:p>
        </w:tc>
        <w:tc>
          <w:tcPr>
            <w:tcW w:w="1300" w:type="dxa"/>
            <w:vAlign w:val="bottom"/>
            <w:tcBorders>
              <w:top w:val="single" w:sz="8" w:color="auto"/>
            </w:tcBorders>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EAF9E8"/>
          </w:tcPr>
          <w:p>
            <w:pPr>
              <w:ind w:left="640"/>
              <w:spacing w:after="0"/>
              <w:rPr>
                <w:sz w:val="20"/>
                <w:szCs w:val="20"/>
                <w:color w:val="auto"/>
              </w:rPr>
            </w:pPr>
            <w:r>
              <w:rPr>
                <w:rFonts w:ascii="Arial" w:cs="Arial" w:eastAsia="Arial" w:hAnsi="Arial"/>
                <w:sz w:val="18"/>
                <w:szCs w:val="18"/>
                <w:b w:val="1"/>
                <w:bCs w:val="1"/>
                <w:color w:val="auto"/>
              </w:rPr>
              <w:t>Corporation (OCN)</w:t>
            </w:r>
          </w:p>
        </w:tc>
        <w:tc>
          <w:tcPr>
            <w:tcW w:w="62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EAF9E8"/>
          </w:tcPr>
          <w:p>
            <w:pPr>
              <w:jc w:val="right"/>
              <w:ind w:right="300"/>
              <w:spacing w:after="0"/>
              <w:rPr>
                <w:sz w:val="20"/>
                <w:szCs w:val="20"/>
                <w:color w:val="auto"/>
              </w:rPr>
            </w:pPr>
            <w:r>
              <w:rPr>
                <w:rFonts w:ascii="Arial" w:cs="Arial" w:eastAsia="Arial" w:hAnsi="Arial"/>
                <w:sz w:val="18"/>
                <w:szCs w:val="18"/>
                <w:color w:val="auto"/>
              </w:rPr>
              <w:t>(42,031)</w:t>
            </w:r>
          </w:p>
        </w:tc>
        <w:tc>
          <w:tcPr>
            <w:tcW w:w="160" w:type="dxa"/>
            <w:vAlign w:val="bottom"/>
            <w:shd w:val="clear" w:color="auto" w:fill="EAF9E8"/>
          </w:tcPr>
          <w:p>
            <w:pPr>
              <w:jc w:val="right"/>
              <w:ind w:right="3"/>
              <w:spacing w:after="0"/>
              <w:rPr>
                <w:sz w:val="20"/>
                <w:szCs w:val="20"/>
                <w:color w:val="auto"/>
              </w:rPr>
            </w:pPr>
            <w:r>
              <w:rPr>
                <w:rFonts w:ascii="Arial" w:cs="Arial" w:eastAsia="Arial" w:hAnsi="Arial"/>
                <w:sz w:val="15"/>
                <w:szCs w:val="15"/>
                <w:color w:val="auto"/>
                <w:w w:val="71"/>
              </w:rPr>
              <w:t>$</w:t>
            </w:r>
          </w:p>
        </w:tc>
        <w:tc>
          <w:tcPr>
            <w:tcW w:w="172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14,976</w:t>
            </w:r>
          </w:p>
        </w:tc>
        <w:tc>
          <w:tcPr>
            <w:tcW w:w="280" w:type="dxa"/>
            <w:vAlign w:val="bottom"/>
            <w:shd w:val="clear" w:color="auto" w:fill="EAF9E8"/>
          </w:tcPr>
          <w:p>
            <w:pPr>
              <w:jc w:val="right"/>
              <w:ind w:right="92"/>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(9,092)</w:t>
            </w:r>
          </w:p>
        </w:tc>
        <w:tc>
          <w:tcPr>
            <w:tcW w:w="28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13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17,531</w:t>
            </w:r>
          </w:p>
        </w:tc>
        <w:tc>
          <w:tcPr>
            <w:tcW w:w="120" w:type="dxa"/>
            <w:vAlign w:val="bottom"/>
            <w:shd w:val="clear" w:color="auto" w:fill="EAF9E8"/>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320" w:type="dxa"/>
            <w:vAlign w:val="bottom"/>
            <w:vMerge w:val="restart"/>
          </w:tcPr>
          <w:p>
            <w:pPr>
              <w:spacing w:after="0"/>
              <w:rPr>
                <w:sz w:val="20"/>
                <w:szCs w:val="20"/>
                <w:color w:val="auto"/>
              </w:rPr>
            </w:pPr>
            <w:r>
              <w:rPr>
                <w:rFonts w:ascii="Arial" w:cs="Arial" w:eastAsia="Arial" w:hAnsi="Arial"/>
                <w:sz w:val="18"/>
                <w:szCs w:val="18"/>
                <w:b w:val="1"/>
                <w:bCs w:val="1"/>
                <w:color w:val="auto"/>
              </w:rPr>
              <w:t>Basic earnings per share</w:t>
            </w: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320" w:type="dxa"/>
            <w:vAlign w:val="bottom"/>
            <w:vMerge w:val="continu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9"/>
        </w:trPr>
        <w:tc>
          <w:tcPr>
            <w:tcW w:w="432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4320" w:type="dxa"/>
            <w:vAlign w:val="bottom"/>
            <w:shd w:val="clear" w:color="auto" w:fill="EAF9E8"/>
          </w:tcPr>
          <w:p>
            <w:pPr>
              <w:ind w:left="160"/>
              <w:spacing w:after="0"/>
              <w:rPr>
                <w:sz w:val="20"/>
                <w:szCs w:val="20"/>
                <w:color w:val="auto"/>
              </w:rPr>
            </w:pPr>
            <w:r>
              <w:rPr>
                <w:rFonts w:ascii="Arial" w:cs="Arial" w:eastAsia="Arial" w:hAnsi="Arial"/>
                <w:sz w:val="18"/>
                <w:szCs w:val="18"/>
                <w:color w:val="auto"/>
                <w:w w:val="95"/>
              </w:rPr>
              <w:t>Income from continuing operations attributable to OCN</w:t>
            </w:r>
          </w:p>
        </w:tc>
        <w:tc>
          <w:tcPr>
            <w:tcW w:w="34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38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3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320" w:type="dxa"/>
            <w:vAlign w:val="bottom"/>
            <w:shd w:val="clear" w:color="auto" w:fill="EAF9E8"/>
          </w:tcPr>
          <w:p>
            <w:pPr>
              <w:ind w:left="320"/>
              <w:spacing w:after="0"/>
              <w:rPr>
                <w:sz w:val="20"/>
                <w:szCs w:val="20"/>
                <w:color w:val="auto"/>
              </w:rPr>
            </w:pPr>
            <w:r>
              <w:rPr>
                <w:rFonts w:ascii="Arial" w:cs="Arial" w:eastAsia="Arial" w:hAnsi="Arial"/>
                <w:sz w:val="18"/>
                <w:szCs w:val="18"/>
                <w:color w:val="auto"/>
              </w:rPr>
              <w:t>common shareholders</w:t>
            </w:r>
          </w:p>
        </w:tc>
        <w:tc>
          <w:tcPr>
            <w:tcW w:w="62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EAF9E8"/>
          </w:tcPr>
          <w:p>
            <w:pPr>
              <w:jc w:val="right"/>
              <w:ind w:right="300"/>
              <w:spacing w:after="0"/>
              <w:rPr>
                <w:sz w:val="20"/>
                <w:szCs w:val="20"/>
                <w:color w:val="auto"/>
              </w:rPr>
            </w:pPr>
            <w:r>
              <w:rPr>
                <w:rFonts w:ascii="Arial" w:cs="Arial" w:eastAsia="Arial" w:hAnsi="Arial"/>
                <w:sz w:val="18"/>
                <w:szCs w:val="18"/>
                <w:color w:val="auto"/>
              </w:rPr>
              <w:t>(0.51)</w:t>
            </w:r>
          </w:p>
        </w:tc>
        <w:tc>
          <w:tcPr>
            <w:tcW w:w="160" w:type="dxa"/>
            <w:vAlign w:val="bottom"/>
            <w:shd w:val="clear" w:color="auto" w:fill="EAF9E8"/>
          </w:tcPr>
          <w:p>
            <w:pPr>
              <w:jc w:val="right"/>
              <w:ind w:right="3"/>
              <w:spacing w:after="0"/>
              <w:rPr>
                <w:sz w:val="20"/>
                <w:szCs w:val="20"/>
                <w:color w:val="auto"/>
              </w:rPr>
            </w:pPr>
            <w:r>
              <w:rPr>
                <w:rFonts w:ascii="Arial" w:cs="Arial" w:eastAsia="Arial" w:hAnsi="Arial"/>
                <w:sz w:val="15"/>
                <w:szCs w:val="15"/>
                <w:color w:val="auto"/>
                <w:w w:val="71"/>
              </w:rPr>
              <w:t>$</w:t>
            </w:r>
          </w:p>
        </w:tc>
        <w:tc>
          <w:tcPr>
            <w:tcW w:w="172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0.24</w:t>
            </w:r>
          </w:p>
        </w:tc>
        <w:tc>
          <w:tcPr>
            <w:tcW w:w="280" w:type="dxa"/>
            <w:vAlign w:val="bottom"/>
            <w:shd w:val="clear" w:color="auto" w:fill="EAF9E8"/>
          </w:tcPr>
          <w:p>
            <w:pPr>
              <w:jc w:val="right"/>
              <w:ind w:right="92"/>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(0.14)</w:t>
            </w:r>
          </w:p>
        </w:tc>
        <w:tc>
          <w:tcPr>
            <w:tcW w:w="28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13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0.37</w:t>
            </w:r>
          </w:p>
        </w:tc>
        <w:tc>
          <w:tcPr>
            <w:tcW w:w="12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4320" w:type="dxa"/>
            <w:vAlign w:val="bottom"/>
          </w:tcPr>
          <w:p>
            <w:pPr>
              <w:ind w:left="160"/>
              <w:spacing w:after="0"/>
              <w:rPr>
                <w:sz w:val="20"/>
                <w:szCs w:val="20"/>
                <w:color w:val="auto"/>
              </w:rPr>
            </w:pPr>
            <w:r>
              <w:rPr>
                <w:rFonts w:ascii="Arial" w:cs="Arial" w:eastAsia="Arial" w:hAnsi="Arial"/>
                <w:sz w:val="18"/>
                <w:szCs w:val="18"/>
                <w:color w:val="auto"/>
                <w:w w:val="90"/>
              </w:rPr>
              <w:t>Income (loss) from discontinued operations attributable to</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4320" w:type="dxa"/>
            <w:vAlign w:val="bottom"/>
          </w:tcPr>
          <w:p>
            <w:pPr>
              <w:ind w:left="320"/>
              <w:spacing w:after="0"/>
              <w:rPr>
                <w:sz w:val="20"/>
                <w:szCs w:val="20"/>
                <w:color w:val="auto"/>
              </w:rPr>
            </w:pPr>
            <w:r>
              <w:rPr>
                <w:rFonts w:ascii="Arial" w:cs="Arial" w:eastAsia="Arial" w:hAnsi="Arial"/>
                <w:sz w:val="18"/>
                <w:szCs w:val="18"/>
                <w:color w:val="auto"/>
              </w:rPr>
              <w:t>OCN common shareholders</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7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0.01</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08"/>
        </w:trPr>
        <w:tc>
          <w:tcPr>
            <w:tcW w:w="43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Net income (loss) attributable to OCN common</w:t>
            </w:r>
          </w:p>
        </w:tc>
        <w:tc>
          <w:tcPr>
            <w:tcW w:w="340" w:type="dxa"/>
            <w:vAlign w:val="bottom"/>
            <w:shd w:val="clear" w:color="auto" w:fill="EAF9E8"/>
          </w:tcPr>
          <w:p>
            <w:pPr>
              <w:spacing w:after="0"/>
              <w:rPr>
                <w:sz w:val="18"/>
                <w:szCs w:val="18"/>
                <w:color w:val="auto"/>
              </w:rPr>
            </w:pPr>
          </w:p>
        </w:tc>
        <w:tc>
          <w:tcPr>
            <w:tcW w:w="280" w:type="dxa"/>
            <w:vAlign w:val="bottom"/>
            <w:tcBorders>
              <w:top w:val="single" w:sz="8" w:color="auto"/>
            </w:tcBorders>
            <w:shd w:val="clear" w:color="auto" w:fill="EAF9E8"/>
          </w:tcPr>
          <w:p>
            <w:pPr>
              <w:spacing w:after="0"/>
              <w:rPr>
                <w:sz w:val="18"/>
                <w:szCs w:val="18"/>
                <w:color w:val="auto"/>
              </w:rPr>
            </w:pPr>
          </w:p>
        </w:tc>
        <w:tc>
          <w:tcPr>
            <w:tcW w:w="1020" w:type="dxa"/>
            <w:vAlign w:val="bottom"/>
            <w:tcBorders>
              <w:top w:val="single" w:sz="8" w:color="auto"/>
            </w:tcBorders>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60" w:type="dxa"/>
            <w:vAlign w:val="bottom"/>
            <w:tcBorders>
              <w:top w:val="single" w:sz="8" w:color="auto"/>
            </w:tcBorders>
            <w:shd w:val="clear" w:color="auto" w:fill="EAF9E8"/>
          </w:tcPr>
          <w:p>
            <w:pPr>
              <w:spacing w:after="0"/>
              <w:rPr>
                <w:sz w:val="18"/>
                <w:szCs w:val="18"/>
                <w:color w:val="auto"/>
              </w:rPr>
            </w:pPr>
          </w:p>
        </w:tc>
        <w:tc>
          <w:tcPr>
            <w:tcW w:w="1380" w:type="dxa"/>
            <w:vAlign w:val="bottom"/>
            <w:tcBorders>
              <w:top w:val="single" w:sz="8" w:color="auto"/>
            </w:tcBorders>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280" w:type="dxa"/>
            <w:vAlign w:val="bottom"/>
            <w:tcBorders>
              <w:top w:val="single" w:sz="8" w:color="auto"/>
            </w:tcBorders>
            <w:shd w:val="clear" w:color="auto" w:fill="EAF9E8"/>
          </w:tcPr>
          <w:p>
            <w:pPr>
              <w:spacing w:after="0"/>
              <w:rPr>
                <w:sz w:val="18"/>
                <w:szCs w:val="18"/>
                <w:color w:val="auto"/>
              </w:rPr>
            </w:pPr>
          </w:p>
        </w:tc>
        <w:tc>
          <w:tcPr>
            <w:tcW w:w="1040" w:type="dxa"/>
            <w:vAlign w:val="bottom"/>
            <w:tcBorders>
              <w:top w:val="single" w:sz="8" w:color="auto"/>
            </w:tcBorders>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40" w:type="dxa"/>
            <w:vAlign w:val="bottom"/>
            <w:tcBorders>
              <w:top w:val="single" w:sz="8" w:color="auto"/>
            </w:tcBorders>
            <w:shd w:val="clear" w:color="auto" w:fill="EAF9E8"/>
          </w:tcPr>
          <w:p>
            <w:pPr>
              <w:spacing w:after="0"/>
              <w:rPr>
                <w:sz w:val="18"/>
                <w:szCs w:val="18"/>
                <w:color w:val="auto"/>
              </w:rPr>
            </w:pPr>
          </w:p>
        </w:tc>
        <w:tc>
          <w:tcPr>
            <w:tcW w:w="1300" w:type="dxa"/>
            <w:vAlign w:val="bottom"/>
            <w:tcBorders>
              <w:top w:val="single" w:sz="8" w:color="auto"/>
            </w:tcBorders>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320" w:type="dxa"/>
            <w:vAlign w:val="bottom"/>
            <w:shd w:val="clear" w:color="auto" w:fill="EAF9E8"/>
          </w:tcPr>
          <w:p>
            <w:pPr>
              <w:ind w:left="320"/>
              <w:spacing w:after="0"/>
              <w:rPr>
                <w:sz w:val="20"/>
                <w:szCs w:val="20"/>
                <w:color w:val="auto"/>
              </w:rPr>
            </w:pPr>
            <w:r>
              <w:rPr>
                <w:rFonts w:ascii="Arial" w:cs="Arial" w:eastAsia="Arial" w:hAnsi="Arial"/>
                <w:sz w:val="18"/>
                <w:szCs w:val="18"/>
                <w:color w:val="auto"/>
              </w:rPr>
              <w:t>shareholders</w:t>
            </w:r>
          </w:p>
        </w:tc>
        <w:tc>
          <w:tcPr>
            <w:tcW w:w="62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EAF9E8"/>
          </w:tcPr>
          <w:p>
            <w:pPr>
              <w:jc w:val="right"/>
              <w:ind w:right="300"/>
              <w:spacing w:after="0"/>
              <w:rPr>
                <w:sz w:val="20"/>
                <w:szCs w:val="20"/>
                <w:color w:val="auto"/>
              </w:rPr>
            </w:pPr>
            <w:r>
              <w:rPr>
                <w:rFonts w:ascii="Arial" w:cs="Arial" w:eastAsia="Arial" w:hAnsi="Arial"/>
                <w:sz w:val="18"/>
                <w:szCs w:val="18"/>
                <w:color w:val="auto"/>
              </w:rPr>
              <w:t>(0.51)</w:t>
            </w:r>
          </w:p>
        </w:tc>
        <w:tc>
          <w:tcPr>
            <w:tcW w:w="160" w:type="dxa"/>
            <w:vAlign w:val="bottom"/>
            <w:shd w:val="clear" w:color="auto" w:fill="EAF9E8"/>
          </w:tcPr>
          <w:p>
            <w:pPr>
              <w:jc w:val="right"/>
              <w:ind w:right="3"/>
              <w:spacing w:after="0"/>
              <w:rPr>
                <w:sz w:val="20"/>
                <w:szCs w:val="20"/>
                <w:color w:val="auto"/>
              </w:rPr>
            </w:pPr>
            <w:r>
              <w:rPr>
                <w:rFonts w:ascii="Arial" w:cs="Arial" w:eastAsia="Arial" w:hAnsi="Arial"/>
                <w:sz w:val="15"/>
                <w:szCs w:val="15"/>
                <w:color w:val="auto"/>
                <w:w w:val="71"/>
              </w:rPr>
              <w:t>$</w:t>
            </w:r>
          </w:p>
        </w:tc>
        <w:tc>
          <w:tcPr>
            <w:tcW w:w="172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0.24</w:t>
            </w:r>
          </w:p>
        </w:tc>
        <w:tc>
          <w:tcPr>
            <w:tcW w:w="280" w:type="dxa"/>
            <w:vAlign w:val="bottom"/>
            <w:shd w:val="clear" w:color="auto" w:fill="EAF9E8"/>
          </w:tcPr>
          <w:p>
            <w:pPr>
              <w:jc w:val="right"/>
              <w:ind w:right="92"/>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(0.13)</w:t>
            </w:r>
          </w:p>
        </w:tc>
        <w:tc>
          <w:tcPr>
            <w:tcW w:w="28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13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0.28</w:t>
            </w:r>
          </w:p>
        </w:tc>
        <w:tc>
          <w:tcPr>
            <w:tcW w:w="12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20" w:type="dxa"/>
            <w:vAlign w:val="bottom"/>
            <w:vMerge w:val="restart"/>
          </w:tcPr>
          <w:p>
            <w:pPr>
              <w:spacing w:after="0"/>
              <w:rPr>
                <w:sz w:val="20"/>
                <w:szCs w:val="20"/>
                <w:color w:val="auto"/>
              </w:rPr>
            </w:pPr>
            <w:r>
              <w:rPr>
                <w:rFonts w:ascii="Arial" w:cs="Arial" w:eastAsia="Arial" w:hAnsi="Arial"/>
                <w:sz w:val="18"/>
                <w:szCs w:val="18"/>
                <w:b w:val="1"/>
                <w:bCs w:val="1"/>
                <w:color w:val="auto"/>
              </w:rPr>
              <w:t>Diluted earnings per share</w:t>
            </w: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320" w:type="dxa"/>
            <w:vAlign w:val="bottom"/>
            <w:vMerge w:val="continu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9"/>
        </w:trPr>
        <w:tc>
          <w:tcPr>
            <w:tcW w:w="432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4320" w:type="dxa"/>
            <w:vAlign w:val="bottom"/>
            <w:shd w:val="clear" w:color="auto" w:fill="EAF9E8"/>
          </w:tcPr>
          <w:p>
            <w:pPr>
              <w:ind w:left="160"/>
              <w:spacing w:after="0"/>
              <w:rPr>
                <w:sz w:val="20"/>
                <w:szCs w:val="20"/>
                <w:color w:val="auto"/>
              </w:rPr>
            </w:pPr>
            <w:r>
              <w:rPr>
                <w:rFonts w:ascii="Arial" w:cs="Arial" w:eastAsia="Arial" w:hAnsi="Arial"/>
                <w:sz w:val="18"/>
                <w:szCs w:val="18"/>
                <w:color w:val="auto"/>
                <w:w w:val="95"/>
              </w:rPr>
              <w:t>Income from continuing operations attributable to OCN</w:t>
            </w:r>
          </w:p>
        </w:tc>
        <w:tc>
          <w:tcPr>
            <w:tcW w:w="34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38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3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320" w:type="dxa"/>
            <w:vAlign w:val="bottom"/>
            <w:shd w:val="clear" w:color="auto" w:fill="EAF9E8"/>
          </w:tcPr>
          <w:p>
            <w:pPr>
              <w:ind w:left="320"/>
              <w:spacing w:after="0"/>
              <w:rPr>
                <w:sz w:val="20"/>
                <w:szCs w:val="20"/>
                <w:color w:val="auto"/>
              </w:rPr>
            </w:pPr>
            <w:r>
              <w:rPr>
                <w:rFonts w:ascii="Arial" w:cs="Arial" w:eastAsia="Arial" w:hAnsi="Arial"/>
                <w:sz w:val="18"/>
                <w:szCs w:val="18"/>
                <w:color w:val="auto"/>
              </w:rPr>
              <w:t>common shareholders</w:t>
            </w:r>
          </w:p>
        </w:tc>
        <w:tc>
          <w:tcPr>
            <w:tcW w:w="62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EAF9E8"/>
          </w:tcPr>
          <w:p>
            <w:pPr>
              <w:jc w:val="right"/>
              <w:ind w:right="300"/>
              <w:spacing w:after="0"/>
              <w:rPr>
                <w:sz w:val="20"/>
                <w:szCs w:val="20"/>
                <w:color w:val="auto"/>
              </w:rPr>
            </w:pPr>
            <w:r>
              <w:rPr>
                <w:rFonts w:ascii="Arial" w:cs="Arial" w:eastAsia="Arial" w:hAnsi="Arial"/>
                <w:sz w:val="18"/>
                <w:szCs w:val="18"/>
                <w:color w:val="auto"/>
              </w:rPr>
              <w:t>(0.51)</w:t>
            </w:r>
          </w:p>
        </w:tc>
        <w:tc>
          <w:tcPr>
            <w:tcW w:w="160" w:type="dxa"/>
            <w:vAlign w:val="bottom"/>
            <w:shd w:val="clear" w:color="auto" w:fill="EAF9E8"/>
          </w:tcPr>
          <w:p>
            <w:pPr>
              <w:jc w:val="right"/>
              <w:ind w:right="3"/>
              <w:spacing w:after="0"/>
              <w:rPr>
                <w:sz w:val="20"/>
                <w:szCs w:val="20"/>
                <w:color w:val="auto"/>
              </w:rPr>
            </w:pPr>
            <w:r>
              <w:rPr>
                <w:rFonts w:ascii="Arial" w:cs="Arial" w:eastAsia="Arial" w:hAnsi="Arial"/>
                <w:sz w:val="15"/>
                <w:szCs w:val="15"/>
                <w:color w:val="auto"/>
                <w:w w:val="71"/>
              </w:rPr>
              <w:t>$</w:t>
            </w:r>
          </w:p>
        </w:tc>
        <w:tc>
          <w:tcPr>
            <w:tcW w:w="172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0.23</w:t>
            </w:r>
          </w:p>
        </w:tc>
        <w:tc>
          <w:tcPr>
            <w:tcW w:w="280" w:type="dxa"/>
            <w:vAlign w:val="bottom"/>
            <w:shd w:val="clear" w:color="auto" w:fill="EAF9E8"/>
          </w:tcPr>
          <w:p>
            <w:pPr>
              <w:jc w:val="right"/>
              <w:ind w:right="92"/>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(0.14)</w:t>
            </w:r>
          </w:p>
        </w:tc>
        <w:tc>
          <w:tcPr>
            <w:tcW w:w="28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13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0.37</w:t>
            </w:r>
          </w:p>
        </w:tc>
        <w:tc>
          <w:tcPr>
            <w:tcW w:w="12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4320" w:type="dxa"/>
            <w:vAlign w:val="bottom"/>
          </w:tcPr>
          <w:p>
            <w:pPr>
              <w:ind w:left="160"/>
              <w:spacing w:after="0"/>
              <w:rPr>
                <w:sz w:val="20"/>
                <w:szCs w:val="20"/>
                <w:color w:val="auto"/>
              </w:rPr>
            </w:pPr>
            <w:r>
              <w:rPr>
                <w:rFonts w:ascii="Arial" w:cs="Arial" w:eastAsia="Arial" w:hAnsi="Arial"/>
                <w:sz w:val="18"/>
                <w:szCs w:val="18"/>
                <w:color w:val="auto"/>
                <w:w w:val="90"/>
              </w:rPr>
              <w:t>Income (loss) from discontinued operations attributable to</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4320" w:type="dxa"/>
            <w:vAlign w:val="bottom"/>
          </w:tcPr>
          <w:p>
            <w:pPr>
              <w:ind w:left="320"/>
              <w:spacing w:after="0"/>
              <w:rPr>
                <w:sz w:val="20"/>
                <w:szCs w:val="20"/>
                <w:color w:val="auto"/>
              </w:rPr>
            </w:pPr>
            <w:r>
              <w:rPr>
                <w:rFonts w:ascii="Arial" w:cs="Arial" w:eastAsia="Arial" w:hAnsi="Arial"/>
                <w:sz w:val="18"/>
                <w:szCs w:val="18"/>
                <w:color w:val="auto"/>
              </w:rPr>
              <w:t>OCN common shareholders</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7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0.01</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08"/>
        </w:trPr>
        <w:tc>
          <w:tcPr>
            <w:tcW w:w="43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Net income (loss) attributable to OCN common</w:t>
            </w:r>
          </w:p>
        </w:tc>
        <w:tc>
          <w:tcPr>
            <w:tcW w:w="340" w:type="dxa"/>
            <w:vAlign w:val="bottom"/>
            <w:shd w:val="clear" w:color="auto" w:fill="EAF9E8"/>
          </w:tcPr>
          <w:p>
            <w:pPr>
              <w:spacing w:after="0"/>
              <w:rPr>
                <w:sz w:val="18"/>
                <w:szCs w:val="18"/>
                <w:color w:val="auto"/>
              </w:rPr>
            </w:pPr>
          </w:p>
        </w:tc>
        <w:tc>
          <w:tcPr>
            <w:tcW w:w="280" w:type="dxa"/>
            <w:vAlign w:val="bottom"/>
            <w:tcBorders>
              <w:top w:val="single" w:sz="8" w:color="auto"/>
            </w:tcBorders>
            <w:shd w:val="clear" w:color="auto" w:fill="EAF9E8"/>
          </w:tcPr>
          <w:p>
            <w:pPr>
              <w:spacing w:after="0"/>
              <w:rPr>
                <w:sz w:val="18"/>
                <w:szCs w:val="18"/>
                <w:color w:val="auto"/>
              </w:rPr>
            </w:pPr>
          </w:p>
        </w:tc>
        <w:tc>
          <w:tcPr>
            <w:tcW w:w="1020" w:type="dxa"/>
            <w:vAlign w:val="bottom"/>
            <w:tcBorders>
              <w:top w:val="single" w:sz="8" w:color="auto"/>
            </w:tcBorders>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60" w:type="dxa"/>
            <w:vAlign w:val="bottom"/>
            <w:tcBorders>
              <w:top w:val="single" w:sz="8" w:color="auto"/>
            </w:tcBorders>
            <w:shd w:val="clear" w:color="auto" w:fill="EAF9E8"/>
          </w:tcPr>
          <w:p>
            <w:pPr>
              <w:spacing w:after="0"/>
              <w:rPr>
                <w:sz w:val="18"/>
                <w:szCs w:val="18"/>
                <w:color w:val="auto"/>
              </w:rPr>
            </w:pPr>
          </w:p>
        </w:tc>
        <w:tc>
          <w:tcPr>
            <w:tcW w:w="1380" w:type="dxa"/>
            <w:vAlign w:val="bottom"/>
            <w:tcBorders>
              <w:top w:val="single" w:sz="8" w:color="auto"/>
            </w:tcBorders>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280" w:type="dxa"/>
            <w:vAlign w:val="bottom"/>
            <w:tcBorders>
              <w:top w:val="single" w:sz="8" w:color="auto"/>
            </w:tcBorders>
            <w:shd w:val="clear" w:color="auto" w:fill="EAF9E8"/>
          </w:tcPr>
          <w:p>
            <w:pPr>
              <w:spacing w:after="0"/>
              <w:rPr>
                <w:sz w:val="18"/>
                <w:szCs w:val="18"/>
                <w:color w:val="auto"/>
              </w:rPr>
            </w:pPr>
          </w:p>
        </w:tc>
        <w:tc>
          <w:tcPr>
            <w:tcW w:w="1040" w:type="dxa"/>
            <w:vAlign w:val="bottom"/>
            <w:tcBorders>
              <w:top w:val="single" w:sz="8" w:color="auto"/>
            </w:tcBorders>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40" w:type="dxa"/>
            <w:vAlign w:val="bottom"/>
            <w:tcBorders>
              <w:top w:val="single" w:sz="8" w:color="auto"/>
            </w:tcBorders>
            <w:shd w:val="clear" w:color="auto" w:fill="EAF9E8"/>
          </w:tcPr>
          <w:p>
            <w:pPr>
              <w:spacing w:after="0"/>
              <w:rPr>
                <w:sz w:val="18"/>
                <w:szCs w:val="18"/>
                <w:color w:val="auto"/>
              </w:rPr>
            </w:pPr>
          </w:p>
        </w:tc>
        <w:tc>
          <w:tcPr>
            <w:tcW w:w="1300" w:type="dxa"/>
            <w:vAlign w:val="bottom"/>
            <w:tcBorders>
              <w:top w:val="single" w:sz="8" w:color="auto"/>
            </w:tcBorders>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320" w:type="dxa"/>
            <w:vAlign w:val="bottom"/>
            <w:shd w:val="clear" w:color="auto" w:fill="EAF9E8"/>
          </w:tcPr>
          <w:p>
            <w:pPr>
              <w:ind w:left="320"/>
              <w:spacing w:after="0"/>
              <w:rPr>
                <w:sz w:val="20"/>
                <w:szCs w:val="20"/>
                <w:color w:val="auto"/>
              </w:rPr>
            </w:pPr>
            <w:r>
              <w:rPr>
                <w:rFonts w:ascii="Arial" w:cs="Arial" w:eastAsia="Arial" w:hAnsi="Arial"/>
                <w:sz w:val="18"/>
                <w:szCs w:val="18"/>
                <w:color w:val="auto"/>
              </w:rPr>
              <w:t>shareholders</w:t>
            </w:r>
          </w:p>
        </w:tc>
        <w:tc>
          <w:tcPr>
            <w:tcW w:w="62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EAF9E8"/>
          </w:tcPr>
          <w:p>
            <w:pPr>
              <w:jc w:val="right"/>
              <w:ind w:right="300"/>
              <w:spacing w:after="0"/>
              <w:rPr>
                <w:sz w:val="20"/>
                <w:szCs w:val="20"/>
                <w:color w:val="auto"/>
              </w:rPr>
            </w:pPr>
            <w:r>
              <w:rPr>
                <w:rFonts w:ascii="Arial" w:cs="Arial" w:eastAsia="Arial" w:hAnsi="Arial"/>
                <w:sz w:val="18"/>
                <w:szCs w:val="18"/>
                <w:color w:val="auto"/>
              </w:rPr>
              <w:t>(0.51)</w:t>
            </w:r>
          </w:p>
        </w:tc>
        <w:tc>
          <w:tcPr>
            <w:tcW w:w="160" w:type="dxa"/>
            <w:vAlign w:val="bottom"/>
            <w:shd w:val="clear" w:color="auto" w:fill="EAF9E8"/>
          </w:tcPr>
          <w:p>
            <w:pPr>
              <w:jc w:val="right"/>
              <w:ind w:right="3"/>
              <w:spacing w:after="0"/>
              <w:rPr>
                <w:sz w:val="20"/>
                <w:szCs w:val="20"/>
                <w:color w:val="auto"/>
              </w:rPr>
            </w:pPr>
            <w:r>
              <w:rPr>
                <w:rFonts w:ascii="Arial" w:cs="Arial" w:eastAsia="Arial" w:hAnsi="Arial"/>
                <w:sz w:val="15"/>
                <w:szCs w:val="15"/>
                <w:color w:val="auto"/>
                <w:w w:val="71"/>
              </w:rPr>
              <w:t>$</w:t>
            </w:r>
          </w:p>
        </w:tc>
        <w:tc>
          <w:tcPr>
            <w:tcW w:w="172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0.23</w:t>
            </w:r>
          </w:p>
        </w:tc>
        <w:tc>
          <w:tcPr>
            <w:tcW w:w="280" w:type="dxa"/>
            <w:vAlign w:val="bottom"/>
            <w:shd w:val="clear" w:color="auto" w:fill="EAF9E8"/>
          </w:tcPr>
          <w:p>
            <w:pPr>
              <w:jc w:val="right"/>
              <w:ind w:right="92"/>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(0.13)</w:t>
            </w:r>
          </w:p>
        </w:tc>
        <w:tc>
          <w:tcPr>
            <w:tcW w:w="28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13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0.28</w:t>
            </w:r>
          </w:p>
        </w:tc>
        <w:tc>
          <w:tcPr>
            <w:tcW w:w="12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20" w:type="dxa"/>
            <w:vAlign w:val="bottom"/>
            <w:vMerge w:val="restart"/>
          </w:tcPr>
          <w:p>
            <w:pPr>
              <w:spacing w:after="0"/>
              <w:rPr>
                <w:sz w:val="20"/>
                <w:szCs w:val="20"/>
                <w:color w:val="auto"/>
              </w:rPr>
            </w:pPr>
            <w:r>
              <w:rPr>
                <w:rFonts w:ascii="Arial" w:cs="Arial" w:eastAsia="Arial" w:hAnsi="Arial"/>
                <w:sz w:val="18"/>
                <w:szCs w:val="18"/>
                <w:b w:val="1"/>
                <w:bCs w:val="1"/>
                <w:color w:val="auto"/>
              </w:rPr>
              <w:t>Weighted average common shares outstanding</w:t>
            </w: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320" w:type="dxa"/>
            <w:vAlign w:val="bottom"/>
            <w:vMerge w:val="continu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9"/>
        </w:trPr>
        <w:tc>
          <w:tcPr>
            <w:tcW w:w="432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43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Basic</w:t>
            </w:r>
          </w:p>
        </w:tc>
        <w:tc>
          <w:tcPr>
            <w:tcW w:w="340" w:type="dxa"/>
            <w:vAlign w:val="bottom"/>
            <w:shd w:val="clear" w:color="auto" w:fill="EAF9E8"/>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82,614,456</w:t>
            </w:r>
          </w:p>
        </w:tc>
        <w:tc>
          <w:tcPr>
            <w:tcW w:w="36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72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62,715,551</w:t>
            </w:r>
          </w:p>
        </w:tc>
        <w:tc>
          <w:tcPr>
            <w:tcW w:w="280" w:type="dxa"/>
            <w:vAlign w:val="bottom"/>
            <w:shd w:val="clear" w:color="auto" w:fill="EAF9E8"/>
          </w:tcPr>
          <w:p>
            <w:pPr>
              <w:spacing w:after="0"/>
              <w:rPr>
                <w:sz w:val="21"/>
                <w:szCs w:val="21"/>
                <w:color w:val="auto"/>
              </w:rPr>
            </w:pPr>
          </w:p>
        </w:tc>
        <w:tc>
          <w:tcPr>
            <w:tcW w:w="124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70,966,393</w:t>
            </w:r>
          </w:p>
        </w:tc>
        <w:tc>
          <w:tcPr>
            <w:tcW w:w="14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13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62,655,655</w:t>
            </w: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4320" w:type="dxa"/>
            <w:vAlign w:val="bottom"/>
          </w:tcPr>
          <w:p>
            <w:pPr>
              <w:ind w:left="160"/>
              <w:spacing w:after="0"/>
              <w:rPr>
                <w:sz w:val="20"/>
                <w:szCs w:val="20"/>
                <w:color w:val="auto"/>
              </w:rPr>
            </w:pPr>
            <w:r>
              <w:rPr>
                <w:rFonts w:ascii="Arial" w:cs="Arial" w:eastAsia="Arial" w:hAnsi="Arial"/>
                <w:sz w:val="18"/>
                <w:szCs w:val="18"/>
                <w:color w:val="auto"/>
              </w:rPr>
              <w:t>Diluted</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82,614,456</w:t>
            </w: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20" w:type="dxa"/>
            <w:vAlign w:val="bottom"/>
            <w:gridSpan w:val="2"/>
          </w:tcPr>
          <w:p>
            <w:pPr>
              <w:jc w:val="right"/>
              <w:ind w:right="340"/>
              <w:spacing w:after="0"/>
              <w:rPr>
                <w:sz w:val="20"/>
                <w:szCs w:val="20"/>
                <w:color w:val="auto"/>
              </w:rPr>
            </w:pPr>
            <w:r>
              <w:rPr>
                <w:rFonts w:ascii="Arial" w:cs="Arial" w:eastAsia="Arial" w:hAnsi="Arial"/>
                <w:sz w:val="18"/>
                <w:szCs w:val="18"/>
                <w:color w:val="auto"/>
              </w:rPr>
              <w:t>69,750,889</w:t>
            </w:r>
          </w:p>
        </w:tc>
        <w:tc>
          <w:tcPr>
            <w:tcW w:w="28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70,966,393</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62,897,271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0" w:gutter="0" w:footer="0" w:header="0"/>
        </w:sectPr>
      </w:pP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5"/>
          <w:szCs w:val="15"/>
          <w:i w:val="1"/>
          <w:iCs w:val="1"/>
          <w:color w:val="auto"/>
        </w:rPr>
        <w:t>The accompanying notes are an integral part of these consolidated financial statements.</w:t>
      </w:r>
    </w:p>
    <w:p>
      <w:pPr>
        <w:sectPr>
          <w:pgSz w:w="11900" w:h="16838" w:orient="portrait"/>
          <w:cols w:equalWidth="0" w:num="1">
            <w:col w:w="11420"/>
          </w:cols>
          <w:pgMar w:left="240" w:top="125" w:right="239" w:bottom="0" w:gutter="0" w:footer="0" w:header="0"/>
          <w:type w:val="continuous"/>
        </w:sectPr>
      </w:pPr>
    </w:p>
    <w:bookmarkStart w:id="5" w:name="page6"/>
    <w:bookmarkEnd w:id="5"/>
    <w:p>
      <w:pPr>
        <w:jc w:val="center"/>
        <w:ind w:right="-20"/>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175260</wp:posOffset>
            </wp:positionV>
            <wp:extent cx="7267575"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019"/>
          </w:cols>
          <w:pgMar w:left="1440" w:top="131" w:right="1440" w:bottom="1440" w:gutter="0" w:footer="0" w:header="0"/>
        </w:sectPr>
      </w:pPr>
    </w:p>
    <w:bookmarkStart w:id="6" w:name="page7"/>
    <w:bookmarkEnd w:id="6"/>
    <w:p>
      <w:pPr>
        <w:jc w:val="center"/>
        <w:ind w:left="260" w:right="2740"/>
        <w:spacing w:after="0" w:line="262" w:lineRule="auto"/>
        <w:rPr>
          <w:sz w:val="20"/>
          <w:szCs w:val="20"/>
          <w:color w:val="auto"/>
        </w:rPr>
      </w:pPr>
      <w:r>
        <w:rPr>
          <w:rFonts w:ascii="Arial" w:cs="Arial" w:eastAsia="Arial" w:hAnsi="Arial"/>
          <w:sz w:val="18"/>
          <w:szCs w:val="18"/>
          <w:b w:val="1"/>
          <w:bCs w:val="1"/>
          <w:color w:val="auto"/>
        </w:rPr>
        <w:t>OCWEN FINANCIAL CORPORATION AND SUBSIDIARIES CONSOLIDATED STATEMENTS OF COMPREHENSIVE INCOME (LOSS) (Dollars 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920" w:type="dxa"/>
            <w:vAlign w:val="bottom"/>
          </w:tcPr>
          <w:p>
            <w:pPr>
              <w:spacing w:after="0"/>
              <w:rPr>
                <w:sz w:val="20"/>
                <w:szCs w:val="20"/>
                <w:color w:val="auto"/>
              </w:rPr>
            </w:pPr>
            <w:r>
              <w:rPr>
                <w:rFonts w:ascii="Arial" w:cs="Arial" w:eastAsia="Arial" w:hAnsi="Arial"/>
                <w:sz w:val="18"/>
                <w:szCs w:val="18"/>
                <w:b w:val="1"/>
                <w:bCs w:val="1"/>
                <w:color w:val="auto"/>
              </w:rPr>
              <w:t>For the periods ended September 30,</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900" w:type="dxa"/>
            <w:vAlign w:val="bottom"/>
            <w:gridSpan w:val="6"/>
          </w:tcPr>
          <w:p>
            <w:pPr>
              <w:jc w:val="right"/>
              <w:ind w:right="1200"/>
              <w:spacing w:after="0"/>
              <w:rPr>
                <w:sz w:val="20"/>
                <w:szCs w:val="20"/>
                <w:color w:val="auto"/>
              </w:rPr>
            </w:pPr>
            <w:r>
              <w:rPr>
                <w:rFonts w:ascii="Arial" w:cs="Arial" w:eastAsia="Arial" w:hAnsi="Arial"/>
                <w:sz w:val="18"/>
                <w:szCs w:val="18"/>
                <w:b w:val="1"/>
                <w:bCs w:val="1"/>
                <w:color w:val="auto"/>
              </w:rPr>
              <w:t>Three months</w:t>
            </w:r>
          </w:p>
        </w:tc>
        <w:tc>
          <w:tcPr>
            <w:tcW w:w="300" w:type="dxa"/>
            <w:vAlign w:val="bottom"/>
          </w:tcPr>
          <w:p>
            <w:pPr>
              <w:spacing w:after="0"/>
              <w:rPr>
                <w:sz w:val="20"/>
                <w:szCs w:val="20"/>
                <w:color w:val="auto"/>
              </w:rPr>
            </w:pPr>
          </w:p>
        </w:tc>
        <w:tc>
          <w:tcPr>
            <w:tcW w:w="2760" w:type="dxa"/>
            <w:vAlign w:val="bottom"/>
            <w:gridSpan w:val="5"/>
          </w:tcPr>
          <w:p>
            <w:pPr>
              <w:jc w:val="right"/>
              <w:ind w:right="1100"/>
              <w:spacing w:after="0"/>
              <w:rPr>
                <w:sz w:val="20"/>
                <w:szCs w:val="20"/>
                <w:color w:val="auto"/>
              </w:rPr>
            </w:pPr>
            <w:r>
              <w:rPr>
                <w:rFonts w:ascii="Arial" w:cs="Arial" w:eastAsia="Arial" w:hAnsi="Arial"/>
                <w:sz w:val="18"/>
                <w:szCs w:val="18"/>
                <w:b w:val="1"/>
                <w:bCs w:val="1"/>
                <w:color w:val="auto"/>
              </w:rPr>
              <w:t>Nine months</w:t>
            </w:r>
          </w:p>
        </w:tc>
        <w:tc>
          <w:tcPr>
            <w:tcW w:w="0" w:type="dxa"/>
            <w:vAlign w:val="bottom"/>
          </w:tcPr>
          <w:p>
            <w:pPr>
              <w:spacing w:after="0"/>
              <w:rPr>
                <w:sz w:val="1"/>
                <w:szCs w:val="1"/>
                <w:color w:val="auto"/>
              </w:rPr>
            </w:pPr>
          </w:p>
        </w:tc>
      </w:tr>
      <w:tr>
        <w:trPr>
          <w:trHeight w:val="250"/>
        </w:trPr>
        <w:tc>
          <w:tcPr>
            <w:tcW w:w="4920" w:type="dxa"/>
            <w:vAlign w:val="bottom"/>
            <w:tcBorders>
              <w:top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8"/>
                <w:szCs w:val="18"/>
                <w:b w:val="1"/>
                <w:bCs w:val="1"/>
                <w:color w:val="auto"/>
              </w:rPr>
              <w:t>2009</w:t>
            </w:r>
          </w:p>
        </w:tc>
        <w:tc>
          <w:tcPr>
            <w:tcW w:w="14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26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8"/>
                <w:szCs w:val="18"/>
                <w:b w:val="1"/>
                <w:bCs w:val="1"/>
                <w:color w:val="auto"/>
              </w:rPr>
              <w:t>2008</w:t>
            </w:r>
          </w:p>
        </w:tc>
        <w:tc>
          <w:tcPr>
            <w:tcW w:w="220" w:type="dxa"/>
            <w:vAlign w:val="bottom"/>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8"/>
                <w:szCs w:val="18"/>
                <w:b w:val="1"/>
                <w:bCs w:val="1"/>
                <w:color w:val="auto"/>
              </w:rPr>
              <w:t>2009</w:t>
            </w:r>
          </w:p>
        </w:tc>
        <w:tc>
          <w:tcPr>
            <w:tcW w:w="220" w:type="dxa"/>
            <w:vAlign w:val="bottom"/>
            <w:tcBorders>
              <w:top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24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4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0"/>
              </w:rPr>
              <w:t>(As Adjusted)</w:t>
            </w: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0"/>
              </w:rPr>
              <w:t>(As Adjusted)</w:t>
            </w:r>
          </w:p>
        </w:tc>
        <w:tc>
          <w:tcPr>
            <w:tcW w:w="0" w:type="dxa"/>
            <w:vAlign w:val="bottom"/>
          </w:tcPr>
          <w:p>
            <w:pPr>
              <w:spacing w:after="0"/>
              <w:rPr>
                <w:sz w:val="1"/>
                <w:szCs w:val="1"/>
                <w:color w:val="auto"/>
              </w:rPr>
            </w:pPr>
          </w:p>
        </w:tc>
      </w:tr>
      <w:tr>
        <w:trPr>
          <w:trHeight w:val="245"/>
        </w:trPr>
        <w:tc>
          <w:tcPr>
            <w:tcW w:w="4920" w:type="dxa"/>
            <w:vAlign w:val="bottom"/>
          </w:tcPr>
          <w:p>
            <w:pPr>
              <w:spacing w:after="0"/>
              <w:rPr>
                <w:sz w:val="21"/>
                <w:szCs w:val="21"/>
                <w:color w:val="auto"/>
              </w:rPr>
            </w:pPr>
          </w:p>
        </w:tc>
        <w:tc>
          <w:tcPr>
            <w:tcW w:w="540" w:type="dxa"/>
            <w:vAlign w:val="bottom"/>
            <w:gridSpan w:val="2"/>
          </w:tcPr>
          <w:p>
            <w:pPr>
              <w:spacing w:after="0"/>
              <w:rPr>
                <w:sz w:val="21"/>
                <w:szCs w:val="21"/>
                <w:color w:val="auto"/>
              </w:rPr>
            </w:pPr>
          </w:p>
        </w:tc>
        <w:tc>
          <w:tcPr>
            <w:tcW w:w="1220" w:type="dxa"/>
            <w:vAlign w:val="bottom"/>
            <w:gridSpan w:val="2"/>
          </w:tcPr>
          <w:p>
            <w:pPr>
              <w:spacing w:after="0"/>
              <w:rPr>
                <w:sz w:val="21"/>
                <w:szCs w:val="21"/>
                <w:color w:val="auto"/>
              </w:rPr>
            </w:pPr>
          </w:p>
        </w:tc>
        <w:tc>
          <w:tcPr>
            <w:tcW w:w="200" w:type="dxa"/>
            <w:vAlign w:val="bottom"/>
            <w:gridSpan w:val="2"/>
          </w:tcPr>
          <w:p>
            <w:pPr>
              <w:spacing w:after="0"/>
              <w:rPr>
                <w:sz w:val="21"/>
                <w:szCs w:val="21"/>
                <w:color w:val="auto"/>
              </w:rPr>
            </w:pPr>
          </w:p>
        </w:tc>
        <w:tc>
          <w:tcPr>
            <w:tcW w:w="1480" w:type="dxa"/>
            <w:vAlign w:val="bottom"/>
            <w:gridSpan w:val="2"/>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gridSpan w:val="2"/>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20" w:type="dxa"/>
            <w:vAlign w:val="bottom"/>
            <w:shd w:val="clear" w:color="auto" w:fill="EAF9E8"/>
          </w:tcPr>
          <w:p>
            <w:pPr>
              <w:spacing w:after="0"/>
              <w:rPr>
                <w:sz w:val="20"/>
                <w:szCs w:val="20"/>
                <w:color w:val="auto"/>
              </w:rPr>
            </w:pPr>
            <w:r>
              <w:rPr>
                <w:rFonts w:ascii="Arial" w:cs="Arial" w:eastAsia="Arial" w:hAnsi="Arial"/>
                <w:sz w:val="18"/>
                <w:szCs w:val="18"/>
                <w:color w:val="auto"/>
              </w:rPr>
              <w:t>Net income (loss)</w:t>
            </w:r>
          </w:p>
        </w:tc>
        <w:tc>
          <w:tcPr>
            <w:tcW w:w="54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(42,067)</w:t>
            </w:r>
          </w:p>
        </w:tc>
        <w:tc>
          <w:tcPr>
            <w:tcW w:w="20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14,894</w:t>
            </w:r>
          </w:p>
        </w:tc>
        <w:tc>
          <w:tcPr>
            <w:tcW w:w="300" w:type="dxa"/>
            <w:vAlign w:val="bottom"/>
            <w:shd w:val="clear" w:color="auto" w:fill="EAF9E8"/>
          </w:tcPr>
          <w:p>
            <w:pPr>
              <w:jc w:val="right"/>
              <w:ind w:right="112"/>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(9,103)</w:t>
            </w:r>
          </w:p>
        </w:tc>
        <w:tc>
          <w:tcPr>
            <w:tcW w:w="12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17,674</w:t>
            </w:r>
          </w:p>
        </w:tc>
        <w:tc>
          <w:tcPr>
            <w:tcW w:w="0" w:type="dxa"/>
            <w:vAlign w:val="bottom"/>
          </w:tcPr>
          <w:p>
            <w:pPr>
              <w:spacing w:after="0"/>
              <w:rPr>
                <w:sz w:val="1"/>
                <w:szCs w:val="1"/>
                <w:color w:val="auto"/>
              </w:rPr>
            </w:pPr>
          </w:p>
        </w:tc>
      </w:tr>
      <w:tr>
        <w:trPr>
          <w:trHeight w:val="484"/>
        </w:trPr>
        <w:tc>
          <w:tcPr>
            <w:tcW w:w="4920" w:type="dxa"/>
            <w:vAlign w:val="bottom"/>
          </w:tcPr>
          <w:p>
            <w:pPr>
              <w:spacing w:after="0"/>
              <w:rPr>
                <w:sz w:val="20"/>
                <w:szCs w:val="20"/>
                <w:color w:val="auto"/>
              </w:rPr>
            </w:pPr>
            <w:r>
              <w:rPr>
                <w:rFonts w:ascii="Arial" w:cs="Arial" w:eastAsia="Arial" w:hAnsi="Arial"/>
                <w:sz w:val="18"/>
                <w:szCs w:val="18"/>
                <w:color w:val="auto"/>
              </w:rPr>
              <w:t>Other comprehensive income, net of income taxes:</w:t>
            </w: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4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gridSpan w:val="2"/>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gridSpan w:val="2"/>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gridSpan w:val="2"/>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20" w:type="dxa"/>
            <w:vAlign w:val="bottom"/>
            <w:shd w:val="clear" w:color="auto" w:fill="EAF9E8"/>
          </w:tcPr>
          <w:p>
            <w:pPr>
              <w:ind w:left="160"/>
              <w:spacing w:after="0"/>
              <w:rPr>
                <w:sz w:val="20"/>
                <w:szCs w:val="20"/>
                <w:color w:val="auto"/>
              </w:rPr>
            </w:pPr>
            <w:r>
              <w:rPr>
                <w:rFonts w:ascii="Arial" w:cs="Arial" w:eastAsia="Arial" w:hAnsi="Arial"/>
                <w:sz w:val="18"/>
                <w:szCs w:val="18"/>
                <w:color w:val="auto"/>
                <w:w w:val="92"/>
              </w:rPr>
              <w:t>Change in unrealized foreign currency translation adjustment (1)</w:t>
            </w:r>
          </w:p>
        </w:tc>
        <w:tc>
          <w:tcPr>
            <w:tcW w:w="240" w:type="dxa"/>
            <w:vAlign w:val="bottom"/>
            <w:shd w:val="clear" w:color="auto" w:fill="EAF9E8"/>
          </w:tcPr>
          <w:p>
            <w:pPr>
              <w:spacing w:after="0"/>
              <w:rPr>
                <w:sz w:val="21"/>
                <w:szCs w:val="21"/>
                <w:color w:val="auto"/>
              </w:rPr>
            </w:pPr>
          </w:p>
        </w:tc>
        <w:tc>
          <w:tcPr>
            <w:tcW w:w="300" w:type="dxa"/>
            <w:vAlign w:val="bottom"/>
            <w:shd w:val="clear" w:color="auto" w:fill="EAF9E8"/>
          </w:tcPr>
          <w:p>
            <w:pPr>
              <w:spacing w:after="0"/>
              <w:rPr>
                <w:sz w:val="21"/>
                <w:szCs w:val="21"/>
                <w:color w:val="auto"/>
              </w:rPr>
            </w:pPr>
          </w:p>
        </w:tc>
        <w:tc>
          <w:tcPr>
            <w:tcW w:w="12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(80)</w:t>
            </w:r>
          </w:p>
        </w:tc>
        <w:tc>
          <w:tcPr>
            <w:tcW w:w="8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148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(88)</w:t>
            </w:r>
          </w:p>
        </w:tc>
        <w:tc>
          <w:tcPr>
            <w:tcW w:w="300" w:type="dxa"/>
            <w:vAlign w:val="bottom"/>
            <w:shd w:val="clear" w:color="auto" w:fill="EAF9E8"/>
          </w:tcPr>
          <w:p>
            <w:pPr>
              <w:spacing w:after="0"/>
              <w:rPr>
                <w:sz w:val="21"/>
                <w:szCs w:val="21"/>
                <w:color w:val="auto"/>
              </w:rPr>
            </w:pPr>
          </w:p>
        </w:tc>
        <w:tc>
          <w:tcPr>
            <w:tcW w:w="130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(307)</w:t>
            </w:r>
          </w:p>
        </w:tc>
        <w:tc>
          <w:tcPr>
            <w:tcW w:w="120" w:type="dxa"/>
            <w:vAlign w:val="bottom"/>
            <w:shd w:val="clear" w:color="auto" w:fill="EAF9E8"/>
          </w:tcPr>
          <w:p>
            <w:pPr>
              <w:spacing w:after="0"/>
              <w:rPr>
                <w:sz w:val="21"/>
                <w:szCs w:val="21"/>
                <w:color w:val="auto"/>
              </w:rPr>
            </w:pPr>
          </w:p>
        </w:tc>
        <w:tc>
          <w:tcPr>
            <w:tcW w:w="13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0"/>
        </w:trPr>
        <w:tc>
          <w:tcPr>
            <w:tcW w:w="4920" w:type="dxa"/>
            <w:vAlign w:val="bottom"/>
            <w:vMerge w:val="restart"/>
          </w:tcPr>
          <w:p>
            <w:pPr>
              <w:ind w:left="160"/>
              <w:spacing w:after="0"/>
              <w:rPr>
                <w:sz w:val="20"/>
                <w:szCs w:val="20"/>
                <w:color w:val="auto"/>
              </w:rPr>
            </w:pPr>
            <w:r>
              <w:rPr>
                <w:rFonts w:ascii="Arial" w:cs="Arial" w:eastAsia="Arial" w:hAnsi="Arial"/>
                <w:sz w:val="18"/>
                <w:szCs w:val="18"/>
                <w:color w:val="auto"/>
                <w:w w:val="95"/>
              </w:rPr>
              <w:t>Change in deferred loss on cash flow hedge arising during the</w:t>
            </w: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49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920" w:type="dxa"/>
            <w:vAlign w:val="bottom"/>
          </w:tcPr>
          <w:p>
            <w:pPr>
              <w:ind w:left="320"/>
              <w:spacing w:after="0"/>
              <w:rPr>
                <w:sz w:val="20"/>
                <w:szCs w:val="20"/>
                <w:color w:val="auto"/>
              </w:rPr>
            </w:pPr>
            <w:r>
              <w:rPr>
                <w:rFonts w:ascii="Arial" w:cs="Arial" w:eastAsia="Arial" w:hAnsi="Arial"/>
                <w:sz w:val="18"/>
                <w:szCs w:val="18"/>
                <w:color w:val="auto"/>
              </w:rPr>
              <w:t>period (2)</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09"/>
        </w:trPr>
        <w:tc>
          <w:tcPr>
            <w:tcW w:w="4920" w:type="dxa"/>
            <w:vAlign w:val="bottom"/>
            <w:shd w:val="clear" w:color="auto" w:fill="EAF9E8"/>
          </w:tcPr>
          <w:p>
            <w:pPr>
              <w:ind w:left="160"/>
              <w:spacing w:after="0"/>
              <w:rPr>
                <w:sz w:val="20"/>
                <w:szCs w:val="20"/>
                <w:color w:val="auto"/>
              </w:rPr>
            </w:pPr>
            <w:r>
              <w:rPr>
                <w:rFonts w:ascii="Arial" w:cs="Arial" w:eastAsia="Arial" w:hAnsi="Arial"/>
                <w:sz w:val="18"/>
                <w:szCs w:val="18"/>
                <w:color w:val="auto"/>
                <w:w w:val="89"/>
              </w:rPr>
              <w:t>Reclassification adjustment for loss on cash flow hedge included in</w:t>
            </w:r>
          </w:p>
        </w:tc>
        <w:tc>
          <w:tcPr>
            <w:tcW w:w="24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0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6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08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920" w:type="dxa"/>
            <w:vAlign w:val="bottom"/>
            <w:shd w:val="clear" w:color="auto" w:fill="EAF9E8"/>
          </w:tcPr>
          <w:p>
            <w:pPr>
              <w:ind w:left="320"/>
              <w:spacing w:after="0"/>
              <w:rPr>
                <w:sz w:val="20"/>
                <w:szCs w:val="20"/>
                <w:color w:val="auto"/>
              </w:rPr>
            </w:pPr>
            <w:r>
              <w:rPr>
                <w:rFonts w:ascii="Arial" w:cs="Arial" w:eastAsia="Arial" w:hAnsi="Arial"/>
                <w:sz w:val="18"/>
                <w:szCs w:val="18"/>
                <w:color w:val="auto"/>
              </w:rPr>
              <w:t>net income (3)</w:t>
            </w:r>
          </w:p>
        </w:tc>
        <w:tc>
          <w:tcPr>
            <w:tcW w:w="24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22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8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EAF9E8"/>
          </w:tcPr>
          <w:p>
            <w:pPr>
              <w:spacing w:after="0"/>
              <w:rPr>
                <w:sz w:val="19"/>
                <w:szCs w:val="19"/>
                <w:color w:val="auto"/>
              </w:rPr>
            </w:pPr>
          </w:p>
        </w:tc>
        <w:tc>
          <w:tcPr>
            <w:tcW w:w="130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19"/>
                <w:szCs w:val="19"/>
                <w:color w:val="auto"/>
              </w:rPr>
            </w:pPr>
          </w:p>
        </w:tc>
        <w:tc>
          <w:tcPr>
            <w:tcW w:w="13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920" w:type="dxa"/>
            <w:vAlign w:val="bottom"/>
          </w:tcPr>
          <w:p>
            <w:pPr>
              <w:ind w:left="320"/>
              <w:spacing w:after="0"/>
              <w:rPr>
                <w:sz w:val="20"/>
                <w:szCs w:val="20"/>
                <w:color w:val="auto"/>
              </w:rPr>
            </w:pPr>
            <w:r>
              <w:rPr>
                <w:rFonts w:ascii="Arial" w:cs="Arial" w:eastAsia="Arial" w:hAnsi="Arial"/>
                <w:sz w:val="18"/>
                <w:szCs w:val="18"/>
                <w:color w:val="auto"/>
              </w:rPr>
              <w:t>Net change in deferred loss on cash flow hedge</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
        </w:trPr>
        <w:tc>
          <w:tcPr>
            <w:tcW w:w="4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4920" w:type="dxa"/>
            <w:vAlign w:val="bottom"/>
            <w:shd w:val="clear" w:color="auto" w:fill="EAF9E8"/>
          </w:tcPr>
          <w:p>
            <w:pPr>
              <w:spacing w:after="0"/>
              <w:rPr>
                <w:sz w:val="21"/>
                <w:szCs w:val="21"/>
                <w:color w:val="auto"/>
              </w:rPr>
            </w:pPr>
          </w:p>
        </w:tc>
        <w:tc>
          <w:tcPr>
            <w:tcW w:w="240" w:type="dxa"/>
            <w:vAlign w:val="bottom"/>
            <w:shd w:val="clear" w:color="auto" w:fill="EAF9E8"/>
          </w:tcPr>
          <w:p>
            <w:pPr>
              <w:spacing w:after="0"/>
              <w:rPr>
                <w:sz w:val="21"/>
                <w:szCs w:val="21"/>
                <w:color w:val="auto"/>
              </w:rPr>
            </w:pPr>
          </w:p>
        </w:tc>
        <w:tc>
          <w:tcPr>
            <w:tcW w:w="300" w:type="dxa"/>
            <w:vAlign w:val="bottom"/>
            <w:shd w:val="clear" w:color="auto" w:fill="EAF9E8"/>
          </w:tcPr>
          <w:p>
            <w:pPr>
              <w:spacing w:after="0"/>
              <w:rPr>
                <w:sz w:val="21"/>
                <w:szCs w:val="21"/>
                <w:color w:val="auto"/>
              </w:rPr>
            </w:pPr>
          </w:p>
        </w:tc>
        <w:tc>
          <w:tcPr>
            <w:tcW w:w="12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(80)</w:t>
            </w:r>
          </w:p>
        </w:tc>
        <w:tc>
          <w:tcPr>
            <w:tcW w:w="8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148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(88)</w:t>
            </w:r>
          </w:p>
        </w:tc>
        <w:tc>
          <w:tcPr>
            <w:tcW w:w="300" w:type="dxa"/>
            <w:vAlign w:val="bottom"/>
            <w:shd w:val="clear" w:color="auto" w:fill="EAF9E8"/>
          </w:tcPr>
          <w:p>
            <w:pPr>
              <w:spacing w:after="0"/>
              <w:rPr>
                <w:sz w:val="21"/>
                <w:szCs w:val="21"/>
                <w:color w:val="auto"/>
              </w:rPr>
            </w:pPr>
          </w:p>
        </w:tc>
        <w:tc>
          <w:tcPr>
            <w:tcW w:w="130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(307)</w:t>
            </w:r>
          </w:p>
        </w:tc>
        <w:tc>
          <w:tcPr>
            <w:tcW w:w="120" w:type="dxa"/>
            <w:vAlign w:val="bottom"/>
            <w:shd w:val="clear" w:color="auto" w:fill="EAF9E8"/>
          </w:tcPr>
          <w:p>
            <w:pPr>
              <w:spacing w:after="0"/>
              <w:rPr>
                <w:sz w:val="21"/>
                <w:szCs w:val="21"/>
                <w:color w:val="auto"/>
              </w:rPr>
            </w:pPr>
          </w:p>
        </w:tc>
        <w:tc>
          <w:tcPr>
            <w:tcW w:w="13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1"/>
        </w:trPr>
        <w:tc>
          <w:tcPr>
            <w:tcW w:w="4920" w:type="dxa"/>
            <w:vAlign w:val="bottom"/>
          </w:tcPr>
          <w:p>
            <w:pPr>
              <w:spacing w:after="0"/>
              <w:rPr>
                <w:sz w:val="20"/>
                <w:szCs w:val="20"/>
                <w:color w:val="auto"/>
              </w:rPr>
            </w:pPr>
            <w:r>
              <w:rPr>
                <w:rFonts w:ascii="Arial" w:cs="Arial" w:eastAsia="Arial" w:hAnsi="Arial"/>
                <w:sz w:val="18"/>
                <w:szCs w:val="18"/>
                <w:color w:val="auto"/>
              </w:rPr>
              <w:t>Comprehensive income (loss)</w:t>
            </w: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(42,147)</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14,806</w:t>
            </w:r>
          </w:p>
        </w:tc>
        <w:tc>
          <w:tcPr>
            <w:tcW w:w="300" w:type="dxa"/>
            <w:vAlign w:val="bottom"/>
          </w:tcPr>
          <w:p>
            <w:pPr>
              <w:spacing w:after="0"/>
              <w:rPr>
                <w:sz w:val="24"/>
                <w:szCs w:val="24"/>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(9,410)</w:t>
            </w:r>
          </w:p>
        </w:tc>
        <w:tc>
          <w:tcPr>
            <w:tcW w:w="120" w:type="dxa"/>
            <w:vAlign w:val="bottom"/>
          </w:tcPr>
          <w:p>
            <w:pPr>
              <w:spacing w:after="0"/>
              <w:rPr>
                <w:sz w:val="24"/>
                <w:szCs w:val="24"/>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18,281</w:t>
            </w:r>
          </w:p>
        </w:tc>
        <w:tc>
          <w:tcPr>
            <w:tcW w:w="0" w:type="dxa"/>
            <w:vAlign w:val="bottom"/>
          </w:tcPr>
          <w:p>
            <w:pPr>
              <w:spacing w:after="0"/>
              <w:rPr>
                <w:sz w:val="1"/>
                <w:szCs w:val="1"/>
                <w:color w:val="auto"/>
              </w:rPr>
            </w:pPr>
          </w:p>
        </w:tc>
      </w:tr>
      <w:tr>
        <w:trPr>
          <w:trHeight w:val="245"/>
        </w:trPr>
        <w:tc>
          <w:tcPr>
            <w:tcW w:w="4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4920" w:type="dxa"/>
            <w:vAlign w:val="bottom"/>
            <w:shd w:val="clear" w:color="auto" w:fill="EAF9E8"/>
          </w:tcPr>
          <w:p>
            <w:pPr>
              <w:ind w:left="160"/>
              <w:spacing w:after="0"/>
              <w:rPr>
                <w:sz w:val="20"/>
                <w:szCs w:val="20"/>
                <w:color w:val="auto"/>
              </w:rPr>
            </w:pPr>
            <w:r>
              <w:rPr>
                <w:rFonts w:ascii="Arial" w:cs="Arial" w:eastAsia="Arial" w:hAnsi="Arial"/>
                <w:sz w:val="18"/>
                <w:szCs w:val="18"/>
                <w:color w:val="auto"/>
                <w:w w:val="99"/>
              </w:rPr>
              <w:t>Comprehensive loss (income) attributable to non-controlling</w:t>
            </w:r>
          </w:p>
        </w:tc>
        <w:tc>
          <w:tcPr>
            <w:tcW w:w="24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0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6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08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920" w:type="dxa"/>
            <w:vAlign w:val="bottom"/>
            <w:shd w:val="clear" w:color="auto" w:fill="EAF9E8"/>
          </w:tcPr>
          <w:p>
            <w:pPr>
              <w:ind w:left="320"/>
              <w:spacing w:after="0"/>
              <w:rPr>
                <w:sz w:val="20"/>
                <w:szCs w:val="20"/>
                <w:color w:val="auto"/>
              </w:rPr>
            </w:pPr>
            <w:r>
              <w:rPr>
                <w:rFonts w:ascii="Arial" w:cs="Arial" w:eastAsia="Arial" w:hAnsi="Arial"/>
                <w:sz w:val="18"/>
                <w:szCs w:val="18"/>
                <w:color w:val="auto"/>
              </w:rPr>
              <w:t>interest in subsidiaries</w:t>
            </w:r>
          </w:p>
        </w:tc>
        <w:tc>
          <w:tcPr>
            <w:tcW w:w="24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0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47</w:t>
            </w:r>
          </w:p>
        </w:tc>
        <w:tc>
          <w:tcPr>
            <w:tcW w:w="140" w:type="dxa"/>
            <w:vAlign w:val="bottom"/>
            <w:shd w:val="clear" w:color="auto" w:fill="EAF9E8"/>
          </w:tcPr>
          <w:p>
            <w:pPr>
              <w:spacing w:after="0"/>
              <w:rPr>
                <w:sz w:val="19"/>
                <w:szCs w:val="19"/>
                <w:color w:val="auto"/>
              </w:rPr>
            </w:pPr>
          </w:p>
        </w:tc>
        <w:tc>
          <w:tcPr>
            <w:tcW w:w="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8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148</w:t>
            </w:r>
          </w:p>
        </w:tc>
        <w:tc>
          <w:tcPr>
            <w:tcW w:w="300" w:type="dxa"/>
            <w:vAlign w:val="bottom"/>
            <w:shd w:val="clear" w:color="auto" w:fill="EAF9E8"/>
          </w:tcPr>
          <w:p>
            <w:pPr>
              <w:spacing w:after="0"/>
              <w:rPr>
                <w:sz w:val="19"/>
                <w:szCs w:val="19"/>
                <w:color w:val="auto"/>
              </w:rPr>
            </w:pPr>
          </w:p>
        </w:tc>
        <w:tc>
          <w:tcPr>
            <w:tcW w:w="130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144</w:t>
            </w:r>
          </w:p>
        </w:tc>
        <w:tc>
          <w:tcPr>
            <w:tcW w:w="120" w:type="dxa"/>
            <w:vAlign w:val="bottom"/>
            <w:shd w:val="clear" w:color="auto" w:fill="EAF9E8"/>
          </w:tcPr>
          <w:p>
            <w:pPr>
              <w:spacing w:after="0"/>
              <w:rPr>
                <w:sz w:val="19"/>
                <w:szCs w:val="19"/>
                <w:color w:val="auto"/>
              </w:rPr>
            </w:pPr>
          </w:p>
        </w:tc>
        <w:tc>
          <w:tcPr>
            <w:tcW w:w="134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920" w:type="dxa"/>
            <w:vAlign w:val="bottom"/>
          </w:tcPr>
          <w:p>
            <w:pPr>
              <w:spacing w:after="0"/>
              <w:rPr>
                <w:sz w:val="20"/>
                <w:szCs w:val="20"/>
                <w:color w:val="auto"/>
              </w:rPr>
            </w:pPr>
            <w:r>
              <w:rPr>
                <w:rFonts w:ascii="Arial" w:cs="Arial" w:eastAsia="Arial" w:hAnsi="Arial"/>
                <w:sz w:val="18"/>
                <w:szCs w:val="18"/>
                <w:color w:val="auto"/>
              </w:rPr>
              <w:t>Comprehensive income (loss) attributable to OCN</w:t>
            </w: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(42,100)</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14,954</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(9,266)</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18,136</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580" w:right="160" w:hanging="572"/>
        <w:spacing w:after="0" w:line="268" w:lineRule="auto"/>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Net of income tax benefit (expense) of $47 and $63 for the three months ended September 30, 2009 and 2008, respectively, and $180 and $(268) for the nine months ended September 30, 2009 and 2008, respectively.</w:t>
      </w:r>
    </w:p>
    <w:p>
      <w:pPr>
        <w:spacing w:after="0" w:line="212" w:lineRule="exact"/>
        <w:rPr>
          <w:rFonts w:ascii="Arial" w:cs="Arial" w:eastAsia="Arial" w:hAnsi="Arial"/>
          <w:sz w:val="18"/>
          <w:szCs w:val="18"/>
          <w:color w:val="auto"/>
        </w:rPr>
      </w:pPr>
    </w:p>
    <w:p>
      <w:pPr>
        <w:ind w:left="580" w:hanging="572"/>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Net of income tax expense of $114 for the nine months ended September 30, 2008.</w:t>
      </w:r>
    </w:p>
    <w:p>
      <w:pPr>
        <w:spacing w:after="0" w:line="252" w:lineRule="exact"/>
        <w:rPr>
          <w:rFonts w:ascii="Arial" w:cs="Arial" w:eastAsia="Arial" w:hAnsi="Arial"/>
          <w:sz w:val="18"/>
          <w:szCs w:val="18"/>
          <w:color w:val="auto"/>
        </w:rPr>
      </w:pPr>
    </w:p>
    <w:p>
      <w:pPr>
        <w:ind w:left="580" w:hanging="572"/>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Net of income tax expense of $202 for the nine months ended September 30, 2008.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CHANGES IN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MONTHS ENDED SEPTEMBER 30,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share data)</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7"/>
          </w:tcPr>
          <w:p>
            <w:pPr>
              <w:jc w:val="right"/>
              <w:ind w:right="980"/>
              <w:spacing w:after="0"/>
              <w:rPr>
                <w:sz w:val="20"/>
                <w:szCs w:val="20"/>
                <w:color w:val="auto"/>
              </w:rPr>
            </w:pPr>
            <w:r>
              <w:rPr>
                <w:rFonts w:ascii="Arial" w:cs="Arial" w:eastAsia="Arial" w:hAnsi="Arial"/>
                <w:sz w:val="18"/>
                <w:szCs w:val="18"/>
                <w:b w:val="1"/>
                <w:bCs w:val="1"/>
                <w:color w:val="auto"/>
                <w:w w:val="89"/>
              </w:rPr>
              <w:t>OCN Shareholders</w:t>
            </w:r>
          </w:p>
        </w:tc>
        <w:tc>
          <w:tcPr>
            <w:tcW w:w="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9"/>
        </w:trPr>
        <w:tc>
          <w:tcPr>
            <w:tcW w:w="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Accumulated</w:t>
            </w: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Other</w:t>
            </w:r>
          </w:p>
        </w:tc>
        <w:tc>
          <w:tcPr>
            <w:tcW w:w="180" w:type="dxa"/>
            <w:vAlign w:val="bottom"/>
          </w:tcPr>
          <w:p>
            <w:pPr>
              <w:spacing w:after="0"/>
              <w:rPr>
                <w:sz w:val="18"/>
                <w:szCs w:val="18"/>
                <w:color w:val="auto"/>
              </w:rPr>
            </w:pPr>
          </w:p>
        </w:tc>
        <w:tc>
          <w:tcPr>
            <w:tcW w:w="8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Non-</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2300" w:type="dxa"/>
            <w:vAlign w:val="bottom"/>
            <w:gridSpan w:val="6"/>
            <w:vMerge w:val="restart"/>
          </w:tcPr>
          <w:p>
            <w:pPr>
              <w:jc w:val="right"/>
              <w:ind w:right="620"/>
              <w:spacing w:after="0"/>
              <w:rPr>
                <w:sz w:val="20"/>
                <w:szCs w:val="20"/>
                <w:color w:val="auto"/>
              </w:rPr>
            </w:pPr>
            <w:r>
              <w:rPr>
                <w:rFonts w:ascii="Arial" w:cs="Arial" w:eastAsia="Arial" w:hAnsi="Arial"/>
                <w:sz w:val="18"/>
                <w:szCs w:val="18"/>
                <w:b w:val="1"/>
                <w:bCs w:val="1"/>
                <w:color w:val="auto"/>
              </w:rPr>
              <w:t>Common Stock</w:t>
            </w:r>
          </w:p>
        </w:tc>
        <w:tc>
          <w:tcPr>
            <w:tcW w:w="140" w:type="dxa"/>
            <w:vAlign w:val="bottom"/>
          </w:tcPr>
          <w:p>
            <w:pPr>
              <w:spacing w:after="0"/>
              <w:rPr>
                <w:sz w:val="18"/>
                <w:szCs w:val="18"/>
                <w:color w:val="auto"/>
              </w:rPr>
            </w:pPr>
          </w:p>
        </w:tc>
        <w:tc>
          <w:tcPr>
            <w:tcW w:w="116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w w:val="95"/>
              </w:rPr>
              <w:t>Additional</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5"/>
              </w:rPr>
              <w:t>Comprehensive</w:t>
            </w:r>
          </w:p>
        </w:tc>
        <w:tc>
          <w:tcPr>
            <w:tcW w:w="10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5"/>
              </w:rPr>
              <w:t>controlling</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960" w:type="dxa"/>
            <w:vAlign w:val="bottom"/>
          </w:tcPr>
          <w:p>
            <w:pPr>
              <w:spacing w:after="0"/>
              <w:rPr>
                <w:sz w:val="8"/>
                <w:szCs w:val="8"/>
                <w:color w:val="auto"/>
              </w:rPr>
            </w:pPr>
          </w:p>
        </w:tc>
        <w:tc>
          <w:tcPr>
            <w:tcW w:w="2300" w:type="dxa"/>
            <w:vAlign w:val="bottom"/>
            <w:gridSpan w:val="6"/>
            <w:vMerge w:val="continue"/>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gridSpan w:val="2"/>
            <w:vMerge w:val="restart"/>
          </w:tcPr>
          <w:p>
            <w:pPr>
              <w:jc w:val="right"/>
              <w:ind w:right="440"/>
              <w:spacing w:after="0"/>
              <w:rPr>
                <w:sz w:val="20"/>
                <w:szCs w:val="20"/>
                <w:color w:val="auto"/>
              </w:rPr>
            </w:pPr>
            <w:r>
              <w:rPr>
                <w:rFonts w:ascii="Arial" w:cs="Arial" w:eastAsia="Arial" w:hAnsi="Arial"/>
                <w:sz w:val="18"/>
                <w:szCs w:val="18"/>
                <w:b w:val="1"/>
                <w:bCs w:val="1"/>
                <w:color w:val="auto"/>
                <w:w w:val="96"/>
              </w:rPr>
              <w:t>Paid-in</w:t>
            </w:r>
          </w:p>
        </w:tc>
        <w:tc>
          <w:tcPr>
            <w:tcW w:w="100" w:type="dxa"/>
            <w:vAlign w:val="bottom"/>
          </w:tcPr>
          <w:p>
            <w:pPr>
              <w:spacing w:after="0"/>
              <w:rPr>
                <w:sz w:val="8"/>
                <w:szCs w:val="8"/>
                <w:color w:val="auto"/>
              </w:rPr>
            </w:pPr>
          </w:p>
        </w:tc>
        <w:tc>
          <w:tcPr>
            <w:tcW w:w="1040" w:type="dxa"/>
            <w:vAlign w:val="bottom"/>
            <w:gridSpan w:val="2"/>
            <w:vMerge w:val="restart"/>
          </w:tcPr>
          <w:p>
            <w:pPr>
              <w:jc w:val="right"/>
              <w:ind w:right="340"/>
              <w:spacing w:after="0"/>
              <w:rPr>
                <w:sz w:val="20"/>
                <w:szCs w:val="20"/>
                <w:color w:val="auto"/>
              </w:rPr>
            </w:pPr>
            <w:r>
              <w:rPr>
                <w:rFonts w:ascii="Arial" w:cs="Arial" w:eastAsia="Arial" w:hAnsi="Arial"/>
                <w:sz w:val="18"/>
                <w:szCs w:val="18"/>
                <w:b w:val="1"/>
                <w:bCs w:val="1"/>
                <w:color w:val="auto"/>
                <w:w w:val="89"/>
              </w:rPr>
              <w:t>Retained</w:t>
            </w:r>
          </w:p>
        </w:tc>
        <w:tc>
          <w:tcPr>
            <w:tcW w:w="80" w:type="dxa"/>
            <w:vAlign w:val="bottom"/>
          </w:tcPr>
          <w:p>
            <w:pPr>
              <w:spacing w:after="0"/>
              <w:rPr>
                <w:sz w:val="8"/>
                <w:szCs w:val="8"/>
                <w:color w:val="auto"/>
              </w:rPr>
            </w:pPr>
          </w:p>
        </w:tc>
        <w:tc>
          <w:tcPr>
            <w:tcW w:w="1480" w:type="dxa"/>
            <w:vAlign w:val="bottom"/>
            <w:gridSpan w:val="2"/>
            <w:vMerge w:val="restart"/>
          </w:tcPr>
          <w:p>
            <w:pPr>
              <w:jc w:val="center"/>
              <w:ind w:right="280"/>
              <w:spacing w:after="0"/>
              <w:rPr>
                <w:sz w:val="20"/>
                <w:szCs w:val="20"/>
                <w:color w:val="auto"/>
              </w:rPr>
            </w:pPr>
            <w:r>
              <w:rPr>
                <w:rFonts w:ascii="Arial" w:cs="Arial" w:eastAsia="Arial" w:hAnsi="Arial"/>
                <w:sz w:val="18"/>
                <w:szCs w:val="18"/>
                <w:b w:val="1"/>
                <w:bCs w:val="1"/>
                <w:color w:val="auto"/>
                <w:w w:val="88"/>
              </w:rPr>
              <w:t>Income,</w:t>
            </w:r>
          </w:p>
        </w:tc>
        <w:tc>
          <w:tcPr>
            <w:tcW w:w="1040" w:type="dxa"/>
            <w:vAlign w:val="bottom"/>
            <w:gridSpan w:val="3"/>
            <w:vMerge w:val="restart"/>
          </w:tcPr>
          <w:p>
            <w:pPr>
              <w:jc w:val="center"/>
              <w:ind w:right="120"/>
              <w:spacing w:after="0"/>
              <w:rPr>
                <w:sz w:val="20"/>
                <w:szCs w:val="20"/>
                <w:color w:val="auto"/>
              </w:rPr>
            </w:pPr>
            <w:r>
              <w:rPr>
                <w:rFonts w:ascii="Arial" w:cs="Arial" w:eastAsia="Arial" w:hAnsi="Arial"/>
                <w:sz w:val="18"/>
                <w:szCs w:val="18"/>
                <w:b w:val="1"/>
                <w:bCs w:val="1"/>
                <w:color w:val="auto"/>
                <w:w w:val="88"/>
              </w:rPr>
              <w:t>interest in</w:t>
            </w: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gridSpan w:val="2"/>
            <w:vMerge w:val="continue"/>
          </w:tcPr>
          <w:p>
            <w:pPr>
              <w:spacing w:after="0"/>
              <w:rPr>
                <w:sz w:val="2"/>
                <w:szCs w:val="2"/>
                <w:color w:val="auto"/>
              </w:rPr>
            </w:pPr>
          </w:p>
        </w:tc>
        <w:tc>
          <w:tcPr>
            <w:tcW w:w="1040" w:type="dxa"/>
            <w:vAlign w:val="bottom"/>
            <w:gridSpan w:val="3"/>
            <w:vMerge w:val="continue"/>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9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04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1480" w:type="dxa"/>
            <w:vAlign w:val="bottom"/>
            <w:gridSpan w:val="2"/>
            <w:vMerge w:val="continue"/>
          </w:tcPr>
          <w:p>
            <w:pPr>
              <w:spacing w:after="0"/>
              <w:rPr>
                <w:sz w:val="6"/>
                <w:szCs w:val="6"/>
                <w:color w:val="auto"/>
              </w:rPr>
            </w:pPr>
          </w:p>
        </w:tc>
        <w:tc>
          <w:tcPr>
            <w:tcW w:w="1040" w:type="dxa"/>
            <w:vAlign w:val="bottom"/>
            <w:gridSpan w:val="3"/>
            <w:vMerge w:val="continue"/>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Shares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1"/>
              </w:rPr>
              <w:t>Amount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9"/>
              </w:rPr>
              <w:t>Capital</w:t>
            </w:r>
          </w:p>
        </w:tc>
        <w:tc>
          <w:tcPr>
            <w:tcW w:w="100" w:type="dxa"/>
            <w:vAlign w:val="bottom"/>
          </w:tcPr>
          <w:p>
            <w:pPr>
              <w:spacing w:after="0"/>
              <w:rPr>
                <w:sz w:val="20"/>
                <w:szCs w:val="20"/>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88"/>
              </w:rPr>
              <w:t>Earnings</w:t>
            </w:r>
          </w:p>
        </w:tc>
        <w:tc>
          <w:tcPr>
            <w:tcW w:w="80" w:type="dxa"/>
            <w:vAlign w:val="bottom"/>
          </w:tcPr>
          <w:p>
            <w:pPr>
              <w:spacing w:after="0"/>
              <w:rPr>
                <w:sz w:val="20"/>
                <w:szCs w:val="20"/>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5"/>
              </w:rPr>
              <w:t>Net of Taxes</w:t>
            </w:r>
          </w:p>
        </w:tc>
        <w:tc>
          <w:tcPr>
            <w:tcW w:w="10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3"/>
              </w:rPr>
              <w:t>subsidiaries</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60" w:type="dxa"/>
            <w:vAlign w:val="bottom"/>
            <w:shd w:val="clear" w:color="auto" w:fill="EAF9E8"/>
          </w:tcPr>
          <w:p>
            <w:pPr>
              <w:spacing w:after="0" w:line="201" w:lineRule="exact"/>
              <w:rPr>
                <w:sz w:val="20"/>
                <w:szCs w:val="20"/>
                <w:color w:val="auto"/>
              </w:rPr>
            </w:pPr>
            <w:r>
              <w:rPr>
                <w:rFonts w:ascii="Arial" w:cs="Arial" w:eastAsia="Arial" w:hAnsi="Arial"/>
                <w:sz w:val="18"/>
                <w:szCs w:val="18"/>
                <w:b w:val="1"/>
                <w:bCs w:val="1"/>
                <w:color w:val="auto"/>
              </w:rPr>
              <w:t>Balance at December 31, 2008 (As</w:t>
            </w:r>
          </w:p>
        </w:tc>
        <w:tc>
          <w:tcPr>
            <w:tcW w:w="1040" w:type="dxa"/>
            <w:vAlign w:val="bottom"/>
            <w:tcBorders>
              <w:top w:val="single" w:sz="8" w:color="auto"/>
            </w:tcBorders>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80" w:type="dxa"/>
            <w:vAlign w:val="bottom"/>
            <w:shd w:val="clear" w:color="auto" w:fill="EAF9E8"/>
          </w:tcPr>
          <w:p>
            <w:pPr>
              <w:spacing w:after="0"/>
              <w:rPr>
                <w:sz w:val="17"/>
                <w:szCs w:val="17"/>
                <w:color w:val="auto"/>
              </w:rPr>
            </w:pPr>
          </w:p>
        </w:tc>
        <w:tc>
          <w:tcPr>
            <w:tcW w:w="140" w:type="dxa"/>
            <w:vAlign w:val="bottom"/>
            <w:tcBorders>
              <w:top w:val="single" w:sz="8" w:color="auto"/>
            </w:tcBorders>
            <w:shd w:val="clear" w:color="auto" w:fill="EAF9E8"/>
          </w:tcPr>
          <w:p>
            <w:pPr>
              <w:spacing w:after="0"/>
              <w:rPr>
                <w:sz w:val="17"/>
                <w:szCs w:val="17"/>
                <w:color w:val="auto"/>
              </w:rPr>
            </w:pPr>
          </w:p>
        </w:tc>
        <w:tc>
          <w:tcPr>
            <w:tcW w:w="800" w:type="dxa"/>
            <w:vAlign w:val="bottom"/>
            <w:tcBorders>
              <w:top w:val="single" w:sz="8" w:color="auto"/>
            </w:tcBorders>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120" w:type="dxa"/>
            <w:vAlign w:val="bottom"/>
            <w:tcBorders>
              <w:top w:val="single" w:sz="8" w:color="auto"/>
            </w:tcBorders>
            <w:shd w:val="clear" w:color="auto" w:fill="EAF9E8"/>
          </w:tcPr>
          <w:p>
            <w:pPr>
              <w:spacing w:after="0"/>
              <w:rPr>
                <w:sz w:val="17"/>
                <w:szCs w:val="17"/>
                <w:color w:val="auto"/>
              </w:rPr>
            </w:pPr>
          </w:p>
        </w:tc>
        <w:tc>
          <w:tcPr>
            <w:tcW w:w="800" w:type="dxa"/>
            <w:vAlign w:val="bottom"/>
            <w:tcBorders>
              <w:top w:val="single" w:sz="8" w:color="auto"/>
            </w:tcBorders>
            <w:shd w:val="clear" w:color="auto" w:fill="EAF9E8"/>
          </w:tcPr>
          <w:p>
            <w:pPr>
              <w:spacing w:after="0"/>
              <w:rPr>
                <w:sz w:val="17"/>
                <w:szCs w:val="17"/>
                <w:color w:val="auto"/>
              </w:rPr>
            </w:pPr>
          </w:p>
        </w:tc>
        <w:tc>
          <w:tcPr>
            <w:tcW w:w="240" w:type="dxa"/>
            <w:vAlign w:val="bottom"/>
            <w:shd w:val="clear" w:color="auto" w:fill="EAF9E8"/>
          </w:tcPr>
          <w:p>
            <w:pPr>
              <w:spacing w:after="0"/>
              <w:rPr>
                <w:sz w:val="17"/>
                <w:szCs w:val="17"/>
                <w:color w:val="auto"/>
              </w:rPr>
            </w:pPr>
          </w:p>
        </w:tc>
        <w:tc>
          <w:tcPr>
            <w:tcW w:w="100" w:type="dxa"/>
            <w:vAlign w:val="bottom"/>
            <w:tcBorders>
              <w:top w:val="single" w:sz="8" w:color="auto"/>
            </w:tcBorders>
            <w:shd w:val="clear" w:color="auto" w:fill="EAF9E8"/>
          </w:tcPr>
          <w:p>
            <w:pPr>
              <w:spacing w:after="0"/>
              <w:rPr>
                <w:sz w:val="17"/>
                <w:szCs w:val="17"/>
                <w:color w:val="auto"/>
              </w:rPr>
            </w:pPr>
          </w:p>
        </w:tc>
        <w:tc>
          <w:tcPr>
            <w:tcW w:w="820" w:type="dxa"/>
            <w:vAlign w:val="bottom"/>
            <w:tcBorders>
              <w:top w:val="single" w:sz="8" w:color="auto"/>
            </w:tcBorders>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80" w:type="dxa"/>
            <w:vAlign w:val="bottom"/>
            <w:tcBorders>
              <w:top w:val="single" w:sz="8" w:color="auto"/>
            </w:tcBorders>
            <w:shd w:val="clear" w:color="auto" w:fill="EAF9E8"/>
          </w:tcPr>
          <w:p>
            <w:pPr>
              <w:spacing w:after="0"/>
              <w:rPr>
                <w:sz w:val="17"/>
                <w:szCs w:val="17"/>
                <w:color w:val="auto"/>
              </w:rPr>
            </w:pPr>
          </w:p>
        </w:tc>
        <w:tc>
          <w:tcPr>
            <w:tcW w:w="1280" w:type="dxa"/>
            <w:vAlign w:val="bottom"/>
            <w:tcBorders>
              <w:top w:val="single" w:sz="8" w:color="auto"/>
            </w:tcBorders>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180" w:type="dxa"/>
            <w:vAlign w:val="bottom"/>
            <w:tcBorders>
              <w:top w:val="single" w:sz="8" w:color="auto"/>
            </w:tcBorders>
            <w:shd w:val="clear" w:color="auto" w:fill="EAF9E8"/>
          </w:tcPr>
          <w:p>
            <w:pPr>
              <w:spacing w:after="0"/>
              <w:rPr>
                <w:sz w:val="17"/>
                <w:szCs w:val="17"/>
                <w:color w:val="auto"/>
              </w:rPr>
            </w:pPr>
          </w:p>
        </w:tc>
        <w:tc>
          <w:tcPr>
            <w:tcW w:w="740" w:type="dxa"/>
            <w:vAlign w:val="bottom"/>
            <w:tcBorders>
              <w:top w:val="single" w:sz="8" w:color="auto"/>
            </w:tcBorders>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80" w:type="dxa"/>
            <w:vAlign w:val="bottom"/>
            <w:shd w:val="clear" w:color="auto" w:fill="EAF9E8"/>
          </w:tcPr>
          <w:p>
            <w:pPr>
              <w:spacing w:after="0"/>
              <w:rPr>
                <w:sz w:val="17"/>
                <w:szCs w:val="17"/>
                <w:color w:val="auto"/>
              </w:rPr>
            </w:pPr>
          </w:p>
        </w:tc>
        <w:tc>
          <w:tcPr>
            <w:tcW w:w="180" w:type="dxa"/>
            <w:vAlign w:val="bottom"/>
            <w:tcBorders>
              <w:top w:val="single" w:sz="8" w:color="auto"/>
            </w:tcBorders>
            <w:shd w:val="clear" w:color="auto" w:fill="EAF9E8"/>
          </w:tcPr>
          <w:p>
            <w:pPr>
              <w:spacing w:after="0"/>
              <w:rPr>
                <w:sz w:val="17"/>
                <w:szCs w:val="17"/>
                <w:color w:val="auto"/>
              </w:rPr>
            </w:pPr>
          </w:p>
        </w:tc>
        <w:tc>
          <w:tcPr>
            <w:tcW w:w="740" w:type="dxa"/>
            <w:vAlign w:val="bottom"/>
            <w:tcBorders>
              <w:top w:val="single" w:sz="8" w:color="auto"/>
            </w:tcBorders>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60" w:type="dxa"/>
            <w:vAlign w:val="bottom"/>
            <w:shd w:val="clear" w:color="auto" w:fill="EAF9E8"/>
          </w:tcPr>
          <w:p>
            <w:pPr>
              <w:ind w:left="140"/>
              <w:spacing w:after="0"/>
              <w:rPr>
                <w:sz w:val="20"/>
                <w:szCs w:val="20"/>
                <w:color w:val="auto"/>
              </w:rPr>
            </w:pPr>
            <w:r>
              <w:rPr>
                <w:rFonts w:ascii="Arial" w:cs="Arial" w:eastAsia="Arial" w:hAnsi="Arial"/>
                <w:sz w:val="18"/>
                <w:szCs w:val="18"/>
                <w:b w:val="1"/>
                <w:bCs w:val="1"/>
                <w:color w:val="auto"/>
              </w:rPr>
              <w:t>Adjusted – See Note 3)</w:t>
            </w:r>
          </w:p>
        </w:tc>
        <w:tc>
          <w:tcPr>
            <w:tcW w:w="10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62,716,530</w:t>
            </w:r>
          </w:p>
        </w:tc>
        <w:tc>
          <w:tcPr>
            <w:tcW w:w="140" w:type="dxa"/>
            <w:vAlign w:val="bottom"/>
            <w:shd w:val="clear" w:color="auto" w:fill="EAF9E8"/>
          </w:tcPr>
          <w:p>
            <w:pPr>
              <w:spacing w:after="0"/>
              <w:rPr>
                <w:sz w:val="20"/>
                <w:szCs w:val="20"/>
                <w:color w:val="auto"/>
              </w:rPr>
            </w:pPr>
          </w:p>
        </w:tc>
        <w:tc>
          <w:tcPr>
            <w:tcW w:w="22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627</w:t>
            </w:r>
          </w:p>
        </w:tc>
        <w:tc>
          <w:tcPr>
            <w:tcW w:w="26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201,831</w:t>
            </w:r>
          </w:p>
        </w:tc>
        <w:tc>
          <w:tcPr>
            <w:tcW w:w="10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404,901</w:t>
            </w:r>
          </w:p>
        </w:tc>
        <w:tc>
          <w:tcPr>
            <w:tcW w:w="220" w:type="dxa"/>
            <w:vAlign w:val="bottom"/>
            <w:shd w:val="clear" w:color="auto" w:fill="EAF9E8"/>
          </w:tcPr>
          <w:p>
            <w:pPr>
              <w:spacing w:after="0"/>
              <w:rPr>
                <w:sz w:val="20"/>
                <w:szCs w:val="20"/>
                <w:color w:val="auto"/>
              </w:rPr>
            </w:pPr>
          </w:p>
        </w:tc>
        <w:tc>
          <w:tcPr>
            <w:tcW w:w="8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1,876</w:t>
            </w:r>
          </w:p>
        </w:tc>
        <w:tc>
          <w:tcPr>
            <w:tcW w:w="200" w:type="dxa"/>
            <w:vAlign w:val="bottom"/>
            <w:shd w:val="clear" w:color="auto" w:fill="EAF9E8"/>
          </w:tcPr>
          <w:p>
            <w:pPr>
              <w:spacing w:after="0"/>
              <w:rPr>
                <w:sz w:val="20"/>
                <w:szCs w:val="20"/>
                <w:color w:val="auto"/>
              </w:rPr>
            </w:pPr>
          </w:p>
        </w:tc>
        <w:tc>
          <w:tcPr>
            <w:tcW w:w="18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406</w:t>
            </w:r>
          </w:p>
        </w:tc>
        <w:tc>
          <w:tcPr>
            <w:tcW w:w="26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609,641</w:t>
            </w:r>
          </w:p>
        </w:tc>
        <w:tc>
          <w:tcPr>
            <w:tcW w:w="0" w:type="dxa"/>
            <w:vAlign w:val="bottom"/>
          </w:tcPr>
          <w:p>
            <w:pPr>
              <w:spacing w:after="0"/>
              <w:rPr>
                <w:sz w:val="1"/>
                <w:szCs w:val="1"/>
                <w:color w:val="auto"/>
              </w:rPr>
            </w:pPr>
          </w:p>
        </w:tc>
      </w:tr>
      <w:tr>
        <w:trPr>
          <w:trHeight w:val="241"/>
        </w:trPr>
        <w:tc>
          <w:tcPr>
            <w:tcW w:w="298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(9,092)</w:t>
            </w:r>
          </w:p>
        </w:tc>
        <w:tc>
          <w:tcPr>
            <w:tcW w:w="80" w:type="dxa"/>
            <w:vAlign w:val="bottom"/>
          </w:tcPr>
          <w:p>
            <w:pPr>
              <w:spacing w:after="0"/>
              <w:rPr>
                <w:sz w:val="20"/>
                <w:szCs w:val="20"/>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(9,103)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60" w:type="dxa"/>
            <w:vAlign w:val="bottom"/>
            <w:shd w:val="clear" w:color="auto" w:fill="EAF9E8"/>
          </w:tcPr>
          <w:p>
            <w:pPr>
              <w:spacing w:after="0"/>
              <w:rPr>
                <w:sz w:val="20"/>
                <w:szCs w:val="20"/>
                <w:color w:val="auto"/>
              </w:rPr>
            </w:pPr>
            <w:r>
              <w:rPr>
                <w:rFonts w:ascii="Arial" w:cs="Arial" w:eastAsia="Arial" w:hAnsi="Arial"/>
                <w:sz w:val="18"/>
                <w:szCs w:val="18"/>
                <w:color w:val="auto"/>
              </w:rPr>
              <w:t>Net assets distributed in connection</w:t>
            </w:r>
          </w:p>
        </w:tc>
        <w:tc>
          <w:tcPr>
            <w:tcW w:w="104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8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80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8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12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7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7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EAF9E8"/>
          </w:tcPr>
          <w:p>
            <w:pPr>
              <w:ind w:left="140"/>
              <w:spacing w:after="0"/>
              <w:rPr>
                <w:sz w:val="20"/>
                <w:szCs w:val="20"/>
                <w:color w:val="auto"/>
              </w:rPr>
            </w:pPr>
            <w:r>
              <w:rPr>
                <w:rFonts w:ascii="Arial" w:cs="Arial" w:eastAsia="Arial" w:hAnsi="Arial"/>
                <w:sz w:val="18"/>
                <w:szCs w:val="18"/>
                <w:color w:val="auto"/>
              </w:rPr>
              <w:t>with the spin-off of Altisource</w:t>
            </w:r>
          </w:p>
        </w:tc>
        <w:tc>
          <w:tcPr>
            <w:tcW w:w="104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8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80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8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12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7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7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EAF9E8"/>
          </w:tcPr>
          <w:p>
            <w:pPr>
              <w:ind w:left="140"/>
              <w:spacing w:after="0"/>
              <w:rPr>
                <w:sz w:val="20"/>
                <w:szCs w:val="20"/>
                <w:color w:val="auto"/>
              </w:rPr>
            </w:pPr>
            <w:r>
              <w:rPr>
                <w:rFonts w:ascii="Arial" w:cs="Arial" w:eastAsia="Arial" w:hAnsi="Arial"/>
                <w:sz w:val="18"/>
                <w:szCs w:val="18"/>
                <w:color w:val="auto"/>
              </w:rPr>
              <w:t>Portfolio Solutions S.A. (formerly</w:t>
            </w:r>
          </w:p>
        </w:tc>
        <w:tc>
          <w:tcPr>
            <w:tcW w:w="104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8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80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8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12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7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7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960" w:type="dxa"/>
            <w:vAlign w:val="bottom"/>
            <w:shd w:val="clear" w:color="auto" w:fill="EAF9E8"/>
          </w:tcPr>
          <w:p>
            <w:pPr>
              <w:ind w:left="140"/>
              <w:spacing w:after="0"/>
              <w:rPr>
                <w:sz w:val="20"/>
                <w:szCs w:val="20"/>
                <w:color w:val="auto"/>
              </w:rPr>
            </w:pPr>
            <w:r>
              <w:rPr>
                <w:rFonts w:ascii="Arial" w:cs="Arial" w:eastAsia="Arial" w:hAnsi="Arial"/>
                <w:sz w:val="18"/>
                <w:szCs w:val="18"/>
                <w:color w:val="auto"/>
              </w:rPr>
              <w:t>Ocwen Solutions) (Note 2)</w:t>
            </w:r>
          </w:p>
        </w:tc>
        <w:tc>
          <w:tcPr>
            <w:tcW w:w="118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9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04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(71,448)</w:t>
            </w:r>
          </w:p>
        </w:tc>
        <w:tc>
          <w:tcPr>
            <w:tcW w:w="100" w:type="dxa"/>
            <w:vAlign w:val="bottom"/>
            <w:shd w:val="clear" w:color="auto" w:fill="EAF9E8"/>
          </w:tcPr>
          <w:p>
            <w:pPr>
              <w:spacing w:after="0"/>
              <w:rPr>
                <w:sz w:val="19"/>
                <w:szCs w:val="19"/>
                <w:color w:val="auto"/>
              </w:rPr>
            </w:pPr>
          </w:p>
        </w:tc>
        <w:tc>
          <w:tcPr>
            <w:tcW w:w="104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EAF9E8"/>
          </w:tcPr>
          <w:p>
            <w:pPr>
              <w:spacing w:after="0"/>
              <w:rPr>
                <w:sz w:val="19"/>
                <w:szCs w:val="19"/>
                <w:color w:val="auto"/>
              </w:rPr>
            </w:pPr>
          </w:p>
        </w:tc>
        <w:tc>
          <w:tcPr>
            <w:tcW w:w="148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EAF9E8"/>
          </w:tcPr>
          <w:p>
            <w:pPr>
              <w:spacing w:after="0"/>
              <w:rPr>
                <w:sz w:val="19"/>
                <w:szCs w:val="19"/>
                <w:color w:val="auto"/>
              </w:rPr>
            </w:pPr>
          </w:p>
        </w:tc>
        <w:tc>
          <w:tcPr>
            <w:tcW w:w="86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84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(71,448)</w:t>
            </w:r>
          </w:p>
        </w:tc>
        <w:tc>
          <w:tcPr>
            <w:tcW w:w="0" w:type="dxa"/>
            <w:vAlign w:val="bottom"/>
          </w:tcPr>
          <w:p>
            <w:pPr>
              <w:spacing w:after="0"/>
              <w:rPr>
                <w:sz w:val="1"/>
                <w:szCs w:val="1"/>
                <w:color w:val="auto"/>
              </w:rPr>
            </w:pPr>
          </w:p>
        </w:tc>
      </w:tr>
      <w:tr>
        <w:trPr>
          <w:trHeight w:val="242"/>
        </w:trPr>
        <w:tc>
          <w:tcPr>
            <w:tcW w:w="2980" w:type="dxa"/>
            <w:vAlign w:val="bottom"/>
            <w:gridSpan w:val="2"/>
          </w:tcPr>
          <w:p>
            <w:pPr>
              <w:spacing w:after="0"/>
              <w:rPr>
                <w:sz w:val="20"/>
                <w:szCs w:val="20"/>
                <w:color w:val="auto"/>
              </w:rPr>
            </w:pPr>
            <w:r>
              <w:rPr>
                <w:rFonts w:ascii="Arial" w:cs="Arial" w:eastAsia="Arial" w:hAnsi="Arial"/>
                <w:sz w:val="18"/>
                <w:szCs w:val="18"/>
                <w:color w:val="auto"/>
              </w:rPr>
              <w:t>Issuance of common stock</w:t>
            </w:r>
          </w:p>
        </w:tc>
        <w:tc>
          <w:tcPr>
            <w:tcW w:w="1040" w:type="dxa"/>
            <w:vAlign w:val="bottom"/>
          </w:tcPr>
          <w:p>
            <w:pPr>
              <w:jc w:val="right"/>
              <w:spacing w:after="0"/>
              <w:rPr>
                <w:sz w:val="20"/>
                <w:szCs w:val="20"/>
                <w:color w:val="auto"/>
              </w:rPr>
            </w:pPr>
            <w:r>
              <w:rPr>
                <w:rFonts w:ascii="Arial" w:cs="Arial" w:eastAsia="Arial" w:hAnsi="Arial"/>
                <w:sz w:val="18"/>
                <w:szCs w:val="18"/>
                <w:color w:val="auto"/>
              </w:rPr>
              <w:t>37,671,500</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377</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334,790</w:t>
            </w:r>
          </w:p>
        </w:tc>
        <w:tc>
          <w:tcPr>
            <w:tcW w:w="1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335,167</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960" w:type="dxa"/>
            <w:vAlign w:val="bottom"/>
            <w:shd w:val="clear" w:color="auto" w:fill="EAF9E8"/>
          </w:tcPr>
          <w:p>
            <w:pPr>
              <w:spacing w:after="0"/>
              <w:rPr>
                <w:sz w:val="20"/>
                <w:szCs w:val="20"/>
                <w:color w:val="auto"/>
              </w:rPr>
            </w:pPr>
            <w:r>
              <w:rPr>
                <w:rFonts w:ascii="Arial" w:cs="Arial" w:eastAsia="Arial" w:hAnsi="Arial"/>
                <w:sz w:val="18"/>
                <w:szCs w:val="18"/>
                <w:color w:val="auto"/>
              </w:rPr>
              <w:t>Repurchase of common stock</w:t>
            </w:r>
          </w:p>
        </w:tc>
        <w:tc>
          <w:tcPr>
            <w:tcW w:w="118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(1,000,000)</w:t>
            </w:r>
          </w:p>
        </w:tc>
        <w:tc>
          <w:tcPr>
            <w:tcW w:w="8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90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(10)</w:t>
            </w:r>
          </w:p>
        </w:tc>
        <w:tc>
          <w:tcPr>
            <w:tcW w:w="14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104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(10,990)</w:t>
            </w:r>
          </w:p>
        </w:tc>
        <w:tc>
          <w:tcPr>
            <w:tcW w:w="100" w:type="dxa"/>
            <w:vAlign w:val="bottom"/>
            <w:shd w:val="clear" w:color="auto" w:fill="EAF9E8"/>
          </w:tcPr>
          <w:p>
            <w:pPr>
              <w:spacing w:after="0"/>
              <w:rPr>
                <w:sz w:val="21"/>
                <w:szCs w:val="21"/>
                <w:color w:val="auto"/>
              </w:rPr>
            </w:pPr>
          </w:p>
        </w:tc>
        <w:tc>
          <w:tcPr>
            <w:tcW w:w="104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EAF9E8"/>
          </w:tcPr>
          <w:p>
            <w:pPr>
              <w:spacing w:after="0"/>
              <w:rPr>
                <w:sz w:val="21"/>
                <w:szCs w:val="21"/>
                <w:color w:val="auto"/>
              </w:rPr>
            </w:pPr>
          </w:p>
        </w:tc>
        <w:tc>
          <w:tcPr>
            <w:tcW w:w="148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EAF9E8"/>
          </w:tcPr>
          <w:p>
            <w:pPr>
              <w:spacing w:after="0"/>
              <w:rPr>
                <w:sz w:val="21"/>
                <w:szCs w:val="21"/>
                <w:color w:val="auto"/>
              </w:rPr>
            </w:pPr>
          </w:p>
        </w:tc>
        <w:tc>
          <w:tcPr>
            <w:tcW w:w="86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EAF9E8"/>
          </w:tcPr>
          <w:p>
            <w:pPr>
              <w:spacing w:after="0"/>
              <w:rPr>
                <w:sz w:val="21"/>
                <w:szCs w:val="21"/>
                <w:color w:val="auto"/>
              </w:rPr>
            </w:pPr>
          </w:p>
        </w:tc>
        <w:tc>
          <w:tcPr>
            <w:tcW w:w="180" w:type="dxa"/>
            <w:vAlign w:val="bottom"/>
            <w:shd w:val="clear" w:color="auto" w:fill="EAF9E8"/>
          </w:tcPr>
          <w:p>
            <w:pPr>
              <w:spacing w:after="0"/>
              <w:rPr>
                <w:sz w:val="21"/>
                <w:szCs w:val="21"/>
                <w:color w:val="auto"/>
              </w:rPr>
            </w:pPr>
          </w:p>
        </w:tc>
        <w:tc>
          <w:tcPr>
            <w:tcW w:w="84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(11,000)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Repurchase of 3.25% Convertible</w:t>
            </w: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960" w:type="dxa"/>
            <w:vAlign w:val="bottom"/>
          </w:tcPr>
          <w:p>
            <w:pPr>
              <w:ind w:left="140"/>
              <w:spacing w:after="0"/>
              <w:rPr>
                <w:sz w:val="20"/>
                <w:szCs w:val="20"/>
                <w:color w:val="auto"/>
              </w:rPr>
            </w:pPr>
            <w:r>
              <w:rPr>
                <w:rFonts w:ascii="Arial" w:cs="Arial" w:eastAsia="Arial" w:hAnsi="Arial"/>
                <w:sz w:val="18"/>
                <w:szCs w:val="18"/>
                <w:color w:val="auto"/>
              </w:rPr>
              <w:t>Notes</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60" w:type="dxa"/>
            <w:vAlign w:val="bottom"/>
            <w:shd w:val="clear" w:color="auto" w:fill="EAF9E8"/>
          </w:tcPr>
          <w:p>
            <w:pPr>
              <w:spacing w:after="0"/>
              <w:rPr>
                <w:sz w:val="20"/>
                <w:szCs w:val="20"/>
                <w:color w:val="auto"/>
              </w:rPr>
            </w:pPr>
            <w:r>
              <w:rPr>
                <w:rFonts w:ascii="Arial" w:cs="Arial" w:eastAsia="Arial" w:hAnsi="Arial"/>
                <w:sz w:val="18"/>
                <w:szCs w:val="18"/>
                <w:color w:val="auto"/>
                <w:w w:val="99"/>
              </w:rPr>
              <w:t>Issuance of common stock awards to</w:t>
            </w:r>
          </w:p>
        </w:tc>
        <w:tc>
          <w:tcPr>
            <w:tcW w:w="104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8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80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8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12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7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7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960" w:type="dxa"/>
            <w:vAlign w:val="bottom"/>
            <w:shd w:val="clear" w:color="auto" w:fill="EAF9E8"/>
          </w:tcPr>
          <w:p>
            <w:pPr>
              <w:ind w:left="140"/>
              <w:spacing w:after="0"/>
              <w:rPr>
                <w:sz w:val="20"/>
                <w:szCs w:val="20"/>
                <w:color w:val="auto"/>
              </w:rPr>
            </w:pPr>
            <w:r>
              <w:rPr>
                <w:rFonts w:ascii="Arial" w:cs="Arial" w:eastAsia="Arial" w:hAnsi="Arial"/>
                <w:sz w:val="18"/>
                <w:szCs w:val="18"/>
                <w:color w:val="auto"/>
              </w:rPr>
              <w:t>employees</w:t>
            </w:r>
          </w:p>
        </w:tc>
        <w:tc>
          <w:tcPr>
            <w:tcW w:w="10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29,907</w:t>
            </w:r>
          </w:p>
        </w:tc>
        <w:tc>
          <w:tcPr>
            <w:tcW w:w="140" w:type="dxa"/>
            <w:vAlign w:val="bottom"/>
            <w:shd w:val="clear" w:color="auto" w:fill="EAF9E8"/>
          </w:tcPr>
          <w:p>
            <w:pPr>
              <w:spacing w:after="0"/>
              <w:rPr>
                <w:sz w:val="19"/>
                <w:szCs w:val="19"/>
                <w:color w:val="auto"/>
              </w:rPr>
            </w:pPr>
          </w:p>
        </w:tc>
        <w:tc>
          <w:tcPr>
            <w:tcW w:w="8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9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04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(138)</w:t>
            </w:r>
          </w:p>
        </w:tc>
        <w:tc>
          <w:tcPr>
            <w:tcW w:w="100" w:type="dxa"/>
            <w:vAlign w:val="bottom"/>
            <w:shd w:val="clear" w:color="auto" w:fill="EAF9E8"/>
          </w:tcPr>
          <w:p>
            <w:pPr>
              <w:spacing w:after="0"/>
              <w:rPr>
                <w:sz w:val="19"/>
                <w:szCs w:val="19"/>
                <w:color w:val="auto"/>
              </w:rPr>
            </w:pPr>
          </w:p>
        </w:tc>
        <w:tc>
          <w:tcPr>
            <w:tcW w:w="104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EAF9E8"/>
          </w:tcPr>
          <w:p>
            <w:pPr>
              <w:spacing w:after="0"/>
              <w:rPr>
                <w:sz w:val="19"/>
                <w:szCs w:val="19"/>
                <w:color w:val="auto"/>
              </w:rPr>
            </w:pPr>
          </w:p>
        </w:tc>
        <w:tc>
          <w:tcPr>
            <w:tcW w:w="148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EAF9E8"/>
          </w:tcPr>
          <w:p>
            <w:pPr>
              <w:spacing w:after="0"/>
              <w:rPr>
                <w:sz w:val="19"/>
                <w:szCs w:val="19"/>
                <w:color w:val="auto"/>
              </w:rPr>
            </w:pPr>
          </w:p>
        </w:tc>
        <w:tc>
          <w:tcPr>
            <w:tcW w:w="86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84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41"/>
        </w:trPr>
        <w:tc>
          <w:tcPr>
            <w:tcW w:w="2980" w:type="dxa"/>
            <w:vAlign w:val="bottom"/>
            <w:gridSpan w:val="2"/>
          </w:tcPr>
          <w:p>
            <w:pPr>
              <w:spacing w:after="0"/>
              <w:rPr>
                <w:sz w:val="20"/>
                <w:szCs w:val="20"/>
                <w:color w:val="auto"/>
              </w:rPr>
            </w:pPr>
            <w:r>
              <w:rPr>
                <w:rFonts w:ascii="Arial" w:cs="Arial" w:eastAsia="Arial" w:hAnsi="Arial"/>
                <w:sz w:val="18"/>
                <w:szCs w:val="18"/>
                <w:color w:val="auto"/>
              </w:rPr>
              <w:t>Exercise of common stock options</w:t>
            </w:r>
          </w:p>
        </w:tc>
        <w:tc>
          <w:tcPr>
            <w:tcW w:w="1040" w:type="dxa"/>
            <w:vAlign w:val="bottom"/>
          </w:tcPr>
          <w:p>
            <w:pPr>
              <w:jc w:val="right"/>
              <w:spacing w:after="0"/>
              <w:rPr>
                <w:sz w:val="20"/>
                <w:szCs w:val="20"/>
                <w:color w:val="auto"/>
              </w:rPr>
            </w:pPr>
            <w:r>
              <w:rPr>
                <w:rFonts w:ascii="Arial" w:cs="Arial" w:eastAsia="Arial" w:hAnsi="Arial"/>
                <w:sz w:val="18"/>
                <w:szCs w:val="18"/>
                <w:color w:val="auto"/>
              </w:rPr>
              <w:t>405,013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2,964</w:t>
            </w:r>
          </w:p>
        </w:tc>
        <w:tc>
          <w:tcPr>
            <w:tcW w:w="1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2,968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60" w:type="dxa"/>
            <w:vAlign w:val="bottom"/>
            <w:shd w:val="clear" w:color="auto" w:fill="EAF9E8"/>
          </w:tcPr>
          <w:p>
            <w:pPr>
              <w:spacing w:after="0"/>
              <w:rPr>
                <w:sz w:val="20"/>
                <w:szCs w:val="20"/>
                <w:color w:val="auto"/>
              </w:rPr>
            </w:pPr>
            <w:r>
              <w:rPr>
                <w:rFonts w:ascii="Arial" w:cs="Arial" w:eastAsia="Arial" w:hAnsi="Arial"/>
                <w:sz w:val="18"/>
                <w:szCs w:val="18"/>
                <w:color w:val="auto"/>
              </w:rPr>
              <w:t>Excess tax benefits related to share-</w:t>
            </w:r>
          </w:p>
        </w:tc>
        <w:tc>
          <w:tcPr>
            <w:tcW w:w="104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8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80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8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12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7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7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960" w:type="dxa"/>
            <w:vAlign w:val="bottom"/>
            <w:shd w:val="clear" w:color="auto" w:fill="EAF9E8"/>
          </w:tcPr>
          <w:p>
            <w:pPr>
              <w:ind w:left="140"/>
              <w:spacing w:after="0"/>
              <w:rPr>
                <w:sz w:val="20"/>
                <w:szCs w:val="20"/>
                <w:color w:val="auto"/>
              </w:rPr>
            </w:pPr>
            <w:r>
              <w:rPr>
                <w:rFonts w:ascii="Arial" w:cs="Arial" w:eastAsia="Arial" w:hAnsi="Arial"/>
                <w:sz w:val="18"/>
                <w:szCs w:val="18"/>
                <w:color w:val="auto"/>
              </w:rPr>
              <w:t>based awards</w:t>
            </w:r>
          </w:p>
        </w:tc>
        <w:tc>
          <w:tcPr>
            <w:tcW w:w="118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9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04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362</w:t>
            </w:r>
          </w:p>
        </w:tc>
        <w:tc>
          <w:tcPr>
            <w:tcW w:w="100" w:type="dxa"/>
            <w:vAlign w:val="bottom"/>
            <w:shd w:val="clear" w:color="auto" w:fill="EAF9E8"/>
          </w:tcPr>
          <w:p>
            <w:pPr>
              <w:spacing w:after="0"/>
              <w:rPr>
                <w:sz w:val="19"/>
                <w:szCs w:val="19"/>
                <w:color w:val="auto"/>
              </w:rPr>
            </w:pPr>
          </w:p>
        </w:tc>
        <w:tc>
          <w:tcPr>
            <w:tcW w:w="104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EAF9E8"/>
          </w:tcPr>
          <w:p>
            <w:pPr>
              <w:spacing w:after="0"/>
              <w:rPr>
                <w:sz w:val="19"/>
                <w:szCs w:val="19"/>
                <w:color w:val="auto"/>
              </w:rPr>
            </w:pPr>
          </w:p>
        </w:tc>
        <w:tc>
          <w:tcPr>
            <w:tcW w:w="148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EAF9E8"/>
          </w:tcPr>
          <w:p>
            <w:pPr>
              <w:spacing w:after="0"/>
              <w:rPr>
                <w:sz w:val="19"/>
                <w:szCs w:val="19"/>
                <w:color w:val="auto"/>
              </w:rPr>
            </w:pPr>
          </w:p>
        </w:tc>
        <w:tc>
          <w:tcPr>
            <w:tcW w:w="86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8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Employee compensation – Share-</w:t>
            </w: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960" w:type="dxa"/>
            <w:vAlign w:val="bottom"/>
          </w:tcPr>
          <w:p>
            <w:pPr>
              <w:ind w:left="140"/>
              <w:spacing w:after="0"/>
              <w:rPr>
                <w:sz w:val="20"/>
                <w:szCs w:val="20"/>
                <w:color w:val="auto"/>
              </w:rPr>
            </w:pPr>
            <w:r>
              <w:rPr>
                <w:rFonts w:ascii="Arial" w:cs="Arial" w:eastAsia="Arial" w:hAnsi="Arial"/>
                <w:sz w:val="18"/>
                <w:szCs w:val="18"/>
                <w:color w:val="auto"/>
              </w:rPr>
              <w:t>based awards</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1,373</w:t>
            </w:r>
          </w:p>
        </w:tc>
        <w:tc>
          <w:tcPr>
            <w:tcW w:w="10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1,373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60" w:type="dxa"/>
            <w:vAlign w:val="bottom"/>
            <w:shd w:val="clear" w:color="auto" w:fill="EAF9E8"/>
          </w:tcPr>
          <w:p>
            <w:pPr>
              <w:spacing w:after="0"/>
              <w:rPr>
                <w:sz w:val="20"/>
                <w:szCs w:val="20"/>
                <w:color w:val="auto"/>
              </w:rPr>
            </w:pPr>
            <w:r>
              <w:rPr>
                <w:rFonts w:ascii="Arial" w:cs="Arial" w:eastAsia="Arial" w:hAnsi="Arial"/>
                <w:sz w:val="18"/>
                <w:szCs w:val="18"/>
                <w:color w:val="auto"/>
              </w:rPr>
              <w:t>Directors’ compensation – Common</w:t>
            </w:r>
          </w:p>
        </w:tc>
        <w:tc>
          <w:tcPr>
            <w:tcW w:w="104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8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80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8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12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7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7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960" w:type="dxa"/>
            <w:vAlign w:val="bottom"/>
            <w:shd w:val="clear" w:color="auto" w:fill="EAF9E8"/>
          </w:tcPr>
          <w:p>
            <w:pPr>
              <w:ind w:left="140"/>
              <w:spacing w:after="0"/>
              <w:rPr>
                <w:sz w:val="20"/>
                <w:szCs w:val="20"/>
                <w:color w:val="auto"/>
              </w:rPr>
            </w:pPr>
            <w:r>
              <w:rPr>
                <w:rFonts w:ascii="Arial" w:cs="Arial" w:eastAsia="Arial" w:hAnsi="Arial"/>
                <w:sz w:val="18"/>
                <w:szCs w:val="18"/>
                <w:color w:val="auto"/>
              </w:rPr>
              <w:t>stock</w:t>
            </w:r>
          </w:p>
        </w:tc>
        <w:tc>
          <w:tcPr>
            <w:tcW w:w="10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12,147</w:t>
            </w:r>
          </w:p>
        </w:tc>
        <w:tc>
          <w:tcPr>
            <w:tcW w:w="140" w:type="dxa"/>
            <w:vAlign w:val="bottom"/>
            <w:shd w:val="clear" w:color="auto" w:fill="EAF9E8"/>
          </w:tcPr>
          <w:p>
            <w:pPr>
              <w:spacing w:after="0"/>
              <w:rPr>
                <w:sz w:val="19"/>
                <w:szCs w:val="19"/>
                <w:color w:val="auto"/>
              </w:rPr>
            </w:pPr>
          </w:p>
        </w:tc>
        <w:tc>
          <w:tcPr>
            <w:tcW w:w="8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9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04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82</w:t>
            </w:r>
          </w:p>
        </w:tc>
        <w:tc>
          <w:tcPr>
            <w:tcW w:w="100" w:type="dxa"/>
            <w:vAlign w:val="bottom"/>
            <w:shd w:val="clear" w:color="auto" w:fill="EAF9E8"/>
          </w:tcPr>
          <w:p>
            <w:pPr>
              <w:spacing w:after="0"/>
              <w:rPr>
                <w:sz w:val="19"/>
                <w:szCs w:val="19"/>
                <w:color w:val="auto"/>
              </w:rPr>
            </w:pPr>
          </w:p>
        </w:tc>
        <w:tc>
          <w:tcPr>
            <w:tcW w:w="104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EAF9E8"/>
          </w:tcPr>
          <w:p>
            <w:pPr>
              <w:spacing w:after="0"/>
              <w:rPr>
                <w:sz w:val="19"/>
                <w:szCs w:val="19"/>
                <w:color w:val="auto"/>
              </w:rPr>
            </w:pPr>
          </w:p>
        </w:tc>
        <w:tc>
          <w:tcPr>
            <w:tcW w:w="148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EAF9E8"/>
          </w:tcPr>
          <w:p>
            <w:pPr>
              <w:spacing w:after="0"/>
              <w:rPr>
                <w:sz w:val="19"/>
                <w:szCs w:val="19"/>
                <w:color w:val="auto"/>
              </w:rPr>
            </w:pPr>
          </w:p>
        </w:tc>
        <w:tc>
          <w:tcPr>
            <w:tcW w:w="86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8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Other comprehensive loss, net of</w:t>
            </w: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60" w:type="dxa"/>
            <w:vAlign w:val="bottom"/>
          </w:tcPr>
          <w:p>
            <w:pPr>
              <w:ind w:left="140"/>
              <w:spacing w:after="0"/>
              <w:rPr>
                <w:sz w:val="20"/>
                <w:szCs w:val="20"/>
                <w:color w:val="auto"/>
              </w:rPr>
            </w:pPr>
            <w:r>
              <w:rPr>
                <w:rFonts w:ascii="Arial" w:cs="Arial" w:eastAsia="Arial" w:hAnsi="Arial"/>
                <w:sz w:val="18"/>
                <w:szCs w:val="18"/>
                <w:color w:val="auto"/>
              </w:rPr>
              <w:t>income taxes</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(307)</w:t>
            </w:r>
          </w:p>
        </w:tc>
        <w:tc>
          <w:tcPr>
            <w:tcW w:w="18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(133)</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1"/>
        </w:trPr>
        <w:tc>
          <w:tcPr>
            <w:tcW w:w="2980" w:type="dxa"/>
            <w:vAlign w:val="bottom"/>
            <w:gridSpan w:val="2"/>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tcPr>
          <w:p>
            <w:pPr>
              <w:spacing w:after="0"/>
              <w:rPr>
                <w:sz w:val="21"/>
                <w:szCs w:val="21"/>
                <w:color w:val="auto"/>
              </w:rPr>
            </w:pPr>
          </w:p>
        </w:tc>
        <w:tc>
          <w:tcPr>
            <w:tcW w:w="296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Balance at September 30, 2009</w:t>
            </w:r>
          </w:p>
        </w:tc>
        <w:tc>
          <w:tcPr>
            <w:tcW w:w="10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99,835,097</w:t>
            </w:r>
          </w:p>
        </w:tc>
        <w:tc>
          <w:tcPr>
            <w:tcW w:w="14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1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998</w:t>
            </w:r>
          </w:p>
        </w:tc>
        <w:tc>
          <w:tcPr>
            <w:tcW w:w="26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458,822</w:t>
            </w:r>
          </w:p>
        </w:tc>
        <w:tc>
          <w:tcPr>
            <w:tcW w:w="10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395,809</w:t>
            </w:r>
          </w:p>
        </w:tc>
        <w:tc>
          <w:tcPr>
            <w:tcW w:w="220" w:type="dxa"/>
            <w:vAlign w:val="bottom"/>
            <w:shd w:val="clear" w:color="auto" w:fill="EAF9E8"/>
          </w:tcPr>
          <w:p>
            <w:pPr>
              <w:spacing w:after="0"/>
              <w:rPr>
                <w:sz w:val="21"/>
                <w:szCs w:val="21"/>
                <w:color w:val="auto"/>
              </w:rPr>
            </w:pPr>
          </w:p>
        </w:tc>
        <w:tc>
          <w:tcPr>
            <w:tcW w:w="8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1,569</w:t>
            </w:r>
          </w:p>
        </w:tc>
        <w:tc>
          <w:tcPr>
            <w:tcW w:w="200" w:type="dxa"/>
            <w:vAlign w:val="bottom"/>
            <w:shd w:val="clear" w:color="auto" w:fill="EAF9E8"/>
          </w:tcPr>
          <w:p>
            <w:pPr>
              <w:spacing w:after="0"/>
              <w:rPr>
                <w:sz w:val="21"/>
                <w:szCs w:val="21"/>
                <w:color w:val="auto"/>
              </w:rPr>
            </w:pPr>
          </w:p>
        </w:tc>
        <w:tc>
          <w:tcPr>
            <w:tcW w:w="18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262</w:t>
            </w:r>
          </w:p>
        </w:tc>
        <w:tc>
          <w:tcPr>
            <w:tcW w:w="26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857,460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26" w:lineRule="exact"/>
        <w:rPr>
          <w:sz w:val="20"/>
          <w:szCs w:val="20"/>
          <w:color w:val="auto"/>
        </w:rPr>
      </w:pPr>
    </w:p>
    <w:p>
      <w:pPr>
        <w:jc w:val="center"/>
        <w:ind w:left="7900"/>
        <w:spacing w:after="0"/>
        <w:rPr>
          <w:sz w:val="20"/>
          <w:szCs w:val="20"/>
          <w:color w:val="auto"/>
        </w:rPr>
      </w:pPr>
      <w:r>
        <w:rPr>
          <w:rFonts w:ascii="Arial" w:cs="Arial" w:eastAsia="Arial" w:hAnsi="Arial"/>
          <w:sz w:val="18"/>
          <w:szCs w:val="18"/>
          <w:b w:val="1"/>
          <w:bCs w:val="1"/>
          <w:color w:val="auto"/>
        </w:rPr>
        <w:t>For the nine months ended</w:t>
      </w:r>
    </w:p>
    <w:p>
      <w:pPr>
        <w:spacing w:after="0" w:line="21" w:lineRule="exact"/>
        <w:rPr>
          <w:sz w:val="20"/>
          <w:szCs w:val="20"/>
          <w:color w:val="auto"/>
        </w:rPr>
      </w:pPr>
    </w:p>
    <w:p>
      <w:pPr>
        <w:jc w:val="center"/>
        <w:ind w:left="7900"/>
        <w:spacing w:after="0"/>
        <w:rPr>
          <w:sz w:val="20"/>
          <w:szCs w:val="20"/>
          <w:color w:val="auto"/>
        </w:rPr>
      </w:pPr>
      <w:r>
        <w:rPr>
          <w:rFonts w:ascii="Arial" w:cs="Arial" w:eastAsia="Arial" w:hAnsi="Arial"/>
          <w:sz w:val="18"/>
          <w:szCs w:val="18"/>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5090795</wp:posOffset>
            </wp:positionH>
            <wp:positionV relativeFrom="paragraph">
              <wp:posOffset>15875</wp:posOffset>
            </wp:positionV>
            <wp:extent cx="209232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6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2"/>
              <w:spacing w:after="0"/>
              <w:rPr>
                <w:sz w:val="20"/>
                <w:szCs w:val="20"/>
                <w:color w:val="auto"/>
              </w:rPr>
            </w:pPr>
            <w:r>
              <w:rPr>
                <w:rFonts w:ascii="Arial" w:cs="Arial" w:eastAsia="Arial" w:hAnsi="Arial"/>
                <w:sz w:val="18"/>
                <w:szCs w:val="18"/>
                <w:b w:val="1"/>
                <w:bCs w:val="1"/>
                <w:color w:val="auto"/>
              </w:rPr>
              <w:t>2009</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2"/>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76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2"/>
              </w:rPr>
              <w:t>(As Adjusted)</w:t>
            </w:r>
          </w:p>
        </w:tc>
        <w:tc>
          <w:tcPr>
            <w:tcW w:w="0" w:type="dxa"/>
            <w:vAlign w:val="bottom"/>
          </w:tcPr>
          <w:p>
            <w:pPr>
              <w:spacing w:after="0"/>
              <w:rPr>
                <w:sz w:val="1"/>
                <w:szCs w:val="1"/>
                <w:color w:val="auto"/>
              </w:rPr>
            </w:pPr>
          </w:p>
        </w:tc>
      </w:tr>
      <w:tr>
        <w:trPr>
          <w:trHeight w:val="244"/>
        </w:trPr>
        <w:tc>
          <w:tcPr>
            <w:tcW w:w="760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420" w:type="dxa"/>
            <w:vAlign w:val="bottom"/>
            <w:shd w:val="clear" w:color="auto" w:fill="EAF9E8"/>
          </w:tcPr>
          <w:p>
            <w:pPr>
              <w:spacing w:after="0"/>
              <w:rPr>
                <w:sz w:val="21"/>
                <w:szCs w:val="21"/>
                <w:color w:val="auto"/>
              </w:rPr>
            </w:pPr>
          </w:p>
        </w:tc>
        <w:tc>
          <w:tcPr>
            <w:tcW w:w="320" w:type="dxa"/>
            <w:vAlign w:val="bottom"/>
            <w:shd w:val="clear" w:color="auto" w:fill="EAF9E8"/>
          </w:tcPr>
          <w:p>
            <w:pPr>
              <w:spacing w:after="0"/>
              <w:rPr>
                <w:sz w:val="21"/>
                <w:szCs w:val="21"/>
                <w:color w:val="auto"/>
              </w:rPr>
            </w:pPr>
          </w:p>
        </w:tc>
        <w:tc>
          <w:tcPr>
            <w:tcW w:w="1160" w:type="dxa"/>
            <w:vAlign w:val="bottom"/>
            <w:shd w:val="clear" w:color="auto" w:fill="EAF9E8"/>
          </w:tcPr>
          <w:p>
            <w:pPr>
              <w:spacing w:after="0"/>
              <w:rPr>
                <w:sz w:val="21"/>
                <w:szCs w:val="21"/>
                <w:color w:val="auto"/>
              </w:rPr>
            </w:pPr>
          </w:p>
        </w:tc>
        <w:tc>
          <w:tcPr>
            <w:tcW w:w="20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32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7600" w:type="dxa"/>
            <w:vAlign w:val="bottom"/>
          </w:tcPr>
          <w:p>
            <w:pPr>
              <w:spacing w:after="0"/>
              <w:rPr>
                <w:sz w:val="20"/>
                <w:szCs w:val="20"/>
                <w:color w:val="auto"/>
              </w:rPr>
            </w:pPr>
            <w:r>
              <w:rPr>
                <w:rFonts w:ascii="Arial" w:cs="Arial" w:eastAsia="Arial" w:hAnsi="Arial"/>
                <w:sz w:val="18"/>
                <w:szCs w:val="18"/>
                <w:color w:val="auto"/>
              </w:rPr>
              <w:t>Net income (loss)</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(9,103)</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17,674</w:t>
            </w:r>
          </w:p>
        </w:tc>
        <w:tc>
          <w:tcPr>
            <w:tcW w:w="0" w:type="dxa"/>
            <w:vAlign w:val="bottom"/>
          </w:tcPr>
          <w:p>
            <w:pPr>
              <w:spacing w:after="0"/>
              <w:rPr>
                <w:sz w:val="1"/>
                <w:szCs w:val="1"/>
                <w:color w:val="auto"/>
              </w:rPr>
            </w:pPr>
          </w:p>
        </w:tc>
      </w:tr>
      <w:tr>
        <w:trPr>
          <w:trHeight w:val="244"/>
        </w:trPr>
        <w:tc>
          <w:tcPr>
            <w:tcW w:w="7600" w:type="dxa"/>
            <w:vAlign w:val="bottom"/>
            <w:shd w:val="clear" w:color="auto" w:fill="EAF9E8"/>
          </w:tcPr>
          <w:p>
            <w:pPr>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420" w:type="dxa"/>
            <w:vAlign w:val="bottom"/>
            <w:shd w:val="clear" w:color="auto" w:fill="EAF9E8"/>
          </w:tcPr>
          <w:p>
            <w:pPr>
              <w:spacing w:after="0"/>
              <w:rPr>
                <w:sz w:val="21"/>
                <w:szCs w:val="21"/>
                <w:color w:val="auto"/>
              </w:rPr>
            </w:pPr>
          </w:p>
        </w:tc>
        <w:tc>
          <w:tcPr>
            <w:tcW w:w="320" w:type="dxa"/>
            <w:vAlign w:val="bottom"/>
            <w:shd w:val="clear" w:color="auto" w:fill="EAF9E8"/>
          </w:tcPr>
          <w:p>
            <w:pPr>
              <w:spacing w:after="0"/>
              <w:rPr>
                <w:sz w:val="21"/>
                <w:szCs w:val="21"/>
                <w:color w:val="auto"/>
              </w:rPr>
            </w:pPr>
          </w:p>
        </w:tc>
        <w:tc>
          <w:tcPr>
            <w:tcW w:w="1160" w:type="dxa"/>
            <w:vAlign w:val="bottom"/>
            <w:shd w:val="clear" w:color="auto" w:fill="EAF9E8"/>
          </w:tcPr>
          <w:p>
            <w:pPr>
              <w:spacing w:after="0"/>
              <w:rPr>
                <w:sz w:val="21"/>
                <w:szCs w:val="21"/>
                <w:color w:val="auto"/>
              </w:rPr>
            </w:pPr>
          </w:p>
        </w:tc>
        <w:tc>
          <w:tcPr>
            <w:tcW w:w="20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32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7600" w:type="dxa"/>
            <w:vAlign w:val="bottom"/>
          </w:tcPr>
          <w:p>
            <w:pPr>
              <w:ind w:left="160"/>
              <w:spacing w:after="0"/>
              <w:rPr>
                <w:sz w:val="20"/>
                <w:szCs w:val="20"/>
                <w:color w:val="auto"/>
              </w:rPr>
            </w:pPr>
            <w:r>
              <w:rPr>
                <w:rFonts w:ascii="Arial" w:cs="Arial" w:eastAsia="Arial" w:hAnsi="Arial"/>
                <w:sz w:val="18"/>
                <w:szCs w:val="18"/>
                <w:color w:val="auto"/>
              </w:rPr>
              <w:t>Amortization of mortgage servicing rights</w:t>
            </w:r>
          </w:p>
        </w:tc>
        <w:tc>
          <w:tcPr>
            <w:tcW w:w="4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25,743</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40,712</w:t>
            </w:r>
          </w:p>
        </w:tc>
        <w:tc>
          <w:tcPr>
            <w:tcW w:w="0" w:type="dxa"/>
            <w:vAlign w:val="bottom"/>
          </w:tcPr>
          <w:p>
            <w:pPr>
              <w:spacing w:after="0"/>
              <w:rPr>
                <w:sz w:val="1"/>
                <w:szCs w:val="1"/>
                <w:color w:val="auto"/>
              </w:rPr>
            </w:pPr>
          </w:p>
        </w:tc>
      </w:tr>
      <w:tr>
        <w:trPr>
          <w:trHeight w:val="244"/>
        </w:trPr>
        <w:tc>
          <w:tcPr>
            <w:tcW w:w="7600" w:type="dxa"/>
            <w:vAlign w:val="bottom"/>
            <w:shd w:val="clear" w:color="auto" w:fill="EAF9E8"/>
          </w:tcPr>
          <w:p>
            <w:pPr>
              <w:ind w:left="160"/>
              <w:spacing w:after="0"/>
              <w:rPr>
                <w:sz w:val="20"/>
                <w:szCs w:val="20"/>
                <w:color w:val="auto"/>
              </w:rPr>
            </w:pPr>
            <w:r>
              <w:rPr>
                <w:rFonts w:ascii="Arial" w:cs="Arial" w:eastAsia="Arial" w:hAnsi="Arial"/>
                <w:sz w:val="18"/>
                <w:szCs w:val="18"/>
                <w:color w:val="auto"/>
              </w:rPr>
              <w:t>Premium amortization and discount accretion</w:t>
            </w:r>
          </w:p>
        </w:tc>
        <w:tc>
          <w:tcPr>
            <w:tcW w:w="420" w:type="dxa"/>
            <w:vAlign w:val="bottom"/>
            <w:shd w:val="clear" w:color="auto" w:fill="EAF9E8"/>
          </w:tcPr>
          <w:p>
            <w:pPr>
              <w:spacing w:after="0"/>
              <w:rPr>
                <w:sz w:val="21"/>
                <w:szCs w:val="21"/>
                <w:color w:val="auto"/>
              </w:rPr>
            </w:pPr>
          </w:p>
        </w:tc>
        <w:tc>
          <w:tcPr>
            <w:tcW w:w="320" w:type="dxa"/>
            <w:vAlign w:val="bottom"/>
            <w:shd w:val="clear" w:color="auto" w:fill="EAF9E8"/>
          </w:tcPr>
          <w:p>
            <w:pPr>
              <w:spacing w:after="0"/>
              <w:rPr>
                <w:sz w:val="21"/>
                <w:szCs w:val="21"/>
                <w:color w:val="auto"/>
              </w:rPr>
            </w:pPr>
          </w:p>
        </w:tc>
        <w:tc>
          <w:tcPr>
            <w:tcW w:w="1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1,735</w:t>
            </w:r>
          </w:p>
        </w:tc>
        <w:tc>
          <w:tcPr>
            <w:tcW w:w="20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4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2,924</w:t>
            </w:r>
          </w:p>
        </w:tc>
        <w:tc>
          <w:tcPr>
            <w:tcW w:w="0" w:type="dxa"/>
            <w:vAlign w:val="bottom"/>
          </w:tcPr>
          <w:p>
            <w:pPr>
              <w:spacing w:after="0"/>
              <w:rPr>
                <w:sz w:val="1"/>
                <w:szCs w:val="1"/>
                <w:color w:val="auto"/>
              </w:rPr>
            </w:pPr>
          </w:p>
        </w:tc>
      </w:tr>
      <w:tr>
        <w:trPr>
          <w:trHeight w:val="242"/>
        </w:trPr>
        <w:tc>
          <w:tcPr>
            <w:tcW w:w="7600" w:type="dxa"/>
            <w:vAlign w:val="bottom"/>
          </w:tcPr>
          <w:p>
            <w:pPr>
              <w:ind w:left="160"/>
              <w:spacing w:after="0"/>
              <w:rPr>
                <w:sz w:val="20"/>
                <w:szCs w:val="20"/>
                <w:color w:val="auto"/>
              </w:rPr>
            </w:pPr>
            <w:r>
              <w:rPr>
                <w:rFonts w:ascii="Arial" w:cs="Arial" w:eastAsia="Arial" w:hAnsi="Arial"/>
                <w:sz w:val="18"/>
                <w:szCs w:val="18"/>
                <w:color w:val="auto"/>
              </w:rPr>
              <w:t>Depreciation and other amortization</w:t>
            </w:r>
          </w:p>
        </w:tc>
        <w:tc>
          <w:tcPr>
            <w:tcW w:w="4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6,025</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9,599</w:t>
            </w:r>
          </w:p>
        </w:tc>
        <w:tc>
          <w:tcPr>
            <w:tcW w:w="0" w:type="dxa"/>
            <w:vAlign w:val="bottom"/>
          </w:tcPr>
          <w:p>
            <w:pPr>
              <w:spacing w:after="0"/>
              <w:rPr>
                <w:sz w:val="1"/>
                <w:szCs w:val="1"/>
                <w:color w:val="auto"/>
              </w:rPr>
            </w:pPr>
          </w:p>
        </w:tc>
      </w:tr>
      <w:tr>
        <w:trPr>
          <w:trHeight w:val="244"/>
        </w:trPr>
        <w:tc>
          <w:tcPr>
            <w:tcW w:w="7600" w:type="dxa"/>
            <w:vAlign w:val="bottom"/>
            <w:shd w:val="clear" w:color="auto" w:fill="EAF9E8"/>
          </w:tcPr>
          <w:p>
            <w:pPr>
              <w:ind w:left="160"/>
              <w:spacing w:after="0"/>
              <w:rPr>
                <w:sz w:val="20"/>
                <w:szCs w:val="20"/>
                <w:color w:val="auto"/>
              </w:rPr>
            </w:pPr>
            <w:r>
              <w:rPr>
                <w:rFonts w:ascii="Arial" w:cs="Arial" w:eastAsia="Arial" w:hAnsi="Arial"/>
                <w:sz w:val="18"/>
                <w:szCs w:val="18"/>
                <w:color w:val="auto"/>
              </w:rPr>
              <w:t>Provision for bad debts</w:t>
            </w:r>
          </w:p>
        </w:tc>
        <w:tc>
          <w:tcPr>
            <w:tcW w:w="420" w:type="dxa"/>
            <w:vAlign w:val="bottom"/>
            <w:shd w:val="clear" w:color="auto" w:fill="EAF9E8"/>
          </w:tcPr>
          <w:p>
            <w:pPr>
              <w:spacing w:after="0"/>
              <w:rPr>
                <w:sz w:val="21"/>
                <w:szCs w:val="21"/>
                <w:color w:val="auto"/>
              </w:rPr>
            </w:pPr>
          </w:p>
        </w:tc>
        <w:tc>
          <w:tcPr>
            <w:tcW w:w="320" w:type="dxa"/>
            <w:vAlign w:val="bottom"/>
            <w:shd w:val="clear" w:color="auto" w:fill="EAF9E8"/>
          </w:tcPr>
          <w:p>
            <w:pPr>
              <w:spacing w:after="0"/>
              <w:rPr>
                <w:sz w:val="21"/>
                <w:szCs w:val="21"/>
                <w:color w:val="auto"/>
              </w:rPr>
            </w:pPr>
          </w:p>
        </w:tc>
        <w:tc>
          <w:tcPr>
            <w:tcW w:w="1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1,138</w:t>
            </w:r>
          </w:p>
        </w:tc>
        <w:tc>
          <w:tcPr>
            <w:tcW w:w="20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4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872</w:t>
            </w:r>
          </w:p>
        </w:tc>
        <w:tc>
          <w:tcPr>
            <w:tcW w:w="0" w:type="dxa"/>
            <w:vAlign w:val="bottom"/>
          </w:tcPr>
          <w:p>
            <w:pPr>
              <w:spacing w:after="0"/>
              <w:rPr>
                <w:sz w:val="1"/>
                <w:szCs w:val="1"/>
                <w:color w:val="auto"/>
              </w:rPr>
            </w:pPr>
          </w:p>
        </w:tc>
      </w:tr>
      <w:tr>
        <w:trPr>
          <w:trHeight w:val="242"/>
        </w:trPr>
        <w:tc>
          <w:tcPr>
            <w:tcW w:w="7600" w:type="dxa"/>
            <w:vAlign w:val="bottom"/>
          </w:tcPr>
          <w:p>
            <w:pPr>
              <w:ind w:left="160"/>
              <w:spacing w:after="0"/>
              <w:rPr>
                <w:sz w:val="20"/>
                <w:szCs w:val="20"/>
                <w:color w:val="auto"/>
              </w:rPr>
            </w:pPr>
            <w:r>
              <w:rPr>
                <w:rFonts w:ascii="Arial" w:cs="Arial" w:eastAsia="Arial" w:hAnsi="Arial"/>
                <w:sz w:val="18"/>
                <w:szCs w:val="18"/>
                <w:color w:val="auto"/>
              </w:rPr>
              <w:t>Provision for (reversal of) impairment of mortgage servicing assets</w:t>
            </w:r>
          </w:p>
        </w:tc>
        <w:tc>
          <w:tcPr>
            <w:tcW w:w="4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(374)</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1,401</w:t>
            </w:r>
          </w:p>
        </w:tc>
        <w:tc>
          <w:tcPr>
            <w:tcW w:w="0" w:type="dxa"/>
            <w:vAlign w:val="bottom"/>
          </w:tcPr>
          <w:p>
            <w:pPr>
              <w:spacing w:after="0"/>
              <w:rPr>
                <w:sz w:val="1"/>
                <w:szCs w:val="1"/>
                <w:color w:val="auto"/>
              </w:rPr>
            </w:pPr>
          </w:p>
        </w:tc>
      </w:tr>
      <w:tr>
        <w:trPr>
          <w:trHeight w:val="244"/>
        </w:trPr>
        <w:tc>
          <w:tcPr>
            <w:tcW w:w="7600" w:type="dxa"/>
            <w:vAlign w:val="bottom"/>
            <w:shd w:val="clear" w:color="auto" w:fill="EAF9E8"/>
          </w:tcPr>
          <w:p>
            <w:pPr>
              <w:ind w:left="160"/>
              <w:spacing w:after="0"/>
              <w:rPr>
                <w:sz w:val="20"/>
                <w:szCs w:val="20"/>
                <w:color w:val="auto"/>
              </w:rPr>
            </w:pPr>
            <w:r>
              <w:rPr>
                <w:rFonts w:ascii="Arial" w:cs="Arial" w:eastAsia="Arial" w:hAnsi="Arial"/>
                <w:sz w:val="18"/>
                <w:szCs w:val="18"/>
                <w:color w:val="auto"/>
              </w:rPr>
              <w:t>Provision for (reversal of) impairment of discontinued operations</w:t>
            </w:r>
          </w:p>
        </w:tc>
        <w:tc>
          <w:tcPr>
            <w:tcW w:w="420" w:type="dxa"/>
            <w:vAlign w:val="bottom"/>
            <w:shd w:val="clear" w:color="auto" w:fill="EAF9E8"/>
          </w:tcPr>
          <w:p>
            <w:pPr>
              <w:spacing w:after="0"/>
              <w:rPr>
                <w:sz w:val="21"/>
                <w:szCs w:val="21"/>
                <w:color w:val="auto"/>
              </w:rPr>
            </w:pPr>
          </w:p>
        </w:tc>
        <w:tc>
          <w:tcPr>
            <w:tcW w:w="320" w:type="dxa"/>
            <w:vAlign w:val="bottom"/>
            <w:shd w:val="clear" w:color="auto" w:fill="EAF9E8"/>
          </w:tcPr>
          <w:p>
            <w:pPr>
              <w:spacing w:after="0"/>
              <w:rPr>
                <w:sz w:val="21"/>
                <w:szCs w:val="21"/>
                <w:color w:val="auto"/>
              </w:rPr>
            </w:pPr>
          </w:p>
        </w:tc>
        <w:tc>
          <w:tcPr>
            <w:tcW w:w="136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(1,227)</w:t>
            </w:r>
          </w:p>
        </w:tc>
        <w:tc>
          <w:tcPr>
            <w:tcW w:w="14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4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4,980</w:t>
            </w:r>
          </w:p>
        </w:tc>
        <w:tc>
          <w:tcPr>
            <w:tcW w:w="0" w:type="dxa"/>
            <w:vAlign w:val="bottom"/>
          </w:tcPr>
          <w:p>
            <w:pPr>
              <w:spacing w:after="0"/>
              <w:rPr>
                <w:sz w:val="1"/>
                <w:szCs w:val="1"/>
                <w:color w:val="auto"/>
              </w:rPr>
            </w:pPr>
          </w:p>
        </w:tc>
      </w:tr>
      <w:tr>
        <w:trPr>
          <w:trHeight w:val="242"/>
        </w:trPr>
        <w:tc>
          <w:tcPr>
            <w:tcW w:w="7600" w:type="dxa"/>
            <w:vAlign w:val="bottom"/>
          </w:tcPr>
          <w:p>
            <w:pPr>
              <w:ind w:left="160"/>
              <w:spacing w:after="0"/>
              <w:rPr>
                <w:sz w:val="20"/>
                <w:szCs w:val="20"/>
                <w:color w:val="auto"/>
              </w:rPr>
            </w:pPr>
            <w:r>
              <w:rPr>
                <w:rFonts w:ascii="Arial" w:cs="Arial" w:eastAsia="Arial" w:hAnsi="Arial"/>
                <w:sz w:val="18"/>
                <w:szCs w:val="18"/>
                <w:color w:val="auto"/>
              </w:rPr>
              <w:t>Loss (gain) on trading securities</w:t>
            </w:r>
          </w:p>
        </w:tc>
        <w:tc>
          <w:tcPr>
            <w:tcW w:w="4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(13,346)</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22,366</w:t>
            </w:r>
          </w:p>
        </w:tc>
        <w:tc>
          <w:tcPr>
            <w:tcW w:w="0" w:type="dxa"/>
            <w:vAlign w:val="bottom"/>
          </w:tcPr>
          <w:p>
            <w:pPr>
              <w:spacing w:after="0"/>
              <w:rPr>
                <w:sz w:val="1"/>
                <w:szCs w:val="1"/>
                <w:color w:val="auto"/>
              </w:rPr>
            </w:pPr>
          </w:p>
        </w:tc>
      </w:tr>
      <w:tr>
        <w:trPr>
          <w:trHeight w:val="244"/>
        </w:trPr>
        <w:tc>
          <w:tcPr>
            <w:tcW w:w="7600" w:type="dxa"/>
            <w:vAlign w:val="bottom"/>
            <w:shd w:val="clear" w:color="auto" w:fill="EAF9E8"/>
          </w:tcPr>
          <w:p>
            <w:pPr>
              <w:ind w:left="160"/>
              <w:spacing w:after="0"/>
              <w:rPr>
                <w:sz w:val="20"/>
                <w:szCs w:val="20"/>
                <w:color w:val="auto"/>
              </w:rPr>
            </w:pPr>
            <w:r>
              <w:rPr>
                <w:rFonts w:ascii="Arial" w:cs="Arial" w:eastAsia="Arial" w:hAnsi="Arial"/>
                <w:sz w:val="18"/>
                <w:szCs w:val="18"/>
                <w:color w:val="auto"/>
              </w:rPr>
              <w:t>Loss on loans held for resale, net</w:t>
            </w:r>
          </w:p>
        </w:tc>
        <w:tc>
          <w:tcPr>
            <w:tcW w:w="420" w:type="dxa"/>
            <w:vAlign w:val="bottom"/>
            <w:shd w:val="clear" w:color="auto" w:fill="EAF9E8"/>
          </w:tcPr>
          <w:p>
            <w:pPr>
              <w:spacing w:after="0"/>
              <w:rPr>
                <w:sz w:val="21"/>
                <w:szCs w:val="21"/>
                <w:color w:val="auto"/>
              </w:rPr>
            </w:pPr>
          </w:p>
        </w:tc>
        <w:tc>
          <w:tcPr>
            <w:tcW w:w="320" w:type="dxa"/>
            <w:vAlign w:val="bottom"/>
            <w:shd w:val="clear" w:color="auto" w:fill="EAF9E8"/>
          </w:tcPr>
          <w:p>
            <w:pPr>
              <w:spacing w:after="0"/>
              <w:rPr>
                <w:sz w:val="21"/>
                <w:szCs w:val="21"/>
                <w:color w:val="auto"/>
              </w:rPr>
            </w:pPr>
          </w:p>
        </w:tc>
        <w:tc>
          <w:tcPr>
            <w:tcW w:w="1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8,783</w:t>
            </w:r>
          </w:p>
        </w:tc>
        <w:tc>
          <w:tcPr>
            <w:tcW w:w="20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4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11,112</w:t>
            </w:r>
          </w:p>
        </w:tc>
        <w:tc>
          <w:tcPr>
            <w:tcW w:w="0" w:type="dxa"/>
            <w:vAlign w:val="bottom"/>
          </w:tcPr>
          <w:p>
            <w:pPr>
              <w:spacing w:after="0"/>
              <w:rPr>
                <w:sz w:val="1"/>
                <w:szCs w:val="1"/>
                <w:color w:val="auto"/>
              </w:rPr>
            </w:pPr>
          </w:p>
        </w:tc>
      </w:tr>
      <w:tr>
        <w:trPr>
          <w:trHeight w:val="242"/>
        </w:trPr>
        <w:tc>
          <w:tcPr>
            <w:tcW w:w="7600" w:type="dxa"/>
            <w:vAlign w:val="bottom"/>
          </w:tcPr>
          <w:p>
            <w:pPr>
              <w:ind w:left="160"/>
              <w:spacing w:after="0"/>
              <w:rPr>
                <w:sz w:val="20"/>
                <w:szCs w:val="20"/>
                <w:color w:val="auto"/>
              </w:rPr>
            </w:pPr>
            <w:r>
              <w:rPr>
                <w:rFonts w:ascii="Arial" w:cs="Arial" w:eastAsia="Arial" w:hAnsi="Arial"/>
                <w:sz w:val="18"/>
                <w:szCs w:val="18"/>
                <w:color w:val="auto"/>
              </w:rPr>
              <w:t>Equity in losses of unconsolidated entities</w:t>
            </w:r>
          </w:p>
        </w:tc>
        <w:tc>
          <w:tcPr>
            <w:tcW w:w="4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1,608</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10,628</w:t>
            </w:r>
          </w:p>
        </w:tc>
        <w:tc>
          <w:tcPr>
            <w:tcW w:w="0" w:type="dxa"/>
            <w:vAlign w:val="bottom"/>
          </w:tcPr>
          <w:p>
            <w:pPr>
              <w:spacing w:after="0"/>
              <w:rPr>
                <w:sz w:val="1"/>
                <w:szCs w:val="1"/>
                <w:color w:val="auto"/>
              </w:rPr>
            </w:pPr>
          </w:p>
        </w:tc>
      </w:tr>
      <w:tr>
        <w:trPr>
          <w:trHeight w:val="244"/>
        </w:trPr>
        <w:tc>
          <w:tcPr>
            <w:tcW w:w="7600" w:type="dxa"/>
            <w:vAlign w:val="bottom"/>
            <w:shd w:val="clear" w:color="auto" w:fill="EAF9E8"/>
          </w:tcPr>
          <w:p>
            <w:pPr>
              <w:ind w:left="160"/>
              <w:spacing w:after="0"/>
              <w:rPr>
                <w:sz w:val="20"/>
                <w:szCs w:val="20"/>
                <w:color w:val="auto"/>
              </w:rPr>
            </w:pPr>
            <w:r>
              <w:rPr>
                <w:rFonts w:ascii="Arial" w:cs="Arial" w:eastAsia="Arial" w:hAnsi="Arial"/>
                <w:sz w:val="18"/>
                <w:szCs w:val="18"/>
                <w:color w:val="auto"/>
              </w:rPr>
              <w:t>Loss (gain) on debt redemption</w:t>
            </w:r>
          </w:p>
        </w:tc>
        <w:tc>
          <w:tcPr>
            <w:tcW w:w="420" w:type="dxa"/>
            <w:vAlign w:val="bottom"/>
            <w:shd w:val="clear" w:color="auto" w:fill="EAF9E8"/>
          </w:tcPr>
          <w:p>
            <w:pPr>
              <w:spacing w:after="0"/>
              <w:rPr>
                <w:sz w:val="21"/>
                <w:szCs w:val="21"/>
                <w:color w:val="auto"/>
              </w:rPr>
            </w:pPr>
          </w:p>
        </w:tc>
        <w:tc>
          <w:tcPr>
            <w:tcW w:w="320" w:type="dxa"/>
            <w:vAlign w:val="bottom"/>
            <w:shd w:val="clear" w:color="auto" w:fill="EAF9E8"/>
          </w:tcPr>
          <w:p>
            <w:pPr>
              <w:spacing w:after="0"/>
              <w:rPr>
                <w:sz w:val="21"/>
                <w:szCs w:val="21"/>
                <w:color w:val="auto"/>
              </w:rPr>
            </w:pPr>
          </w:p>
        </w:tc>
        <w:tc>
          <w:tcPr>
            <w:tcW w:w="136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(2,134)</w:t>
            </w:r>
          </w:p>
        </w:tc>
        <w:tc>
          <w:tcPr>
            <w:tcW w:w="14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4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42"/>
        </w:trPr>
        <w:tc>
          <w:tcPr>
            <w:tcW w:w="7600" w:type="dxa"/>
            <w:vAlign w:val="bottom"/>
          </w:tcPr>
          <w:p>
            <w:pPr>
              <w:ind w:left="160"/>
              <w:spacing w:after="0"/>
              <w:rPr>
                <w:sz w:val="20"/>
                <w:szCs w:val="20"/>
                <w:color w:val="auto"/>
              </w:rPr>
            </w:pPr>
            <w:r>
              <w:rPr>
                <w:rFonts w:ascii="Arial" w:cs="Arial" w:eastAsia="Arial" w:hAnsi="Arial"/>
                <w:sz w:val="18"/>
                <w:szCs w:val="18"/>
                <w:color w:val="auto"/>
              </w:rPr>
              <w:t>Excess tax benefits related to share-based awards</w:t>
            </w:r>
          </w:p>
        </w:tc>
        <w:tc>
          <w:tcPr>
            <w:tcW w:w="4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(362)</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4"/>
        </w:trPr>
        <w:tc>
          <w:tcPr>
            <w:tcW w:w="7600" w:type="dxa"/>
            <w:vAlign w:val="bottom"/>
            <w:shd w:val="clear" w:color="auto" w:fill="EAF9E8"/>
          </w:tcPr>
          <w:p>
            <w:pPr>
              <w:ind w:left="160"/>
              <w:spacing w:after="0"/>
              <w:rPr>
                <w:sz w:val="20"/>
                <w:szCs w:val="20"/>
                <w:color w:val="auto"/>
              </w:rPr>
            </w:pPr>
            <w:r>
              <w:rPr>
                <w:rFonts w:ascii="Arial" w:cs="Arial" w:eastAsia="Arial" w:hAnsi="Arial"/>
                <w:sz w:val="18"/>
                <w:szCs w:val="18"/>
                <w:color w:val="auto"/>
              </w:rPr>
              <w:t>Net cash provided (used) by trading activities</w:t>
            </w:r>
          </w:p>
        </w:tc>
        <w:tc>
          <w:tcPr>
            <w:tcW w:w="420" w:type="dxa"/>
            <w:vAlign w:val="bottom"/>
            <w:shd w:val="clear" w:color="auto" w:fill="EAF9E8"/>
          </w:tcPr>
          <w:p>
            <w:pPr>
              <w:spacing w:after="0"/>
              <w:rPr>
                <w:sz w:val="21"/>
                <w:szCs w:val="21"/>
                <w:color w:val="auto"/>
              </w:rPr>
            </w:pPr>
          </w:p>
        </w:tc>
        <w:tc>
          <w:tcPr>
            <w:tcW w:w="320" w:type="dxa"/>
            <w:vAlign w:val="bottom"/>
            <w:shd w:val="clear" w:color="auto" w:fill="EAF9E8"/>
          </w:tcPr>
          <w:p>
            <w:pPr>
              <w:spacing w:after="0"/>
              <w:rPr>
                <w:sz w:val="21"/>
                <w:szCs w:val="21"/>
                <w:color w:val="auto"/>
              </w:rPr>
            </w:pPr>
          </w:p>
        </w:tc>
        <w:tc>
          <w:tcPr>
            <w:tcW w:w="1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2,500</w:t>
            </w:r>
          </w:p>
        </w:tc>
        <w:tc>
          <w:tcPr>
            <w:tcW w:w="20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42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(238,303)</w:t>
            </w:r>
          </w:p>
        </w:tc>
        <w:tc>
          <w:tcPr>
            <w:tcW w:w="0" w:type="dxa"/>
            <w:vAlign w:val="bottom"/>
          </w:tcPr>
          <w:p>
            <w:pPr>
              <w:spacing w:after="0"/>
              <w:rPr>
                <w:sz w:val="1"/>
                <w:szCs w:val="1"/>
                <w:color w:val="auto"/>
              </w:rPr>
            </w:pPr>
          </w:p>
        </w:tc>
      </w:tr>
      <w:tr>
        <w:trPr>
          <w:trHeight w:val="242"/>
        </w:trPr>
        <w:tc>
          <w:tcPr>
            <w:tcW w:w="7600" w:type="dxa"/>
            <w:vAlign w:val="bottom"/>
          </w:tcPr>
          <w:p>
            <w:pPr>
              <w:ind w:left="160"/>
              <w:spacing w:after="0"/>
              <w:rPr>
                <w:sz w:val="20"/>
                <w:szCs w:val="20"/>
                <w:color w:val="auto"/>
              </w:rPr>
            </w:pPr>
            <w:r>
              <w:rPr>
                <w:rFonts w:ascii="Arial" w:cs="Arial" w:eastAsia="Arial" w:hAnsi="Arial"/>
                <w:sz w:val="18"/>
                <w:szCs w:val="18"/>
                <w:color w:val="auto"/>
              </w:rPr>
              <w:t>Net cash provided by loans held for resale activities</w:t>
            </w:r>
          </w:p>
        </w:tc>
        <w:tc>
          <w:tcPr>
            <w:tcW w:w="4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3,605</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5,641</w:t>
            </w:r>
          </w:p>
        </w:tc>
        <w:tc>
          <w:tcPr>
            <w:tcW w:w="0" w:type="dxa"/>
            <w:vAlign w:val="bottom"/>
          </w:tcPr>
          <w:p>
            <w:pPr>
              <w:spacing w:after="0"/>
              <w:rPr>
                <w:sz w:val="1"/>
                <w:szCs w:val="1"/>
                <w:color w:val="auto"/>
              </w:rPr>
            </w:pPr>
          </w:p>
        </w:tc>
      </w:tr>
      <w:tr>
        <w:trPr>
          <w:trHeight w:val="244"/>
        </w:trPr>
        <w:tc>
          <w:tcPr>
            <w:tcW w:w="7600" w:type="dxa"/>
            <w:vAlign w:val="bottom"/>
            <w:shd w:val="clear" w:color="auto" w:fill="EAF9E8"/>
          </w:tcPr>
          <w:p>
            <w:pPr>
              <w:ind w:left="160"/>
              <w:spacing w:after="0"/>
              <w:rPr>
                <w:sz w:val="20"/>
                <w:szCs w:val="20"/>
                <w:color w:val="auto"/>
              </w:rPr>
            </w:pPr>
            <w:r>
              <w:rPr>
                <w:rFonts w:ascii="Arial" w:cs="Arial" w:eastAsia="Arial" w:hAnsi="Arial"/>
                <w:sz w:val="18"/>
                <w:szCs w:val="18"/>
                <w:color w:val="auto"/>
              </w:rPr>
              <w:t>Decrease in advances and match funded advances</w:t>
            </w:r>
          </w:p>
        </w:tc>
        <w:tc>
          <w:tcPr>
            <w:tcW w:w="420" w:type="dxa"/>
            <w:vAlign w:val="bottom"/>
            <w:shd w:val="clear" w:color="auto" w:fill="EAF9E8"/>
          </w:tcPr>
          <w:p>
            <w:pPr>
              <w:spacing w:after="0"/>
              <w:rPr>
                <w:sz w:val="21"/>
                <w:szCs w:val="21"/>
                <w:color w:val="auto"/>
              </w:rPr>
            </w:pPr>
          </w:p>
        </w:tc>
        <w:tc>
          <w:tcPr>
            <w:tcW w:w="320" w:type="dxa"/>
            <w:vAlign w:val="bottom"/>
            <w:shd w:val="clear" w:color="auto" w:fill="EAF9E8"/>
          </w:tcPr>
          <w:p>
            <w:pPr>
              <w:spacing w:after="0"/>
              <w:rPr>
                <w:sz w:val="21"/>
                <w:szCs w:val="21"/>
                <w:color w:val="auto"/>
              </w:rPr>
            </w:pPr>
          </w:p>
        </w:tc>
        <w:tc>
          <w:tcPr>
            <w:tcW w:w="1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187,669</w:t>
            </w:r>
          </w:p>
        </w:tc>
        <w:tc>
          <w:tcPr>
            <w:tcW w:w="20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4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207,405</w:t>
            </w:r>
          </w:p>
        </w:tc>
        <w:tc>
          <w:tcPr>
            <w:tcW w:w="0" w:type="dxa"/>
            <w:vAlign w:val="bottom"/>
          </w:tcPr>
          <w:p>
            <w:pPr>
              <w:spacing w:after="0"/>
              <w:rPr>
                <w:sz w:val="1"/>
                <w:szCs w:val="1"/>
                <w:color w:val="auto"/>
              </w:rPr>
            </w:pPr>
          </w:p>
        </w:tc>
      </w:tr>
      <w:tr>
        <w:trPr>
          <w:trHeight w:val="242"/>
        </w:trPr>
        <w:tc>
          <w:tcPr>
            <w:tcW w:w="7600" w:type="dxa"/>
            <w:vAlign w:val="bottom"/>
          </w:tcPr>
          <w:p>
            <w:pPr>
              <w:ind w:left="160"/>
              <w:spacing w:after="0"/>
              <w:rPr>
                <w:sz w:val="20"/>
                <w:szCs w:val="20"/>
                <w:color w:val="auto"/>
              </w:rPr>
            </w:pPr>
            <w:r>
              <w:rPr>
                <w:rFonts w:ascii="Arial" w:cs="Arial" w:eastAsia="Arial" w:hAnsi="Arial"/>
                <w:sz w:val="18"/>
                <w:szCs w:val="18"/>
                <w:color w:val="auto"/>
              </w:rPr>
              <w:t>Decrease in deferred tax assets</w:t>
            </w:r>
          </w:p>
        </w:tc>
        <w:tc>
          <w:tcPr>
            <w:tcW w:w="4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44,325</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4,974</w:t>
            </w:r>
          </w:p>
        </w:tc>
        <w:tc>
          <w:tcPr>
            <w:tcW w:w="0" w:type="dxa"/>
            <w:vAlign w:val="bottom"/>
          </w:tcPr>
          <w:p>
            <w:pPr>
              <w:spacing w:after="0"/>
              <w:rPr>
                <w:sz w:val="1"/>
                <w:szCs w:val="1"/>
                <w:color w:val="auto"/>
              </w:rPr>
            </w:pPr>
          </w:p>
        </w:tc>
      </w:tr>
      <w:tr>
        <w:trPr>
          <w:trHeight w:val="244"/>
        </w:trPr>
        <w:tc>
          <w:tcPr>
            <w:tcW w:w="7600" w:type="dxa"/>
            <w:vAlign w:val="bottom"/>
            <w:shd w:val="clear" w:color="auto" w:fill="EAF9E8"/>
          </w:tcPr>
          <w:p>
            <w:pPr>
              <w:ind w:left="160"/>
              <w:spacing w:after="0"/>
              <w:rPr>
                <w:sz w:val="20"/>
                <w:szCs w:val="20"/>
                <w:color w:val="auto"/>
              </w:rPr>
            </w:pPr>
            <w:r>
              <w:rPr>
                <w:rFonts w:ascii="Arial" w:cs="Arial" w:eastAsia="Arial" w:hAnsi="Arial"/>
                <w:sz w:val="18"/>
                <w:szCs w:val="18"/>
                <w:color w:val="auto"/>
              </w:rPr>
              <w:t>Decrease in receivables and other assets, net</w:t>
            </w:r>
          </w:p>
        </w:tc>
        <w:tc>
          <w:tcPr>
            <w:tcW w:w="420" w:type="dxa"/>
            <w:vAlign w:val="bottom"/>
            <w:shd w:val="clear" w:color="auto" w:fill="EAF9E8"/>
          </w:tcPr>
          <w:p>
            <w:pPr>
              <w:spacing w:after="0"/>
              <w:rPr>
                <w:sz w:val="21"/>
                <w:szCs w:val="21"/>
                <w:color w:val="auto"/>
              </w:rPr>
            </w:pPr>
          </w:p>
        </w:tc>
        <w:tc>
          <w:tcPr>
            <w:tcW w:w="320" w:type="dxa"/>
            <w:vAlign w:val="bottom"/>
            <w:shd w:val="clear" w:color="auto" w:fill="EAF9E8"/>
          </w:tcPr>
          <w:p>
            <w:pPr>
              <w:spacing w:after="0"/>
              <w:rPr>
                <w:sz w:val="21"/>
                <w:szCs w:val="21"/>
                <w:color w:val="auto"/>
              </w:rPr>
            </w:pPr>
          </w:p>
        </w:tc>
        <w:tc>
          <w:tcPr>
            <w:tcW w:w="1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27,222</w:t>
            </w:r>
          </w:p>
        </w:tc>
        <w:tc>
          <w:tcPr>
            <w:tcW w:w="20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4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19,780</w:t>
            </w:r>
          </w:p>
        </w:tc>
        <w:tc>
          <w:tcPr>
            <w:tcW w:w="0" w:type="dxa"/>
            <w:vAlign w:val="bottom"/>
          </w:tcPr>
          <w:p>
            <w:pPr>
              <w:spacing w:after="0"/>
              <w:rPr>
                <w:sz w:val="1"/>
                <w:szCs w:val="1"/>
                <w:color w:val="auto"/>
              </w:rPr>
            </w:pPr>
          </w:p>
        </w:tc>
      </w:tr>
      <w:tr>
        <w:trPr>
          <w:trHeight w:val="242"/>
        </w:trPr>
        <w:tc>
          <w:tcPr>
            <w:tcW w:w="7600" w:type="dxa"/>
            <w:vAlign w:val="bottom"/>
          </w:tcPr>
          <w:p>
            <w:pPr>
              <w:ind w:left="160"/>
              <w:spacing w:after="0"/>
              <w:rPr>
                <w:sz w:val="20"/>
                <w:szCs w:val="20"/>
                <w:color w:val="auto"/>
              </w:rPr>
            </w:pPr>
            <w:r>
              <w:rPr>
                <w:rFonts w:ascii="Arial" w:cs="Arial" w:eastAsia="Arial" w:hAnsi="Arial"/>
                <w:sz w:val="18"/>
                <w:szCs w:val="18"/>
                <w:color w:val="auto"/>
              </w:rPr>
              <w:t>Decrease in servicer liabilities</w:t>
            </w:r>
          </w:p>
        </w:tc>
        <w:tc>
          <w:tcPr>
            <w:tcW w:w="4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(76,294)</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(94,187)</w:t>
            </w:r>
          </w:p>
        </w:tc>
        <w:tc>
          <w:tcPr>
            <w:tcW w:w="0" w:type="dxa"/>
            <w:vAlign w:val="bottom"/>
          </w:tcPr>
          <w:p>
            <w:pPr>
              <w:spacing w:after="0"/>
              <w:rPr>
                <w:sz w:val="1"/>
                <w:szCs w:val="1"/>
                <w:color w:val="auto"/>
              </w:rPr>
            </w:pPr>
          </w:p>
        </w:tc>
      </w:tr>
      <w:tr>
        <w:trPr>
          <w:trHeight w:val="244"/>
        </w:trPr>
        <w:tc>
          <w:tcPr>
            <w:tcW w:w="7600" w:type="dxa"/>
            <w:vAlign w:val="bottom"/>
            <w:shd w:val="clear" w:color="auto" w:fill="EAF9E8"/>
          </w:tcPr>
          <w:p>
            <w:pPr>
              <w:ind w:left="160"/>
              <w:spacing w:after="0"/>
              <w:rPr>
                <w:sz w:val="20"/>
                <w:szCs w:val="20"/>
                <w:color w:val="auto"/>
              </w:rPr>
            </w:pPr>
            <w:r>
              <w:rPr>
                <w:rFonts w:ascii="Arial" w:cs="Arial" w:eastAsia="Arial" w:hAnsi="Arial"/>
                <w:sz w:val="18"/>
                <w:szCs w:val="18"/>
                <w:color w:val="auto"/>
              </w:rPr>
              <w:t>Increase (decrease) in other liabilities</w:t>
            </w:r>
          </w:p>
        </w:tc>
        <w:tc>
          <w:tcPr>
            <w:tcW w:w="420" w:type="dxa"/>
            <w:vAlign w:val="bottom"/>
            <w:shd w:val="clear" w:color="auto" w:fill="EAF9E8"/>
          </w:tcPr>
          <w:p>
            <w:pPr>
              <w:spacing w:after="0"/>
              <w:rPr>
                <w:sz w:val="21"/>
                <w:szCs w:val="21"/>
                <w:color w:val="auto"/>
              </w:rPr>
            </w:pPr>
          </w:p>
        </w:tc>
        <w:tc>
          <w:tcPr>
            <w:tcW w:w="320" w:type="dxa"/>
            <w:vAlign w:val="bottom"/>
            <w:shd w:val="clear" w:color="auto" w:fill="EAF9E8"/>
          </w:tcPr>
          <w:p>
            <w:pPr>
              <w:spacing w:after="0"/>
              <w:rPr>
                <w:sz w:val="21"/>
                <w:szCs w:val="21"/>
                <w:color w:val="auto"/>
              </w:rPr>
            </w:pPr>
          </w:p>
        </w:tc>
        <w:tc>
          <w:tcPr>
            <w:tcW w:w="1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23,012</w:t>
            </w:r>
          </w:p>
        </w:tc>
        <w:tc>
          <w:tcPr>
            <w:tcW w:w="20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42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(10,241)</w:t>
            </w:r>
          </w:p>
        </w:tc>
        <w:tc>
          <w:tcPr>
            <w:tcW w:w="0" w:type="dxa"/>
            <w:vAlign w:val="bottom"/>
          </w:tcPr>
          <w:p>
            <w:pPr>
              <w:spacing w:after="0"/>
              <w:rPr>
                <w:sz w:val="1"/>
                <w:szCs w:val="1"/>
                <w:color w:val="auto"/>
              </w:rPr>
            </w:pPr>
          </w:p>
        </w:tc>
      </w:tr>
      <w:tr>
        <w:trPr>
          <w:trHeight w:val="250"/>
        </w:trPr>
        <w:tc>
          <w:tcPr>
            <w:tcW w:w="7600" w:type="dxa"/>
            <w:vAlign w:val="bottom"/>
          </w:tcPr>
          <w:p>
            <w:pPr>
              <w:ind w:left="160"/>
              <w:spacing w:after="0"/>
              <w:rPr>
                <w:sz w:val="20"/>
                <w:szCs w:val="20"/>
                <w:color w:val="auto"/>
              </w:rPr>
            </w:pPr>
            <w:r>
              <w:rPr>
                <w:rFonts w:ascii="Arial" w:cs="Arial" w:eastAsia="Arial" w:hAnsi="Arial"/>
                <w:sz w:val="18"/>
                <w:szCs w:val="18"/>
                <w:color w:val="auto"/>
              </w:rPr>
              <w:t>Other, net</w:t>
            </w:r>
          </w:p>
        </w:tc>
        <w:tc>
          <w:tcPr>
            <w:tcW w:w="4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(996)</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3,808</w:t>
            </w:r>
          </w:p>
        </w:tc>
        <w:tc>
          <w:tcPr>
            <w:tcW w:w="0" w:type="dxa"/>
            <w:vAlign w:val="bottom"/>
          </w:tcPr>
          <w:p>
            <w:pPr>
              <w:spacing w:after="0"/>
              <w:rPr>
                <w:sz w:val="1"/>
                <w:szCs w:val="1"/>
                <w:color w:val="auto"/>
              </w:rPr>
            </w:pPr>
          </w:p>
        </w:tc>
      </w:tr>
      <w:tr>
        <w:trPr>
          <w:trHeight w:val="243"/>
        </w:trPr>
        <w:tc>
          <w:tcPr>
            <w:tcW w:w="7600" w:type="dxa"/>
            <w:vAlign w:val="bottom"/>
            <w:shd w:val="clear" w:color="auto" w:fill="EAF9E8"/>
          </w:tcPr>
          <w:p>
            <w:pPr>
              <w:spacing w:after="0"/>
              <w:rPr>
                <w:sz w:val="20"/>
                <w:szCs w:val="20"/>
                <w:color w:val="auto"/>
              </w:rPr>
            </w:pPr>
            <w:r>
              <w:rPr>
                <w:rFonts w:ascii="Arial" w:cs="Arial" w:eastAsia="Arial" w:hAnsi="Arial"/>
                <w:sz w:val="18"/>
                <w:szCs w:val="18"/>
                <w:color w:val="auto"/>
              </w:rPr>
              <w:t>Net cash provided by operating activities</w:t>
            </w:r>
          </w:p>
        </w:tc>
        <w:tc>
          <w:tcPr>
            <w:tcW w:w="420" w:type="dxa"/>
            <w:vAlign w:val="bottom"/>
            <w:shd w:val="clear" w:color="auto" w:fill="EAF9E8"/>
          </w:tcPr>
          <w:p>
            <w:pPr>
              <w:spacing w:after="0"/>
              <w:rPr>
                <w:sz w:val="21"/>
                <w:szCs w:val="21"/>
                <w:color w:val="auto"/>
              </w:rPr>
            </w:pPr>
          </w:p>
        </w:tc>
        <w:tc>
          <w:tcPr>
            <w:tcW w:w="320" w:type="dxa"/>
            <w:vAlign w:val="bottom"/>
            <w:tcBorders>
              <w:top w:val="single" w:sz="8" w:color="auto"/>
            </w:tcBorders>
            <w:shd w:val="clear" w:color="auto" w:fill="EAF9E8"/>
          </w:tcPr>
          <w:p>
            <w:pPr>
              <w:spacing w:after="0"/>
              <w:rPr>
                <w:sz w:val="21"/>
                <w:szCs w:val="21"/>
                <w:color w:val="auto"/>
              </w:rPr>
            </w:pPr>
          </w:p>
        </w:tc>
        <w:tc>
          <w:tcPr>
            <w:tcW w:w="116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229,529</w:t>
            </w:r>
          </w:p>
        </w:tc>
        <w:tc>
          <w:tcPr>
            <w:tcW w:w="20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160" w:type="dxa"/>
            <w:vAlign w:val="bottom"/>
            <w:tcBorders>
              <w:top w:val="single" w:sz="8" w:color="auto"/>
            </w:tcBorders>
            <w:shd w:val="clear" w:color="auto" w:fill="EAF9E8"/>
          </w:tcPr>
          <w:p>
            <w:pPr>
              <w:spacing w:after="0"/>
              <w:rPr>
                <w:sz w:val="21"/>
                <w:szCs w:val="21"/>
                <w:color w:val="auto"/>
              </w:rPr>
            </w:pPr>
          </w:p>
        </w:tc>
        <w:tc>
          <w:tcPr>
            <w:tcW w:w="132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21,228</w:t>
            </w:r>
          </w:p>
        </w:tc>
        <w:tc>
          <w:tcPr>
            <w:tcW w:w="10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600" w:type="dxa"/>
            <w:vAlign w:val="bottom"/>
            <w:vMerge w:val="restart"/>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4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2"/>
        </w:trPr>
        <w:tc>
          <w:tcPr>
            <w:tcW w:w="760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7600" w:type="dxa"/>
            <w:vAlign w:val="bottom"/>
            <w:shd w:val="clear" w:color="auto" w:fill="EAF9E8"/>
          </w:tcPr>
          <w:p>
            <w:pPr>
              <w:ind w:left="160"/>
              <w:spacing w:after="0"/>
              <w:rPr>
                <w:sz w:val="20"/>
                <w:szCs w:val="20"/>
                <w:color w:val="auto"/>
              </w:rPr>
            </w:pPr>
            <w:r>
              <w:rPr>
                <w:rFonts w:ascii="Arial" w:cs="Arial" w:eastAsia="Arial" w:hAnsi="Arial"/>
                <w:sz w:val="18"/>
                <w:szCs w:val="18"/>
                <w:color w:val="auto"/>
              </w:rPr>
              <w:t>Purchase of mortgage servicing rights</w:t>
            </w:r>
          </w:p>
        </w:tc>
        <w:tc>
          <w:tcPr>
            <w:tcW w:w="420" w:type="dxa"/>
            <w:vAlign w:val="bottom"/>
            <w:shd w:val="clear" w:color="auto" w:fill="EAF9E8"/>
          </w:tcPr>
          <w:p>
            <w:pPr>
              <w:spacing w:after="0"/>
              <w:rPr>
                <w:sz w:val="21"/>
                <w:szCs w:val="21"/>
                <w:color w:val="auto"/>
              </w:rPr>
            </w:pPr>
          </w:p>
        </w:tc>
        <w:tc>
          <w:tcPr>
            <w:tcW w:w="320" w:type="dxa"/>
            <w:vAlign w:val="bottom"/>
            <w:shd w:val="clear" w:color="auto" w:fill="EAF9E8"/>
          </w:tcPr>
          <w:p>
            <w:pPr>
              <w:spacing w:after="0"/>
              <w:rPr>
                <w:sz w:val="21"/>
                <w:szCs w:val="21"/>
                <w:color w:val="auto"/>
              </w:rPr>
            </w:pPr>
          </w:p>
        </w:tc>
        <w:tc>
          <w:tcPr>
            <w:tcW w:w="136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(10,241)</w:t>
            </w:r>
          </w:p>
        </w:tc>
        <w:tc>
          <w:tcPr>
            <w:tcW w:w="14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42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(3,638)</w:t>
            </w:r>
          </w:p>
        </w:tc>
        <w:tc>
          <w:tcPr>
            <w:tcW w:w="0" w:type="dxa"/>
            <w:vAlign w:val="bottom"/>
          </w:tcPr>
          <w:p>
            <w:pPr>
              <w:spacing w:after="0"/>
              <w:rPr>
                <w:sz w:val="1"/>
                <w:szCs w:val="1"/>
                <w:color w:val="auto"/>
              </w:rPr>
            </w:pPr>
          </w:p>
        </w:tc>
      </w:tr>
      <w:tr>
        <w:trPr>
          <w:trHeight w:val="242"/>
        </w:trPr>
        <w:tc>
          <w:tcPr>
            <w:tcW w:w="7600" w:type="dxa"/>
            <w:vAlign w:val="bottom"/>
          </w:tcPr>
          <w:p>
            <w:pPr>
              <w:ind w:left="160"/>
              <w:spacing w:after="0"/>
              <w:rPr>
                <w:sz w:val="20"/>
                <w:szCs w:val="20"/>
                <w:color w:val="auto"/>
              </w:rPr>
            </w:pPr>
            <w:r>
              <w:rPr>
                <w:rFonts w:ascii="Arial" w:cs="Arial" w:eastAsia="Arial" w:hAnsi="Arial"/>
                <w:sz w:val="18"/>
                <w:szCs w:val="18"/>
                <w:color w:val="auto"/>
              </w:rPr>
              <w:t>Proceeds from the sale of mortgage servicing rights</w:t>
            </w:r>
          </w:p>
        </w:tc>
        <w:tc>
          <w:tcPr>
            <w:tcW w:w="4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5,985</w:t>
            </w:r>
          </w:p>
        </w:tc>
        <w:tc>
          <w:tcPr>
            <w:tcW w:w="0" w:type="dxa"/>
            <w:vAlign w:val="bottom"/>
          </w:tcPr>
          <w:p>
            <w:pPr>
              <w:spacing w:after="0"/>
              <w:rPr>
                <w:sz w:val="1"/>
                <w:szCs w:val="1"/>
                <w:color w:val="auto"/>
              </w:rPr>
            </w:pPr>
          </w:p>
        </w:tc>
      </w:tr>
      <w:tr>
        <w:trPr>
          <w:trHeight w:val="244"/>
        </w:trPr>
        <w:tc>
          <w:tcPr>
            <w:tcW w:w="7600" w:type="dxa"/>
            <w:vAlign w:val="bottom"/>
            <w:shd w:val="clear" w:color="auto" w:fill="EAF9E8"/>
          </w:tcPr>
          <w:p>
            <w:pPr>
              <w:ind w:left="160"/>
              <w:spacing w:after="0"/>
              <w:rPr>
                <w:sz w:val="20"/>
                <w:szCs w:val="20"/>
                <w:color w:val="auto"/>
              </w:rPr>
            </w:pPr>
            <w:r>
              <w:rPr>
                <w:rFonts w:ascii="Arial" w:cs="Arial" w:eastAsia="Arial" w:hAnsi="Arial"/>
                <w:sz w:val="18"/>
                <w:szCs w:val="18"/>
                <w:color w:val="auto"/>
              </w:rPr>
              <w:t>Distributions of capital from unconsolidated entities</w:t>
            </w:r>
          </w:p>
        </w:tc>
        <w:tc>
          <w:tcPr>
            <w:tcW w:w="420" w:type="dxa"/>
            <w:vAlign w:val="bottom"/>
            <w:shd w:val="clear" w:color="auto" w:fill="EAF9E8"/>
          </w:tcPr>
          <w:p>
            <w:pPr>
              <w:spacing w:after="0"/>
              <w:rPr>
                <w:sz w:val="21"/>
                <w:szCs w:val="21"/>
                <w:color w:val="auto"/>
              </w:rPr>
            </w:pPr>
          </w:p>
        </w:tc>
        <w:tc>
          <w:tcPr>
            <w:tcW w:w="320" w:type="dxa"/>
            <w:vAlign w:val="bottom"/>
            <w:shd w:val="clear" w:color="auto" w:fill="EAF9E8"/>
          </w:tcPr>
          <w:p>
            <w:pPr>
              <w:spacing w:after="0"/>
              <w:rPr>
                <w:sz w:val="21"/>
                <w:szCs w:val="21"/>
                <w:color w:val="auto"/>
              </w:rPr>
            </w:pPr>
          </w:p>
        </w:tc>
        <w:tc>
          <w:tcPr>
            <w:tcW w:w="1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4,496</w:t>
            </w:r>
          </w:p>
        </w:tc>
        <w:tc>
          <w:tcPr>
            <w:tcW w:w="20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4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32,748</w:t>
            </w:r>
          </w:p>
        </w:tc>
        <w:tc>
          <w:tcPr>
            <w:tcW w:w="0" w:type="dxa"/>
            <w:vAlign w:val="bottom"/>
          </w:tcPr>
          <w:p>
            <w:pPr>
              <w:spacing w:after="0"/>
              <w:rPr>
                <w:sz w:val="1"/>
                <w:szCs w:val="1"/>
                <w:color w:val="auto"/>
              </w:rPr>
            </w:pPr>
          </w:p>
        </w:tc>
      </w:tr>
      <w:tr>
        <w:trPr>
          <w:trHeight w:val="242"/>
        </w:trPr>
        <w:tc>
          <w:tcPr>
            <w:tcW w:w="7600" w:type="dxa"/>
            <w:vAlign w:val="bottom"/>
          </w:tcPr>
          <w:p>
            <w:pPr>
              <w:ind w:left="160"/>
              <w:spacing w:after="0"/>
              <w:rPr>
                <w:sz w:val="20"/>
                <w:szCs w:val="20"/>
                <w:color w:val="auto"/>
              </w:rPr>
            </w:pPr>
            <w:r>
              <w:rPr>
                <w:rFonts w:ascii="Arial" w:cs="Arial" w:eastAsia="Arial" w:hAnsi="Arial"/>
                <w:sz w:val="18"/>
                <w:szCs w:val="18"/>
                <w:color w:val="auto"/>
              </w:rPr>
              <w:t>Investment in unconsolidated entities</w:t>
            </w:r>
          </w:p>
        </w:tc>
        <w:tc>
          <w:tcPr>
            <w:tcW w:w="4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(62)</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(1,250)</w:t>
            </w:r>
          </w:p>
        </w:tc>
        <w:tc>
          <w:tcPr>
            <w:tcW w:w="0" w:type="dxa"/>
            <w:vAlign w:val="bottom"/>
          </w:tcPr>
          <w:p>
            <w:pPr>
              <w:spacing w:after="0"/>
              <w:rPr>
                <w:sz w:val="1"/>
                <w:szCs w:val="1"/>
                <w:color w:val="auto"/>
              </w:rPr>
            </w:pPr>
          </w:p>
        </w:tc>
      </w:tr>
      <w:tr>
        <w:trPr>
          <w:trHeight w:val="244"/>
        </w:trPr>
        <w:tc>
          <w:tcPr>
            <w:tcW w:w="7600" w:type="dxa"/>
            <w:vAlign w:val="bottom"/>
            <w:shd w:val="clear" w:color="auto" w:fill="EAF9E8"/>
          </w:tcPr>
          <w:p>
            <w:pPr>
              <w:ind w:left="160"/>
              <w:spacing w:after="0"/>
              <w:rPr>
                <w:sz w:val="20"/>
                <w:szCs w:val="20"/>
                <w:color w:val="auto"/>
              </w:rPr>
            </w:pPr>
            <w:r>
              <w:rPr>
                <w:rFonts w:ascii="Arial" w:cs="Arial" w:eastAsia="Arial" w:hAnsi="Arial"/>
                <w:sz w:val="18"/>
                <w:szCs w:val="18"/>
                <w:color w:val="auto"/>
              </w:rPr>
              <w:t>Additions to premises and equipment</w:t>
            </w:r>
          </w:p>
        </w:tc>
        <w:tc>
          <w:tcPr>
            <w:tcW w:w="420" w:type="dxa"/>
            <w:vAlign w:val="bottom"/>
            <w:shd w:val="clear" w:color="auto" w:fill="EAF9E8"/>
          </w:tcPr>
          <w:p>
            <w:pPr>
              <w:spacing w:after="0"/>
              <w:rPr>
                <w:sz w:val="21"/>
                <w:szCs w:val="21"/>
                <w:color w:val="auto"/>
              </w:rPr>
            </w:pPr>
          </w:p>
        </w:tc>
        <w:tc>
          <w:tcPr>
            <w:tcW w:w="320" w:type="dxa"/>
            <w:vAlign w:val="bottom"/>
            <w:shd w:val="clear" w:color="auto" w:fill="EAF9E8"/>
          </w:tcPr>
          <w:p>
            <w:pPr>
              <w:spacing w:after="0"/>
              <w:rPr>
                <w:sz w:val="21"/>
                <w:szCs w:val="21"/>
                <w:color w:val="auto"/>
              </w:rPr>
            </w:pPr>
          </w:p>
        </w:tc>
        <w:tc>
          <w:tcPr>
            <w:tcW w:w="136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(3,429)</w:t>
            </w:r>
          </w:p>
        </w:tc>
        <w:tc>
          <w:tcPr>
            <w:tcW w:w="14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42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(4,566)</w:t>
            </w:r>
          </w:p>
        </w:tc>
        <w:tc>
          <w:tcPr>
            <w:tcW w:w="0" w:type="dxa"/>
            <w:vAlign w:val="bottom"/>
          </w:tcPr>
          <w:p>
            <w:pPr>
              <w:spacing w:after="0"/>
              <w:rPr>
                <w:sz w:val="1"/>
                <w:szCs w:val="1"/>
                <w:color w:val="auto"/>
              </w:rPr>
            </w:pPr>
          </w:p>
        </w:tc>
      </w:tr>
      <w:tr>
        <w:trPr>
          <w:trHeight w:val="242"/>
        </w:trPr>
        <w:tc>
          <w:tcPr>
            <w:tcW w:w="7600" w:type="dxa"/>
            <w:vAlign w:val="bottom"/>
          </w:tcPr>
          <w:p>
            <w:pPr>
              <w:ind w:left="160"/>
              <w:spacing w:after="0"/>
              <w:rPr>
                <w:sz w:val="20"/>
                <w:szCs w:val="20"/>
                <w:color w:val="auto"/>
              </w:rPr>
            </w:pPr>
            <w:r>
              <w:rPr>
                <w:rFonts w:ascii="Arial" w:cs="Arial" w:eastAsia="Arial" w:hAnsi="Arial"/>
                <w:sz w:val="18"/>
                <w:szCs w:val="18"/>
                <w:color w:val="auto"/>
              </w:rPr>
              <w:t>Proceeds from sales of real estate</w:t>
            </w:r>
          </w:p>
        </w:tc>
        <w:tc>
          <w:tcPr>
            <w:tcW w:w="4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1,689</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6,003</w:t>
            </w:r>
          </w:p>
        </w:tc>
        <w:tc>
          <w:tcPr>
            <w:tcW w:w="0" w:type="dxa"/>
            <w:vAlign w:val="bottom"/>
          </w:tcPr>
          <w:p>
            <w:pPr>
              <w:spacing w:after="0"/>
              <w:rPr>
                <w:sz w:val="1"/>
                <w:szCs w:val="1"/>
                <w:color w:val="auto"/>
              </w:rPr>
            </w:pPr>
          </w:p>
        </w:tc>
      </w:tr>
      <w:tr>
        <w:trPr>
          <w:trHeight w:val="244"/>
        </w:trPr>
        <w:tc>
          <w:tcPr>
            <w:tcW w:w="7600" w:type="dxa"/>
            <w:vAlign w:val="bottom"/>
            <w:shd w:val="clear" w:color="auto" w:fill="EAF9E8"/>
          </w:tcPr>
          <w:p>
            <w:pPr>
              <w:ind w:left="160"/>
              <w:spacing w:after="0"/>
              <w:rPr>
                <w:sz w:val="20"/>
                <w:szCs w:val="20"/>
                <w:color w:val="auto"/>
              </w:rPr>
            </w:pPr>
            <w:r>
              <w:rPr>
                <w:rFonts w:ascii="Arial" w:cs="Arial" w:eastAsia="Arial" w:hAnsi="Arial"/>
                <w:sz w:val="18"/>
                <w:szCs w:val="18"/>
                <w:color w:val="auto"/>
              </w:rPr>
              <w:t>Other</w:t>
            </w:r>
          </w:p>
        </w:tc>
        <w:tc>
          <w:tcPr>
            <w:tcW w:w="420" w:type="dxa"/>
            <w:vAlign w:val="bottom"/>
            <w:shd w:val="clear" w:color="auto" w:fill="EAF9E8"/>
          </w:tcPr>
          <w:p>
            <w:pPr>
              <w:spacing w:after="0"/>
              <w:rPr>
                <w:sz w:val="21"/>
                <w:szCs w:val="21"/>
                <w:color w:val="auto"/>
              </w:rPr>
            </w:pPr>
          </w:p>
        </w:tc>
        <w:tc>
          <w:tcPr>
            <w:tcW w:w="320" w:type="dxa"/>
            <w:vAlign w:val="bottom"/>
            <w:shd w:val="clear" w:color="auto" w:fill="EAF9E8"/>
          </w:tcPr>
          <w:p>
            <w:pPr>
              <w:spacing w:after="0"/>
              <w:rPr>
                <w:sz w:val="21"/>
                <w:szCs w:val="21"/>
                <w:color w:val="auto"/>
              </w:rPr>
            </w:pPr>
          </w:p>
        </w:tc>
        <w:tc>
          <w:tcPr>
            <w:tcW w:w="1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396</w:t>
            </w:r>
          </w:p>
        </w:tc>
        <w:tc>
          <w:tcPr>
            <w:tcW w:w="20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4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600" w:type="dxa"/>
            <w:vAlign w:val="bottom"/>
          </w:tcPr>
          <w:p>
            <w:pPr>
              <w:spacing w:after="0"/>
              <w:rPr>
                <w:sz w:val="20"/>
                <w:szCs w:val="20"/>
                <w:color w:val="auto"/>
              </w:rPr>
            </w:pPr>
            <w:r>
              <w:rPr>
                <w:rFonts w:ascii="Arial" w:cs="Arial" w:eastAsia="Arial" w:hAnsi="Arial"/>
                <w:sz w:val="18"/>
                <w:szCs w:val="18"/>
                <w:color w:val="auto"/>
              </w:rPr>
              <w:t>Net cash provided (used) by investing activities</w:t>
            </w: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(7,151)</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35,436</w:t>
            </w:r>
          </w:p>
        </w:tc>
        <w:tc>
          <w:tcPr>
            <w:tcW w:w="0" w:type="dxa"/>
            <w:vAlign w:val="bottom"/>
          </w:tcPr>
          <w:p>
            <w:pPr>
              <w:spacing w:after="0"/>
              <w:rPr>
                <w:sz w:val="1"/>
                <w:szCs w:val="1"/>
                <w:color w:val="auto"/>
              </w:rPr>
            </w:pPr>
          </w:p>
        </w:tc>
      </w:tr>
      <w:tr>
        <w:trPr>
          <w:trHeight w:val="243"/>
        </w:trPr>
        <w:tc>
          <w:tcPr>
            <w:tcW w:w="76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0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420" w:type="dxa"/>
            <w:vAlign w:val="bottom"/>
            <w:shd w:val="clear" w:color="auto" w:fill="EAF9E8"/>
          </w:tcPr>
          <w:p>
            <w:pPr>
              <w:spacing w:after="0"/>
              <w:rPr>
                <w:sz w:val="21"/>
                <w:szCs w:val="21"/>
                <w:color w:val="auto"/>
              </w:rPr>
            </w:pPr>
          </w:p>
        </w:tc>
        <w:tc>
          <w:tcPr>
            <w:tcW w:w="320" w:type="dxa"/>
            <w:vAlign w:val="bottom"/>
            <w:shd w:val="clear" w:color="auto" w:fill="EAF9E8"/>
          </w:tcPr>
          <w:p>
            <w:pPr>
              <w:spacing w:after="0"/>
              <w:rPr>
                <w:sz w:val="21"/>
                <w:szCs w:val="21"/>
                <w:color w:val="auto"/>
              </w:rPr>
            </w:pPr>
          </w:p>
        </w:tc>
        <w:tc>
          <w:tcPr>
            <w:tcW w:w="1160" w:type="dxa"/>
            <w:vAlign w:val="bottom"/>
            <w:shd w:val="clear" w:color="auto" w:fill="EAF9E8"/>
          </w:tcPr>
          <w:p>
            <w:pPr>
              <w:spacing w:after="0"/>
              <w:rPr>
                <w:sz w:val="21"/>
                <w:szCs w:val="21"/>
                <w:color w:val="auto"/>
              </w:rPr>
            </w:pPr>
          </w:p>
        </w:tc>
        <w:tc>
          <w:tcPr>
            <w:tcW w:w="20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32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7600" w:type="dxa"/>
            <w:vAlign w:val="bottom"/>
          </w:tcPr>
          <w:p>
            <w:pPr>
              <w:ind w:left="160"/>
              <w:spacing w:after="0"/>
              <w:rPr>
                <w:sz w:val="20"/>
                <w:szCs w:val="20"/>
                <w:color w:val="auto"/>
              </w:rPr>
            </w:pPr>
            <w:r>
              <w:rPr>
                <w:rFonts w:ascii="Arial" w:cs="Arial" w:eastAsia="Arial" w:hAnsi="Arial"/>
                <w:sz w:val="18"/>
                <w:szCs w:val="18"/>
                <w:color w:val="auto"/>
                <w:w w:val="97"/>
              </w:rPr>
              <w:t>Distribution of cash in connection with the spin-off of Altisource Portfolio Solutions S.A. (formerly</w:t>
            </w: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600" w:type="dxa"/>
            <w:vAlign w:val="bottom"/>
          </w:tcPr>
          <w:p>
            <w:pPr>
              <w:ind w:left="320"/>
              <w:spacing w:after="0"/>
              <w:rPr>
                <w:sz w:val="20"/>
                <w:szCs w:val="20"/>
                <w:color w:val="auto"/>
              </w:rPr>
            </w:pPr>
            <w:r>
              <w:rPr>
                <w:rFonts w:ascii="Arial" w:cs="Arial" w:eastAsia="Arial" w:hAnsi="Arial"/>
                <w:sz w:val="18"/>
                <w:szCs w:val="18"/>
                <w:color w:val="auto"/>
              </w:rPr>
              <w:t>Ocwen Solutions) (Note 2)</w:t>
            </w:r>
          </w:p>
        </w:tc>
        <w:tc>
          <w:tcPr>
            <w:tcW w:w="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(20,028)</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4"/>
        </w:trPr>
        <w:tc>
          <w:tcPr>
            <w:tcW w:w="7600" w:type="dxa"/>
            <w:vAlign w:val="bottom"/>
            <w:shd w:val="clear" w:color="auto" w:fill="EAF9E8"/>
          </w:tcPr>
          <w:p>
            <w:pPr>
              <w:ind w:left="160"/>
              <w:spacing w:after="0"/>
              <w:rPr>
                <w:sz w:val="20"/>
                <w:szCs w:val="20"/>
                <w:color w:val="auto"/>
              </w:rPr>
            </w:pPr>
            <w:r>
              <w:rPr>
                <w:rFonts w:ascii="Arial" w:cs="Arial" w:eastAsia="Arial" w:hAnsi="Arial"/>
                <w:sz w:val="18"/>
                <w:szCs w:val="18"/>
                <w:color w:val="auto"/>
              </w:rPr>
              <w:t>Repayment of match funded liabilities, net</w:t>
            </w:r>
          </w:p>
        </w:tc>
        <w:tc>
          <w:tcPr>
            <w:tcW w:w="420" w:type="dxa"/>
            <w:vAlign w:val="bottom"/>
            <w:shd w:val="clear" w:color="auto" w:fill="EAF9E8"/>
          </w:tcPr>
          <w:p>
            <w:pPr>
              <w:spacing w:after="0"/>
              <w:rPr>
                <w:sz w:val="21"/>
                <w:szCs w:val="21"/>
                <w:color w:val="auto"/>
              </w:rPr>
            </w:pPr>
          </w:p>
        </w:tc>
        <w:tc>
          <w:tcPr>
            <w:tcW w:w="320" w:type="dxa"/>
            <w:vAlign w:val="bottom"/>
            <w:shd w:val="clear" w:color="auto" w:fill="EAF9E8"/>
          </w:tcPr>
          <w:p>
            <w:pPr>
              <w:spacing w:after="0"/>
              <w:rPr>
                <w:sz w:val="21"/>
                <w:szCs w:val="21"/>
                <w:color w:val="auto"/>
              </w:rPr>
            </w:pPr>
          </w:p>
        </w:tc>
        <w:tc>
          <w:tcPr>
            <w:tcW w:w="136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(427,328)</w:t>
            </w:r>
          </w:p>
        </w:tc>
        <w:tc>
          <w:tcPr>
            <w:tcW w:w="14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42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(17,313)</w:t>
            </w:r>
          </w:p>
        </w:tc>
        <w:tc>
          <w:tcPr>
            <w:tcW w:w="0" w:type="dxa"/>
            <w:vAlign w:val="bottom"/>
          </w:tcPr>
          <w:p>
            <w:pPr>
              <w:spacing w:after="0"/>
              <w:rPr>
                <w:sz w:val="1"/>
                <w:szCs w:val="1"/>
                <w:color w:val="auto"/>
              </w:rPr>
            </w:pPr>
          </w:p>
        </w:tc>
      </w:tr>
      <w:tr>
        <w:trPr>
          <w:trHeight w:val="242"/>
        </w:trPr>
        <w:tc>
          <w:tcPr>
            <w:tcW w:w="7600" w:type="dxa"/>
            <w:vAlign w:val="bottom"/>
          </w:tcPr>
          <w:p>
            <w:pPr>
              <w:ind w:left="160"/>
              <w:spacing w:after="0"/>
              <w:rPr>
                <w:sz w:val="20"/>
                <w:szCs w:val="20"/>
                <w:color w:val="auto"/>
              </w:rPr>
            </w:pPr>
            <w:r>
              <w:rPr>
                <w:rFonts w:ascii="Arial" w:cs="Arial" w:eastAsia="Arial" w:hAnsi="Arial"/>
                <w:sz w:val="18"/>
                <w:szCs w:val="18"/>
                <w:color w:val="auto"/>
              </w:rPr>
              <w:t>Repayment of lines of credit and other secured borrowings, net</w:t>
            </w:r>
          </w:p>
        </w:tc>
        <w:tc>
          <w:tcPr>
            <w:tcW w:w="4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(49,870)</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(195,717)</w:t>
            </w:r>
          </w:p>
        </w:tc>
        <w:tc>
          <w:tcPr>
            <w:tcW w:w="0" w:type="dxa"/>
            <w:vAlign w:val="bottom"/>
          </w:tcPr>
          <w:p>
            <w:pPr>
              <w:spacing w:after="0"/>
              <w:rPr>
                <w:sz w:val="1"/>
                <w:szCs w:val="1"/>
                <w:color w:val="auto"/>
              </w:rPr>
            </w:pPr>
          </w:p>
        </w:tc>
      </w:tr>
      <w:tr>
        <w:trPr>
          <w:trHeight w:val="244"/>
        </w:trPr>
        <w:tc>
          <w:tcPr>
            <w:tcW w:w="7600" w:type="dxa"/>
            <w:vAlign w:val="bottom"/>
            <w:shd w:val="clear" w:color="auto" w:fill="EAF9E8"/>
          </w:tcPr>
          <w:p>
            <w:pPr>
              <w:ind w:left="160"/>
              <w:spacing w:after="0"/>
              <w:rPr>
                <w:sz w:val="20"/>
                <w:szCs w:val="20"/>
                <w:color w:val="auto"/>
              </w:rPr>
            </w:pPr>
            <w:r>
              <w:rPr>
                <w:rFonts w:ascii="Arial" w:cs="Arial" w:eastAsia="Arial" w:hAnsi="Arial"/>
                <w:sz w:val="18"/>
                <w:szCs w:val="18"/>
                <w:color w:val="auto"/>
              </w:rPr>
              <w:t>Proceeds from investment line</w:t>
            </w:r>
          </w:p>
        </w:tc>
        <w:tc>
          <w:tcPr>
            <w:tcW w:w="420" w:type="dxa"/>
            <w:vAlign w:val="bottom"/>
            <w:shd w:val="clear" w:color="auto" w:fill="EAF9E8"/>
          </w:tcPr>
          <w:p>
            <w:pPr>
              <w:spacing w:after="0"/>
              <w:rPr>
                <w:sz w:val="21"/>
                <w:szCs w:val="21"/>
                <w:color w:val="auto"/>
              </w:rPr>
            </w:pPr>
          </w:p>
        </w:tc>
        <w:tc>
          <w:tcPr>
            <w:tcW w:w="320" w:type="dxa"/>
            <w:vAlign w:val="bottom"/>
            <w:shd w:val="clear" w:color="auto" w:fill="EAF9E8"/>
          </w:tcPr>
          <w:p>
            <w:pPr>
              <w:spacing w:after="0"/>
              <w:rPr>
                <w:sz w:val="21"/>
                <w:szCs w:val="21"/>
                <w:color w:val="auto"/>
              </w:rPr>
            </w:pPr>
          </w:p>
        </w:tc>
        <w:tc>
          <w:tcPr>
            <w:tcW w:w="136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4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299,964</w:t>
            </w:r>
          </w:p>
        </w:tc>
        <w:tc>
          <w:tcPr>
            <w:tcW w:w="0" w:type="dxa"/>
            <w:vAlign w:val="bottom"/>
          </w:tcPr>
          <w:p>
            <w:pPr>
              <w:spacing w:after="0"/>
              <w:rPr>
                <w:sz w:val="1"/>
                <w:szCs w:val="1"/>
                <w:color w:val="auto"/>
              </w:rPr>
            </w:pPr>
          </w:p>
        </w:tc>
      </w:tr>
      <w:tr>
        <w:trPr>
          <w:trHeight w:val="242"/>
        </w:trPr>
        <w:tc>
          <w:tcPr>
            <w:tcW w:w="7600" w:type="dxa"/>
            <w:vAlign w:val="bottom"/>
          </w:tcPr>
          <w:p>
            <w:pPr>
              <w:ind w:left="160"/>
              <w:spacing w:after="0"/>
              <w:rPr>
                <w:sz w:val="20"/>
                <w:szCs w:val="20"/>
                <w:color w:val="auto"/>
              </w:rPr>
            </w:pPr>
            <w:r>
              <w:rPr>
                <w:rFonts w:ascii="Arial" w:cs="Arial" w:eastAsia="Arial" w:hAnsi="Arial"/>
                <w:sz w:val="18"/>
                <w:szCs w:val="18"/>
                <w:color w:val="auto"/>
              </w:rPr>
              <w:t>Repayment of investment line</w:t>
            </w:r>
          </w:p>
        </w:tc>
        <w:tc>
          <w:tcPr>
            <w:tcW w:w="4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(33,551)</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(84,744)</w:t>
            </w:r>
          </w:p>
        </w:tc>
        <w:tc>
          <w:tcPr>
            <w:tcW w:w="0" w:type="dxa"/>
            <w:vAlign w:val="bottom"/>
          </w:tcPr>
          <w:p>
            <w:pPr>
              <w:spacing w:after="0"/>
              <w:rPr>
                <w:sz w:val="1"/>
                <w:szCs w:val="1"/>
                <w:color w:val="auto"/>
              </w:rPr>
            </w:pPr>
          </w:p>
        </w:tc>
      </w:tr>
      <w:tr>
        <w:trPr>
          <w:trHeight w:val="244"/>
        </w:trPr>
        <w:tc>
          <w:tcPr>
            <w:tcW w:w="7600" w:type="dxa"/>
            <w:vAlign w:val="bottom"/>
            <w:shd w:val="clear" w:color="auto" w:fill="EAF9E8"/>
          </w:tcPr>
          <w:p>
            <w:pPr>
              <w:ind w:left="160"/>
              <w:spacing w:after="0"/>
              <w:rPr>
                <w:sz w:val="20"/>
                <w:szCs w:val="20"/>
                <w:color w:val="auto"/>
              </w:rPr>
            </w:pPr>
            <w:r>
              <w:rPr>
                <w:rFonts w:ascii="Arial" w:cs="Arial" w:eastAsia="Arial" w:hAnsi="Arial"/>
                <w:sz w:val="18"/>
                <w:szCs w:val="18"/>
                <w:color w:val="auto"/>
              </w:rPr>
              <w:t>Repurchase of debt securities</w:t>
            </w:r>
          </w:p>
        </w:tc>
        <w:tc>
          <w:tcPr>
            <w:tcW w:w="420" w:type="dxa"/>
            <w:vAlign w:val="bottom"/>
            <w:shd w:val="clear" w:color="auto" w:fill="EAF9E8"/>
          </w:tcPr>
          <w:p>
            <w:pPr>
              <w:spacing w:after="0"/>
              <w:rPr>
                <w:sz w:val="21"/>
                <w:szCs w:val="21"/>
                <w:color w:val="auto"/>
              </w:rPr>
            </w:pPr>
          </w:p>
        </w:tc>
        <w:tc>
          <w:tcPr>
            <w:tcW w:w="320" w:type="dxa"/>
            <w:vAlign w:val="bottom"/>
            <w:shd w:val="clear" w:color="auto" w:fill="EAF9E8"/>
          </w:tcPr>
          <w:p>
            <w:pPr>
              <w:spacing w:after="0"/>
              <w:rPr>
                <w:sz w:val="21"/>
                <w:szCs w:val="21"/>
                <w:color w:val="auto"/>
              </w:rPr>
            </w:pPr>
          </w:p>
        </w:tc>
        <w:tc>
          <w:tcPr>
            <w:tcW w:w="136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(24,612)</w:t>
            </w:r>
          </w:p>
        </w:tc>
        <w:tc>
          <w:tcPr>
            <w:tcW w:w="14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42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(10,797)</w:t>
            </w:r>
          </w:p>
        </w:tc>
        <w:tc>
          <w:tcPr>
            <w:tcW w:w="0" w:type="dxa"/>
            <w:vAlign w:val="bottom"/>
          </w:tcPr>
          <w:p>
            <w:pPr>
              <w:spacing w:after="0"/>
              <w:rPr>
                <w:sz w:val="1"/>
                <w:szCs w:val="1"/>
                <w:color w:val="auto"/>
              </w:rPr>
            </w:pPr>
          </w:p>
        </w:tc>
      </w:tr>
      <w:tr>
        <w:trPr>
          <w:trHeight w:val="242"/>
        </w:trPr>
        <w:tc>
          <w:tcPr>
            <w:tcW w:w="7600" w:type="dxa"/>
            <w:vAlign w:val="bottom"/>
          </w:tcPr>
          <w:p>
            <w:pPr>
              <w:ind w:left="160"/>
              <w:spacing w:after="0"/>
              <w:rPr>
                <w:sz w:val="20"/>
                <w:szCs w:val="20"/>
                <w:color w:val="auto"/>
              </w:rPr>
            </w:pPr>
            <w:r>
              <w:rPr>
                <w:rFonts w:ascii="Arial" w:cs="Arial" w:eastAsia="Arial" w:hAnsi="Arial"/>
                <w:sz w:val="18"/>
                <w:szCs w:val="18"/>
                <w:color w:val="auto"/>
              </w:rPr>
              <w:t>Exercise of common stock options</w:t>
            </w:r>
          </w:p>
        </w:tc>
        <w:tc>
          <w:tcPr>
            <w:tcW w:w="4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2,587</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4"/>
        </w:trPr>
        <w:tc>
          <w:tcPr>
            <w:tcW w:w="7600" w:type="dxa"/>
            <w:vAlign w:val="bottom"/>
            <w:shd w:val="clear" w:color="auto" w:fill="EAF9E8"/>
          </w:tcPr>
          <w:p>
            <w:pPr>
              <w:ind w:left="160"/>
              <w:spacing w:after="0"/>
              <w:rPr>
                <w:sz w:val="20"/>
                <w:szCs w:val="20"/>
                <w:color w:val="auto"/>
              </w:rPr>
            </w:pPr>
            <w:r>
              <w:rPr>
                <w:rFonts w:ascii="Arial" w:cs="Arial" w:eastAsia="Arial" w:hAnsi="Arial"/>
                <w:sz w:val="18"/>
                <w:szCs w:val="18"/>
                <w:color w:val="auto"/>
              </w:rPr>
              <w:t>Repurchase of common stock</w:t>
            </w:r>
          </w:p>
        </w:tc>
        <w:tc>
          <w:tcPr>
            <w:tcW w:w="420" w:type="dxa"/>
            <w:vAlign w:val="bottom"/>
            <w:shd w:val="clear" w:color="auto" w:fill="EAF9E8"/>
          </w:tcPr>
          <w:p>
            <w:pPr>
              <w:spacing w:after="0"/>
              <w:rPr>
                <w:sz w:val="21"/>
                <w:szCs w:val="21"/>
                <w:color w:val="auto"/>
              </w:rPr>
            </w:pPr>
          </w:p>
        </w:tc>
        <w:tc>
          <w:tcPr>
            <w:tcW w:w="320" w:type="dxa"/>
            <w:vAlign w:val="bottom"/>
            <w:shd w:val="clear" w:color="auto" w:fill="EAF9E8"/>
          </w:tcPr>
          <w:p>
            <w:pPr>
              <w:spacing w:after="0"/>
              <w:rPr>
                <w:sz w:val="21"/>
                <w:szCs w:val="21"/>
                <w:color w:val="auto"/>
              </w:rPr>
            </w:pPr>
          </w:p>
        </w:tc>
        <w:tc>
          <w:tcPr>
            <w:tcW w:w="136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(11,000)</w:t>
            </w:r>
          </w:p>
        </w:tc>
        <w:tc>
          <w:tcPr>
            <w:tcW w:w="14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4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2"/>
        </w:trPr>
        <w:tc>
          <w:tcPr>
            <w:tcW w:w="7600" w:type="dxa"/>
            <w:vAlign w:val="bottom"/>
          </w:tcPr>
          <w:p>
            <w:pPr>
              <w:ind w:left="160"/>
              <w:spacing w:after="0"/>
              <w:rPr>
                <w:sz w:val="20"/>
                <w:szCs w:val="20"/>
                <w:color w:val="auto"/>
              </w:rPr>
            </w:pPr>
            <w:r>
              <w:rPr>
                <w:rFonts w:ascii="Arial" w:cs="Arial" w:eastAsia="Arial" w:hAnsi="Arial"/>
                <w:sz w:val="18"/>
                <w:szCs w:val="18"/>
                <w:color w:val="auto"/>
              </w:rPr>
              <w:t>Issuance of common stock</w:t>
            </w:r>
          </w:p>
        </w:tc>
        <w:tc>
          <w:tcPr>
            <w:tcW w:w="4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335,167</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4"/>
        </w:trPr>
        <w:tc>
          <w:tcPr>
            <w:tcW w:w="7600" w:type="dxa"/>
            <w:vAlign w:val="bottom"/>
            <w:shd w:val="clear" w:color="auto" w:fill="EAF9E8"/>
          </w:tcPr>
          <w:p>
            <w:pPr>
              <w:ind w:left="160"/>
              <w:spacing w:after="0"/>
              <w:rPr>
                <w:sz w:val="20"/>
                <w:szCs w:val="20"/>
                <w:color w:val="auto"/>
              </w:rPr>
            </w:pPr>
            <w:r>
              <w:rPr>
                <w:rFonts w:ascii="Arial" w:cs="Arial" w:eastAsia="Arial" w:hAnsi="Arial"/>
                <w:sz w:val="18"/>
                <w:szCs w:val="18"/>
                <w:color w:val="auto"/>
              </w:rPr>
              <w:t>Excess tax benefits related to share-based awards</w:t>
            </w:r>
          </w:p>
        </w:tc>
        <w:tc>
          <w:tcPr>
            <w:tcW w:w="420" w:type="dxa"/>
            <w:vAlign w:val="bottom"/>
            <w:shd w:val="clear" w:color="auto" w:fill="EAF9E8"/>
          </w:tcPr>
          <w:p>
            <w:pPr>
              <w:spacing w:after="0"/>
              <w:rPr>
                <w:sz w:val="21"/>
                <w:szCs w:val="21"/>
                <w:color w:val="auto"/>
              </w:rPr>
            </w:pPr>
          </w:p>
        </w:tc>
        <w:tc>
          <w:tcPr>
            <w:tcW w:w="320" w:type="dxa"/>
            <w:vAlign w:val="bottom"/>
            <w:shd w:val="clear" w:color="auto" w:fill="EAF9E8"/>
          </w:tcPr>
          <w:p>
            <w:pPr>
              <w:spacing w:after="0"/>
              <w:rPr>
                <w:sz w:val="21"/>
                <w:szCs w:val="21"/>
                <w:color w:val="auto"/>
              </w:rPr>
            </w:pPr>
          </w:p>
        </w:tc>
        <w:tc>
          <w:tcPr>
            <w:tcW w:w="1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362</w:t>
            </w:r>
          </w:p>
        </w:tc>
        <w:tc>
          <w:tcPr>
            <w:tcW w:w="20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4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50"/>
        </w:trPr>
        <w:tc>
          <w:tcPr>
            <w:tcW w:w="7600" w:type="dxa"/>
            <w:vAlign w:val="bottom"/>
          </w:tcPr>
          <w:p>
            <w:pPr>
              <w:ind w:left="160"/>
              <w:spacing w:after="0"/>
              <w:rPr>
                <w:sz w:val="20"/>
                <w:szCs w:val="20"/>
                <w:color w:val="auto"/>
              </w:rPr>
            </w:pPr>
            <w:r>
              <w:rPr>
                <w:rFonts w:ascii="Arial" w:cs="Arial" w:eastAsia="Arial" w:hAnsi="Arial"/>
                <w:sz w:val="18"/>
                <w:szCs w:val="18"/>
                <w:color w:val="auto"/>
              </w:rPr>
              <w:t>Proceeds from sale of mortgage servicing rights accounted for as a financing</w:t>
            </w:r>
          </w:p>
        </w:tc>
        <w:tc>
          <w:tcPr>
            <w:tcW w:w="4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724</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00" w:type="dxa"/>
            <w:vAlign w:val="bottom"/>
            <w:shd w:val="clear" w:color="auto" w:fill="EAF9E8"/>
          </w:tcPr>
          <w:p>
            <w:pPr>
              <w:spacing w:after="0"/>
              <w:rPr>
                <w:sz w:val="20"/>
                <w:szCs w:val="20"/>
                <w:color w:val="auto"/>
              </w:rPr>
            </w:pPr>
            <w:r>
              <w:rPr>
                <w:rFonts w:ascii="Arial" w:cs="Arial" w:eastAsia="Arial" w:hAnsi="Arial"/>
                <w:sz w:val="18"/>
                <w:szCs w:val="18"/>
                <w:color w:val="auto"/>
              </w:rPr>
              <w:t>Net cash used by financing activities</w:t>
            </w:r>
          </w:p>
        </w:tc>
        <w:tc>
          <w:tcPr>
            <w:tcW w:w="420" w:type="dxa"/>
            <w:vAlign w:val="bottom"/>
            <w:shd w:val="clear" w:color="auto" w:fill="EAF9E8"/>
          </w:tcPr>
          <w:p>
            <w:pPr>
              <w:spacing w:after="0"/>
              <w:rPr>
                <w:sz w:val="21"/>
                <w:szCs w:val="21"/>
                <w:color w:val="auto"/>
              </w:rPr>
            </w:pPr>
          </w:p>
        </w:tc>
        <w:tc>
          <w:tcPr>
            <w:tcW w:w="320" w:type="dxa"/>
            <w:vAlign w:val="bottom"/>
            <w:shd w:val="clear" w:color="auto" w:fill="EAF9E8"/>
          </w:tcPr>
          <w:p>
            <w:pPr>
              <w:spacing w:after="0"/>
              <w:rPr>
                <w:sz w:val="21"/>
                <w:szCs w:val="21"/>
                <w:color w:val="auto"/>
              </w:rPr>
            </w:pPr>
          </w:p>
        </w:tc>
        <w:tc>
          <w:tcPr>
            <w:tcW w:w="136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(227,549)</w:t>
            </w:r>
          </w:p>
        </w:tc>
        <w:tc>
          <w:tcPr>
            <w:tcW w:w="14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42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(8,601)</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ectPr>
          <w:pgSz w:w="11900" w:h="16838" w:orient="portrait"/>
          <w:cols w:equalWidth="0" w:num="1">
            <w:col w:w="11420"/>
          </w:cols>
          <w:pgMar w:left="240" w:top="125" w:right="239"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67575"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26" w:lineRule="exact"/>
        <w:rPr>
          <w:sz w:val="20"/>
          <w:szCs w:val="20"/>
          <w:color w:val="auto"/>
        </w:rPr>
      </w:pPr>
    </w:p>
    <w:p>
      <w:pPr>
        <w:jc w:val="center"/>
        <w:ind w:left="8780"/>
        <w:spacing w:after="0"/>
        <w:rPr>
          <w:sz w:val="20"/>
          <w:szCs w:val="20"/>
          <w:color w:val="auto"/>
        </w:rPr>
      </w:pPr>
      <w:r>
        <w:rPr>
          <w:rFonts w:ascii="Arial" w:cs="Arial" w:eastAsia="Arial" w:hAnsi="Arial"/>
          <w:sz w:val="18"/>
          <w:szCs w:val="18"/>
          <w:b w:val="1"/>
          <w:bCs w:val="1"/>
          <w:color w:val="auto"/>
        </w:rPr>
        <w:t>For the nine months ended</w:t>
      </w:r>
    </w:p>
    <w:p>
      <w:pPr>
        <w:spacing w:after="0" w:line="21" w:lineRule="exact"/>
        <w:rPr>
          <w:sz w:val="20"/>
          <w:szCs w:val="20"/>
          <w:color w:val="auto"/>
        </w:rPr>
      </w:pPr>
    </w:p>
    <w:p>
      <w:pPr>
        <w:jc w:val="center"/>
        <w:ind w:left="8780"/>
        <w:spacing w:after="0"/>
        <w:rPr>
          <w:sz w:val="20"/>
          <w:szCs w:val="20"/>
          <w:color w:val="auto"/>
        </w:rPr>
      </w:pPr>
      <w:r>
        <w:rPr>
          <w:rFonts w:ascii="Arial" w:cs="Arial" w:eastAsia="Arial" w:hAnsi="Arial"/>
          <w:sz w:val="18"/>
          <w:szCs w:val="18"/>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5647690</wp:posOffset>
            </wp:positionH>
            <wp:positionV relativeFrom="paragraph">
              <wp:posOffset>15875</wp:posOffset>
            </wp:positionV>
            <wp:extent cx="152654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26540" cy="8890"/>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2009</w:t>
            </w:r>
          </w:p>
        </w:tc>
        <w:tc>
          <w:tcPr>
            <w:tcW w:w="3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2008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680" w:type="dxa"/>
            <w:vAlign w:val="bottom"/>
            <w:shd w:val="clear" w:color="auto" w:fill="EAF9E8"/>
          </w:tcPr>
          <w:p>
            <w:pPr>
              <w:spacing w:after="0"/>
              <w:rPr>
                <w:sz w:val="20"/>
                <w:szCs w:val="20"/>
                <w:color w:val="auto"/>
              </w:rPr>
            </w:pPr>
            <w:r>
              <w:rPr>
                <w:rFonts w:ascii="Arial" w:cs="Arial" w:eastAsia="Arial" w:hAnsi="Arial"/>
                <w:sz w:val="18"/>
                <w:szCs w:val="18"/>
                <w:color w:val="auto"/>
              </w:rPr>
              <w:t>Net increase (decrease) in cash</w:t>
            </w:r>
          </w:p>
        </w:tc>
        <w:tc>
          <w:tcPr>
            <w:tcW w:w="220" w:type="dxa"/>
            <w:vAlign w:val="bottom"/>
            <w:shd w:val="clear" w:color="auto" w:fill="EAF9E8"/>
          </w:tcPr>
          <w:p>
            <w:pPr>
              <w:spacing w:after="0"/>
              <w:rPr>
                <w:sz w:val="21"/>
                <w:szCs w:val="21"/>
                <w:color w:val="auto"/>
              </w:rPr>
            </w:pPr>
          </w:p>
        </w:tc>
        <w:tc>
          <w:tcPr>
            <w:tcW w:w="200" w:type="dxa"/>
            <w:vAlign w:val="bottom"/>
            <w:shd w:val="clear" w:color="auto" w:fill="EAF9E8"/>
          </w:tcPr>
          <w:p>
            <w:pPr>
              <w:spacing w:after="0"/>
              <w:rPr>
                <w:sz w:val="21"/>
                <w:szCs w:val="21"/>
                <w:color w:val="auto"/>
              </w:rPr>
            </w:pPr>
          </w:p>
        </w:tc>
        <w:tc>
          <w:tcPr>
            <w:tcW w:w="116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(5,171)</w:t>
            </w:r>
          </w:p>
        </w:tc>
        <w:tc>
          <w:tcPr>
            <w:tcW w:w="220" w:type="dxa"/>
            <w:vAlign w:val="bottom"/>
            <w:shd w:val="clear" w:color="auto" w:fill="EAF9E8"/>
          </w:tcPr>
          <w:p>
            <w:pPr>
              <w:spacing w:after="0"/>
              <w:rPr>
                <w:sz w:val="21"/>
                <w:szCs w:val="21"/>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48,063</w:t>
            </w: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680" w:type="dxa"/>
            <w:vAlign w:val="bottom"/>
          </w:tcPr>
          <w:p>
            <w:pPr>
              <w:spacing w:after="0"/>
              <w:rPr>
                <w:sz w:val="20"/>
                <w:szCs w:val="20"/>
                <w:color w:val="auto"/>
              </w:rPr>
            </w:pPr>
            <w:r>
              <w:rPr>
                <w:rFonts w:ascii="Arial" w:cs="Arial" w:eastAsia="Arial" w:hAnsi="Arial"/>
                <w:sz w:val="18"/>
                <w:szCs w:val="18"/>
                <w:color w:val="auto"/>
              </w:rPr>
              <w:t>Cash at beginning of period</w:t>
            </w:r>
          </w:p>
        </w:tc>
        <w:tc>
          <w:tcPr>
            <w:tcW w:w="2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201,025</w:t>
            </w:r>
          </w:p>
        </w:tc>
        <w:tc>
          <w:tcPr>
            <w:tcW w:w="3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114,243</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680" w:type="dxa"/>
            <w:vAlign w:val="bottom"/>
            <w:shd w:val="clear" w:color="auto" w:fill="EAF9E8"/>
          </w:tcPr>
          <w:p>
            <w:pPr>
              <w:spacing w:after="0"/>
              <w:rPr>
                <w:sz w:val="20"/>
                <w:szCs w:val="20"/>
                <w:color w:val="auto"/>
              </w:rPr>
            </w:pPr>
            <w:r>
              <w:rPr>
                <w:rFonts w:ascii="Arial" w:cs="Arial" w:eastAsia="Arial" w:hAnsi="Arial"/>
                <w:sz w:val="18"/>
                <w:szCs w:val="18"/>
                <w:color w:val="auto"/>
              </w:rPr>
              <w:t>Cash at end of period</w:t>
            </w:r>
          </w:p>
        </w:tc>
        <w:tc>
          <w:tcPr>
            <w:tcW w:w="42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195,854</w:t>
            </w:r>
          </w:p>
        </w:tc>
        <w:tc>
          <w:tcPr>
            <w:tcW w:w="340" w:type="dxa"/>
            <w:vAlign w:val="bottom"/>
            <w:shd w:val="clear" w:color="auto" w:fill="EAF9E8"/>
          </w:tcPr>
          <w:p>
            <w:pPr>
              <w:spacing w:after="0"/>
              <w:rPr>
                <w:sz w:val="21"/>
                <w:szCs w:val="21"/>
                <w:color w:val="auto"/>
              </w:rPr>
            </w:pPr>
          </w:p>
        </w:tc>
        <w:tc>
          <w:tcPr>
            <w:tcW w:w="220" w:type="dxa"/>
            <w:vAlign w:val="bottom"/>
            <w:shd w:val="clear" w:color="auto" w:fill="EAF9E8"/>
          </w:tcPr>
          <w:p>
            <w:pPr>
              <w:jc w:val="right"/>
              <w:ind w:right="63"/>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162,306</w:t>
            </w: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8680" w:type="dxa"/>
            <w:vAlign w:val="bottom"/>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8"/>
        </w:trPr>
        <w:tc>
          <w:tcPr>
            <w:tcW w:w="86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8680" w:type="dxa"/>
            <w:vAlign w:val="bottom"/>
            <w:shd w:val="clear" w:color="auto" w:fill="EAF9E8"/>
          </w:tcPr>
          <w:p>
            <w:pPr>
              <w:spacing w:after="0"/>
              <w:rPr>
                <w:sz w:val="20"/>
                <w:szCs w:val="20"/>
                <w:color w:val="auto"/>
              </w:rPr>
            </w:pPr>
            <w:r>
              <w:rPr>
                <w:rFonts w:ascii="Arial" w:cs="Arial" w:eastAsia="Arial" w:hAnsi="Arial"/>
                <w:sz w:val="18"/>
                <w:szCs w:val="18"/>
                <w:color w:val="auto"/>
                <w:w w:val="92"/>
              </w:rPr>
              <w:t>Net assets distributed in connection with the spin-off of Altisource Portfolio Solutions S.A. (formerly Ocwen Solutions),</w:t>
            </w:r>
          </w:p>
        </w:tc>
        <w:tc>
          <w:tcPr>
            <w:tcW w:w="2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82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8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6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excluding cash (Note 2)</w:t>
            </w:r>
          </w:p>
        </w:tc>
        <w:tc>
          <w:tcPr>
            <w:tcW w:w="42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51,420</w:t>
            </w:r>
          </w:p>
        </w:tc>
        <w:tc>
          <w:tcPr>
            <w:tcW w:w="340" w:type="dxa"/>
            <w:vAlign w:val="bottom"/>
            <w:shd w:val="clear" w:color="auto" w:fill="EAF9E8"/>
          </w:tcPr>
          <w:p>
            <w:pPr>
              <w:spacing w:after="0"/>
              <w:rPr>
                <w:sz w:val="19"/>
                <w:szCs w:val="19"/>
                <w:color w:val="auto"/>
              </w:rPr>
            </w:pPr>
          </w:p>
        </w:tc>
        <w:tc>
          <w:tcPr>
            <w:tcW w:w="220" w:type="dxa"/>
            <w:vAlign w:val="bottom"/>
            <w:shd w:val="clear" w:color="auto" w:fill="EAF9E8"/>
          </w:tcPr>
          <w:p>
            <w:pPr>
              <w:spacing w:after="0"/>
              <w:rPr>
                <w:sz w:val="19"/>
                <w:szCs w:val="19"/>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INTERIM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2009</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share data)</w:t>
      </w:r>
    </w:p>
    <w:p>
      <w:pPr>
        <w:spacing w:after="0" w:line="226"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5"/>
          <w:szCs w:val="15"/>
          <w:b w:val="1"/>
          <w:bCs w:val="1"/>
          <w:color w:val="auto"/>
        </w:rPr>
        <w:t>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w:t>
      </w:r>
    </w:p>
    <w:p>
      <w:pPr>
        <w:spacing w:after="0" w:line="231" w:lineRule="exact"/>
        <w:rPr>
          <w:sz w:val="20"/>
          <w:szCs w:val="20"/>
          <w:color w:val="auto"/>
        </w:rPr>
      </w:pPr>
    </w:p>
    <w:p>
      <w:pPr>
        <w:ind w:right="100" w:firstLine="439"/>
        <w:spacing w:after="0" w:line="259" w:lineRule="auto"/>
        <w:rPr>
          <w:sz w:val="20"/>
          <w:szCs w:val="20"/>
          <w:color w:val="auto"/>
        </w:rPr>
      </w:pPr>
      <w:r>
        <w:rPr>
          <w:rFonts w:ascii="Arial" w:cs="Arial" w:eastAsia="Arial" w:hAnsi="Arial"/>
          <w:sz w:val="18"/>
          <w:szCs w:val="18"/>
          <w:color w:val="auto"/>
        </w:rPr>
        <w:t>Ocwen Financial Corporation (NYSE: OCN) (Ocwen or OCN), through its subsidiaries, is a leading provider of residential and commercial mortgage loan servicing, special servicing and asset management services. Ocwen is headquartered in West Palm Beach, Florida with offices in California, the District of Columbia, Florida, Georgia and New York and global operations in India and Uruguay.</w:t>
      </w:r>
    </w:p>
    <w:p>
      <w:pPr>
        <w:spacing w:after="0" w:line="194" w:lineRule="exact"/>
        <w:rPr>
          <w:sz w:val="20"/>
          <w:szCs w:val="20"/>
          <w:color w:val="auto"/>
        </w:rPr>
      </w:pPr>
    </w:p>
    <w:p>
      <w:pPr>
        <w:ind w:right="160" w:firstLine="429"/>
        <w:spacing w:after="0" w:line="259" w:lineRule="auto"/>
        <w:rPr>
          <w:sz w:val="20"/>
          <w:szCs w:val="20"/>
          <w:color w:val="auto"/>
        </w:rPr>
      </w:pPr>
      <w:r>
        <w:rPr>
          <w:rFonts w:ascii="Arial" w:cs="Arial" w:eastAsia="Arial" w:hAnsi="Arial"/>
          <w:sz w:val="18"/>
          <w:szCs w:val="18"/>
          <w:color w:val="auto"/>
        </w:rPr>
        <w:t>At September 30, 2009, OCN owned all of the outstanding stock of its primary subsidiaries: Ocwen Loan Servicing, LLC (OLS); Ocwen Financial Solutions, Private Limited (OFSPL); and Investors Mortgage Insurance Holding Company. OCN owns 70% of Global Servicing Solutions, LLC (GSS) with the remaining 30% minority interest held by ML IBK Positions, Inc.</w:t>
      </w:r>
    </w:p>
    <w:p>
      <w:pPr>
        <w:spacing w:after="0" w:line="194" w:lineRule="exact"/>
        <w:rPr>
          <w:sz w:val="20"/>
          <w:szCs w:val="20"/>
          <w:color w:val="auto"/>
        </w:rPr>
      </w:pPr>
    </w:p>
    <w:p>
      <w:pPr>
        <w:ind w:right="120" w:firstLine="439"/>
        <w:spacing w:after="0" w:line="268" w:lineRule="auto"/>
        <w:rPr>
          <w:sz w:val="20"/>
          <w:szCs w:val="20"/>
          <w:color w:val="auto"/>
        </w:rPr>
      </w:pPr>
      <w:r>
        <w:rPr>
          <w:rFonts w:ascii="Arial" w:cs="Arial" w:eastAsia="Arial" w:hAnsi="Arial"/>
          <w:sz w:val="18"/>
          <w:szCs w:val="18"/>
          <w:color w:val="auto"/>
        </w:rPr>
        <w:t>OCN also holds a 45% interest in BMS Holdings, Inc. (BMS Holdings), a 25% interest in Ocwen Structured Investments, LLC (OSI) and approximately a 25% interest in Ocwen Nonperforming Loans, LLC (ONL) and Ocwen REO, LLC (OREO).</w:t>
      </w:r>
    </w:p>
    <w:p>
      <w:pPr>
        <w:spacing w:after="0" w:line="186" w:lineRule="exact"/>
        <w:rPr>
          <w:sz w:val="20"/>
          <w:szCs w:val="20"/>
          <w:color w:val="auto"/>
        </w:rPr>
      </w:pPr>
    </w:p>
    <w:p>
      <w:pPr>
        <w:ind w:right="320" w:firstLine="439"/>
        <w:spacing w:after="0" w:line="332" w:lineRule="auto"/>
        <w:rPr>
          <w:sz w:val="20"/>
          <w:szCs w:val="20"/>
          <w:color w:val="auto"/>
        </w:rPr>
      </w:pPr>
      <w:r>
        <w:rPr>
          <w:rFonts w:ascii="Arial" w:cs="Arial" w:eastAsia="Arial" w:hAnsi="Arial"/>
          <w:sz w:val="16"/>
          <w:szCs w:val="16"/>
          <w:color w:val="auto"/>
        </w:rPr>
        <w:t>On August 10, 2009, we completed the previously announced distribution of our Ocwen Solutions line of business, except for BMS Holdings and GSS, via the spin-off of a separate publicly-traded company, Altisource Portfolio Solutions S.A. (NASDAQ:ASPS) (Altisource). See Note 2.</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31" w:lineRule="exact"/>
        <w:rPr>
          <w:sz w:val="20"/>
          <w:szCs w:val="20"/>
          <w:color w:val="auto"/>
        </w:rPr>
      </w:pPr>
    </w:p>
    <w:p>
      <w:pPr>
        <w:ind w:right="80" w:firstLine="439"/>
        <w:spacing w:after="0" w:line="259" w:lineRule="auto"/>
        <w:rPr>
          <w:sz w:val="20"/>
          <w:szCs w:val="20"/>
          <w:color w:val="auto"/>
        </w:rPr>
      </w:pPr>
      <w:r>
        <w:rPr>
          <w:rFonts w:ascii="Arial" w:cs="Arial" w:eastAsia="Arial" w:hAnsi="Arial"/>
          <w:sz w:val="18"/>
          <w:szCs w:val="18"/>
          <w:color w:val="auto"/>
        </w:rPr>
        <w:t>Certain amounts included in our 2008 consolidated financial statements have been reclassified to conform to the 2009 presentation, including retrospective application of new accounting pronouncements adopted January 1, 2009. See Note 3 for information regarding our adoption of recent accounting pronouncements.</w:t>
      </w:r>
    </w:p>
    <w:p>
      <w:pPr>
        <w:spacing w:after="0" w:line="194" w:lineRule="exact"/>
        <w:rPr>
          <w:sz w:val="20"/>
          <w:szCs w:val="20"/>
          <w:color w:val="auto"/>
        </w:rPr>
      </w:pPr>
    </w:p>
    <w:p>
      <w:pPr>
        <w:ind w:right="40" w:firstLine="436"/>
        <w:spacing w:after="0" w:line="289" w:lineRule="auto"/>
        <w:rPr>
          <w:sz w:val="20"/>
          <w:szCs w:val="20"/>
          <w:color w:val="auto"/>
        </w:rPr>
      </w:pPr>
      <w:r>
        <w:rPr>
          <w:rFonts w:ascii="Arial" w:cs="Arial" w:eastAsia="Arial" w:hAnsi="Arial"/>
          <w:sz w:val="16"/>
          <w:szCs w:val="16"/>
          <w:color w:val="auto"/>
        </w:rPr>
        <w:t>The accompanying unaudited interim consolidated financial statements have been prepared in conformity with the instructions of the Securities and Exchange Commission (SEC) to Form 10-Q and SEC Regulation S-X, Article 10, Rule 10-01 for interim financial statements. Accordingly, they do not include all of the information and footnotes required by accounting principles generally accepted in the United States of America (GAAP) for complete financial statements. In our opinion, the accompanying unaudited financial statements contain all adjustments, consisting only of normal recurring accruals, necessary for a fair presentation. The results of operations and other data for the three and nine months ended September 30, 2009 are not necessarily indicative of the results that may be expected for any other interim period or for the entire year ending December 31, 2009. The unaudited interim consolidated financial statements presented herein should be read in conjunction with the audited consolidated financial statements and related notes thereto included in our Annual Report on Form 10-K for the year ended December 31, 2008.</w:t>
      </w:r>
    </w:p>
    <w:p>
      <w:pPr>
        <w:spacing w:after="0" w:line="172" w:lineRule="exact"/>
        <w:rPr>
          <w:sz w:val="20"/>
          <w:szCs w:val="20"/>
          <w:color w:val="auto"/>
        </w:rPr>
      </w:pPr>
    </w:p>
    <w:p>
      <w:pPr>
        <w:ind w:right="240" w:firstLine="436"/>
        <w:spacing w:after="0" w:line="298" w:lineRule="auto"/>
        <w:rPr>
          <w:sz w:val="20"/>
          <w:szCs w:val="20"/>
          <w:color w:val="auto"/>
        </w:rPr>
      </w:pPr>
      <w:r>
        <w:rPr>
          <w:rFonts w:ascii="Arial" w:cs="Arial" w:eastAsia="Arial" w:hAnsi="Arial"/>
          <w:sz w:val="16"/>
          <w:szCs w:val="16"/>
          <w:color w:val="auto"/>
        </w:rPr>
        <w:t>The preparation of financial statements in conformity with GAAP requires that we make estimates and assumptions that affect the reported amounts of assets and liabilities and the disclosure of contingent assets and liabilities at the date of the financial statements and the reported amounts of revenues and expenses during the reporting period. Actual results could differ from those estimates. Material estimates that are particularly significant in the near or medium term relate to our determination of the valuation of securities, loans held for resale, mortgage servicing rights (MSRs) and deferred tax assets.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Securitizations or Asset Backed Financing Arrangements</w:t>
      </w:r>
    </w:p>
    <w:p>
      <w:pPr>
        <w:spacing w:after="0" w:line="225" w:lineRule="exact"/>
        <w:rPr>
          <w:sz w:val="20"/>
          <w:szCs w:val="20"/>
          <w:color w:val="auto"/>
        </w:rPr>
      </w:pPr>
    </w:p>
    <w:p>
      <w:pPr>
        <w:ind w:firstLine="439"/>
        <w:spacing w:after="0" w:line="303" w:lineRule="auto"/>
        <w:rPr>
          <w:sz w:val="20"/>
          <w:szCs w:val="20"/>
          <w:color w:val="auto"/>
        </w:rPr>
      </w:pPr>
      <w:r>
        <w:rPr>
          <w:rFonts w:ascii="Arial" w:cs="Arial" w:eastAsia="Arial" w:hAnsi="Arial"/>
          <w:sz w:val="15"/>
          <w:szCs w:val="15"/>
          <w:color w:val="auto"/>
        </w:rPr>
        <w:t>OCN or its subsidiaries have been the transferor in connection with a number of securitizations or asset-backed financing arrangements. As of September 30, 2009, we have continuing involvement with the financial assets of eleven of these securitizations or asset-backed financing arrangements. We have aggregated these securitizations or asset-backed financing arrangements into two groups: (1) securitizations of residential mortgage loans that were accounted for as sales and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(2) financings of advances on loans serviced for others that were accounted for as secured borrowings.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Securitizations of Residential Mortgage Loans</w:t>
      </w:r>
    </w:p>
    <w:p>
      <w:pPr>
        <w:spacing w:after="0" w:line="225" w:lineRule="exact"/>
        <w:rPr>
          <w:sz w:val="20"/>
          <w:szCs w:val="20"/>
          <w:color w:val="auto"/>
        </w:rPr>
      </w:pPr>
    </w:p>
    <w:p>
      <w:pPr>
        <w:ind w:right="60" w:firstLine="436"/>
        <w:spacing w:after="0" w:line="294" w:lineRule="auto"/>
        <w:rPr>
          <w:sz w:val="20"/>
          <w:szCs w:val="20"/>
          <w:color w:val="auto"/>
        </w:rPr>
      </w:pPr>
      <w:r>
        <w:rPr>
          <w:rFonts w:ascii="Arial" w:cs="Arial" w:eastAsia="Arial" w:hAnsi="Arial"/>
          <w:sz w:val="16"/>
          <w:szCs w:val="16"/>
          <w:color w:val="auto"/>
        </w:rPr>
        <w:t>The following table provides information regarding seven securitization trusts where we have continuing involvement with the transferred assets. Our continuing involvement typically includes acting as servicer or sub-servicer for the mortgage loans held by the trust and holding beneficial interests in the trust. The beneficial interests held consist of both subordinate and residual securities that either were retained at the time of the securitization transaction or were acquired subsequent to the securitization. Because each of the securitization trusts is a “qualifying special purpose entity” (QSPE), we exclude the trusts from our consolidated financial statements. Summary information for these trusts is provided below.</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7"/>
        </w:trPr>
        <w:tc>
          <w:tcPr>
            <w:tcW w:w="6260" w:type="dxa"/>
            <w:vAlign w:val="bottom"/>
          </w:tcPr>
          <w:p>
            <w:pPr>
              <w:spacing w:after="0"/>
              <w:rPr>
                <w:sz w:val="20"/>
                <w:szCs w:val="20"/>
                <w:color w:val="auto"/>
              </w:rPr>
            </w:pPr>
            <w:r>
              <w:rPr>
                <w:rFonts w:ascii="Arial" w:cs="Arial" w:eastAsia="Arial" w:hAnsi="Arial"/>
                <w:sz w:val="18"/>
                <w:szCs w:val="18"/>
                <w:b w:val="1"/>
                <w:bCs w:val="1"/>
                <w:color w:val="auto"/>
              </w:rPr>
              <w:t>For the periods ended September 30</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40" w:type="dxa"/>
            <w:vAlign w:val="bottom"/>
            <w:gridSpan w:val="7"/>
          </w:tcPr>
          <w:p>
            <w:pPr>
              <w:ind w:left="380"/>
              <w:spacing w:after="0"/>
              <w:rPr>
                <w:sz w:val="20"/>
                <w:szCs w:val="20"/>
                <w:color w:val="auto"/>
              </w:rPr>
            </w:pPr>
            <w:r>
              <w:rPr>
                <w:rFonts w:ascii="Arial" w:cs="Arial" w:eastAsia="Arial" w:hAnsi="Arial"/>
                <w:sz w:val="18"/>
                <w:szCs w:val="18"/>
                <w:b w:val="1"/>
                <w:bCs w:val="1"/>
                <w:color w:val="auto"/>
              </w:rPr>
              <w:t>Three months</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80" w:type="dxa"/>
            <w:vAlign w:val="bottom"/>
            <w:gridSpan w:val="6"/>
          </w:tcPr>
          <w:p>
            <w:pPr>
              <w:jc w:val="right"/>
              <w:ind w:right="740"/>
              <w:spacing w:after="0"/>
              <w:rPr>
                <w:sz w:val="20"/>
                <w:szCs w:val="20"/>
                <w:color w:val="auto"/>
              </w:rPr>
            </w:pPr>
            <w:r>
              <w:rPr>
                <w:rFonts w:ascii="Arial" w:cs="Arial" w:eastAsia="Arial" w:hAnsi="Arial"/>
                <w:sz w:val="18"/>
                <w:szCs w:val="18"/>
                <w:b w:val="1"/>
                <w:bCs w:val="1"/>
                <w:color w:val="auto"/>
              </w:rPr>
              <w:t>Nine months</w:t>
            </w:r>
          </w:p>
        </w:tc>
      </w:tr>
      <w:tr>
        <w:trPr>
          <w:trHeight w:val="250"/>
        </w:trPr>
        <w:tc>
          <w:tcPr>
            <w:tcW w:w="6260" w:type="dxa"/>
            <w:vAlign w:val="bottom"/>
            <w:tcBorders>
              <w:top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740" w:type="dxa"/>
            <w:vAlign w:val="bottom"/>
            <w:tcBorders>
              <w:top w:val="single" w:sz="8" w:color="auto"/>
              <w:bottom w:val="single" w:sz="8" w:color="auto"/>
            </w:tcBorders>
            <w:gridSpan w:val="2"/>
          </w:tcPr>
          <w:p>
            <w:pPr>
              <w:jc w:val="right"/>
              <w:ind w:right="192"/>
              <w:spacing w:after="0"/>
              <w:rPr>
                <w:sz w:val="20"/>
                <w:szCs w:val="20"/>
                <w:color w:val="auto"/>
              </w:rPr>
            </w:pPr>
            <w:r>
              <w:rPr>
                <w:rFonts w:ascii="Arial" w:cs="Arial" w:eastAsia="Arial" w:hAnsi="Arial"/>
                <w:sz w:val="18"/>
                <w:szCs w:val="18"/>
                <w:b w:val="1"/>
                <w:bCs w:val="1"/>
                <w:color w:val="auto"/>
              </w:rPr>
              <w:t>2009</w:t>
            </w:r>
          </w:p>
        </w:tc>
        <w:tc>
          <w:tcPr>
            <w:tcW w:w="340" w:type="dxa"/>
            <w:vAlign w:val="bottom"/>
            <w:tcBorders>
              <w:top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74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2008</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720" w:type="dxa"/>
            <w:vAlign w:val="bottom"/>
            <w:tcBorders>
              <w:top w:val="single" w:sz="8" w:color="auto"/>
              <w:bottom w:val="single" w:sz="8" w:color="auto"/>
            </w:tcBorders>
            <w:gridSpan w:val="2"/>
          </w:tcPr>
          <w:p>
            <w:pPr>
              <w:jc w:val="right"/>
              <w:ind w:right="192"/>
              <w:spacing w:after="0"/>
              <w:rPr>
                <w:sz w:val="20"/>
                <w:szCs w:val="20"/>
                <w:color w:val="auto"/>
              </w:rPr>
            </w:pPr>
            <w:r>
              <w:rPr>
                <w:rFonts w:ascii="Arial" w:cs="Arial" w:eastAsia="Arial" w:hAnsi="Arial"/>
                <w:sz w:val="18"/>
                <w:szCs w:val="18"/>
                <w:b w:val="1"/>
                <w:bCs w:val="1"/>
                <w:color w:val="auto"/>
              </w:rPr>
              <w:t>2009</w:t>
            </w:r>
          </w:p>
        </w:tc>
        <w:tc>
          <w:tcPr>
            <w:tcW w:w="340" w:type="dxa"/>
            <w:vAlign w:val="bottom"/>
            <w:tcBorders>
              <w:top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74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2008</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1"/>
        </w:trPr>
        <w:tc>
          <w:tcPr>
            <w:tcW w:w="6260" w:type="dxa"/>
            <w:vAlign w:val="bottom"/>
          </w:tcPr>
          <w:p>
            <w:pPr>
              <w:spacing w:after="0"/>
              <w:rPr>
                <w:sz w:val="20"/>
                <w:szCs w:val="20"/>
                <w:color w:val="auto"/>
              </w:rPr>
            </w:pPr>
            <w:r>
              <w:rPr>
                <w:rFonts w:ascii="Arial" w:cs="Arial" w:eastAsia="Arial" w:hAnsi="Arial"/>
                <w:sz w:val="18"/>
                <w:szCs w:val="18"/>
                <w:color w:val="auto"/>
              </w:rPr>
              <w:t>Total cash received on beneficial interests held</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340"/>
              <w:spacing w:after="0"/>
              <w:rPr>
                <w:sz w:val="20"/>
                <w:szCs w:val="20"/>
                <w:color w:val="auto"/>
              </w:rPr>
            </w:pPr>
            <w:r>
              <w:rPr>
                <w:rFonts w:ascii="Arial" w:cs="Arial" w:eastAsia="Arial" w:hAnsi="Arial"/>
                <w:sz w:val="18"/>
                <w:szCs w:val="18"/>
                <w:color w:val="auto"/>
              </w:rPr>
              <w:t>407</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32"/>
              <w:spacing w:after="0"/>
              <w:rPr>
                <w:sz w:val="20"/>
                <w:szCs w:val="20"/>
                <w:color w:val="auto"/>
              </w:rPr>
            </w:pPr>
            <w:r>
              <w:rPr>
                <w:rFonts w:ascii="Arial" w:cs="Arial" w:eastAsia="Arial" w:hAnsi="Arial"/>
                <w:sz w:val="18"/>
                <w:szCs w:val="18"/>
                <w:color w:val="auto"/>
              </w:rPr>
              <w:t>583</w:t>
            </w:r>
          </w:p>
        </w:tc>
        <w:tc>
          <w:tcPr>
            <w:tcW w:w="20" w:type="dxa"/>
            <w:vAlign w:val="bottom"/>
          </w:tcPr>
          <w:p>
            <w:pPr>
              <w:spacing w:after="0"/>
              <w:rPr>
                <w:sz w:val="20"/>
                <w:szCs w:val="20"/>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060" w:type="dxa"/>
            <w:vAlign w:val="bottom"/>
            <w:gridSpan w:val="3"/>
          </w:tcPr>
          <w:p>
            <w:pPr>
              <w:jc w:val="right"/>
              <w:ind w:right="340"/>
              <w:spacing w:after="0"/>
              <w:rPr>
                <w:sz w:val="20"/>
                <w:szCs w:val="20"/>
                <w:color w:val="auto"/>
              </w:rPr>
            </w:pPr>
            <w:r>
              <w:rPr>
                <w:rFonts w:ascii="Arial" w:cs="Arial" w:eastAsia="Arial" w:hAnsi="Arial"/>
                <w:sz w:val="18"/>
                <w:szCs w:val="18"/>
                <w:color w:val="auto"/>
              </w:rPr>
              <w:t>1,840</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2,546</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6260" w:type="dxa"/>
            <w:vAlign w:val="bottom"/>
          </w:tcPr>
          <w:p>
            <w:pPr>
              <w:spacing w:after="0"/>
              <w:rPr>
                <w:sz w:val="20"/>
                <w:szCs w:val="20"/>
                <w:color w:val="auto"/>
              </w:rPr>
            </w:pPr>
            <w:r>
              <w:rPr>
                <w:rFonts w:ascii="Arial" w:cs="Arial" w:eastAsia="Arial" w:hAnsi="Arial"/>
                <w:sz w:val="18"/>
                <w:szCs w:val="18"/>
                <w:color w:val="auto"/>
              </w:rPr>
              <w:t>Total servicing and subservicing fee revenues</w:t>
            </w: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gridSpan w:val="3"/>
          </w:tcPr>
          <w:p>
            <w:pPr>
              <w:jc w:val="right"/>
              <w:ind w:right="340"/>
              <w:spacing w:after="0"/>
              <w:rPr>
                <w:sz w:val="20"/>
                <w:szCs w:val="20"/>
                <w:color w:val="auto"/>
              </w:rPr>
            </w:pPr>
            <w:r>
              <w:rPr>
                <w:rFonts w:ascii="Arial" w:cs="Arial" w:eastAsia="Arial" w:hAnsi="Arial"/>
                <w:sz w:val="18"/>
                <w:szCs w:val="18"/>
                <w:color w:val="auto"/>
              </w:rPr>
              <w:t>1,000</w:t>
            </w:r>
          </w:p>
        </w:tc>
        <w:tc>
          <w:tcPr>
            <w:tcW w:w="180" w:type="dxa"/>
            <w:vAlign w:val="bottom"/>
          </w:tcPr>
          <w:p>
            <w:pPr>
              <w:spacing w:after="0"/>
              <w:rPr>
                <w:sz w:val="21"/>
                <w:szCs w:val="21"/>
                <w:color w:val="auto"/>
              </w:rPr>
            </w:pPr>
          </w:p>
        </w:tc>
        <w:tc>
          <w:tcPr>
            <w:tcW w:w="1060" w:type="dxa"/>
            <w:vAlign w:val="bottom"/>
            <w:gridSpan w:val="2"/>
          </w:tcPr>
          <w:p>
            <w:pPr>
              <w:jc w:val="right"/>
              <w:ind w:right="232"/>
              <w:spacing w:after="0"/>
              <w:rPr>
                <w:sz w:val="20"/>
                <w:szCs w:val="20"/>
                <w:color w:val="auto"/>
              </w:rPr>
            </w:pPr>
            <w:r>
              <w:rPr>
                <w:rFonts w:ascii="Arial" w:cs="Arial" w:eastAsia="Arial" w:hAnsi="Arial"/>
                <w:sz w:val="18"/>
                <w:szCs w:val="18"/>
                <w:color w:val="auto"/>
              </w:rPr>
              <w:t>1,328</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3"/>
          </w:tcPr>
          <w:p>
            <w:pPr>
              <w:jc w:val="right"/>
              <w:ind w:right="340"/>
              <w:spacing w:after="0"/>
              <w:rPr>
                <w:sz w:val="20"/>
                <w:szCs w:val="20"/>
                <w:color w:val="auto"/>
              </w:rPr>
            </w:pPr>
            <w:r>
              <w:rPr>
                <w:rFonts w:ascii="Arial" w:cs="Arial" w:eastAsia="Arial" w:hAnsi="Arial"/>
                <w:sz w:val="18"/>
                <w:szCs w:val="18"/>
                <w:color w:val="auto"/>
              </w:rPr>
              <w:t>3,415</w:t>
            </w: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4,326</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509"/>
        </w:trPr>
        <w:tc>
          <w:tcPr>
            <w:tcW w:w="6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6"/>
          </w:tcPr>
          <w:p>
            <w:pPr>
              <w:jc w:val="right"/>
              <w:ind w:right="900"/>
              <w:spacing w:after="0"/>
              <w:rPr>
                <w:sz w:val="20"/>
                <w:szCs w:val="20"/>
                <w:color w:val="auto"/>
              </w:rPr>
            </w:pPr>
            <w:r>
              <w:rPr>
                <w:rFonts w:ascii="Arial" w:cs="Arial" w:eastAsia="Arial" w:hAnsi="Arial"/>
                <w:sz w:val="18"/>
                <w:szCs w:val="18"/>
                <w:b w:val="1"/>
                <w:bCs w:val="1"/>
                <w:color w:val="auto"/>
              </w:rPr>
              <w:t>As of</w:t>
            </w: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250"/>
        </w:trPr>
        <w:tc>
          <w:tcPr>
            <w:tcW w:w="6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940" w:type="dxa"/>
            <w:vAlign w:val="bottom"/>
            <w:tcBorders>
              <w:bottom w:val="single" w:sz="8" w:color="auto"/>
            </w:tcBorders>
            <w:gridSpan w:val="5"/>
          </w:tcPr>
          <w:p>
            <w:pPr>
              <w:jc w:val="right"/>
              <w:ind w:right="152"/>
              <w:spacing w:after="0"/>
              <w:rPr>
                <w:sz w:val="20"/>
                <w:szCs w:val="20"/>
                <w:color w:val="auto"/>
              </w:rPr>
            </w:pPr>
            <w:r>
              <w:rPr>
                <w:rFonts w:ascii="Arial" w:cs="Arial" w:eastAsia="Arial" w:hAnsi="Arial"/>
                <w:sz w:val="18"/>
                <w:szCs w:val="18"/>
                <w:b w:val="1"/>
                <w:bCs w:val="1"/>
                <w:color w:val="auto"/>
                <w:w w:val="99"/>
              </w:rPr>
              <w:t>September 30, 2009</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2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b w:val="1"/>
                <w:bCs w:val="1"/>
                <w:color w:val="auto"/>
                <w:w w:val="86"/>
              </w:rPr>
              <w:t>December 31, 2008</w:t>
            </w:r>
          </w:p>
        </w:tc>
        <w:tc>
          <w:tcPr>
            <w:tcW w:w="60" w:type="dxa"/>
            <w:vAlign w:val="bottom"/>
          </w:tcPr>
          <w:p>
            <w:pPr>
              <w:spacing w:after="0"/>
              <w:rPr>
                <w:sz w:val="21"/>
                <w:szCs w:val="21"/>
                <w:color w:val="auto"/>
              </w:rPr>
            </w:pPr>
          </w:p>
        </w:tc>
      </w:tr>
      <w:tr>
        <w:trPr>
          <w:trHeight w:val="243"/>
        </w:trPr>
        <w:tc>
          <w:tcPr>
            <w:tcW w:w="6260" w:type="dxa"/>
            <w:vAlign w:val="bottom"/>
            <w:shd w:val="clear" w:color="auto" w:fill="EAF9E8"/>
          </w:tcPr>
          <w:p>
            <w:pPr>
              <w:spacing w:after="0"/>
              <w:rPr>
                <w:sz w:val="20"/>
                <w:szCs w:val="20"/>
                <w:color w:val="auto"/>
              </w:rPr>
            </w:pPr>
            <w:r>
              <w:rPr>
                <w:rFonts w:ascii="Arial" w:cs="Arial" w:eastAsia="Arial" w:hAnsi="Arial"/>
                <w:sz w:val="18"/>
                <w:szCs w:val="18"/>
                <w:color w:val="auto"/>
              </w:rPr>
              <w:t>Total collateral balance</w:t>
            </w:r>
          </w:p>
        </w:tc>
        <w:tc>
          <w:tcPr>
            <w:tcW w:w="340" w:type="dxa"/>
            <w:vAlign w:val="bottom"/>
            <w:shd w:val="clear" w:color="auto" w:fill="EAF9E8"/>
          </w:tcPr>
          <w:p>
            <w:pPr>
              <w:spacing w:after="0"/>
              <w:rPr>
                <w:sz w:val="21"/>
                <w:szCs w:val="21"/>
                <w:color w:val="auto"/>
              </w:rPr>
            </w:pPr>
          </w:p>
        </w:tc>
        <w:tc>
          <w:tcPr>
            <w:tcW w:w="180" w:type="dxa"/>
            <w:vAlign w:val="bottom"/>
            <w:shd w:val="clear" w:color="auto" w:fill="EAF9E8"/>
          </w:tcPr>
          <w:p>
            <w:pPr>
              <w:spacing w:after="0"/>
              <w:rPr>
                <w:sz w:val="21"/>
                <w:szCs w:val="21"/>
                <w:color w:val="auto"/>
              </w:rPr>
            </w:pPr>
          </w:p>
        </w:tc>
        <w:tc>
          <w:tcPr>
            <w:tcW w:w="740" w:type="dxa"/>
            <w:vAlign w:val="bottom"/>
            <w:gridSpan w:val="2"/>
            <w:shd w:val="clear" w:color="auto" w:fill="EAF9E8"/>
          </w:tcPr>
          <w:p>
            <w:pPr>
              <w:ind w:left="380"/>
              <w:spacing w:after="0"/>
              <w:rPr>
                <w:sz w:val="20"/>
                <w:szCs w:val="20"/>
                <w:color w:val="auto"/>
              </w:rPr>
            </w:pPr>
            <w:r>
              <w:rPr>
                <w:rFonts w:ascii="Arial" w:cs="Arial" w:eastAsia="Arial" w:hAnsi="Arial"/>
                <w:sz w:val="18"/>
                <w:szCs w:val="18"/>
                <w:color w:val="auto"/>
              </w:rPr>
              <w:t>$</w:t>
            </w:r>
          </w:p>
        </w:tc>
        <w:tc>
          <w:tcPr>
            <w:tcW w:w="340" w:type="dxa"/>
            <w:vAlign w:val="bottom"/>
            <w:shd w:val="clear" w:color="auto" w:fill="EAF9E8"/>
          </w:tcPr>
          <w:p>
            <w:pPr>
              <w:spacing w:after="0"/>
              <w:rPr>
                <w:sz w:val="21"/>
                <w:szCs w:val="21"/>
                <w:color w:val="auto"/>
              </w:rPr>
            </w:pPr>
          </w:p>
        </w:tc>
        <w:tc>
          <w:tcPr>
            <w:tcW w:w="180" w:type="dxa"/>
            <w:vAlign w:val="bottom"/>
            <w:shd w:val="clear" w:color="auto" w:fill="EAF9E8"/>
          </w:tcPr>
          <w:p>
            <w:pPr>
              <w:spacing w:after="0"/>
              <w:rPr>
                <w:sz w:val="21"/>
                <w:szCs w:val="21"/>
                <w:color w:val="auto"/>
              </w:rPr>
            </w:pPr>
          </w:p>
        </w:tc>
        <w:tc>
          <w:tcPr>
            <w:tcW w:w="106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629,194</w:t>
            </w:r>
          </w:p>
        </w:tc>
        <w:tc>
          <w:tcPr>
            <w:tcW w:w="20" w:type="dxa"/>
            <w:vAlign w:val="bottom"/>
            <w:shd w:val="clear" w:color="auto" w:fill="EAF9E8"/>
          </w:tcPr>
          <w:p>
            <w:pPr>
              <w:spacing w:after="0"/>
              <w:rPr>
                <w:sz w:val="21"/>
                <w:szCs w:val="21"/>
                <w:color w:val="auto"/>
              </w:rPr>
            </w:pPr>
          </w:p>
        </w:tc>
        <w:tc>
          <w:tcPr>
            <w:tcW w:w="180" w:type="dxa"/>
            <w:vAlign w:val="bottom"/>
            <w:shd w:val="clear" w:color="auto" w:fill="EAF9E8"/>
          </w:tcPr>
          <w:p>
            <w:pPr>
              <w:spacing w:after="0"/>
              <w:rPr>
                <w:sz w:val="21"/>
                <w:szCs w:val="21"/>
                <w:color w:val="auto"/>
              </w:rPr>
            </w:pPr>
          </w:p>
        </w:tc>
        <w:tc>
          <w:tcPr>
            <w:tcW w:w="720" w:type="dxa"/>
            <w:vAlign w:val="bottom"/>
            <w:gridSpan w:val="2"/>
            <w:shd w:val="clear" w:color="auto" w:fill="EAF9E8"/>
          </w:tcPr>
          <w:p>
            <w:pPr>
              <w:jc w:val="right"/>
              <w:ind w:right="412"/>
              <w:spacing w:after="0"/>
              <w:rPr>
                <w:sz w:val="20"/>
                <w:szCs w:val="20"/>
                <w:color w:val="auto"/>
              </w:rPr>
            </w:pPr>
            <w:r>
              <w:rPr>
                <w:rFonts w:ascii="Arial" w:cs="Arial" w:eastAsia="Arial" w:hAnsi="Arial"/>
                <w:sz w:val="18"/>
                <w:szCs w:val="18"/>
                <w:color w:val="auto"/>
              </w:rPr>
              <w:t>$</w:t>
            </w:r>
          </w:p>
        </w:tc>
        <w:tc>
          <w:tcPr>
            <w:tcW w:w="340" w:type="dxa"/>
            <w:vAlign w:val="bottom"/>
            <w:shd w:val="clear" w:color="auto" w:fill="EAF9E8"/>
          </w:tcPr>
          <w:p>
            <w:pPr>
              <w:spacing w:after="0"/>
              <w:rPr>
                <w:sz w:val="21"/>
                <w:szCs w:val="21"/>
                <w:color w:val="auto"/>
              </w:rPr>
            </w:pPr>
          </w:p>
        </w:tc>
        <w:tc>
          <w:tcPr>
            <w:tcW w:w="200" w:type="dxa"/>
            <w:vAlign w:val="bottom"/>
            <w:shd w:val="clear" w:color="auto" w:fill="EAF9E8"/>
          </w:tcPr>
          <w:p>
            <w:pPr>
              <w:spacing w:after="0"/>
              <w:rPr>
                <w:sz w:val="21"/>
                <w:szCs w:val="21"/>
                <w:color w:val="auto"/>
              </w:rPr>
            </w:pPr>
          </w:p>
        </w:tc>
        <w:tc>
          <w:tcPr>
            <w:tcW w:w="860" w:type="dxa"/>
            <w:vAlign w:val="bottom"/>
            <w:gridSpan w:val="3"/>
            <w:shd w:val="clear" w:color="auto" w:fill="EAF9E8"/>
          </w:tcPr>
          <w:p>
            <w:pPr>
              <w:jc w:val="right"/>
              <w:ind w:right="60"/>
              <w:spacing w:after="0"/>
              <w:rPr>
                <w:sz w:val="20"/>
                <w:szCs w:val="20"/>
                <w:color w:val="auto"/>
              </w:rPr>
            </w:pPr>
            <w:r>
              <w:rPr>
                <w:rFonts w:ascii="Arial" w:cs="Arial" w:eastAsia="Arial" w:hAnsi="Arial"/>
                <w:sz w:val="18"/>
                <w:szCs w:val="18"/>
                <w:color w:val="auto"/>
              </w:rPr>
              <w:t>740,477</w:t>
            </w:r>
          </w:p>
        </w:tc>
      </w:tr>
      <w:tr>
        <w:trPr>
          <w:trHeight w:val="242"/>
        </w:trPr>
        <w:tc>
          <w:tcPr>
            <w:tcW w:w="6260" w:type="dxa"/>
            <w:vAlign w:val="bottom"/>
          </w:tcPr>
          <w:p>
            <w:pPr>
              <w:spacing w:after="0"/>
              <w:rPr>
                <w:sz w:val="20"/>
                <w:szCs w:val="20"/>
                <w:color w:val="auto"/>
              </w:rPr>
            </w:pPr>
            <w:r>
              <w:rPr>
                <w:rFonts w:ascii="Arial" w:cs="Arial" w:eastAsia="Arial" w:hAnsi="Arial"/>
                <w:sz w:val="18"/>
                <w:szCs w:val="18"/>
                <w:color w:val="auto"/>
              </w:rPr>
              <w:t>Non-performing collateral (1)</w:t>
            </w: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214,481</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gridSpan w:val="3"/>
          </w:tcPr>
          <w:p>
            <w:pPr>
              <w:jc w:val="right"/>
              <w:ind w:right="60"/>
              <w:spacing w:after="0"/>
              <w:rPr>
                <w:sz w:val="20"/>
                <w:szCs w:val="20"/>
                <w:color w:val="auto"/>
              </w:rPr>
            </w:pPr>
            <w:r>
              <w:rPr>
                <w:rFonts w:ascii="Arial" w:cs="Arial" w:eastAsia="Arial" w:hAnsi="Arial"/>
                <w:sz w:val="18"/>
                <w:szCs w:val="18"/>
                <w:color w:val="auto"/>
              </w:rPr>
              <w:t>219,613</w:t>
            </w:r>
          </w:p>
        </w:tc>
      </w:tr>
      <w:tr>
        <w:trPr>
          <w:trHeight w:val="244"/>
        </w:trPr>
        <w:tc>
          <w:tcPr>
            <w:tcW w:w="6260" w:type="dxa"/>
            <w:vAlign w:val="bottom"/>
            <w:shd w:val="clear" w:color="auto" w:fill="EAF9E8"/>
          </w:tcPr>
          <w:p>
            <w:pPr>
              <w:spacing w:after="0"/>
              <w:rPr>
                <w:sz w:val="20"/>
                <w:szCs w:val="20"/>
                <w:color w:val="auto"/>
              </w:rPr>
            </w:pPr>
            <w:r>
              <w:rPr>
                <w:rFonts w:ascii="Arial" w:cs="Arial" w:eastAsia="Arial" w:hAnsi="Arial"/>
                <w:sz w:val="18"/>
                <w:szCs w:val="18"/>
                <w:color w:val="auto"/>
              </w:rPr>
              <w:t>Total certificate balance</w:t>
            </w:r>
          </w:p>
        </w:tc>
        <w:tc>
          <w:tcPr>
            <w:tcW w:w="340" w:type="dxa"/>
            <w:vAlign w:val="bottom"/>
            <w:shd w:val="clear" w:color="auto" w:fill="EAF9E8"/>
          </w:tcPr>
          <w:p>
            <w:pPr>
              <w:spacing w:after="0"/>
              <w:rPr>
                <w:sz w:val="21"/>
                <w:szCs w:val="21"/>
                <w:color w:val="auto"/>
              </w:rPr>
            </w:pPr>
          </w:p>
        </w:tc>
        <w:tc>
          <w:tcPr>
            <w:tcW w:w="180" w:type="dxa"/>
            <w:vAlign w:val="bottom"/>
            <w:shd w:val="clear" w:color="auto" w:fill="EAF9E8"/>
          </w:tcPr>
          <w:p>
            <w:pPr>
              <w:spacing w:after="0"/>
              <w:rPr>
                <w:sz w:val="21"/>
                <w:szCs w:val="21"/>
                <w:color w:val="auto"/>
              </w:rPr>
            </w:pPr>
          </w:p>
        </w:tc>
        <w:tc>
          <w:tcPr>
            <w:tcW w:w="380" w:type="dxa"/>
            <w:vAlign w:val="bottom"/>
            <w:shd w:val="clear" w:color="auto" w:fill="EAF9E8"/>
          </w:tcPr>
          <w:p>
            <w:pPr>
              <w:spacing w:after="0"/>
              <w:rPr>
                <w:sz w:val="21"/>
                <w:szCs w:val="21"/>
                <w:color w:val="auto"/>
              </w:rPr>
            </w:pPr>
          </w:p>
        </w:tc>
        <w:tc>
          <w:tcPr>
            <w:tcW w:w="360" w:type="dxa"/>
            <w:vAlign w:val="bottom"/>
            <w:shd w:val="clear" w:color="auto" w:fill="EAF9E8"/>
          </w:tcPr>
          <w:p>
            <w:pPr>
              <w:spacing w:after="0"/>
              <w:rPr>
                <w:sz w:val="21"/>
                <w:szCs w:val="21"/>
                <w:color w:val="auto"/>
              </w:rPr>
            </w:pPr>
          </w:p>
        </w:tc>
        <w:tc>
          <w:tcPr>
            <w:tcW w:w="340" w:type="dxa"/>
            <w:vAlign w:val="bottom"/>
            <w:shd w:val="clear" w:color="auto" w:fill="EAF9E8"/>
          </w:tcPr>
          <w:p>
            <w:pPr>
              <w:spacing w:after="0"/>
              <w:rPr>
                <w:sz w:val="21"/>
                <w:szCs w:val="21"/>
                <w:color w:val="auto"/>
              </w:rPr>
            </w:pPr>
          </w:p>
        </w:tc>
        <w:tc>
          <w:tcPr>
            <w:tcW w:w="180" w:type="dxa"/>
            <w:vAlign w:val="bottom"/>
            <w:shd w:val="clear" w:color="auto" w:fill="EAF9E8"/>
          </w:tcPr>
          <w:p>
            <w:pPr>
              <w:spacing w:after="0"/>
              <w:rPr>
                <w:sz w:val="21"/>
                <w:szCs w:val="21"/>
                <w:color w:val="auto"/>
              </w:rPr>
            </w:pPr>
          </w:p>
        </w:tc>
        <w:tc>
          <w:tcPr>
            <w:tcW w:w="106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628,454</w:t>
            </w:r>
          </w:p>
        </w:tc>
        <w:tc>
          <w:tcPr>
            <w:tcW w:w="20" w:type="dxa"/>
            <w:vAlign w:val="bottom"/>
            <w:shd w:val="clear" w:color="auto" w:fill="EAF9E8"/>
          </w:tcPr>
          <w:p>
            <w:pPr>
              <w:spacing w:after="0"/>
              <w:rPr>
                <w:sz w:val="21"/>
                <w:szCs w:val="21"/>
                <w:color w:val="auto"/>
              </w:rPr>
            </w:pPr>
          </w:p>
        </w:tc>
        <w:tc>
          <w:tcPr>
            <w:tcW w:w="18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580" w:type="dxa"/>
            <w:vAlign w:val="bottom"/>
            <w:shd w:val="clear" w:color="auto" w:fill="EAF9E8"/>
          </w:tcPr>
          <w:p>
            <w:pPr>
              <w:spacing w:after="0"/>
              <w:rPr>
                <w:sz w:val="21"/>
                <w:szCs w:val="21"/>
                <w:color w:val="auto"/>
              </w:rPr>
            </w:pPr>
          </w:p>
        </w:tc>
        <w:tc>
          <w:tcPr>
            <w:tcW w:w="340" w:type="dxa"/>
            <w:vAlign w:val="bottom"/>
            <w:shd w:val="clear" w:color="auto" w:fill="EAF9E8"/>
          </w:tcPr>
          <w:p>
            <w:pPr>
              <w:spacing w:after="0"/>
              <w:rPr>
                <w:sz w:val="21"/>
                <w:szCs w:val="21"/>
                <w:color w:val="auto"/>
              </w:rPr>
            </w:pPr>
          </w:p>
        </w:tc>
        <w:tc>
          <w:tcPr>
            <w:tcW w:w="200" w:type="dxa"/>
            <w:vAlign w:val="bottom"/>
            <w:shd w:val="clear" w:color="auto" w:fill="EAF9E8"/>
          </w:tcPr>
          <w:p>
            <w:pPr>
              <w:spacing w:after="0"/>
              <w:rPr>
                <w:sz w:val="21"/>
                <w:szCs w:val="21"/>
                <w:color w:val="auto"/>
              </w:rPr>
            </w:pPr>
          </w:p>
        </w:tc>
        <w:tc>
          <w:tcPr>
            <w:tcW w:w="860" w:type="dxa"/>
            <w:vAlign w:val="bottom"/>
            <w:gridSpan w:val="3"/>
            <w:shd w:val="clear" w:color="auto" w:fill="EAF9E8"/>
          </w:tcPr>
          <w:p>
            <w:pPr>
              <w:jc w:val="right"/>
              <w:ind w:right="60"/>
              <w:spacing w:after="0"/>
              <w:rPr>
                <w:sz w:val="20"/>
                <w:szCs w:val="20"/>
                <w:color w:val="auto"/>
              </w:rPr>
            </w:pPr>
            <w:r>
              <w:rPr>
                <w:rFonts w:ascii="Arial" w:cs="Arial" w:eastAsia="Arial" w:hAnsi="Arial"/>
                <w:sz w:val="18"/>
                <w:szCs w:val="18"/>
                <w:color w:val="auto"/>
              </w:rPr>
              <w:t>740,121</w:t>
            </w:r>
          </w:p>
        </w:tc>
      </w:tr>
      <w:tr>
        <w:trPr>
          <w:trHeight w:val="242"/>
        </w:trPr>
        <w:tc>
          <w:tcPr>
            <w:tcW w:w="6260" w:type="dxa"/>
            <w:vAlign w:val="bottom"/>
          </w:tcPr>
          <w:p>
            <w:pPr>
              <w:spacing w:after="0"/>
              <w:rPr>
                <w:sz w:val="20"/>
                <w:szCs w:val="20"/>
                <w:color w:val="auto"/>
              </w:rPr>
            </w:pPr>
            <w:r>
              <w:rPr>
                <w:rFonts w:ascii="Arial" w:cs="Arial" w:eastAsia="Arial" w:hAnsi="Arial"/>
                <w:sz w:val="18"/>
                <w:szCs w:val="18"/>
                <w:color w:val="auto"/>
              </w:rPr>
              <w:t>Total servicing advances</w:t>
            </w: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23,929</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gridSpan w:val="3"/>
          </w:tcPr>
          <w:p>
            <w:pPr>
              <w:jc w:val="right"/>
              <w:ind w:right="60"/>
              <w:spacing w:after="0"/>
              <w:rPr>
                <w:sz w:val="20"/>
                <w:szCs w:val="20"/>
                <w:color w:val="auto"/>
              </w:rPr>
            </w:pPr>
            <w:r>
              <w:rPr>
                <w:rFonts w:ascii="Arial" w:cs="Arial" w:eastAsia="Arial" w:hAnsi="Arial"/>
                <w:sz w:val="18"/>
                <w:szCs w:val="18"/>
                <w:color w:val="auto"/>
              </w:rPr>
              <w:t>30,683</w:t>
            </w:r>
          </w:p>
        </w:tc>
      </w:tr>
      <w:tr>
        <w:trPr>
          <w:trHeight w:val="244"/>
        </w:trPr>
        <w:tc>
          <w:tcPr>
            <w:tcW w:w="6260" w:type="dxa"/>
            <w:vAlign w:val="bottom"/>
            <w:shd w:val="clear" w:color="auto" w:fill="EAF9E8"/>
          </w:tcPr>
          <w:p>
            <w:pPr>
              <w:spacing w:after="0"/>
              <w:rPr>
                <w:sz w:val="20"/>
                <w:szCs w:val="20"/>
                <w:color w:val="auto"/>
              </w:rPr>
            </w:pPr>
            <w:r>
              <w:rPr>
                <w:rFonts w:ascii="Arial" w:cs="Arial" w:eastAsia="Arial" w:hAnsi="Arial"/>
                <w:sz w:val="18"/>
                <w:szCs w:val="18"/>
                <w:color w:val="auto"/>
              </w:rPr>
              <w:t>Total beneficial interests held at fair value (2)</w:t>
            </w:r>
          </w:p>
        </w:tc>
        <w:tc>
          <w:tcPr>
            <w:tcW w:w="340" w:type="dxa"/>
            <w:vAlign w:val="bottom"/>
            <w:shd w:val="clear" w:color="auto" w:fill="EAF9E8"/>
          </w:tcPr>
          <w:p>
            <w:pPr>
              <w:spacing w:after="0"/>
              <w:rPr>
                <w:sz w:val="21"/>
                <w:szCs w:val="21"/>
                <w:color w:val="auto"/>
              </w:rPr>
            </w:pPr>
          </w:p>
        </w:tc>
        <w:tc>
          <w:tcPr>
            <w:tcW w:w="180" w:type="dxa"/>
            <w:vAlign w:val="bottom"/>
            <w:shd w:val="clear" w:color="auto" w:fill="EAF9E8"/>
          </w:tcPr>
          <w:p>
            <w:pPr>
              <w:spacing w:after="0"/>
              <w:rPr>
                <w:sz w:val="21"/>
                <w:szCs w:val="21"/>
                <w:color w:val="auto"/>
              </w:rPr>
            </w:pPr>
          </w:p>
        </w:tc>
        <w:tc>
          <w:tcPr>
            <w:tcW w:w="380" w:type="dxa"/>
            <w:vAlign w:val="bottom"/>
            <w:shd w:val="clear" w:color="auto" w:fill="EAF9E8"/>
          </w:tcPr>
          <w:p>
            <w:pPr>
              <w:spacing w:after="0"/>
              <w:rPr>
                <w:sz w:val="21"/>
                <w:szCs w:val="21"/>
                <w:color w:val="auto"/>
              </w:rPr>
            </w:pPr>
          </w:p>
        </w:tc>
        <w:tc>
          <w:tcPr>
            <w:tcW w:w="360" w:type="dxa"/>
            <w:vAlign w:val="bottom"/>
            <w:shd w:val="clear" w:color="auto" w:fill="EAF9E8"/>
          </w:tcPr>
          <w:p>
            <w:pPr>
              <w:spacing w:after="0"/>
              <w:rPr>
                <w:sz w:val="21"/>
                <w:szCs w:val="21"/>
                <w:color w:val="auto"/>
              </w:rPr>
            </w:pPr>
          </w:p>
        </w:tc>
        <w:tc>
          <w:tcPr>
            <w:tcW w:w="340" w:type="dxa"/>
            <w:vAlign w:val="bottom"/>
            <w:shd w:val="clear" w:color="auto" w:fill="EAF9E8"/>
          </w:tcPr>
          <w:p>
            <w:pPr>
              <w:spacing w:after="0"/>
              <w:rPr>
                <w:sz w:val="21"/>
                <w:szCs w:val="21"/>
                <w:color w:val="auto"/>
              </w:rPr>
            </w:pPr>
          </w:p>
        </w:tc>
        <w:tc>
          <w:tcPr>
            <w:tcW w:w="180" w:type="dxa"/>
            <w:vAlign w:val="bottom"/>
            <w:shd w:val="clear" w:color="auto" w:fill="EAF9E8"/>
          </w:tcPr>
          <w:p>
            <w:pPr>
              <w:spacing w:after="0"/>
              <w:rPr>
                <w:sz w:val="21"/>
                <w:szCs w:val="21"/>
                <w:color w:val="auto"/>
              </w:rPr>
            </w:pPr>
          </w:p>
        </w:tc>
        <w:tc>
          <w:tcPr>
            <w:tcW w:w="106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2,095</w:t>
            </w:r>
          </w:p>
        </w:tc>
        <w:tc>
          <w:tcPr>
            <w:tcW w:w="20" w:type="dxa"/>
            <w:vAlign w:val="bottom"/>
            <w:shd w:val="clear" w:color="auto" w:fill="EAF9E8"/>
          </w:tcPr>
          <w:p>
            <w:pPr>
              <w:spacing w:after="0"/>
              <w:rPr>
                <w:sz w:val="21"/>
                <w:szCs w:val="21"/>
                <w:color w:val="auto"/>
              </w:rPr>
            </w:pPr>
          </w:p>
        </w:tc>
        <w:tc>
          <w:tcPr>
            <w:tcW w:w="18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580" w:type="dxa"/>
            <w:vAlign w:val="bottom"/>
            <w:shd w:val="clear" w:color="auto" w:fill="EAF9E8"/>
          </w:tcPr>
          <w:p>
            <w:pPr>
              <w:spacing w:after="0"/>
              <w:rPr>
                <w:sz w:val="21"/>
                <w:szCs w:val="21"/>
                <w:color w:val="auto"/>
              </w:rPr>
            </w:pPr>
          </w:p>
        </w:tc>
        <w:tc>
          <w:tcPr>
            <w:tcW w:w="340" w:type="dxa"/>
            <w:vAlign w:val="bottom"/>
            <w:shd w:val="clear" w:color="auto" w:fill="EAF9E8"/>
          </w:tcPr>
          <w:p>
            <w:pPr>
              <w:spacing w:after="0"/>
              <w:rPr>
                <w:sz w:val="21"/>
                <w:szCs w:val="21"/>
                <w:color w:val="auto"/>
              </w:rPr>
            </w:pPr>
          </w:p>
        </w:tc>
        <w:tc>
          <w:tcPr>
            <w:tcW w:w="200" w:type="dxa"/>
            <w:vAlign w:val="bottom"/>
            <w:shd w:val="clear" w:color="auto" w:fill="EAF9E8"/>
          </w:tcPr>
          <w:p>
            <w:pPr>
              <w:spacing w:after="0"/>
              <w:rPr>
                <w:sz w:val="21"/>
                <w:szCs w:val="21"/>
                <w:color w:val="auto"/>
              </w:rPr>
            </w:pPr>
          </w:p>
        </w:tc>
        <w:tc>
          <w:tcPr>
            <w:tcW w:w="860" w:type="dxa"/>
            <w:vAlign w:val="bottom"/>
            <w:gridSpan w:val="3"/>
            <w:shd w:val="clear" w:color="auto" w:fill="EAF9E8"/>
          </w:tcPr>
          <w:p>
            <w:pPr>
              <w:jc w:val="right"/>
              <w:ind w:right="60"/>
              <w:spacing w:after="0"/>
              <w:rPr>
                <w:sz w:val="20"/>
                <w:szCs w:val="20"/>
                <w:color w:val="auto"/>
              </w:rPr>
            </w:pPr>
            <w:r>
              <w:rPr>
                <w:rFonts w:ascii="Arial" w:cs="Arial" w:eastAsia="Arial" w:hAnsi="Arial"/>
                <w:sz w:val="18"/>
                <w:szCs w:val="18"/>
                <w:color w:val="auto"/>
              </w:rPr>
              <w:t>2,216</w:t>
            </w:r>
          </w:p>
        </w:tc>
      </w:tr>
      <w:tr>
        <w:trPr>
          <w:trHeight w:val="241"/>
        </w:trPr>
        <w:tc>
          <w:tcPr>
            <w:tcW w:w="6260" w:type="dxa"/>
            <w:vAlign w:val="bottom"/>
          </w:tcPr>
          <w:p>
            <w:pPr>
              <w:spacing w:after="0"/>
              <w:rPr>
                <w:sz w:val="20"/>
                <w:szCs w:val="20"/>
                <w:color w:val="auto"/>
              </w:rPr>
            </w:pPr>
            <w:r>
              <w:rPr>
                <w:rFonts w:ascii="Arial" w:cs="Arial" w:eastAsia="Arial" w:hAnsi="Arial"/>
                <w:sz w:val="18"/>
                <w:szCs w:val="18"/>
                <w:color w:val="auto"/>
              </w:rPr>
              <w:t>Total mortgage servicing rights at amortized cost</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1,773</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gridSpan w:val="3"/>
          </w:tcPr>
          <w:p>
            <w:pPr>
              <w:jc w:val="right"/>
              <w:ind w:right="60"/>
              <w:spacing w:after="0"/>
              <w:rPr>
                <w:sz w:val="20"/>
                <w:szCs w:val="20"/>
                <w:color w:val="auto"/>
              </w:rPr>
            </w:pPr>
            <w:r>
              <w:rPr>
                <w:rFonts w:ascii="Arial" w:cs="Arial" w:eastAsia="Arial" w:hAnsi="Arial"/>
                <w:sz w:val="18"/>
                <w:szCs w:val="18"/>
                <w:color w:val="auto"/>
              </w:rPr>
              <w:t>2,066</w:t>
            </w:r>
          </w:p>
        </w:tc>
      </w:tr>
    </w:tbl>
    <w:p>
      <w:pPr>
        <w:spacing w:after="0" w:line="250" w:lineRule="exact"/>
        <w:rPr>
          <w:sz w:val="20"/>
          <w:szCs w:val="20"/>
          <w:color w:val="auto"/>
        </w:rPr>
      </w:pPr>
    </w:p>
    <w:p>
      <w:pPr>
        <w:ind w:left="580" w:hanging="572"/>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Non-performing collateral includes loans past due 90 days or more, loans in foreclosure, loans in bankruptcy and foreclosed real estate.</w:t>
      </w:r>
    </w:p>
    <w:p>
      <w:pPr>
        <w:spacing w:after="0" w:line="252" w:lineRule="exact"/>
        <w:rPr>
          <w:rFonts w:ascii="Arial" w:cs="Arial" w:eastAsia="Arial" w:hAnsi="Arial"/>
          <w:sz w:val="18"/>
          <w:szCs w:val="18"/>
          <w:color w:val="auto"/>
        </w:rPr>
      </w:pPr>
    </w:p>
    <w:p>
      <w:pPr>
        <w:ind w:left="580" w:right="380" w:hanging="572"/>
        <w:spacing w:after="0" w:line="370" w:lineRule="auto"/>
        <w:tabs>
          <w:tab w:leader="none" w:pos="580" w:val="left"/>
        </w:tabs>
        <w:numPr>
          <w:ilvl w:val="0"/>
          <w:numId w:val="6"/>
        </w:numPr>
        <w:rPr>
          <w:rFonts w:ascii="Arial" w:cs="Arial" w:eastAsia="Arial" w:hAnsi="Arial"/>
          <w:sz w:val="15"/>
          <w:szCs w:val="15"/>
          <w:color w:val="auto"/>
        </w:rPr>
      </w:pPr>
      <w:r>
        <w:rPr>
          <w:rFonts w:ascii="Arial" w:cs="Arial" w:eastAsia="Arial" w:hAnsi="Arial"/>
          <w:sz w:val="15"/>
          <w:szCs w:val="15"/>
          <w:color w:val="auto"/>
        </w:rPr>
        <w:t>Includes investments in subordinate and residual securities that we retained in connection with the loan securitization transactions completed in prior years (primarily 2006). These retained interests had a fair value of $90 and $167 at September 30, 2009 and December 31, 2008, respectively.</w:t>
      </w:r>
    </w:p>
    <w:p>
      <w:pPr>
        <w:spacing w:after="0" w:line="116" w:lineRule="exact"/>
        <w:rPr>
          <w:sz w:val="20"/>
          <w:szCs w:val="20"/>
          <w:color w:val="auto"/>
        </w:rPr>
      </w:pPr>
    </w:p>
    <w:p>
      <w:pPr>
        <w:ind w:right="120" w:firstLine="436"/>
        <w:spacing w:after="0" w:line="255" w:lineRule="auto"/>
        <w:rPr>
          <w:sz w:val="20"/>
          <w:szCs w:val="20"/>
          <w:color w:val="auto"/>
        </w:rPr>
      </w:pPr>
      <w:r>
        <w:rPr>
          <w:rFonts w:ascii="Arial" w:cs="Arial" w:eastAsia="Arial" w:hAnsi="Arial"/>
          <w:sz w:val="18"/>
          <w:szCs w:val="18"/>
          <w:color w:val="auto"/>
        </w:rPr>
        <w:t>We have no obligation to provide financial support to the trusts and have provided no such support. Our exposure to loss as a result of our continuing involvement in the trusts is limited to the carrying values of our investments in the residual and subordinate securities of the trusts, our mortgage servicing rights that are related to the trusts and our advances to the trusts. We consider the probability of loss arising from our advances to be remote because of their position ahead of most of the other liabilities of the trusts. See Notes 6, 7, 8 and 9 for additional information regarding trading securities, advances, match funded advances and mortgage servicing rights.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Match Funded Advances on Loans Serviced for Others</w:t>
      </w:r>
    </w:p>
    <w:p>
      <w:pPr>
        <w:spacing w:after="0" w:line="225" w:lineRule="exact"/>
        <w:rPr>
          <w:sz w:val="20"/>
          <w:szCs w:val="20"/>
          <w:color w:val="auto"/>
        </w:rPr>
      </w:pPr>
    </w:p>
    <w:p>
      <w:pPr>
        <w:ind w:right="140" w:firstLine="439"/>
        <w:spacing w:after="0" w:line="287" w:lineRule="auto"/>
        <w:rPr>
          <w:sz w:val="20"/>
          <w:szCs w:val="20"/>
          <w:color w:val="auto"/>
        </w:rPr>
      </w:pPr>
      <w:r>
        <w:rPr>
          <w:rFonts w:ascii="Arial" w:cs="Arial" w:eastAsia="Arial" w:hAnsi="Arial"/>
          <w:sz w:val="16"/>
          <w:szCs w:val="16"/>
          <w:color w:val="auto"/>
        </w:rPr>
        <w:t>Match funded advances on loans serviced for others result from our transfers of residential loan servicing advances to special purpose entities (SPEs) in exchange for cash. These four SPEs issue debt supported by collections on the transferred advances. We made these transfers under the terms of four advance facility agreements. These transfers do not qualify for sales accounting because we retain control over the transferred assets. As a result, we account for these transfers as financings and classify the transferred advances on our balance sheet as match funded advances and the related liabilities as match funded liabilities. Collections on the advances pledged to the special purpose entities are used to repay principal and interest and to pay the expenses of the entity. Holders of the debt issued by these entities can look only to the assets of the entities themselves for satisfaction of the debt and have no recourse against OCN. However, OLS has guaranteed the payment by one of the entities, Ocwen Servicer Advance Funding (Wachovia), LLC (OSAFW), of its obligations under the securitization documents. The maximum amount payable under the guarantee is limited to 10% of the notes outstanding at the end of the facility’s revolving period in May 2010. As of September 30, 2009, OSAFW had notes outstanding of $109,668. The following table summarizes the assets and liabilities of the four special purpose entities formed in connection with our match funded advance facilities: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42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w w:val="90"/>
              </w:rPr>
              <w:t>September 30, 2009</w:t>
            </w:r>
          </w:p>
        </w:tc>
        <w:tc>
          <w:tcPr>
            <w:tcW w:w="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December 31, 2008</w:t>
            </w:r>
          </w:p>
        </w:tc>
        <w:tc>
          <w:tcPr>
            <w:tcW w:w="60" w:type="dxa"/>
            <w:vAlign w:val="bottom"/>
          </w:tcPr>
          <w:p>
            <w:pPr>
              <w:spacing w:after="0"/>
              <w:rPr>
                <w:sz w:val="20"/>
                <w:szCs w:val="20"/>
                <w:color w:val="auto"/>
              </w:rPr>
            </w:pPr>
          </w:p>
        </w:tc>
      </w:tr>
      <w:tr>
        <w:trPr>
          <w:trHeight w:val="243"/>
        </w:trPr>
        <w:tc>
          <w:tcPr>
            <w:tcW w:w="4420" w:type="dxa"/>
            <w:vAlign w:val="bottom"/>
            <w:shd w:val="clear" w:color="auto" w:fill="EAF9E8"/>
          </w:tcPr>
          <w:p>
            <w:pPr>
              <w:spacing w:after="0"/>
              <w:rPr>
                <w:sz w:val="20"/>
                <w:szCs w:val="20"/>
                <w:color w:val="auto"/>
              </w:rPr>
            </w:pPr>
            <w:r>
              <w:rPr>
                <w:rFonts w:ascii="Arial" w:cs="Arial" w:eastAsia="Arial" w:hAnsi="Arial"/>
                <w:sz w:val="18"/>
                <w:szCs w:val="18"/>
                <w:color w:val="auto"/>
              </w:rPr>
              <w:t>Total assets</w:t>
            </w:r>
          </w:p>
        </w:tc>
        <w:tc>
          <w:tcPr>
            <w:tcW w:w="290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w:t>
            </w:r>
          </w:p>
        </w:tc>
        <w:tc>
          <w:tcPr>
            <w:tcW w:w="17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922,281</w:t>
            </w:r>
          </w:p>
        </w:tc>
        <w:tc>
          <w:tcPr>
            <w:tcW w:w="50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1,122,404</w:t>
            </w:r>
          </w:p>
        </w:tc>
      </w:tr>
      <w:tr>
        <w:trPr>
          <w:trHeight w:val="242"/>
        </w:trPr>
        <w:tc>
          <w:tcPr>
            <w:tcW w:w="4420" w:type="dxa"/>
            <w:vAlign w:val="bottom"/>
          </w:tcPr>
          <w:p>
            <w:pPr>
              <w:spacing w:after="0"/>
              <w:rPr>
                <w:sz w:val="20"/>
                <w:szCs w:val="20"/>
                <w:color w:val="auto"/>
              </w:rPr>
            </w:pPr>
            <w:r>
              <w:rPr>
                <w:rFonts w:ascii="Arial" w:cs="Arial" w:eastAsia="Arial" w:hAnsi="Arial"/>
                <w:sz w:val="18"/>
                <w:szCs w:val="18"/>
                <w:color w:val="auto"/>
              </w:rPr>
              <w:t>Match funded advances</w:t>
            </w:r>
          </w:p>
        </w:tc>
        <w:tc>
          <w:tcPr>
            <w:tcW w:w="2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879,444</w:t>
            </w: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20" w:type="dxa"/>
            <w:vAlign w:val="bottom"/>
            <w:gridSpan w:val="2"/>
          </w:tcPr>
          <w:p>
            <w:pPr>
              <w:jc w:val="right"/>
              <w:ind w:right="60"/>
              <w:spacing w:after="0"/>
              <w:rPr>
                <w:sz w:val="20"/>
                <w:szCs w:val="20"/>
                <w:color w:val="auto"/>
              </w:rPr>
            </w:pPr>
            <w:r>
              <w:rPr>
                <w:rFonts w:ascii="Arial" w:cs="Arial" w:eastAsia="Arial" w:hAnsi="Arial"/>
                <w:sz w:val="18"/>
                <w:szCs w:val="18"/>
                <w:color w:val="auto"/>
              </w:rPr>
              <w:t>1,100,555</w:t>
            </w:r>
          </w:p>
        </w:tc>
      </w:tr>
      <w:tr>
        <w:trPr>
          <w:trHeight w:val="244"/>
        </w:trPr>
        <w:tc>
          <w:tcPr>
            <w:tcW w:w="4420" w:type="dxa"/>
            <w:vAlign w:val="bottom"/>
            <w:shd w:val="clear" w:color="auto" w:fill="EAF9E8"/>
          </w:tcPr>
          <w:p>
            <w:pPr>
              <w:spacing w:after="0"/>
              <w:rPr>
                <w:sz w:val="20"/>
                <w:szCs w:val="20"/>
                <w:color w:val="auto"/>
              </w:rPr>
            </w:pPr>
            <w:r>
              <w:rPr>
                <w:rFonts w:ascii="Arial" w:cs="Arial" w:eastAsia="Arial" w:hAnsi="Arial"/>
                <w:sz w:val="18"/>
                <w:szCs w:val="18"/>
                <w:color w:val="auto"/>
              </w:rPr>
              <w:t>Total liabilities</w:t>
            </w:r>
          </w:p>
        </w:tc>
        <w:tc>
          <w:tcPr>
            <w:tcW w:w="274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7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596,238</w:t>
            </w:r>
          </w:p>
        </w:tc>
        <w:tc>
          <w:tcPr>
            <w:tcW w:w="34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82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994,244</w:t>
            </w:r>
          </w:p>
        </w:tc>
      </w:tr>
      <w:tr>
        <w:trPr>
          <w:trHeight w:val="241"/>
        </w:trPr>
        <w:tc>
          <w:tcPr>
            <w:tcW w:w="4420" w:type="dxa"/>
            <w:vAlign w:val="bottom"/>
          </w:tcPr>
          <w:p>
            <w:pPr>
              <w:spacing w:after="0"/>
              <w:rPr>
                <w:sz w:val="20"/>
                <w:szCs w:val="20"/>
                <w:color w:val="auto"/>
              </w:rPr>
            </w:pPr>
            <w:r>
              <w:rPr>
                <w:rFonts w:ascii="Arial" w:cs="Arial" w:eastAsia="Arial" w:hAnsi="Arial"/>
                <w:sz w:val="18"/>
                <w:szCs w:val="18"/>
                <w:color w:val="auto"/>
              </w:rPr>
              <w:t>Match funded liabilities</w:t>
            </w:r>
          </w:p>
        </w:tc>
        <w:tc>
          <w:tcPr>
            <w:tcW w:w="2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529,779</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20" w:type="dxa"/>
            <w:vAlign w:val="bottom"/>
            <w:gridSpan w:val="2"/>
          </w:tcPr>
          <w:p>
            <w:pPr>
              <w:jc w:val="right"/>
              <w:ind w:right="60"/>
              <w:spacing w:after="0"/>
              <w:rPr>
                <w:sz w:val="20"/>
                <w:szCs w:val="20"/>
                <w:color w:val="auto"/>
              </w:rPr>
            </w:pPr>
            <w:r>
              <w:rPr>
                <w:rFonts w:ascii="Arial" w:cs="Arial" w:eastAsia="Arial" w:hAnsi="Arial"/>
                <w:sz w:val="18"/>
                <w:szCs w:val="18"/>
                <w:color w:val="auto"/>
              </w:rPr>
              <w:t>961,939</w:t>
            </w: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Variable Interest Entities</w:t>
      </w:r>
    </w:p>
    <w:p>
      <w:pPr>
        <w:spacing w:after="0" w:line="225" w:lineRule="exact"/>
        <w:rPr>
          <w:sz w:val="20"/>
          <w:szCs w:val="20"/>
          <w:color w:val="auto"/>
        </w:rPr>
      </w:pPr>
    </w:p>
    <w:p>
      <w:pPr>
        <w:ind w:right="300" w:firstLine="436"/>
        <w:spacing w:after="0" w:line="259" w:lineRule="auto"/>
        <w:rPr>
          <w:sz w:val="20"/>
          <w:szCs w:val="20"/>
          <w:color w:val="auto"/>
        </w:rPr>
      </w:pPr>
      <w:r>
        <w:rPr>
          <w:rFonts w:ascii="Arial" w:cs="Arial" w:eastAsia="Arial" w:hAnsi="Arial"/>
          <w:sz w:val="18"/>
          <w:szCs w:val="18"/>
          <w:color w:val="auto"/>
        </w:rPr>
        <w:t>We evaluate each SPE for classification as a QSPE. We do not consolidate QSPEs in our financial statements. Where we determine that an SPE is not classified as a QSPE, we further evaluate it for classification as a variable interest entity (VIE). When an SPE meets the definition of a VIE, and we determine that OCN is the primary beneficiary, we include the SPE in our consolidated financial statements.</w:t>
      </w:r>
    </w:p>
    <w:p>
      <w:pPr>
        <w:spacing w:after="0" w:line="194" w:lineRule="exact"/>
        <w:rPr>
          <w:sz w:val="20"/>
          <w:szCs w:val="20"/>
          <w:color w:val="auto"/>
        </w:rPr>
      </w:pPr>
    </w:p>
    <w:p>
      <w:pPr>
        <w:ind w:right="60" w:firstLine="436"/>
        <w:spacing w:after="0" w:line="332" w:lineRule="auto"/>
        <w:rPr>
          <w:sz w:val="20"/>
          <w:szCs w:val="20"/>
          <w:color w:val="auto"/>
        </w:rPr>
      </w:pPr>
      <w:r>
        <w:rPr>
          <w:rFonts w:ascii="Arial" w:cs="Arial" w:eastAsia="Arial" w:hAnsi="Arial"/>
          <w:sz w:val="16"/>
          <w:szCs w:val="16"/>
          <w:color w:val="auto"/>
        </w:rPr>
        <w:t>We have determined that the special purpose entities created in connection with the match funded financing facilities that are discussed above are VIEs and that we are the primary beneficiary of those VIEs. The accounts of those special purpose entities are included in our consolidated financial statements.</w:t>
      </w:r>
    </w:p>
    <w:p>
      <w:pPr>
        <w:spacing w:after="0" w:line="139" w:lineRule="exact"/>
        <w:rPr>
          <w:sz w:val="20"/>
          <w:szCs w:val="20"/>
          <w:color w:val="auto"/>
        </w:rPr>
      </w:pPr>
    </w:p>
    <w:p>
      <w:pPr>
        <w:ind w:right="260" w:firstLine="436"/>
        <w:spacing w:after="0" w:line="332" w:lineRule="auto"/>
        <w:rPr>
          <w:sz w:val="20"/>
          <w:szCs w:val="20"/>
          <w:color w:val="auto"/>
        </w:rPr>
      </w:pPr>
      <w:r>
        <w:rPr>
          <w:rFonts w:ascii="Arial" w:cs="Arial" w:eastAsia="Arial" w:hAnsi="Arial"/>
          <w:sz w:val="16"/>
          <w:szCs w:val="16"/>
          <w:color w:val="auto"/>
        </w:rPr>
        <w:t>We apply the equity method of accounting to investments in which we have less than 50% of the voting securities, yet we are able to exercise significant influence over the policies and procedures of the entity. We have eliminated all material intercompany accounts and transactions in consolidation.</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Mortgage Servicing Fees and Advances</w:t>
      </w:r>
    </w:p>
    <w:p>
      <w:pPr>
        <w:spacing w:after="0" w:line="231" w:lineRule="exact"/>
        <w:rPr>
          <w:sz w:val="20"/>
          <w:szCs w:val="20"/>
          <w:color w:val="auto"/>
        </w:rPr>
      </w:pPr>
    </w:p>
    <w:p>
      <w:pPr>
        <w:ind w:right="100" w:firstLine="436"/>
        <w:spacing w:after="0" w:line="259" w:lineRule="auto"/>
        <w:rPr>
          <w:sz w:val="20"/>
          <w:szCs w:val="20"/>
          <w:color w:val="auto"/>
        </w:rPr>
      </w:pPr>
      <w:r>
        <w:rPr>
          <w:rFonts w:ascii="Arial" w:cs="Arial" w:eastAsia="Arial" w:hAnsi="Arial"/>
          <w:sz w:val="18"/>
          <w:szCs w:val="18"/>
          <w:color w:val="auto"/>
        </w:rPr>
        <w:t>We earn fees for servicing mortgage loans. We collect servicing fees, generally expressed as a percent of unpaid principal balance, from the borrowers’ payments. We also include late fees, prepayment penalties, float earnings and other ancillary fees in servicing income. We recognize servicing fees when the fees are earned which is generally when the borrowers’ payments are collected.</w:t>
      </w:r>
    </w:p>
    <w:p>
      <w:pPr>
        <w:spacing w:after="0" w:line="194" w:lineRule="exact"/>
        <w:rPr>
          <w:sz w:val="20"/>
          <w:szCs w:val="20"/>
          <w:color w:val="auto"/>
        </w:rPr>
      </w:pPr>
    </w:p>
    <w:p>
      <w:pPr>
        <w:ind w:right="440" w:firstLine="439"/>
        <w:spacing w:after="0" w:line="298" w:lineRule="auto"/>
        <w:rPr>
          <w:sz w:val="20"/>
          <w:szCs w:val="20"/>
          <w:color w:val="auto"/>
        </w:rPr>
      </w:pPr>
      <w:r>
        <w:rPr>
          <w:rFonts w:ascii="Arial" w:cs="Arial" w:eastAsia="Arial" w:hAnsi="Arial"/>
          <w:sz w:val="16"/>
          <w:szCs w:val="16"/>
          <w:color w:val="auto"/>
        </w:rPr>
        <w:t>During any period in which the borrower does not make payments, most of our servicing agreements require that we advance our own funds to meet contractual principal and interest remittance requirements for the investors, pay property taxes and insurance premiums and process foreclosures. We also advance funds to maintain, repair and market foreclosed real estate properties on behalf of investors. These advances are made pursuant to the terms of each servicing contract. Each servicing contract is associated with specific loans, identified as a pool.</w:t>
      </w:r>
    </w:p>
    <w:p>
      <w:pPr>
        <w:spacing w:after="0" w:line="167" w:lineRule="exact"/>
        <w:rPr>
          <w:sz w:val="20"/>
          <w:szCs w:val="20"/>
          <w:color w:val="auto"/>
        </w:rPr>
      </w:pPr>
    </w:p>
    <w:p>
      <w:pPr>
        <w:ind w:right="100" w:firstLine="436"/>
        <w:spacing w:after="0" w:line="294" w:lineRule="auto"/>
        <w:rPr>
          <w:sz w:val="20"/>
          <w:szCs w:val="20"/>
          <w:color w:val="auto"/>
        </w:rPr>
      </w:pPr>
      <w:r>
        <w:rPr>
          <w:rFonts w:ascii="Arial" w:cs="Arial" w:eastAsia="Arial" w:hAnsi="Arial"/>
          <w:sz w:val="16"/>
          <w:szCs w:val="16"/>
          <w:color w:val="auto"/>
        </w:rPr>
        <w:t>When we make an advance on a loan under each servicing contract, we are entitled to recover that advance from either the borrower, for reinstated and performing loans, or from investors, for foreclosed loans. Most of our servicing contracts provide that the advances made under the respective agreement have priority over all other cash payments from the proceeds of the loan, and in the majority of cases, the proceeds of the pool of loans, which are the subject of that servicing contract. As a result, we are entitled to repayment from loan proceeds before any interest or principal is paid on the bonds, and in the majority of cases, advances in excess of loan proceeds may be recovered from pool level proceeds.</w:t>
      </w:r>
    </w:p>
    <w:p>
      <w:pPr>
        <w:spacing w:after="0" w:line="170" w:lineRule="exact"/>
        <w:rPr>
          <w:sz w:val="20"/>
          <w:szCs w:val="20"/>
          <w:color w:val="auto"/>
        </w:rPr>
      </w:pPr>
    </w:p>
    <w:p>
      <w:pPr>
        <w:ind w:right="180" w:firstLine="436"/>
        <w:spacing w:after="0" w:line="254" w:lineRule="auto"/>
        <w:rPr>
          <w:sz w:val="20"/>
          <w:szCs w:val="20"/>
          <w:color w:val="auto"/>
        </w:rPr>
      </w:pPr>
      <w:r>
        <w:rPr>
          <w:rFonts w:ascii="Arial" w:cs="Arial" w:eastAsia="Arial" w:hAnsi="Arial"/>
          <w:sz w:val="18"/>
          <w:szCs w:val="18"/>
          <w:color w:val="auto"/>
        </w:rPr>
        <w:t>We record a charge to earnings to the extent that advances are uncollectible under the provisions of each servicing contract taking into consideration historical loss and delinquency experience, length of delinquency and the amount of the advance. However, we are generally only obligated to advance funds to the extent that we believe the advances are recoverable from expected proceeds from the loan. We assess collectibility using proprietary cash flow projection models which incorporate a number of different factors, depending on the characteristics of the mortgage loan or pool, including, for example, time to a foreclosure sale, estimated costs of foreclosure action, future property tax payments and the value of the underlying property net of carrying costs, commissions and closing costs.</w:t>
      </w:r>
    </w:p>
    <w:p>
      <w:pPr>
        <w:spacing w:after="0" w:line="206"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5"/>
          <w:szCs w:val="15"/>
          <w:b w:val="1"/>
          <w:bCs w:val="1"/>
          <w:color w:val="auto"/>
        </w:rPr>
        <w:t>Altisource (formerly Ocwen Solutions) Separation Transaction</w:t>
      </w:r>
    </w:p>
    <w:p>
      <w:pPr>
        <w:spacing w:after="0" w:line="231" w:lineRule="exact"/>
        <w:rPr>
          <w:sz w:val="20"/>
          <w:szCs w:val="20"/>
          <w:color w:val="auto"/>
        </w:rPr>
      </w:pPr>
    </w:p>
    <w:p>
      <w:pPr>
        <w:ind w:right="80" w:firstLine="439"/>
        <w:spacing w:after="0" w:line="298" w:lineRule="auto"/>
        <w:rPr>
          <w:sz w:val="20"/>
          <w:szCs w:val="20"/>
          <w:color w:val="auto"/>
        </w:rPr>
      </w:pPr>
      <w:r>
        <w:rPr>
          <w:rFonts w:ascii="Arial" w:cs="Arial" w:eastAsia="Arial" w:hAnsi="Arial"/>
          <w:sz w:val="16"/>
          <w:szCs w:val="16"/>
          <w:color w:val="auto"/>
        </w:rPr>
        <w:t>On August 10, 2009, we completed the separation of Altisource by distributing all of the shares of Altisource common stock to OCN’s shareholders of record as of August 4, 2009 (the Separation). Altisource consists of the operations of our former Ocwen Solutions line of business and related assets comprising the Mortgage Services, Financial Services and Technology Products segments except for BMS Holdings and GSS. OCN shareholders received a tax-free pro rata distribution of one share of Altisource common stock for every three shares of OCN common stock held and received cash in lieu of fractional shares.</w:t>
      </w:r>
    </w:p>
    <w:p>
      <w:pPr>
        <w:spacing w:after="0" w:line="167" w:lineRule="exact"/>
        <w:rPr>
          <w:sz w:val="20"/>
          <w:szCs w:val="20"/>
          <w:color w:val="auto"/>
        </w:rPr>
      </w:pPr>
    </w:p>
    <w:p>
      <w:pPr>
        <w:ind w:right="100" w:firstLine="429"/>
        <w:spacing w:after="0" w:line="256" w:lineRule="auto"/>
        <w:rPr>
          <w:sz w:val="20"/>
          <w:szCs w:val="20"/>
          <w:color w:val="auto"/>
        </w:rPr>
      </w:pPr>
      <w:r>
        <w:rPr>
          <w:rFonts w:ascii="Arial" w:cs="Arial" w:eastAsia="Arial" w:hAnsi="Arial"/>
          <w:sz w:val="18"/>
          <w:szCs w:val="18"/>
          <w:color w:val="auto"/>
        </w:rPr>
        <w:t>As a consequence of the Separation and related transactions, Ocwen will incur income taxes to the extent that the fair market value of Altisource assets exceeded Ocwen’s tax basis in such assets in accordance with Section 367 of the Internal Revenue Code. Ocwen has recognized $50,631 of income tax expense, of which $26,371 is current expense and $24,260 is deferred expense. Additional disclosure of the impact of the Separation on our deferred tax assets is included in Note 19.</w:t>
      </w:r>
    </w:p>
    <w:p>
      <w:pPr>
        <w:spacing w:after="0" w:line="197" w:lineRule="exact"/>
        <w:rPr>
          <w:sz w:val="20"/>
          <w:szCs w:val="20"/>
          <w:color w:val="auto"/>
        </w:rPr>
      </w:pPr>
    </w:p>
    <w:p>
      <w:pPr>
        <w:ind w:right="180" w:firstLine="439"/>
        <w:spacing w:after="0" w:line="255" w:lineRule="auto"/>
        <w:rPr>
          <w:sz w:val="20"/>
          <w:szCs w:val="20"/>
          <w:color w:val="auto"/>
        </w:rPr>
      </w:pPr>
      <w:r>
        <w:rPr>
          <w:rFonts w:ascii="Arial" w:cs="Arial" w:eastAsia="Arial" w:hAnsi="Arial"/>
          <w:sz w:val="18"/>
          <w:szCs w:val="18"/>
          <w:color w:val="auto"/>
        </w:rPr>
        <w:t>For accounting purposes, we eliminated the assets and liabilities of Altisource from our consolidated balance sheet effective at the close of business on August 9, 2009. Beginning August 10, 2009, the operating results of Altisource are no longer included in our operating results. We do not report the historical operating results of Altisource as a discontinued operation because of the significance of the continuing involvement between Altisource and OCN under the long-term services agreements described in Note 23. Accordingly, for periods prior to August 10, 2009, the historical operating results of Altisource continue to be included in continuing operations.</w:t>
      </w:r>
    </w:p>
    <w:p>
      <w:pPr>
        <w:spacing w:after="0" w:line="197" w:lineRule="exact"/>
        <w:rPr>
          <w:sz w:val="20"/>
          <w:szCs w:val="20"/>
          <w:color w:val="auto"/>
        </w:rPr>
      </w:pPr>
    </w:p>
    <w:p>
      <w:pPr>
        <w:ind w:right="700" w:firstLine="439"/>
        <w:spacing w:after="0" w:line="268" w:lineRule="auto"/>
        <w:rPr>
          <w:sz w:val="20"/>
          <w:szCs w:val="20"/>
          <w:color w:val="auto"/>
        </w:rPr>
      </w:pPr>
      <w:r>
        <w:rPr>
          <w:rFonts w:ascii="Arial" w:cs="Arial" w:eastAsia="Arial" w:hAnsi="Arial"/>
          <w:sz w:val="18"/>
          <w:szCs w:val="18"/>
          <w:color w:val="auto"/>
        </w:rPr>
        <w:t>In connection with the Separation, we recognized $520 and $3,501 of advisory expenses for the three and nine months ended September 30, 2009, respectively.</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0280" w:type="dxa"/>
            <w:vAlign w:val="bottom"/>
          </w:tcPr>
          <w:p>
            <w:pPr>
              <w:ind w:left="440"/>
              <w:spacing w:after="0"/>
              <w:rPr>
                <w:sz w:val="20"/>
                <w:szCs w:val="20"/>
                <w:color w:val="auto"/>
              </w:rPr>
            </w:pPr>
            <w:r>
              <w:rPr>
                <w:rFonts w:ascii="Arial" w:cs="Arial" w:eastAsia="Arial" w:hAnsi="Arial"/>
                <w:sz w:val="18"/>
                <w:szCs w:val="18"/>
                <w:color w:val="auto"/>
              </w:rPr>
              <w:t>A summary of the carrying values of the net assets that we transferred to Altisource in the Separation is as follows:</w:t>
            </w: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10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0280" w:type="dxa"/>
            <w:vAlign w:val="bottom"/>
            <w:shd w:val="clear" w:color="auto" w:fill="EAF9E8"/>
          </w:tcPr>
          <w:p>
            <w:pPr>
              <w:spacing w:after="0"/>
              <w:rPr>
                <w:sz w:val="20"/>
                <w:szCs w:val="20"/>
                <w:color w:val="auto"/>
              </w:rPr>
            </w:pPr>
            <w:r>
              <w:rPr>
                <w:rFonts w:ascii="Arial" w:cs="Arial" w:eastAsia="Arial" w:hAnsi="Arial"/>
                <w:sz w:val="18"/>
                <w:szCs w:val="18"/>
                <w:color w:val="auto"/>
              </w:rPr>
              <w:t>Assets:</w:t>
            </w:r>
          </w:p>
        </w:tc>
        <w:tc>
          <w:tcPr>
            <w:tcW w:w="300" w:type="dxa"/>
            <w:vAlign w:val="bottom"/>
            <w:shd w:val="clear" w:color="auto" w:fill="EAF9E8"/>
          </w:tcPr>
          <w:p>
            <w:pPr>
              <w:spacing w:after="0"/>
              <w:rPr>
                <w:sz w:val="21"/>
                <w:szCs w:val="21"/>
                <w:color w:val="auto"/>
              </w:rPr>
            </w:pPr>
          </w:p>
        </w:tc>
        <w:tc>
          <w:tcPr>
            <w:tcW w:w="72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10280" w:type="dxa"/>
            <w:vAlign w:val="bottom"/>
          </w:tcPr>
          <w:p>
            <w:pPr>
              <w:ind w:left="160"/>
              <w:spacing w:after="0"/>
              <w:rPr>
                <w:sz w:val="20"/>
                <w:szCs w:val="20"/>
                <w:color w:val="auto"/>
              </w:rPr>
            </w:pPr>
            <w:r>
              <w:rPr>
                <w:rFonts w:ascii="Arial" w:cs="Arial" w:eastAsia="Arial" w:hAnsi="Arial"/>
                <w:sz w:val="18"/>
                <w:szCs w:val="18"/>
                <w:color w:val="auto"/>
              </w:rPr>
              <w:t>Cash</w:t>
            </w:r>
          </w:p>
        </w:tc>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20,028</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102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Receivables</w:t>
            </w:r>
          </w:p>
        </w:tc>
        <w:tc>
          <w:tcPr>
            <w:tcW w:w="300" w:type="dxa"/>
            <w:vAlign w:val="bottom"/>
            <w:shd w:val="clear" w:color="auto" w:fill="EAF9E8"/>
          </w:tcPr>
          <w:p>
            <w:pPr>
              <w:spacing w:after="0"/>
              <w:rPr>
                <w:sz w:val="21"/>
                <w:szCs w:val="21"/>
                <w:color w:val="auto"/>
              </w:rPr>
            </w:pPr>
          </w:p>
        </w:tc>
        <w:tc>
          <w:tcPr>
            <w:tcW w:w="7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13,592</w:t>
            </w: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10280" w:type="dxa"/>
            <w:vAlign w:val="bottom"/>
          </w:tcPr>
          <w:p>
            <w:pPr>
              <w:ind w:left="160"/>
              <w:spacing w:after="0"/>
              <w:rPr>
                <w:sz w:val="20"/>
                <w:szCs w:val="20"/>
                <w:color w:val="auto"/>
              </w:rPr>
            </w:pPr>
            <w:r>
              <w:rPr>
                <w:rFonts w:ascii="Arial" w:cs="Arial" w:eastAsia="Arial" w:hAnsi="Arial"/>
                <w:sz w:val="18"/>
                <w:szCs w:val="18"/>
                <w:color w:val="auto"/>
              </w:rPr>
              <w:t>Goodwill and intangibles, net</w:t>
            </w:r>
          </w:p>
        </w:tc>
        <w:tc>
          <w:tcPr>
            <w:tcW w:w="3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45,794</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102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Premises and equipment, net</w:t>
            </w:r>
          </w:p>
        </w:tc>
        <w:tc>
          <w:tcPr>
            <w:tcW w:w="300" w:type="dxa"/>
            <w:vAlign w:val="bottom"/>
            <w:shd w:val="clear" w:color="auto" w:fill="EAF9E8"/>
          </w:tcPr>
          <w:p>
            <w:pPr>
              <w:spacing w:after="0"/>
              <w:rPr>
                <w:sz w:val="21"/>
                <w:szCs w:val="21"/>
                <w:color w:val="auto"/>
              </w:rPr>
            </w:pPr>
          </w:p>
        </w:tc>
        <w:tc>
          <w:tcPr>
            <w:tcW w:w="7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8,615</w:t>
            </w: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0280" w:type="dxa"/>
            <w:vAlign w:val="bottom"/>
          </w:tcPr>
          <w:p>
            <w:pPr>
              <w:ind w:left="160"/>
              <w:spacing w:after="0"/>
              <w:rPr>
                <w:sz w:val="20"/>
                <w:szCs w:val="20"/>
                <w:color w:val="auto"/>
              </w:rPr>
            </w:pPr>
            <w:r>
              <w:rPr>
                <w:rFonts w:ascii="Arial" w:cs="Arial" w:eastAsia="Arial" w:hAnsi="Arial"/>
                <w:sz w:val="18"/>
                <w:szCs w:val="18"/>
                <w:color w:val="auto"/>
              </w:rPr>
              <w:t>Other assets</w:t>
            </w:r>
          </w:p>
        </w:tc>
        <w:tc>
          <w:tcPr>
            <w:tcW w:w="3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2,179</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280" w:type="dxa"/>
            <w:vAlign w:val="bottom"/>
            <w:shd w:val="clear" w:color="auto" w:fill="EAF9E8"/>
          </w:tcPr>
          <w:p>
            <w:pPr>
              <w:spacing w:after="0"/>
              <w:rPr>
                <w:sz w:val="21"/>
                <w:szCs w:val="21"/>
                <w:color w:val="auto"/>
              </w:rPr>
            </w:pPr>
          </w:p>
        </w:tc>
        <w:tc>
          <w:tcPr>
            <w:tcW w:w="300" w:type="dxa"/>
            <w:vAlign w:val="bottom"/>
            <w:shd w:val="clear" w:color="auto" w:fill="EAF9E8"/>
          </w:tcPr>
          <w:p>
            <w:pPr>
              <w:spacing w:after="0"/>
              <w:rPr>
                <w:sz w:val="21"/>
                <w:szCs w:val="21"/>
                <w:color w:val="auto"/>
              </w:rPr>
            </w:pPr>
          </w:p>
        </w:tc>
        <w:tc>
          <w:tcPr>
            <w:tcW w:w="7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90,208</w:t>
            </w: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280" w:type="dxa"/>
            <w:vAlign w:val="bottom"/>
            <w:vMerge w:val="restart"/>
          </w:tcPr>
          <w:p>
            <w:pPr>
              <w:spacing w:after="0"/>
              <w:rPr>
                <w:sz w:val="20"/>
                <w:szCs w:val="20"/>
                <w:color w:val="auto"/>
              </w:rPr>
            </w:pPr>
            <w:r>
              <w:rPr>
                <w:rFonts w:ascii="Arial" w:cs="Arial" w:eastAsia="Arial" w:hAnsi="Arial"/>
                <w:sz w:val="18"/>
                <w:szCs w:val="18"/>
                <w:color w:val="auto"/>
              </w:rPr>
              <w:t>Liabilities</w:t>
            </w: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1028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102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Deferred tax liability</w:t>
            </w:r>
          </w:p>
        </w:tc>
        <w:tc>
          <w:tcPr>
            <w:tcW w:w="300" w:type="dxa"/>
            <w:vAlign w:val="bottom"/>
            <w:shd w:val="clear" w:color="auto" w:fill="EAF9E8"/>
          </w:tcPr>
          <w:p>
            <w:pPr>
              <w:spacing w:after="0"/>
              <w:rPr>
                <w:sz w:val="21"/>
                <w:szCs w:val="21"/>
                <w:color w:val="auto"/>
              </w:rPr>
            </w:pPr>
          </w:p>
        </w:tc>
        <w:tc>
          <w:tcPr>
            <w:tcW w:w="7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2,473</w:t>
            </w: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0280" w:type="dxa"/>
            <w:vAlign w:val="bottom"/>
          </w:tcPr>
          <w:p>
            <w:pPr>
              <w:ind w:left="160"/>
              <w:spacing w:after="0"/>
              <w:rPr>
                <w:sz w:val="20"/>
                <w:szCs w:val="20"/>
                <w:color w:val="auto"/>
              </w:rPr>
            </w:pPr>
            <w:r>
              <w:rPr>
                <w:rFonts w:ascii="Arial" w:cs="Arial" w:eastAsia="Arial" w:hAnsi="Arial"/>
                <w:sz w:val="18"/>
                <w:szCs w:val="18"/>
                <w:color w:val="auto"/>
              </w:rPr>
              <w:t>Accrued expenses and other liabilities</w:t>
            </w:r>
          </w:p>
        </w:tc>
        <w:tc>
          <w:tcPr>
            <w:tcW w:w="3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16,287</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280" w:type="dxa"/>
            <w:vAlign w:val="bottom"/>
            <w:shd w:val="clear" w:color="auto" w:fill="EAF9E8"/>
          </w:tcPr>
          <w:p>
            <w:pPr>
              <w:spacing w:after="0"/>
              <w:rPr>
                <w:sz w:val="21"/>
                <w:szCs w:val="21"/>
                <w:color w:val="auto"/>
              </w:rPr>
            </w:pPr>
          </w:p>
        </w:tc>
        <w:tc>
          <w:tcPr>
            <w:tcW w:w="300" w:type="dxa"/>
            <w:vAlign w:val="bottom"/>
            <w:shd w:val="clear" w:color="auto" w:fill="EAF9E8"/>
          </w:tcPr>
          <w:p>
            <w:pPr>
              <w:spacing w:after="0"/>
              <w:rPr>
                <w:sz w:val="21"/>
                <w:szCs w:val="21"/>
                <w:color w:val="auto"/>
              </w:rPr>
            </w:pPr>
          </w:p>
        </w:tc>
        <w:tc>
          <w:tcPr>
            <w:tcW w:w="7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18,760</w:t>
            </w: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10280" w:type="dxa"/>
            <w:vAlign w:val="bottom"/>
          </w:tcPr>
          <w:p>
            <w:pPr>
              <w:spacing w:after="0"/>
              <w:rPr>
                <w:sz w:val="20"/>
                <w:szCs w:val="20"/>
                <w:color w:val="auto"/>
              </w:rPr>
            </w:pPr>
            <w:r>
              <w:rPr>
                <w:rFonts w:ascii="Arial" w:cs="Arial" w:eastAsia="Arial" w:hAnsi="Arial"/>
                <w:sz w:val="18"/>
                <w:szCs w:val="18"/>
                <w:color w:val="auto"/>
              </w:rPr>
              <w:t>Reduction in Additional paid-in capital</w:t>
            </w:r>
          </w:p>
        </w:tc>
        <w:tc>
          <w:tcPr>
            <w:tcW w:w="30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71,448</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13" w:name="page14"/>
    <w:bookmarkEnd w:id="13"/>
    <w:p>
      <w:pPr>
        <w:jc w:val="both"/>
        <w:ind w:right="20" w:firstLine="439"/>
        <w:spacing w:after="0" w:line="259" w:lineRule="auto"/>
        <w:rPr>
          <w:sz w:val="20"/>
          <w:szCs w:val="20"/>
          <w:color w:val="auto"/>
        </w:rPr>
      </w:pPr>
      <w:r>
        <w:rPr>
          <w:rFonts w:ascii="Arial" w:cs="Arial" w:eastAsia="Arial" w:hAnsi="Arial"/>
          <w:sz w:val="18"/>
          <w:szCs w:val="18"/>
          <w:color w:val="auto"/>
        </w:rPr>
        <w:t>OCN stock options outstanding under Ocwen’s various equity compensation plans have been adjusted to reflect the value of Altisource stock distributed to OCN shareholders. At the date of the Separation, all holders of OCN stock awards, including Altisource employees and those who remained with Ocwen after the Separation, received the following:</w:t>
      </w:r>
    </w:p>
    <w:p>
      <w:pPr>
        <w:spacing w:after="0" w:line="208" w:lineRule="exact"/>
        <w:rPr>
          <w:sz w:val="20"/>
          <w:szCs w:val="20"/>
          <w:color w:val="auto"/>
        </w:rPr>
      </w:pPr>
    </w:p>
    <w:p>
      <w:pPr>
        <w:ind w:left="1160" w:right="100" w:hanging="571"/>
        <w:spacing w:after="0" w:line="259" w:lineRule="auto"/>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New Altisource stock options (issued by Altisource) to acquire the number of shares of Altisource common stock equal to the product of (a) the number of OCN stock options held on the date of the Separation and (b) the distribution ratio of one share of Altisource common stock for every three shares of OCN common stock; and</w:t>
      </w:r>
    </w:p>
    <w:p>
      <w:pPr>
        <w:spacing w:after="0" w:line="221" w:lineRule="exact"/>
        <w:rPr>
          <w:rFonts w:ascii="Arial" w:cs="Arial" w:eastAsia="Arial" w:hAnsi="Arial"/>
          <w:sz w:val="18"/>
          <w:szCs w:val="18"/>
          <w:color w:val="auto"/>
        </w:rPr>
      </w:pPr>
    </w:p>
    <w:p>
      <w:pPr>
        <w:ind w:left="1160" w:hanging="571"/>
        <w:spacing w:after="0"/>
        <w:tabs>
          <w:tab w:leader="none" w:pos="1160" w:val="left"/>
        </w:tabs>
        <w:numPr>
          <w:ilvl w:val="0"/>
          <w:numId w:val="7"/>
        </w:numPr>
        <w:rPr>
          <w:rFonts w:ascii="Arial" w:cs="Arial" w:eastAsia="Arial" w:hAnsi="Arial"/>
          <w:sz w:val="16"/>
          <w:szCs w:val="16"/>
          <w:color w:val="auto"/>
        </w:rPr>
      </w:pPr>
      <w:r>
        <w:rPr>
          <w:rFonts w:ascii="Arial" w:cs="Arial" w:eastAsia="Arial" w:hAnsi="Arial"/>
          <w:sz w:val="16"/>
          <w:szCs w:val="16"/>
          <w:color w:val="auto"/>
        </w:rPr>
        <w:t>Adjusted OCN stock options for the same number of shares of OCN common stock with a reduced exercise price per stock option.</w:t>
      </w:r>
    </w:p>
    <w:p>
      <w:pPr>
        <w:spacing w:after="0" w:line="275" w:lineRule="exact"/>
        <w:rPr>
          <w:sz w:val="20"/>
          <w:szCs w:val="20"/>
          <w:color w:val="auto"/>
        </w:rPr>
      </w:pPr>
    </w:p>
    <w:p>
      <w:pPr>
        <w:ind w:right="100" w:firstLine="436"/>
        <w:spacing w:after="0" w:line="255" w:lineRule="auto"/>
        <w:rPr>
          <w:sz w:val="20"/>
          <w:szCs w:val="20"/>
          <w:color w:val="auto"/>
        </w:rPr>
      </w:pPr>
      <w:r>
        <w:rPr>
          <w:rFonts w:ascii="Arial" w:cs="Arial" w:eastAsia="Arial" w:hAnsi="Arial"/>
          <w:sz w:val="18"/>
          <w:szCs w:val="18"/>
          <w:color w:val="auto"/>
        </w:rPr>
        <w:t>We determined the exercise price of the new Altisource options and the adjusted OCN options based on the exercise price ratio. We calculated the exercise price ratio for each individual stock option based on the ratio of the grant-date exercise price of the individual stock option to the trading value of the OCN stock immediately prior to the Separation. We then applied this exercise price ratio to the trading value of the OCN stock and the Altisource stock on the date the Altisource stock began regular-way trading on the NASDAQ market to determine the exercise price of the new Altisource stock option and the adjusted OCN stock option.</w:t>
      </w:r>
    </w:p>
    <w:p>
      <w:pPr>
        <w:spacing w:after="0" w:line="197" w:lineRule="exact"/>
        <w:rPr>
          <w:sz w:val="20"/>
          <w:szCs w:val="20"/>
          <w:color w:val="auto"/>
        </w:rPr>
      </w:pPr>
    </w:p>
    <w:p>
      <w:pPr>
        <w:ind w:right="360" w:firstLine="439"/>
        <w:spacing w:after="0" w:line="268" w:lineRule="auto"/>
        <w:rPr>
          <w:sz w:val="20"/>
          <w:szCs w:val="20"/>
          <w:color w:val="auto"/>
        </w:rPr>
      </w:pPr>
      <w:r>
        <w:rPr>
          <w:rFonts w:ascii="Arial" w:cs="Arial" w:eastAsia="Arial" w:hAnsi="Arial"/>
          <w:sz w:val="18"/>
          <w:szCs w:val="18"/>
          <w:color w:val="auto"/>
        </w:rPr>
        <w:t>Similarly, each holder of OCN restricted stock retained his or her unvested shares and received one unvested Altisource restricted stock share for every three OCN unvested shares held.</w:t>
      </w:r>
    </w:p>
    <w:p>
      <w:pPr>
        <w:spacing w:after="0" w:line="186" w:lineRule="exact"/>
        <w:rPr>
          <w:sz w:val="20"/>
          <w:szCs w:val="20"/>
          <w:color w:val="auto"/>
        </w:rPr>
      </w:pPr>
    </w:p>
    <w:p>
      <w:pPr>
        <w:ind w:right="100" w:firstLine="439"/>
        <w:spacing w:after="0" w:line="268" w:lineRule="auto"/>
        <w:rPr>
          <w:sz w:val="20"/>
          <w:szCs w:val="20"/>
          <w:color w:val="auto"/>
        </w:rPr>
      </w:pPr>
      <w:r>
        <w:rPr>
          <w:rFonts w:ascii="Arial" w:cs="Arial" w:eastAsia="Arial" w:hAnsi="Arial"/>
          <w:sz w:val="18"/>
          <w:szCs w:val="18"/>
          <w:color w:val="auto"/>
        </w:rPr>
        <w:t>Consequently, the fair value of the adjusted OCN stock award and the new Altisource stock award immediately following the Separation was equivalent to the fair value of such OCN stock award immediately prior to the Separation.</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400" w:type="dxa"/>
            <w:vAlign w:val="bottom"/>
          </w:tcPr>
          <w:p>
            <w:pPr>
              <w:ind w:left="440"/>
              <w:spacing w:after="0"/>
              <w:rPr>
                <w:sz w:val="20"/>
                <w:szCs w:val="20"/>
                <w:color w:val="auto"/>
              </w:rPr>
            </w:pPr>
            <w:r>
              <w:rPr>
                <w:rFonts w:ascii="Arial" w:cs="Arial" w:eastAsia="Arial" w:hAnsi="Arial"/>
                <w:sz w:val="18"/>
                <w:szCs w:val="18"/>
                <w:color w:val="auto"/>
                <w:w w:val="99"/>
              </w:rPr>
              <w:t>As of September 30, 2009, the following OCN stock incentive awards were outstanding:</w:t>
            </w:r>
          </w:p>
        </w:tc>
        <w:tc>
          <w:tcPr>
            <w:tcW w:w="1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433"/>
        </w:trPr>
        <w:tc>
          <w:tcPr>
            <w:tcW w:w="74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80" w:type="dxa"/>
            <w:vAlign w:val="bottom"/>
          </w:tcPr>
          <w:p>
            <w:pPr>
              <w:jc w:val="right"/>
              <w:ind w:right="292"/>
              <w:spacing w:after="0"/>
              <w:rPr>
                <w:sz w:val="20"/>
                <w:szCs w:val="20"/>
                <w:color w:val="auto"/>
              </w:rPr>
            </w:pPr>
            <w:r>
              <w:rPr>
                <w:rFonts w:ascii="Arial" w:cs="Arial" w:eastAsia="Arial" w:hAnsi="Arial"/>
                <w:sz w:val="18"/>
                <w:szCs w:val="18"/>
                <w:b w:val="1"/>
                <w:bCs w:val="1"/>
                <w:color w:val="auto"/>
              </w:rPr>
              <w:t>OCN Restricted</w:t>
            </w:r>
          </w:p>
        </w:tc>
        <w:tc>
          <w:tcPr>
            <w:tcW w:w="120" w:type="dxa"/>
            <w:vAlign w:val="bottom"/>
          </w:tcPr>
          <w:p>
            <w:pPr>
              <w:spacing w:after="0"/>
              <w:rPr>
                <w:sz w:val="24"/>
                <w:szCs w:val="24"/>
                <w:color w:val="auto"/>
              </w:rPr>
            </w:pPr>
          </w:p>
        </w:tc>
      </w:tr>
      <w:tr>
        <w:trPr>
          <w:trHeight w:val="237"/>
        </w:trPr>
        <w:tc>
          <w:tcPr>
            <w:tcW w:w="7400" w:type="dxa"/>
            <w:vAlign w:val="bottom"/>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OCN Stock Options</w:t>
            </w:r>
          </w:p>
        </w:tc>
        <w:tc>
          <w:tcPr>
            <w:tcW w:w="340" w:type="dxa"/>
            <w:vAlign w:val="bottom"/>
          </w:tcPr>
          <w:p>
            <w:pPr>
              <w:spacing w:after="0"/>
              <w:rPr>
                <w:sz w:val="20"/>
                <w:szCs w:val="20"/>
                <w:color w:val="auto"/>
              </w:rPr>
            </w:pPr>
          </w:p>
        </w:tc>
        <w:tc>
          <w:tcPr>
            <w:tcW w:w="1980" w:type="dxa"/>
            <w:vAlign w:val="bottom"/>
            <w:tcBorders>
              <w:bottom w:val="single" w:sz="8" w:color="auto"/>
            </w:tcBorders>
          </w:tcPr>
          <w:p>
            <w:pPr>
              <w:jc w:val="right"/>
              <w:ind w:right="692"/>
              <w:spacing w:after="0"/>
              <w:rPr>
                <w:sz w:val="20"/>
                <w:szCs w:val="20"/>
                <w:color w:val="auto"/>
              </w:rPr>
            </w:pPr>
            <w:r>
              <w:rPr>
                <w:rFonts w:ascii="Arial" w:cs="Arial" w:eastAsia="Arial" w:hAnsi="Arial"/>
                <w:sz w:val="18"/>
                <w:szCs w:val="18"/>
                <w:b w:val="1"/>
                <w:bCs w:val="1"/>
                <w:color w:val="auto"/>
              </w:rPr>
              <w:t>Stock</w:t>
            </w:r>
          </w:p>
        </w:tc>
        <w:tc>
          <w:tcPr>
            <w:tcW w:w="120" w:type="dxa"/>
            <w:vAlign w:val="bottom"/>
          </w:tcPr>
          <w:p>
            <w:pPr>
              <w:spacing w:after="0"/>
              <w:rPr>
                <w:sz w:val="20"/>
                <w:szCs w:val="20"/>
                <w:color w:val="auto"/>
              </w:rPr>
            </w:pPr>
          </w:p>
        </w:tc>
      </w:tr>
      <w:tr>
        <w:trPr>
          <w:trHeight w:val="243"/>
        </w:trPr>
        <w:tc>
          <w:tcPr>
            <w:tcW w:w="7400" w:type="dxa"/>
            <w:vAlign w:val="bottom"/>
            <w:shd w:val="clear" w:color="auto" w:fill="EAF9E8"/>
          </w:tcPr>
          <w:p>
            <w:pPr>
              <w:spacing w:after="0"/>
              <w:rPr>
                <w:sz w:val="20"/>
                <w:szCs w:val="20"/>
                <w:color w:val="auto"/>
              </w:rPr>
            </w:pPr>
            <w:r>
              <w:rPr>
                <w:rFonts w:ascii="Arial" w:cs="Arial" w:eastAsia="Arial" w:hAnsi="Arial"/>
                <w:sz w:val="18"/>
                <w:szCs w:val="18"/>
                <w:color w:val="auto"/>
              </w:rPr>
              <w:t>Held by current and former OCN employees</w:t>
            </w:r>
          </w:p>
        </w:tc>
        <w:tc>
          <w:tcPr>
            <w:tcW w:w="1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7,092,220</w:t>
            </w:r>
          </w:p>
        </w:tc>
        <w:tc>
          <w:tcPr>
            <w:tcW w:w="232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7,484</w:t>
            </w:r>
          </w:p>
        </w:tc>
        <w:tc>
          <w:tcPr>
            <w:tcW w:w="120" w:type="dxa"/>
            <w:vAlign w:val="bottom"/>
            <w:shd w:val="clear" w:color="auto" w:fill="EAF9E8"/>
          </w:tcPr>
          <w:p>
            <w:pPr>
              <w:spacing w:after="0"/>
              <w:rPr>
                <w:sz w:val="21"/>
                <w:szCs w:val="21"/>
                <w:color w:val="auto"/>
              </w:rPr>
            </w:pPr>
          </w:p>
        </w:tc>
      </w:tr>
      <w:tr>
        <w:trPr>
          <w:trHeight w:val="250"/>
        </w:trPr>
        <w:tc>
          <w:tcPr>
            <w:tcW w:w="7400" w:type="dxa"/>
            <w:vAlign w:val="bottom"/>
          </w:tcPr>
          <w:p>
            <w:pPr>
              <w:spacing w:after="0"/>
              <w:rPr>
                <w:sz w:val="20"/>
                <w:szCs w:val="20"/>
                <w:color w:val="auto"/>
              </w:rPr>
            </w:pPr>
            <w:r>
              <w:rPr>
                <w:rFonts w:ascii="Arial" w:cs="Arial" w:eastAsia="Arial" w:hAnsi="Arial"/>
                <w:sz w:val="18"/>
                <w:szCs w:val="18"/>
                <w:color w:val="auto"/>
              </w:rPr>
              <w:t>Held by Altisource employees</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2,203,097</w:t>
            </w:r>
          </w:p>
        </w:tc>
        <w:tc>
          <w:tcPr>
            <w:tcW w:w="340" w:type="dxa"/>
            <w:vAlign w:val="bottom"/>
          </w:tcPr>
          <w:p>
            <w:pPr>
              <w:spacing w:after="0"/>
              <w:rPr>
                <w:sz w:val="21"/>
                <w:szCs w:val="21"/>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2,381</w:t>
            </w:r>
          </w:p>
        </w:tc>
        <w:tc>
          <w:tcPr>
            <w:tcW w:w="120" w:type="dxa"/>
            <w:vAlign w:val="bottom"/>
          </w:tcPr>
          <w:p>
            <w:pPr>
              <w:spacing w:after="0"/>
              <w:rPr>
                <w:sz w:val="21"/>
                <w:szCs w:val="21"/>
                <w:color w:val="auto"/>
              </w:rPr>
            </w:pPr>
          </w:p>
        </w:tc>
      </w:tr>
      <w:tr>
        <w:trPr>
          <w:trHeight w:val="243"/>
        </w:trPr>
        <w:tc>
          <w:tcPr>
            <w:tcW w:w="7400" w:type="dxa"/>
            <w:vAlign w:val="bottom"/>
            <w:shd w:val="clear" w:color="auto" w:fill="EAF9E8"/>
          </w:tcPr>
          <w:p>
            <w:pPr>
              <w:spacing w:after="0"/>
              <w:rPr>
                <w:sz w:val="20"/>
                <w:szCs w:val="20"/>
                <w:color w:val="auto"/>
              </w:rPr>
            </w:pPr>
            <w:r>
              <w:rPr>
                <w:rFonts w:ascii="Arial" w:cs="Arial" w:eastAsia="Arial" w:hAnsi="Arial"/>
                <w:sz w:val="18"/>
                <w:szCs w:val="18"/>
                <w:color w:val="auto"/>
              </w:rPr>
              <w:t>Total</w:t>
            </w:r>
          </w:p>
        </w:tc>
        <w:tc>
          <w:tcPr>
            <w:tcW w:w="1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9,295,317</w:t>
            </w:r>
          </w:p>
        </w:tc>
        <w:tc>
          <w:tcPr>
            <w:tcW w:w="232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9,865</w:t>
            </w:r>
          </w:p>
        </w:tc>
        <w:tc>
          <w:tcPr>
            <w:tcW w:w="120" w:type="dxa"/>
            <w:vAlign w:val="bottom"/>
            <w:shd w:val="clear" w:color="auto" w:fill="EAF9E8"/>
          </w:tcPr>
          <w:p>
            <w:pPr>
              <w:spacing w:after="0"/>
              <w:rPr>
                <w:sz w:val="21"/>
                <w:szCs w:val="21"/>
                <w:color w:val="auto"/>
              </w:rPr>
            </w:pPr>
          </w:p>
        </w:tc>
      </w:tr>
      <w:tr>
        <w:trPr>
          <w:trHeight w:val="20"/>
        </w:trPr>
        <w:tc>
          <w:tcPr>
            <w:tcW w:w="74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
        </w:trPr>
        <w:tc>
          <w:tcPr>
            <w:tcW w:w="74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addition, as of September 30, 2009, our current and former employees held 2,380,784 options to purchase Altisource common stock.</w:t>
      </w:r>
    </w:p>
    <w:p>
      <w:pPr>
        <w:spacing w:after="0" w:line="225" w:lineRule="exact"/>
        <w:rPr>
          <w:sz w:val="20"/>
          <w:szCs w:val="20"/>
          <w:color w:val="auto"/>
        </w:rPr>
      </w:pPr>
    </w:p>
    <w:p>
      <w:pPr>
        <w:ind w:right="100" w:firstLine="436"/>
        <w:spacing w:after="0" w:line="254" w:lineRule="auto"/>
        <w:rPr>
          <w:sz w:val="20"/>
          <w:szCs w:val="20"/>
          <w:color w:val="auto"/>
        </w:rPr>
      </w:pPr>
      <w:r>
        <w:rPr>
          <w:rFonts w:ascii="Arial" w:cs="Arial" w:eastAsia="Arial" w:hAnsi="Arial"/>
          <w:sz w:val="18"/>
          <w:szCs w:val="18"/>
          <w:color w:val="auto"/>
        </w:rPr>
        <w:t>We are responsible for fulfilling all stock incentive awards related to OCN common stock, and Altisource is responsible for fulfilling all stock incentive awards related to Altisource common stock regardless of whether such stock incentive awards are held by our or Altisource’s employees. Notwithstanding the foregoing, based on the requirements of SFAS 123(R), our stock-based compensation expense, resulting from awards outstanding at the Separation date, is based on the stock incentive awards held by our employees regardless of whether such awards were issued by OCN or Altisource. Accordingly, stock-based compensation that we recognize as expense with respect to Altisource stock incentive awards is included in “Additional paid-in capital” on our Consolidated Balance Sheet.</w:t>
      </w:r>
    </w:p>
    <w:p>
      <w:pPr>
        <w:spacing w:after="0" w:line="206"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5"/>
          <w:szCs w:val="15"/>
          <w:b w:val="1"/>
          <w:bCs w:val="1"/>
          <w:color w:val="auto"/>
        </w:rPr>
        <w:t>Recent Accounting Pronouncements</w:t>
      </w:r>
    </w:p>
    <w:p>
      <w:pPr>
        <w:spacing w:after="0" w:line="231" w:lineRule="exact"/>
        <w:rPr>
          <w:sz w:val="20"/>
          <w:szCs w:val="20"/>
          <w:color w:val="auto"/>
        </w:rPr>
      </w:pPr>
    </w:p>
    <w:p>
      <w:pPr>
        <w:ind w:right="460" w:firstLine="439"/>
        <w:spacing w:after="0" w:line="298" w:lineRule="auto"/>
        <w:rPr>
          <w:sz w:val="20"/>
          <w:szCs w:val="20"/>
          <w:color w:val="auto"/>
        </w:rPr>
      </w:pPr>
      <w:r>
        <w:rPr>
          <w:rFonts w:ascii="Arial" w:cs="Arial" w:eastAsia="Arial" w:hAnsi="Arial"/>
          <w:sz w:val="16"/>
          <w:szCs w:val="16"/>
          <w:color w:val="auto"/>
        </w:rPr>
        <w:t xml:space="preserve">In June 2009, the FASB issued SFAS No. 168, </w:t>
      </w:r>
      <w:r>
        <w:rPr>
          <w:rFonts w:ascii="Arial" w:cs="Arial" w:eastAsia="Arial" w:hAnsi="Arial"/>
          <w:sz w:val="16"/>
          <w:szCs w:val="16"/>
          <w:i w:val="1"/>
          <w:iCs w:val="1"/>
          <w:color w:val="auto"/>
        </w:rPr>
        <w:t>The FASB Accounting Standards Codification and the Hierarchy of Generally Accepted Accounting</w:t>
      </w:r>
      <w:r>
        <w:rPr>
          <w:rFonts w:ascii="Arial" w:cs="Arial" w:eastAsia="Arial" w:hAnsi="Arial"/>
          <w:sz w:val="16"/>
          <w:szCs w:val="16"/>
          <w:color w:val="auto"/>
        </w:rPr>
        <w:t xml:space="preserve"> </w:t>
      </w:r>
      <w:r>
        <w:rPr>
          <w:rFonts w:ascii="Arial" w:cs="Arial" w:eastAsia="Arial" w:hAnsi="Arial"/>
          <w:sz w:val="16"/>
          <w:szCs w:val="16"/>
          <w:i w:val="1"/>
          <w:iCs w:val="1"/>
          <w:color w:val="auto"/>
        </w:rPr>
        <w:t>Principles</w:t>
      </w:r>
      <w:r>
        <w:rPr>
          <w:rFonts w:ascii="Arial" w:cs="Arial" w:eastAsia="Arial" w:hAnsi="Arial"/>
          <w:sz w:val="16"/>
          <w:szCs w:val="16"/>
          <w:color w:val="auto"/>
        </w:rPr>
        <w:t>. This establishes the FASB Accounting Standards Codification (ASC) as the only source of authoritative accounting principles recognized by the</w:t>
      </w:r>
      <w:r>
        <w:rPr>
          <w:rFonts w:ascii="Arial" w:cs="Arial" w:eastAsia="Arial" w:hAnsi="Arial"/>
          <w:sz w:val="16"/>
          <w:szCs w:val="16"/>
          <w:i w:val="1"/>
          <w:iCs w:val="1"/>
          <w:color w:val="auto"/>
        </w:rPr>
        <w:t xml:space="preserve"> </w:t>
      </w:r>
      <w:r>
        <w:rPr>
          <w:rFonts w:ascii="Arial" w:cs="Arial" w:eastAsia="Arial" w:hAnsi="Arial"/>
          <w:sz w:val="16"/>
          <w:szCs w:val="16"/>
          <w:color w:val="auto"/>
        </w:rPr>
        <w:t>FASB to be applied by nongovernmental entities in the preparation of financial statements in conformity with GAAP, with the exception of Statements of Financial Accounting Standards not yet included in the Codification. We adopted the FASB ASC as required for the period ended September 30, 2009.</w:t>
      </w:r>
    </w:p>
    <w:p>
      <w:pPr>
        <w:spacing w:after="0" w:line="167" w:lineRule="exact"/>
        <w:rPr>
          <w:sz w:val="20"/>
          <w:szCs w:val="20"/>
          <w:color w:val="auto"/>
        </w:rPr>
      </w:pPr>
    </w:p>
    <w:p>
      <w:pPr>
        <w:ind w:right="120" w:firstLine="429"/>
        <w:spacing w:after="0" w:line="256" w:lineRule="auto"/>
        <w:rPr>
          <w:sz w:val="20"/>
          <w:szCs w:val="20"/>
          <w:color w:val="auto"/>
        </w:rPr>
      </w:pPr>
      <w:r>
        <w:rPr>
          <w:rFonts w:ascii="Arial" w:cs="Arial" w:eastAsia="Arial" w:hAnsi="Arial"/>
          <w:sz w:val="18"/>
          <w:szCs w:val="18"/>
          <w:color w:val="auto"/>
        </w:rPr>
        <w:t xml:space="preserve">ASC 820, </w:t>
      </w:r>
      <w:r>
        <w:rPr>
          <w:rFonts w:ascii="Arial" w:cs="Arial" w:eastAsia="Arial" w:hAnsi="Arial"/>
          <w:sz w:val="18"/>
          <w:szCs w:val="18"/>
          <w:i w:val="1"/>
          <w:iCs w:val="1"/>
          <w:color w:val="auto"/>
        </w:rPr>
        <w:t>Fair Value Measures.</w:t>
      </w:r>
      <w:r>
        <w:rPr>
          <w:rFonts w:ascii="Arial" w:cs="Arial" w:eastAsia="Arial" w:hAnsi="Arial"/>
          <w:sz w:val="18"/>
          <w:szCs w:val="18"/>
          <w:color w:val="auto"/>
        </w:rPr>
        <w:t xml:space="preserve"> In April 2009, the FASB issued FASB FSP FAS 157-4 (Codified within ASC 820) which provides additional guidance for estimating fair value when the level of activity for the asset or liability has significantly decreased. The standard is effective for interim and annual reporting periods ending after June 15, 2009. Our initial adoption of this standard during the second quarter of 2009 did not have a material effect on our consolidated financial statements.</w:t>
      </w:r>
    </w:p>
    <w:p>
      <w:pPr>
        <w:spacing w:after="0" w:line="197" w:lineRule="exact"/>
        <w:rPr>
          <w:sz w:val="20"/>
          <w:szCs w:val="20"/>
          <w:color w:val="auto"/>
        </w:rPr>
      </w:pPr>
    </w:p>
    <w:p>
      <w:pPr>
        <w:ind w:right="20" w:firstLine="436"/>
        <w:spacing w:after="0" w:line="290" w:lineRule="auto"/>
        <w:rPr>
          <w:sz w:val="20"/>
          <w:szCs w:val="20"/>
          <w:color w:val="auto"/>
        </w:rPr>
      </w:pPr>
      <w:r>
        <w:rPr>
          <w:rFonts w:ascii="Arial" w:cs="Arial" w:eastAsia="Arial" w:hAnsi="Arial"/>
          <w:sz w:val="16"/>
          <w:szCs w:val="16"/>
          <w:i w:val="1"/>
          <w:iCs w:val="1"/>
          <w:color w:val="auto"/>
        </w:rPr>
        <w:t xml:space="preserve">ASC 805, Business Combinations. </w:t>
      </w:r>
      <w:r>
        <w:rPr>
          <w:rFonts w:ascii="Arial" w:cs="Arial" w:eastAsia="Arial" w:hAnsi="Arial"/>
          <w:sz w:val="16"/>
          <w:szCs w:val="16"/>
          <w:color w:val="auto"/>
        </w:rPr>
        <w:t>The FASB issued SFAS No. 141R (Codified within ASC 805) which modifies certain elements of the acquisition method</w:t>
      </w:r>
      <w:r>
        <w:rPr>
          <w:rFonts w:ascii="Arial" w:cs="Arial" w:eastAsia="Arial" w:hAnsi="Arial"/>
          <w:sz w:val="16"/>
          <w:szCs w:val="16"/>
          <w:i w:val="1"/>
          <w:iCs w:val="1"/>
          <w:color w:val="auto"/>
        </w:rPr>
        <w:t xml:space="preserve"> </w:t>
      </w:r>
      <w:r>
        <w:rPr>
          <w:rFonts w:ascii="Arial" w:cs="Arial" w:eastAsia="Arial" w:hAnsi="Arial"/>
          <w:sz w:val="16"/>
          <w:szCs w:val="16"/>
          <w:color w:val="auto"/>
        </w:rPr>
        <w:t>of accounting used for all business combinations. The statement requires an acquirer to recognize the assets acquired, the liabilities assumed, and any noncontrolling interest in the acquiree at the acquisition date, measured at the full amounts of their fair values, with limited exceptions specified in the statement. If the business combination is achieved in stages (a step acquisition), an acquirer is also required to recognize the identifiable assets and liabilities, as well as the noncontrolling interest in the acquiree, at the full amounts of their fair values. The statement requires the acquirer to recognize restructuring and acquisition costs separately from the business combination. The statement also requires the disclosure of information necessary to understand the nature and effect of the business combination. The adoption of this standard on January 1, 2009 did not have an impact on our consolidated balance sheets or statements of operations.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 w:name="page15"/>
    <w:bookmarkEnd w:id="14"/>
    <w:p>
      <w:pPr>
        <w:ind w:right="40" w:firstLine="436"/>
        <w:spacing w:after="0" w:line="287" w:lineRule="auto"/>
        <w:rPr>
          <w:sz w:val="20"/>
          <w:szCs w:val="20"/>
          <w:color w:val="auto"/>
        </w:rPr>
      </w:pPr>
      <w:r>
        <w:rPr>
          <w:rFonts w:ascii="Arial" w:cs="Arial" w:eastAsia="Arial" w:hAnsi="Arial"/>
          <w:sz w:val="16"/>
          <w:szCs w:val="16"/>
          <w:i w:val="1"/>
          <w:iCs w:val="1"/>
          <w:color w:val="auto"/>
        </w:rPr>
        <w:t>ASC 810, Consolidations</w:t>
      </w:r>
      <w:r>
        <w:rPr>
          <w:rFonts w:ascii="Arial" w:cs="Arial" w:eastAsia="Arial" w:hAnsi="Arial"/>
          <w:sz w:val="16"/>
          <w:szCs w:val="16"/>
          <w:color w:val="auto"/>
        </w:rPr>
        <w:t>. The FASB issued SFAS No. 160 (Codified within ASC 810) on December 4, 2007. The statement establishes new accounting</w:t>
      </w:r>
      <w:r>
        <w:rPr>
          <w:rFonts w:ascii="Arial" w:cs="Arial" w:eastAsia="Arial" w:hAnsi="Arial"/>
          <w:sz w:val="16"/>
          <w:szCs w:val="16"/>
          <w:i w:val="1"/>
          <w:iCs w:val="1"/>
          <w:color w:val="auto"/>
        </w:rPr>
        <w:t xml:space="preserve"> </w:t>
      </w:r>
      <w:r>
        <w:rPr>
          <w:rFonts w:ascii="Arial" w:cs="Arial" w:eastAsia="Arial" w:hAnsi="Arial"/>
          <w:sz w:val="16"/>
          <w:szCs w:val="16"/>
          <w:color w:val="auto"/>
        </w:rPr>
        <w:t>and reporting standards for a non-controlling interest in a subsidiary and for the deconsolidation of a subsidiary. Specifically, this statement requires the recognition of a non-controlling interest (minority interest) as equity in the consolidated financial statements separate from the parent’s equity. The amount of net income attributable to the non-controlling interest is included in consolidated net income on the face of the income statement. The statement clarifies that changes in a parent’s ownership interest in a subsidiary that do not result in deconsolidation are equity transactions if the parent retains its controlling financial interest. In addition, when a subsidiary is deconsolidated, this statement requires that a parent recognize a gain or loss in net income based on the fair value of the entire entity, irrespective of any retained ownership, on the deconsolidation date. Such a gain or loss will be measured using the fair value of the non-controlling equity investment on the deconsolidation date. We adopted this standard on January 1, 2009 by retrospectively applying the provisions of the new guidance to all prior periods. Because the outstanding non-controlling interests in consolidated subsidiaries are not significant, the implementation of this standard did not have a material effect on our consolidated balance sheets or statements of operations.</w:t>
      </w:r>
    </w:p>
    <w:p>
      <w:pPr>
        <w:spacing w:after="0" w:line="177" w:lineRule="exact"/>
        <w:rPr>
          <w:sz w:val="20"/>
          <w:szCs w:val="20"/>
          <w:color w:val="auto"/>
        </w:rPr>
      </w:pPr>
    </w:p>
    <w:p>
      <w:pPr>
        <w:ind w:right="120" w:firstLine="429"/>
        <w:spacing w:after="0" w:line="286" w:lineRule="auto"/>
        <w:rPr>
          <w:sz w:val="20"/>
          <w:szCs w:val="20"/>
          <w:color w:val="auto"/>
        </w:rPr>
      </w:pPr>
      <w:r>
        <w:rPr>
          <w:rFonts w:ascii="Arial" w:cs="Arial" w:eastAsia="Arial" w:hAnsi="Arial"/>
          <w:sz w:val="16"/>
          <w:szCs w:val="16"/>
          <w:color w:val="auto"/>
        </w:rPr>
        <w:t xml:space="preserve">ASC 320, </w:t>
      </w:r>
      <w:r>
        <w:rPr>
          <w:rFonts w:ascii="Arial" w:cs="Arial" w:eastAsia="Arial" w:hAnsi="Arial"/>
          <w:sz w:val="16"/>
          <w:szCs w:val="16"/>
          <w:i w:val="1"/>
          <w:iCs w:val="1"/>
          <w:color w:val="auto"/>
        </w:rPr>
        <w:t>Investments</w:t>
      </w:r>
      <w:r>
        <w:rPr>
          <w:rFonts w:ascii="Arial" w:cs="Arial" w:eastAsia="Arial" w:hAnsi="Arial"/>
          <w:sz w:val="16"/>
          <w:szCs w:val="16"/>
          <w:color w:val="auto"/>
        </w:rPr>
        <w:t>. The FASB issued FSP No. APB 14-1 (Codified within ASC 320)</w:t>
      </w:r>
      <w:r>
        <w:rPr>
          <w:rFonts w:ascii="Arial" w:cs="Arial" w:eastAsia="Arial" w:hAnsi="Arial"/>
          <w:sz w:val="16"/>
          <w:szCs w:val="16"/>
          <w:i w:val="1"/>
          <w:iCs w:val="1"/>
          <w:color w:val="auto"/>
        </w:rPr>
        <w:t>.</w:t>
      </w:r>
      <w:r>
        <w:rPr>
          <w:rFonts w:ascii="Arial" w:cs="Arial" w:eastAsia="Arial" w:hAnsi="Arial"/>
          <w:sz w:val="16"/>
          <w:szCs w:val="16"/>
          <w:color w:val="auto"/>
        </w:rPr>
        <w:t>which clarifies that convertible debt instruments that may be settled in cash upon conversion (including partial cash settlement), and specifies that issuers of such instruments should separately account for the liability and equity components in a manner that will reflect the entity’s nonconvertible debt borrowing rate when interest cost is recognized in subsequent periods. Upon adoption of this standard on January 1, 2009, we recognized a discount to reduce the carrying value of the 3.25% Convertible Notes and an offsetting increase to stockholders’ equity. The cumulative effect of adoption resulted in: (1) a reduction of retained earnings of $19,838 due to the retrospective accretion of the resulting debt discount to interest expense over the expected life of the notes; (2) adjustments to debt issue cost amortization and gains or losses recognized on previous redemptions; and (3) an increase in additional paid-in capital of $21,293. The adjustment to additional paid-in capital includes the recognized debt discount, adjusted for note redemptions, and the effect of deferred taxes, as well as net gains or losses attributable to redemptions of the equity component. Interest expense for the three and nine months ended September 30, 2008 has been adjusted to include amortization of debt discount of $948 and $2,918, respectively, and a reduction in the amortization of debt issue costs of $32 and $103, respectively. The gain previously recognized on the redemption of debt securities during the quarter ended June 30, 2008 of $3,595 has been adjusted to reflect a loss of $86 on the debt component of the convertible notes in the statement of operations and a gain of $2,800 in additional paid in capital for the equity component.</w:t>
      </w:r>
    </w:p>
    <w:p>
      <w:pPr>
        <w:spacing w:after="0" w:line="178" w:lineRule="exact"/>
        <w:rPr>
          <w:sz w:val="20"/>
          <w:szCs w:val="20"/>
          <w:color w:val="auto"/>
        </w:rPr>
      </w:pPr>
    </w:p>
    <w:p>
      <w:pPr>
        <w:ind w:right="260" w:firstLine="429"/>
        <w:spacing w:after="0" w:line="294" w:lineRule="auto"/>
        <w:rPr>
          <w:sz w:val="20"/>
          <w:szCs w:val="20"/>
          <w:color w:val="auto"/>
        </w:rPr>
      </w:pPr>
      <w:r>
        <w:rPr>
          <w:rFonts w:ascii="Arial" w:cs="Arial" w:eastAsia="Arial" w:hAnsi="Arial"/>
          <w:sz w:val="16"/>
          <w:szCs w:val="16"/>
          <w:color w:val="auto"/>
        </w:rPr>
        <w:t>ASC 320</w:t>
      </w:r>
      <w:r>
        <w:rPr>
          <w:rFonts w:ascii="Arial" w:cs="Arial" w:eastAsia="Arial" w:hAnsi="Arial"/>
          <w:sz w:val="16"/>
          <w:szCs w:val="16"/>
          <w:i w:val="1"/>
          <w:iCs w:val="1"/>
          <w:color w:val="auto"/>
        </w:rPr>
        <w:t>, Investments.</w:t>
      </w:r>
      <w:r>
        <w:rPr>
          <w:rFonts w:ascii="Arial" w:cs="Arial" w:eastAsia="Arial" w:hAnsi="Arial"/>
          <w:sz w:val="16"/>
          <w:szCs w:val="16"/>
          <w:color w:val="auto"/>
        </w:rPr>
        <w:t xml:space="preserve"> The FASB issued FSP No. FAS 115-2 and FAS 124-2 (Codified within ASC 320) which amends the other-than-temporary impairment guidance for debt securities and improves the presentation and disclosure of other-than-temporary impairments on debt and equity securities in the financial statements. This standard does not amend existing recognition and measurement guidance related to other-than-temporary impairments of equity securities. Because our current investments in debt securities are classified as trading securities and therefore measured at fair value on a recurring basis, this standard did not have a material effect on our consolidated financial statements upon adoption during the second quarter of 2009.</w:t>
      </w:r>
    </w:p>
    <w:p>
      <w:pPr>
        <w:spacing w:after="0" w:line="170" w:lineRule="exact"/>
        <w:rPr>
          <w:sz w:val="20"/>
          <w:szCs w:val="20"/>
          <w:color w:val="auto"/>
        </w:rPr>
      </w:pPr>
    </w:p>
    <w:p>
      <w:pPr>
        <w:ind w:right="100" w:firstLine="436"/>
        <w:spacing w:after="0" w:line="318" w:lineRule="auto"/>
        <w:rPr>
          <w:sz w:val="20"/>
          <w:szCs w:val="20"/>
          <w:color w:val="auto"/>
        </w:rPr>
      </w:pPr>
      <w:r>
        <w:rPr>
          <w:rFonts w:ascii="Arial" w:cs="Arial" w:eastAsia="Arial" w:hAnsi="Arial"/>
          <w:sz w:val="15"/>
          <w:szCs w:val="15"/>
          <w:i w:val="1"/>
          <w:iCs w:val="1"/>
          <w:color w:val="auto"/>
        </w:rPr>
        <w:t xml:space="preserve">ASC 855, Subsequent Events. </w:t>
      </w:r>
      <w:r>
        <w:rPr>
          <w:rFonts w:ascii="Arial" w:cs="Arial" w:eastAsia="Arial" w:hAnsi="Arial"/>
          <w:sz w:val="15"/>
          <w:szCs w:val="15"/>
          <w:color w:val="auto"/>
        </w:rPr>
        <w:t>This statement, which we adopted during the quarter ended June 30, 2009, introduces the concept of financial statements</w:t>
      </w:r>
      <w:r>
        <w:rPr>
          <w:rFonts w:ascii="Arial" w:cs="Arial" w:eastAsia="Arial" w:hAnsi="Arial"/>
          <w:sz w:val="15"/>
          <w:szCs w:val="15"/>
          <w:i w:val="1"/>
          <w:iCs w:val="1"/>
          <w:color w:val="auto"/>
        </w:rPr>
        <w:t xml:space="preserve"> </w:t>
      </w:r>
      <w:r>
        <w:rPr>
          <w:rFonts w:ascii="Arial" w:cs="Arial" w:eastAsia="Arial" w:hAnsi="Arial"/>
          <w:sz w:val="15"/>
          <w:szCs w:val="15"/>
          <w:color w:val="auto"/>
        </w:rPr>
        <w:t>being available to be issued. It requires the disclosure of the date through which an entity has evaluated subsequent events and the basis for that date, that is, whether that date represents the date the financial statements were issued or were available to be issued. A public entity is required to evaluate subsequent events through the date that the financial statements are issued. This statement did not result in changes in the subsequent events that we report, either through recognition or disclosure, in our financial statements upon adoption. We have evaluated subsequent events through November 9, 2009 as disclosed in Note 25.</w:t>
      </w:r>
    </w:p>
    <w:p>
      <w:pPr>
        <w:spacing w:after="0" w:line="154" w:lineRule="exact"/>
        <w:rPr>
          <w:sz w:val="20"/>
          <w:szCs w:val="20"/>
          <w:color w:val="auto"/>
        </w:rPr>
      </w:pPr>
    </w:p>
    <w:p>
      <w:pPr>
        <w:ind w:right="60" w:firstLine="439"/>
        <w:spacing w:after="0" w:line="290" w:lineRule="auto"/>
        <w:rPr>
          <w:sz w:val="20"/>
          <w:szCs w:val="20"/>
          <w:color w:val="auto"/>
        </w:rPr>
      </w:pPr>
      <w:r>
        <w:rPr>
          <w:rFonts w:ascii="Arial" w:cs="Arial" w:eastAsia="Arial" w:hAnsi="Arial"/>
          <w:sz w:val="16"/>
          <w:szCs w:val="16"/>
          <w:i w:val="1"/>
          <w:iCs w:val="1"/>
          <w:color w:val="auto"/>
        </w:rPr>
        <w:t xml:space="preserve">SFAS No. 166, Accounting for Transfers of Financial Assets—an amendment of FASB Statement No. 140. </w:t>
      </w:r>
      <w:r>
        <w:rPr>
          <w:rFonts w:ascii="Arial" w:cs="Arial" w:eastAsia="Arial" w:hAnsi="Arial"/>
          <w:sz w:val="16"/>
          <w:szCs w:val="16"/>
          <w:color w:val="auto"/>
        </w:rPr>
        <w:t>This statement clarifies that the objective of the</w:t>
      </w:r>
      <w:r>
        <w:rPr>
          <w:rFonts w:ascii="Arial" w:cs="Arial" w:eastAsia="Arial" w:hAnsi="Arial"/>
          <w:sz w:val="16"/>
          <w:szCs w:val="16"/>
          <w:i w:val="1"/>
          <w:iCs w:val="1"/>
          <w:color w:val="auto"/>
        </w:rPr>
        <w:t xml:space="preserve"> </w:t>
      </w:r>
      <w:r>
        <w:rPr>
          <w:rFonts w:ascii="Arial" w:cs="Arial" w:eastAsia="Arial" w:hAnsi="Arial"/>
          <w:sz w:val="16"/>
          <w:szCs w:val="16"/>
          <w:color w:val="auto"/>
        </w:rPr>
        <w:t>standard is to determine whether a transferor and all of the entities included in the transferor’s financial statements being presented have surrendered control over transferred financial assets. That determination must consider the transferor’s continuing involvements in the transferred financial asset, including all arrangements or agreements made contemporaneously with, or in contemplation of, the transfer, even if they were not entered into at the time of the transfer. This statement modifies the financial-components approach currently used and limits the circumstances in which a financial asset, or portion of a financial asset, should be derecognized when the transferor has not transferred the entire original financial asset to an entity that is not consolidated with the transferor in the financial statements being presented and/or when the transferor has continuing involvement with the transferred financial asset.</w:t>
      </w:r>
    </w:p>
    <w:p>
      <w:pPr>
        <w:spacing w:after="0" w:line="172" w:lineRule="exact"/>
        <w:rPr>
          <w:sz w:val="20"/>
          <w:szCs w:val="20"/>
          <w:color w:val="auto"/>
        </w:rPr>
      </w:pPr>
    </w:p>
    <w:p>
      <w:pPr>
        <w:ind w:firstLine="436"/>
        <w:spacing w:after="0" w:line="254" w:lineRule="auto"/>
        <w:rPr>
          <w:sz w:val="20"/>
          <w:szCs w:val="20"/>
          <w:color w:val="auto"/>
        </w:rPr>
      </w:pPr>
      <w:r>
        <w:rPr>
          <w:rFonts w:ascii="Arial" w:cs="Arial" w:eastAsia="Arial" w:hAnsi="Arial"/>
          <w:sz w:val="18"/>
          <w:szCs w:val="18"/>
          <w:color w:val="auto"/>
        </w:rPr>
        <w:t xml:space="preserve">This statement defines the term </w:t>
      </w:r>
      <w:r>
        <w:rPr>
          <w:rFonts w:ascii="Arial" w:cs="Arial" w:eastAsia="Arial" w:hAnsi="Arial"/>
          <w:sz w:val="18"/>
          <w:szCs w:val="18"/>
          <w:i w:val="1"/>
          <w:iCs w:val="1"/>
          <w:color w:val="auto"/>
        </w:rPr>
        <w:t>participating interest</w:t>
      </w:r>
      <w:r>
        <w:rPr>
          <w:rFonts w:ascii="Arial" w:cs="Arial" w:eastAsia="Arial" w:hAnsi="Arial"/>
          <w:sz w:val="18"/>
          <w:szCs w:val="18"/>
          <w:color w:val="auto"/>
        </w:rPr>
        <w:t xml:space="preserve"> to establish specific conditions for reporting a transfer of a portion of a financial asset as a sale. If the transfer does not meet those conditions, a transferor should account for the transfer as a sale only if it transfers an entire financial asset or a group of entire financial assets and surrenders control over the entire transferred asset(s). This statement requires that a transferor recognize and initially measure at fair value all assets obtained (including a transferor’s beneficial interest) and liabilities incurred as a result of a transfer of financial assets accounted for as a sale. Enhanced disclosures are required to provide financial statement users with greater transparency about transfers of financial assets and a transferor’s continuing involvement with transferred financial assets.</w:t>
      </w:r>
    </w:p>
    <w:p>
      <w:pPr>
        <w:spacing w:after="0" w:line="198" w:lineRule="exact"/>
        <w:rPr>
          <w:sz w:val="20"/>
          <w:szCs w:val="20"/>
          <w:color w:val="auto"/>
        </w:rPr>
      </w:pPr>
    </w:p>
    <w:p>
      <w:pPr>
        <w:ind w:right="440" w:firstLine="436"/>
        <w:spacing w:after="0" w:line="259" w:lineRule="auto"/>
        <w:rPr>
          <w:sz w:val="20"/>
          <w:szCs w:val="20"/>
          <w:color w:val="auto"/>
        </w:rPr>
      </w:pPr>
      <w:r>
        <w:rPr>
          <w:rFonts w:ascii="Arial" w:cs="Arial" w:eastAsia="Arial" w:hAnsi="Arial"/>
          <w:sz w:val="18"/>
          <w:szCs w:val="18"/>
          <w:color w:val="auto"/>
        </w:rPr>
        <w:t>The provisions in for guaranteed mortgage securitizations are removed to require those securitizations to be treated the same as any other transfer of financial assets within the scope of the standard. If such a transfer does not meet the requirements for sale accounting, the securitized mortgage loans should continue to be classified as loans in the transferor’s statement of financial position.</w:t>
      </w:r>
    </w:p>
    <w:p>
      <w:pPr>
        <w:spacing w:after="0" w:line="194" w:lineRule="exact"/>
        <w:rPr>
          <w:sz w:val="20"/>
          <w:szCs w:val="20"/>
          <w:color w:val="auto"/>
        </w:rPr>
      </w:pPr>
    </w:p>
    <w:p>
      <w:pPr>
        <w:jc w:val="both"/>
        <w:ind w:right="140" w:firstLine="436"/>
        <w:spacing w:after="0" w:line="259" w:lineRule="auto"/>
        <w:rPr>
          <w:sz w:val="20"/>
          <w:szCs w:val="20"/>
          <w:color w:val="auto"/>
        </w:rPr>
      </w:pPr>
      <w:r>
        <w:rPr>
          <w:rFonts w:ascii="Arial" w:cs="Arial" w:eastAsia="Arial" w:hAnsi="Arial"/>
          <w:sz w:val="18"/>
          <w:szCs w:val="18"/>
          <w:color w:val="auto"/>
        </w:rPr>
        <w:t>We must adopt this statement as of January 1, 2010 and all reporting periods thereafter. Earlier application is prohibited. This statement must be applied to transfers occurring on or after the effective date. Additionally, the disclosure provisions of this statement should be applied to transfers that occurred both before and after the effective date of this standard. We are evaluating the potential impact of this standard.</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 w:name="page16"/>
    <w:bookmarkEnd w:id="15"/>
    <w:p>
      <w:pPr>
        <w:ind w:firstLine="439"/>
        <w:spacing w:after="0" w:line="259" w:lineRule="auto"/>
        <w:rPr>
          <w:sz w:val="20"/>
          <w:szCs w:val="20"/>
          <w:color w:val="auto"/>
        </w:rPr>
      </w:pPr>
      <w:r>
        <w:rPr>
          <w:rFonts w:ascii="Arial" w:cs="Arial" w:eastAsia="Arial" w:hAnsi="Arial"/>
          <w:sz w:val="18"/>
          <w:szCs w:val="18"/>
          <w:i w:val="1"/>
          <w:iCs w:val="1"/>
          <w:color w:val="auto"/>
        </w:rPr>
        <w:t xml:space="preserve">SFAS No. 167, Amendments to FASB Interpretation No. 46(R). </w:t>
      </w:r>
      <w:r>
        <w:rPr>
          <w:rFonts w:ascii="Arial" w:cs="Arial" w:eastAsia="Arial" w:hAnsi="Arial"/>
          <w:sz w:val="18"/>
          <w:szCs w:val="18"/>
          <w:color w:val="auto"/>
        </w:rPr>
        <w:t>This standard will require an enterprise to perform ongoing periodic assessments to</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 whether the enterprise’s variable interest or interests give it a controlling financial interest in a VIE. This analysis identifies the primary beneficiary of a VIE as the enterprise that has both of the following characteristics:</w:t>
      </w:r>
    </w:p>
    <w:p>
      <w:pPr>
        <w:spacing w:after="0" w:line="208" w:lineRule="exact"/>
        <w:rPr>
          <w:sz w:val="20"/>
          <w:szCs w:val="20"/>
          <w:color w:val="auto"/>
        </w:rPr>
      </w:pPr>
    </w:p>
    <w:p>
      <w:pPr>
        <w:ind w:left="1160" w:hanging="571"/>
        <w:spacing w:after="0"/>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power to direct the activities of a variable interest entity that most significantly impact the entity’s economic performance</w:t>
      </w:r>
    </w:p>
    <w:p>
      <w:pPr>
        <w:spacing w:after="0" w:line="279" w:lineRule="exact"/>
        <w:rPr>
          <w:rFonts w:ascii="Arial" w:cs="Arial" w:eastAsia="Arial" w:hAnsi="Arial"/>
          <w:sz w:val="18"/>
          <w:szCs w:val="18"/>
          <w:color w:val="auto"/>
        </w:rPr>
      </w:pPr>
    </w:p>
    <w:p>
      <w:pPr>
        <w:ind w:left="1160" w:right="340" w:hanging="571"/>
        <w:spacing w:after="0" w:line="268" w:lineRule="auto"/>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obligation to absorb losses of the entity that could potentially be significant to the VIE or the right to receive benefits from the entity that could potentially be significant to the VIE.</w:t>
      </w:r>
    </w:p>
    <w:p>
      <w:pPr>
        <w:spacing w:after="0" w:line="186" w:lineRule="exact"/>
        <w:rPr>
          <w:sz w:val="20"/>
          <w:szCs w:val="20"/>
          <w:color w:val="auto"/>
        </w:rPr>
      </w:pPr>
    </w:p>
    <w:p>
      <w:pPr>
        <w:ind w:right="240" w:firstLine="439"/>
        <w:spacing w:after="0" w:line="255" w:lineRule="auto"/>
        <w:rPr>
          <w:sz w:val="20"/>
          <w:szCs w:val="20"/>
          <w:color w:val="auto"/>
        </w:rPr>
      </w:pPr>
      <w:r>
        <w:rPr>
          <w:rFonts w:ascii="Arial" w:cs="Arial" w:eastAsia="Arial" w:hAnsi="Arial"/>
          <w:sz w:val="18"/>
          <w:szCs w:val="18"/>
          <w:color w:val="auto"/>
        </w:rPr>
        <w:t>In addition to reintroducing the concept of control into the determination of the primary beneficiary of a VIE, this statement makes numerous other amendments to the current standards to primarily reflect the elimination of the concept of a QSPE. This statement also amends the current standards to require enhanced disclosures that will provide users of financial statements with more transparent information about an enterprise’s involvement in a variable interest entity. The enhanced disclosures are required for any enterprise that holds a variable interest in a VIE. The additional disclosures required by this statement are included in Note 1—Principles of Consolidation.</w:t>
      </w:r>
    </w:p>
    <w:p>
      <w:pPr>
        <w:spacing w:after="0" w:line="197" w:lineRule="exact"/>
        <w:rPr>
          <w:sz w:val="20"/>
          <w:szCs w:val="20"/>
          <w:color w:val="auto"/>
        </w:rPr>
      </w:pPr>
    </w:p>
    <w:p>
      <w:pPr>
        <w:ind w:right="340" w:firstLine="436"/>
        <w:spacing w:after="0" w:line="332" w:lineRule="auto"/>
        <w:rPr>
          <w:sz w:val="20"/>
          <w:szCs w:val="20"/>
          <w:color w:val="auto"/>
        </w:rPr>
      </w:pPr>
      <w:r>
        <w:rPr>
          <w:rFonts w:ascii="Arial" w:cs="Arial" w:eastAsia="Arial" w:hAnsi="Arial"/>
          <w:sz w:val="16"/>
          <w:szCs w:val="16"/>
          <w:color w:val="auto"/>
        </w:rPr>
        <w:t>This standard will become effective as of the beginning of each reporting entity’s first annual reporting period that begins after November 15, 2009, for interim periods within that first annual reporting period, and for interim and annual reporting periods thereafter. Earlier application is prohibited.</w:t>
      </w:r>
    </w:p>
    <w:p>
      <w:pPr>
        <w:spacing w:after="0" w:line="139" w:lineRule="exact"/>
        <w:rPr>
          <w:sz w:val="20"/>
          <w:szCs w:val="20"/>
          <w:color w:val="auto"/>
        </w:rPr>
      </w:pPr>
    </w:p>
    <w:p>
      <w:pPr>
        <w:ind w:right="20" w:firstLine="429"/>
        <w:spacing w:after="0" w:line="298" w:lineRule="auto"/>
        <w:rPr>
          <w:sz w:val="20"/>
          <w:szCs w:val="20"/>
          <w:color w:val="auto"/>
        </w:rPr>
      </w:pPr>
      <w:r>
        <w:rPr>
          <w:rFonts w:ascii="Arial" w:cs="Arial" w:eastAsia="Arial" w:hAnsi="Arial"/>
          <w:sz w:val="16"/>
          <w:szCs w:val="16"/>
          <w:color w:val="auto"/>
        </w:rPr>
        <w:t>As disclosed in Note 1—Securitizations of Residential Mortgage Loans, we currently exclude certain loan securitization trusts from our consolidated financial statements because each is a QSPE. Once this statement becomes effective, we will be required to reevaluate these QSPEs as well as all other potentially significant interests in other unconsolidated entities, such as our asset management vehicles and the securitization trusts underlying our servicing portfolio, to determine if we should include them in our consolidated financial statements. We are evaluating the potential impact of this statement.</w:t>
      </w:r>
    </w:p>
    <w:p>
      <w:pPr>
        <w:spacing w:after="0" w:line="174"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6"/>
          <w:szCs w:val="16"/>
          <w:b w:val="1"/>
          <w:bCs w:val="1"/>
          <w:color w:val="auto"/>
        </w:rPr>
        <w:t>Fair Value of Financial Instruments</w:t>
      </w:r>
    </w:p>
    <w:p>
      <w:pPr>
        <w:spacing w:after="0" w:line="2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carrying amounts and the estimated fair values of our financial instruments are as follows at the dates indicated:</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80" w:type="dxa"/>
            <w:vAlign w:val="bottom"/>
            <w:gridSpan w:val="4"/>
          </w:tcPr>
          <w:p>
            <w:pPr>
              <w:jc w:val="right"/>
              <w:ind w:right="612"/>
              <w:spacing w:after="0"/>
              <w:rPr>
                <w:sz w:val="20"/>
                <w:szCs w:val="20"/>
                <w:color w:val="auto"/>
              </w:rPr>
            </w:pPr>
            <w:r>
              <w:rPr>
                <w:rFonts w:ascii="Arial" w:cs="Arial" w:eastAsia="Arial" w:hAnsi="Arial"/>
                <w:sz w:val="18"/>
                <w:szCs w:val="18"/>
                <w:b w:val="1"/>
                <w:bCs w:val="1"/>
                <w:color w:val="auto"/>
              </w:rPr>
              <w:t>September 30, 2009</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20" w:type="dxa"/>
            <w:vAlign w:val="bottom"/>
            <w:gridSpan w:val="6"/>
          </w:tcPr>
          <w:p>
            <w:pPr>
              <w:jc w:val="right"/>
              <w:ind w:right="860"/>
              <w:spacing w:after="0"/>
              <w:rPr>
                <w:sz w:val="20"/>
                <w:szCs w:val="20"/>
                <w:color w:val="auto"/>
              </w:rPr>
            </w:pPr>
            <w:r>
              <w:rPr>
                <w:rFonts w:ascii="Arial" w:cs="Arial" w:eastAsia="Arial" w:hAnsi="Arial"/>
                <w:sz w:val="18"/>
                <w:szCs w:val="18"/>
                <w:b w:val="1"/>
                <w:bCs w:val="1"/>
                <w:color w:val="auto"/>
              </w:rPr>
              <w:t>December 31, 2008</w:t>
            </w:r>
          </w:p>
        </w:tc>
      </w:tr>
      <w:tr>
        <w:trPr>
          <w:trHeight w:val="197"/>
        </w:trPr>
        <w:tc>
          <w:tcPr>
            <w:tcW w:w="52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gridSpan w:val="2"/>
          </w:tcPr>
          <w:p>
            <w:pPr>
              <w:jc w:val="right"/>
              <w:ind w:right="620"/>
              <w:spacing w:after="0" w:line="197" w:lineRule="exact"/>
              <w:rPr>
                <w:sz w:val="20"/>
                <w:szCs w:val="20"/>
                <w:color w:val="auto"/>
              </w:rPr>
            </w:pPr>
            <w:r>
              <w:rPr>
                <w:rFonts w:ascii="Arial" w:cs="Arial" w:eastAsia="Arial" w:hAnsi="Arial"/>
                <w:sz w:val="18"/>
                <w:szCs w:val="18"/>
                <w:b w:val="1"/>
                <w:bCs w:val="1"/>
                <w:color w:val="auto"/>
              </w:rPr>
              <w:t>Carrying</w:t>
            </w:r>
          </w:p>
        </w:tc>
        <w:tc>
          <w:tcPr>
            <w:tcW w:w="2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392"/>
              <w:spacing w:after="0" w:line="197" w:lineRule="exact"/>
              <w:rPr>
                <w:sz w:val="20"/>
                <w:szCs w:val="20"/>
                <w:color w:val="auto"/>
              </w:rPr>
            </w:pPr>
            <w:r>
              <w:rPr>
                <w:rFonts w:ascii="Arial" w:cs="Arial" w:eastAsia="Arial" w:hAnsi="Arial"/>
                <w:sz w:val="18"/>
                <w:szCs w:val="18"/>
                <w:b w:val="1"/>
                <w:bCs w:val="1"/>
                <w:color w:val="auto"/>
              </w:rPr>
              <w:t>Fair</w:t>
            </w:r>
          </w:p>
        </w:tc>
        <w:tc>
          <w:tcPr>
            <w:tcW w:w="3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gridSpan w:val="2"/>
          </w:tcPr>
          <w:p>
            <w:pPr>
              <w:jc w:val="right"/>
              <w:ind w:right="500"/>
              <w:spacing w:after="0" w:line="197" w:lineRule="exact"/>
              <w:rPr>
                <w:sz w:val="20"/>
                <w:szCs w:val="20"/>
                <w:color w:val="auto"/>
              </w:rPr>
            </w:pPr>
            <w:r>
              <w:rPr>
                <w:rFonts w:ascii="Arial" w:cs="Arial" w:eastAsia="Arial" w:hAnsi="Arial"/>
                <w:sz w:val="18"/>
                <w:szCs w:val="18"/>
                <w:b w:val="1"/>
                <w:bCs w:val="1"/>
                <w:color w:val="auto"/>
              </w:rPr>
              <w:t>Carrying</w:t>
            </w:r>
          </w:p>
        </w:tc>
        <w:tc>
          <w:tcPr>
            <w:tcW w:w="14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392"/>
              <w:spacing w:after="0" w:line="197" w:lineRule="exact"/>
              <w:rPr>
                <w:sz w:val="20"/>
                <w:szCs w:val="20"/>
                <w:color w:val="auto"/>
              </w:rPr>
            </w:pPr>
            <w:r>
              <w:rPr>
                <w:rFonts w:ascii="Arial" w:cs="Arial" w:eastAsia="Arial" w:hAnsi="Arial"/>
                <w:sz w:val="18"/>
                <w:szCs w:val="18"/>
                <w:b w:val="1"/>
                <w:bCs w:val="1"/>
                <w:color w:val="auto"/>
              </w:rPr>
              <w:t>Fair</w:t>
            </w:r>
          </w:p>
        </w:tc>
        <w:tc>
          <w:tcPr>
            <w:tcW w:w="120" w:type="dxa"/>
            <w:vAlign w:val="bottom"/>
          </w:tcPr>
          <w:p>
            <w:pPr>
              <w:spacing w:after="0"/>
              <w:rPr>
                <w:sz w:val="17"/>
                <w:szCs w:val="17"/>
                <w:color w:val="auto"/>
              </w:rPr>
            </w:pPr>
          </w:p>
        </w:tc>
      </w:tr>
      <w:tr>
        <w:trPr>
          <w:trHeight w:val="229"/>
        </w:trPr>
        <w:tc>
          <w:tcPr>
            <w:tcW w:w="5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gridSpan w:val="2"/>
          </w:tcPr>
          <w:p>
            <w:pPr>
              <w:jc w:val="right"/>
              <w:ind w:right="760"/>
              <w:spacing w:after="0"/>
              <w:rPr>
                <w:sz w:val="20"/>
                <w:szCs w:val="20"/>
                <w:color w:val="auto"/>
              </w:rPr>
            </w:pPr>
            <w:r>
              <w:rPr>
                <w:rFonts w:ascii="Arial" w:cs="Arial" w:eastAsia="Arial" w:hAnsi="Arial"/>
                <w:sz w:val="18"/>
                <w:szCs w:val="18"/>
                <w:b w:val="1"/>
                <w:bCs w:val="1"/>
                <w:color w:val="auto"/>
              </w:rPr>
              <w:t>Value</w:t>
            </w:r>
          </w:p>
        </w:tc>
        <w:tc>
          <w:tcPr>
            <w:tcW w:w="260" w:type="dxa"/>
            <w:vAlign w:val="bottom"/>
          </w:tcPr>
          <w:p>
            <w:pPr>
              <w:spacing w:after="0"/>
              <w:rPr>
                <w:sz w:val="19"/>
                <w:szCs w:val="19"/>
                <w:color w:val="auto"/>
              </w:rPr>
            </w:pPr>
          </w:p>
        </w:tc>
        <w:tc>
          <w:tcPr>
            <w:tcW w:w="1020" w:type="dxa"/>
            <w:vAlign w:val="bottom"/>
          </w:tcPr>
          <w:p>
            <w:pPr>
              <w:jc w:val="right"/>
              <w:ind w:right="352"/>
              <w:spacing w:after="0"/>
              <w:rPr>
                <w:sz w:val="20"/>
                <w:szCs w:val="20"/>
                <w:color w:val="auto"/>
              </w:rPr>
            </w:pPr>
            <w:r>
              <w:rPr>
                <w:rFonts w:ascii="Arial" w:cs="Arial" w:eastAsia="Arial" w:hAnsi="Arial"/>
                <w:sz w:val="18"/>
                <w:szCs w:val="18"/>
                <w:b w:val="1"/>
                <w:bCs w:val="1"/>
                <w:color w:val="auto"/>
              </w:rPr>
              <w:t>Value</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Value</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Value</w:t>
            </w:r>
          </w:p>
        </w:tc>
      </w:tr>
      <w:tr>
        <w:trPr>
          <w:trHeight w:val="238"/>
        </w:trPr>
        <w:tc>
          <w:tcPr>
            <w:tcW w:w="5200" w:type="dxa"/>
            <w:vAlign w:val="bottom"/>
            <w:shd w:val="clear" w:color="auto" w:fill="EAF9E8"/>
          </w:tcPr>
          <w:p>
            <w:pPr>
              <w:spacing w:after="0"/>
              <w:rPr>
                <w:sz w:val="20"/>
                <w:szCs w:val="20"/>
                <w:color w:val="auto"/>
              </w:rPr>
            </w:pPr>
            <w:r>
              <w:rPr>
                <w:rFonts w:ascii="Arial" w:cs="Arial" w:eastAsia="Arial" w:hAnsi="Arial"/>
                <w:sz w:val="18"/>
                <w:szCs w:val="18"/>
                <w:color w:val="auto"/>
              </w:rPr>
              <w:t>Financial assets:</w:t>
            </w:r>
          </w:p>
        </w:tc>
        <w:tc>
          <w:tcPr>
            <w:tcW w:w="200" w:type="dxa"/>
            <w:vAlign w:val="bottom"/>
            <w:tcBorders>
              <w:top w:val="single" w:sz="8" w:color="auto"/>
            </w:tcBorders>
            <w:shd w:val="clear" w:color="auto" w:fill="EAF9E8"/>
          </w:tcPr>
          <w:p>
            <w:pPr>
              <w:spacing w:after="0"/>
              <w:rPr>
                <w:sz w:val="20"/>
                <w:szCs w:val="20"/>
                <w:color w:val="auto"/>
              </w:rPr>
            </w:pPr>
          </w:p>
        </w:tc>
        <w:tc>
          <w:tcPr>
            <w:tcW w:w="1060" w:type="dxa"/>
            <w:vAlign w:val="bottom"/>
            <w:tcBorders>
              <w:top w:val="single" w:sz="8" w:color="auto"/>
            </w:tcBorders>
            <w:shd w:val="clear" w:color="auto" w:fill="EAF9E8"/>
          </w:tcPr>
          <w:p>
            <w:pPr>
              <w:spacing w:after="0"/>
              <w:rPr>
                <w:sz w:val="20"/>
                <w:szCs w:val="20"/>
                <w:color w:val="auto"/>
              </w:rPr>
            </w:pPr>
          </w:p>
        </w:tc>
        <w:tc>
          <w:tcPr>
            <w:tcW w:w="340" w:type="dxa"/>
            <w:vAlign w:val="bottom"/>
            <w:shd w:val="clear" w:color="auto" w:fill="EAF9E8"/>
          </w:tcPr>
          <w:p>
            <w:pPr>
              <w:spacing w:after="0"/>
              <w:rPr>
                <w:sz w:val="20"/>
                <w:szCs w:val="20"/>
                <w:color w:val="auto"/>
              </w:rPr>
            </w:pPr>
          </w:p>
        </w:tc>
        <w:tc>
          <w:tcPr>
            <w:tcW w:w="260" w:type="dxa"/>
            <w:vAlign w:val="bottom"/>
            <w:tcBorders>
              <w:top w:val="single" w:sz="8" w:color="auto"/>
            </w:tcBorders>
            <w:shd w:val="clear" w:color="auto" w:fill="EAF9E8"/>
          </w:tcPr>
          <w:p>
            <w:pPr>
              <w:spacing w:after="0"/>
              <w:rPr>
                <w:sz w:val="20"/>
                <w:szCs w:val="20"/>
                <w:color w:val="auto"/>
              </w:rPr>
            </w:pPr>
          </w:p>
        </w:tc>
        <w:tc>
          <w:tcPr>
            <w:tcW w:w="1020" w:type="dxa"/>
            <w:vAlign w:val="bottom"/>
            <w:tcBorders>
              <w:top w:val="single" w:sz="8" w:color="auto"/>
            </w:tcBorders>
            <w:shd w:val="clear" w:color="auto" w:fill="EAF9E8"/>
          </w:tcPr>
          <w:p>
            <w:pPr>
              <w:spacing w:after="0"/>
              <w:rPr>
                <w:sz w:val="20"/>
                <w:szCs w:val="20"/>
                <w:color w:val="auto"/>
              </w:rPr>
            </w:pPr>
          </w:p>
        </w:tc>
        <w:tc>
          <w:tcPr>
            <w:tcW w:w="320" w:type="dxa"/>
            <w:vAlign w:val="bottom"/>
            <w:shd w:val="clear" w:color="auto" w:fill="EAF9E8"/>
          </w:tcPr>
          <w:p>
            <w:pPr>
              <w:spacing w:after="0"/>
              <w:rPr>
                <w:sz w:val="20"/>
                <w:szCs w:val="20"/>
                <w:color w:val="auto"/>
              </w:rPr>
            </w:pPr>
          </w:p>
        </w:tc>
        <w:tc>
          <w:tcPr>
            <w:tcW w:w="200" w:type="dxa"/>
            <w:vAlign w:val="bottom"/>
            <w:tcBorders>
              <w:top w:val="single" w:sz="8" w:color="auto"/>
            </w:tcBorders>
            <w:shd w:val="clear" w:color="auto" w:fill="EAF9E8"/>
          </w:tcPr>
          <w:p>
            <w:pPr>
              <w:spacing w:after="0"/>
              <w:rPr>
                <w:sz w:val="20"/>
                <w:szCs w:val="20"/>
                <w:color w:val="auto"/>
              </w:rPr>
            </w:pPr>
          </w:p>
        </w:tc>
        <w:tc>
          <w:tcPr>
            <w:tcW w:w="1080" w:type="dxa"/>
            <w:vAlign w:val="bottom"/>
            <w:tcBorders>
              <w:top w:val="single" w:sz="8" w:color="auto"/>
            </w:tcBorders>
            <w:shd w:val="clear" w:color="auto" w:fill="EAF9E8"/>
          </w:tcPr>
          <w:p>
            <w:pPr>
              <w:spacing w:after="0"/>
              <w:rPr>
                <w:sz w:val="20"/>
                <w:szCs w:val="20"/>
                <w:color w:val="auto"/>
              </w:rPr>
            </w:pPr>
          </w:p>
        </w:tc>
        <w:tc>
          <w:tcPr>
            <w:tcW w:w="200" w:type="dxa"/>
            <w:vAlign w:val="bottom"/>
            <w:shd w:val="clear" w:color="auto" w:fill="EAF9E8"/>
          </w:tcPr>
          <w:p>
            <w:pPr>
              <w:spacing w:after="0"/>
              <w:rPr>
                <w:sz w:val="20"/>
                <w:szCs w:val="20"/>
                <w:color w:val="auto"/>
              </w:rPr>
            </w:pPr>
          </w:p>
        </w:tc>
        <w:tc>
          <w:tcPr>
            <w:tcW w:w="140" w:type="dxa"/>
            <w:vAlign w:val="bottom"/>
            <w:shd w:val="clear" w:color="auto" w:fill="EAF9E8"/>
          </w:tcPr>
          <w:p>
            <w:pPr>
              <w:spacing w:after="0"/>
              <w:rPr>
                <w:sz w:val="20"/>
                <w:szCs w:val="20"/>
                <w:color w:val="auto"/>
              </w:rPr>
            </w:pPr>
          </w:p>
        </w:tc>
        <w:tc>
          <w:tcPr>
            <w:tcW w:w="260" w:type="dxa"/>
            <w:vAlign w:val="bottom"/>
            <w:tcBorders>
              <w:top w:val="single" w:sz="8" w:color="auto"/>
            </w:tcBorders>
            <w:shd w:val="clear" w:color="auto" w:fill="EAF9E8"/>
          </w:tcPr>
          <w:p>
            <w:pPr>
              <w:spacing w:after="0"/>
              <w:rPr>
                <w:sz w:val="20"/>
                <w:szCs w:val="20"/>
                <w:color w:val="auto"/>
              </w:rPr>
            </w:pPr>
          </w:p>
        </w:tc>
        <w:tc>
          <w:tcPr>
            <w:tcW w:w="1020" w:type="dxa"/>
            <w:vAlign w:val="bottom"/>
            <w:tcBorders>
              <w:top w:val="single" w:sz="8" w:color="auto"/>
            </w:tcBorders>
            <w:shd w:val="clear" w:color="auto" w:fill="EAF9E8"/>
          </w:tcPr>
          <w:p>
            <w:pPr>
              <w:spacing w:after="0"/>
              <w:rPr>
                <w:sz w:val="20"/>
                <w:szCs w:val="20"/>
                <w:color w:val="auto"/>
              </w:rPr>
            </w:pPr>
          </w:p>
        </w:tc>
        <w:tc>
          <w:tcPr>
            <w:tcW w:w="120" w:type="dxa"/>
            <w:vAlign w:val="bottom"/>
            <w:shd w:val="clear" w:color="auto" w:fill="EAF9E8"/>
          </w:tcPr>
          <w:p>
            <w:pPr>
              <w:spacing w:after="0"/>
              <w:rPr>
                <w:sz w:val="20"/>
                <w:szCs w:val="20"/>
                <w:color w:val="auto"/>
              </w:rPr>
            </w:pPr>
          </w:p>
        </w:tc>
      </w:tr>
      <w:tr>
        <w:trPr>
          <w:trHeight w:val="242"/>
        </w:trPr>
        <w:tc>
          <w:tcPr>
            <w:tcW w:w="5200" w:type="dxa"/>
            <w:vAlign w:val="bottom"/>
          </w:tcPr>
          <w:p>
            <w:pPr>
              <w:ind w:left="160"/>
              <w:spacing w:after="0"/>
              <w:rPr>
                <w:sz w:val="20"/>
                <w:szCs w:val="20"/>
                <w:color w:val="auto"/>
              </w:rPr>
            </w:pPr>
            <w:r>
              <w:rPr>
                <w:rFonts w:ascii="Arial" w:cs="Arial" w:eastAsia="Arial" w:hAnsi="Arial"/>
                <w:sz w:val="18"/>
                <w:szCs w:val="18"/>
                <w:color w:val="auto"/>
              </w:rPr>
              <w:t>Trading securities:</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4"/>
        </w:trPr>
        <w:tc>
          <w:tcPr>
            <w:tcW w:w="5200" w:type="dxa"/>
            <w:vAlign w:val="bottom"/>
            <w:shd w:val="clear" w:color="auto" w:fill="EAF9E8"/>
          </w:tcPr>
          <w:p>
            <w:pPr>
              <w:ind w:left="320"/>
              <w:spacing w:after="0"/>
              <w:rPr>
                <w:sz w:val="20"/>
                <w:szCs w:val="20"/>
                <w:color w:val="auto"/>
              </w:rPr>
            </w:pPr>
            <w:r>
              <w:rPr>
                <w:rFonts w:ascii="Arial" w:cs="Arial" w:eastAsia="Arial" w:hAnsi="Arial"/>
                <w:sz w:val="18"/>
                <w:szCs w:val="18"/>
                <w:color w:val="auto"/>
              </w:rPr>
              <w:t>Auction rate</w:t>
            </w:r>
          </w:p>
        </w:tc>
        <w:tc>
          <w:tcPr>
            <w:tcW w:w="200" w:type="dxa"/>
            <w:vAlign w:val="bottom"/>
            <w:shd w:val="clear" w:color="auto" w:fill="EAF9E8"/>
          </w:tcPr>
          <w:p>
            <w:pPr>
              <w:jc w:val="right"/>
              <w:ind w:right="12"/>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250,099</w:t>
            </w:r>
          </w:p>
        </w:tc>
        <w:tc>
          <w:tcPr>
            <w:tcW w:w="260" w:type="dxa"/>
            <w:vAlign w:val="bottom"/>
            <w:shd w:val="clear" w:color="auto" w:fill="EAF9E8"/>
          </w:tcPr>
          <w:p>
            <w:pPr>
              <w:jc w:val="right"/>
              <w:ind w:right="103"/>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250,099</w:t>
            </w:r>
          </w:p>
        </w:tc>
        <w:tc>
          <w:tcPr>
            <w:tcW w:w="5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239,301</w:t>
            </w:r>
          </w:p>
        </w:tc>
        <w:tc>
          <w:tcPr>
            <w:tcW w:w="40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239,301</w:t>
            </w:r>
          </w:p>
        </w:tc>
        <w:tc>
          <w:tcPr>
            <w:tcW w:w="120" w:type="dxa"/>
            <w:vAlign w:val="bottom"/>
            <w:shd w:val="clear" w:color="auto" w:fill="EAF9E8"/>
          </w:tcPr>
          <w:p>
            <w:pPr>
              <w:spacing w:after="0"/>
              <w:rPr>
                <w:sz w:val="21"/>
                <w:szCs w:val="21"/>
                <w:color w:val="auto"/>
              </w:rPr>
            </w:pPr>
          </w:p>
        </w:tc>
      </w:tr>
      <w:tr>
        <w:trPr>
          <w:trHeight w:val="242"/>
        </w:trPr>
        <w:tc>
          <w:tcPr>
            <w:tcW w:w="5200" w:type="dxa"/>
            <w:vAlign w:val="bottom"/>
          </w:tcPr>
          <w:p>
            <w:pPr>
              <w:ind w:left="320"/>
              <w:spacing w:after="0"/>
              <w:rPr>
                <w:sz w:val="20"/>
                <w:szCs w:val="20"/>
                <w:color w:val="auto"/>
              </w:rPr>
            </w:pPr>
            <w:r>
              <w:rPr>
                <w:rFonts w:ascii="Arial" w:cs="Arial" w:eastAsia="Arial" w:hAnsi="Arial"/>
                <w:sz w:val="18"/>
                <w:szCs w:val="18"/>
                <w:color w:val="auto"/>
              </w:rPr>
              <w:t>Subordinates and residuals</w:t>
            </w:r>
          </w:p>
        </w:tc>
        <w:tc>
          <w:tcPr>
            <w:tcW w:w="200" w:type="dxa"/>
            <w:vAlign w:val="bottom"/>
          </w:tcPr>
          <w:p>
            <w:pPr>
              <w:spacing w:after="0"/>
              <w:rPr>
                <w:sz w:val="21"/>
                <w:szCs w:val="21"/>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rPr>
              <w:t>4,417</w:t>
            </w:r>
          </w:p>
        </w:tc>
        <w:tc>
          <w:tcPr>
            <w:tcW w:w="2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4,417</w:t>
            </w: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4,369</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4,369</w:t>
            </w:r>
          </w:p>
        </w:tc>
        <w:tc>
          <w:tcPr>
            <w:tcW w:w="120" w:type="dxa"/>
            <w:vAlign w:val="bottom"/>
          </w:tcPr>
          <w:p>
            <w:pPr>
              <w:spacing w:after="0"/>
              <w:rPr>
                <w:sz w:val="21"/>
                <w:szCs w:val="21"/>
                <w:color w:val="auto"/>
              </w:rPr>
            </w:pPr>
          </w:p>
        </w:tc>
      </w:tr>
      <w:tr>
        <w:trPr>
          <w:trHeight w:val="244"/>
        </w:trPr>
        <w:tc>
          <w:tcPr>
            <w:tcW w:w="5200" w:type="dxa"/>
            <w:vAlign w:val="bottom"/>
            <w:shd w:val="clear" w:color="auto" w:fill="EAF9E8"/>
          </w:tcPr>
          <w:p>
            <w:pPr>
              <w:ind w:left="160"/>
              <w:spacing w:after="0"/>
              <w:rPr>
                <w:sz w:val="20"/>
                <w:szCs w:val="20"/>
                <w:color w:val="auto"/>
              </w:rPr>
            </w:pPr>
            <w:r>
              <w:rPr>
                <w:rFonts w:ascii="Arial" w:cs="Arial" w:eastAsia="Arial" w:hAnsi="Arial"/>
                <w:sz w:val="18"/>
                <w:szCs w:val="18"/>
                <w:color w:val="auto"/>
              </w:rPr>
              <w:t>Loans held for resale</w:t>
            </w:r>
          </w:p>
        </w:tc>
        <w:tc>
          <w:tcPr>
            <w:tcW w:w="200" w:type="dxa"/>
            <w:vAlign w:val="bottom"/>
            <w:shd w:val="clear" w:color="auto" w:fill="EAF9E8"/>
          </w:tcPr>
          <w:p>
            <w:pPr>
              <w:spacing w:after="0"/>
              <w:rPr>
                <w:sz w:val="21"/>
                <w:szCs w:val="21"/>
                <w:color w:val="auto"/>
              </w:rPr>
            </w:pPr>
          </w:p>
        </w:tc>
        <w:tc>
          <w:tcPr>
            <w:tcW w:w="140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36,618</w:t>
            </w:r>
          </w:p>
        </w:tc>
        <w:tc>
          <w:tcPr>
            <w:tcW w:w="260" w:type="dxa"/>
            <w:vAlign w:val="bottom"/>
            <w:shd w:val="clear" w:color="auto" w:fill="EAF9E8"/>
          </w:tcPr>
          <w:p>
            <w:pPr>
              <w:spacing w:after="0"/>
              <w:rPr>
                <w:sz w:val="21"/>
                <w:szCs w:val="21"/>
                <w:color w:val="auto"/>
              </w:rPr>
            </w:pP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36,618</w:t>
            </w:r>
          </w:p>
        </w:tc>
        <w:tc>
          <w:tcPr>
            <w:tcW w:w="320" w:type="dxa"/>
            <w:vAlign w:val="bottom"/>
            <w:shd w:val="clear" w:color="auto" w:fill="EAF9E8"/>
          </w:tcPr>
          <w:p>
            <w:pPr>
              <w:spacing w:after="0"/>
              <w:rPr>
                <w:sz w:val="21"/>
                <w:szCs w:val="21"/>
                <w:color w:val="auto"/>
              </w:rPr>
            </w:pPr>
          </w:p>
        </w:tc>
        <w:tc>
          <w:tcPr>
            <w:tcW w:w="200" w:type="dxa"/>
            <w:vAlign w:val="bottom"/>
            <w:shd w:val="clear" w:color="auto" w:fill="EAF9E8"/>
          </w:tcPr>
          <w:p>
            <w:pPr>
              <w:spacing w:after="0"/>
              <w:rPr>
                <w:sz w:val="21"/>
                <w:szCs w:val="21"/>
                <w:color w:val="auto"/>
              </w:rPr>
            </w:pPr>
          </w:p>
        </w:tc>
        <w:tc>
          <w:tcPr>
            <w:tcW w:w="128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49,918</w:t>
            </w:r>
          </w:p>
        </w:tc>
        <w:tc>
          <w:tcPr>
            <w:tcW w:w="140" w:type="dxa"/>
            <w:vAlign w:val="bottom"/>
            <w:shd w:val="clear" w:color="auto" w:fill="EAF9E8"/>
          </w:tcPr>
          <w:p>
            <w:pPr>
              <w:spacing w:after="0"/>
              <w:rPr>
                <w:sz w:val="21"/>
                <w:szCs w:val="21"/>
                <w:color w:val="auto"/>
              </w:rPr>
            </w:pPr>
          </w:p>
        </w:tc>
        <w:tc>
          <w:tcPr>
            <w:tcW w:w="260" w:type="dxa"/>
            <w:vAlign w:val="bottom"/>
            <w:shd w:val="clear" w:color="auto" w:fill="EAF9E8"/>
          </w:tcPr>
          <w:p>
            <w:pPr>
              <w:spacing w:after="0"/>
              <w:rPr>
                <w:sz w:val="21"/>
                <w:szCs w:val="21"/>
                <w:color w:val="auto"/>
              </w:rPr>
            </w:pP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49,918</w:t>
            </w:r>
          </w:p>
        </w:tc>
        <w:tc>
          <w:tcPr>
            <w:tcW w:w="120" w:type="dxa"/>
            <w:vAlign w:val="bottom"/>
            <w:shd w:val="clear" w:color="auto" w:fill="EAF9E8"/>
          </w:tcPr>
          <w:p>
            <w:pPr>
              <w:spacing w:after="0"/>
              <w:rPr>
                <w:sz w:val="21"/>
                <w:szCs w:val="21"/>
                <w:color w:val="auto"/>
              </w:rPr>
            </w:pPr>
          </w:p>
        </w:tc>
      </w:tr>
      <w:tr>
        <w:trPr>
          <w:trHeight w:val="242"/>
        </w:trPr>
        <w:tc>
          <w:tcPr>
            <w:tcW w:w="5200" w:type="dxa"/>
            <w:vAlign w:val="bottom"/>
          </w:tcPr>
          <w:p>
            <w:pPr>
              <w:ind w:left="160"/>
              <w:spacing w:after="0"/>
              <w:rPr>
                <w:sz w:val="20"/>
                <w:szCs w:val="20"/>
                <w:color w:val="auto"/>
              </w:rPr>
            </w:pPr>
            <w:r>
              <w:rPr>
                <w:rFonts w:ascii="Arial" w:cs="Arial" w:eastAsia="Arial" w:hAnsi="Arial"/>
                <w:sz w:val="18"/>
                <w:szCs w:val="18"/>
                <w:color w:val="auto"/>
              </w:rPr>
              <w:t>Advances</w:t>
            </w:r>
          </w:p>
        </w:tc>
        <w:tc>
          <w:tcPr>
            <w:tcW w:w="200" w:type="dxa"/>
            <w:vAlign w:val="bottom"/>
          </w:tcPr>
          <w:p>
            <w:pPr>
              <w:spacing w:after="0"/>
              <w:rPr>
                <w:sz w:val="21"/>
                <w:szCs w:val="21"/>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rPr>
              <w:t>1,010,804</w:t>
            </w:r>
          </w:p>
        </w:tc>
        <w:tc>
          <w:tcPr>
            <w:tcW w:w="2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1,010,804</w:t>
            </w: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1,202,640</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1,202,640</w:t>
            </w:r>
          </w:p>
        </w:tc>
        <w:tc>
          <w:tcPr>
            <w:tcW w:w="120" w:type="dxa"/>
            <w:vAlign w:val="bottom"/>
          </w:tcPr>
          <w:p>
            <w:pPr>
              <w:spacing w:after="0"/>
              <w:rPr>
                <w:sz w:val="21"/>
                <w:szCs w:val="21"/>
                <w:color w:val="auto"/>
              </w:rPr>
            </w:pPr>
          </w:p>
        </w:tc>
      </w:tr>
      <w:tr>
        <w:trPr>
          <w:trHeight w:val="244"/>
        </w:trPr>
        <w:tc>
          <w:tcPr>
            <w:tcW w:w="5200" w:type="dxa"/>
            <w:vAlign w:val="bottom"/>
            <w:shd w:val="clear" w:color="auto" w:fill="EAF9E8"/>
          </w:tcPr>
          <w:p>
            <w:pPr>
              <w:ind w:left="160"/>
              <w:spacing w:after="0"/>
              <w:rPr>
                <w:sz w:val="20"/>
                <w:szCs w:val="20"/>
                <w:color w:val="auto"/>
              </w:rPr>
            </w:pPr>
            <w:r>
              <w:rPr>
                <w:rFonts w:ascii="Arial" w:cs="Arial" w:eastAsia="Arial" w:hAnsi="Arial"/>
                <w:sz w:val="18"/>
                <w:szCs w:val="18"/>
                <w:color w:val="auto"/>
              </w:rPr>
              <w:t>Receivables</w:t>
            </w:r>
          </w:p>
        </w:tc>
        <w:tc>
          <w:tcPr>
            <w:tcW w:w="200" w:type="dxa"/>
            <w:vAlign w:val="bottom"/>
            <w:shd w:val="clear" w:color="auto" w:fill="EAF9E8"/>
          </w:tcPr>
          <w:p>
            <w:pPr>
              <w:spacing w:after="0"/>
              <w:rPr>
                <w:sz w:val="21"/>
                <w:szCs w:val="21"/>
                <w:color w:val="auto"/>
              </w:rPr>
            </w:pPr>
          </w:p>
        </w:tc>
        <w:tc>
          <w:tcPr>
            <w:tcW w:w="140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33,135</w:t>
            </w:r>
          </w:p>
        </w:tc>
        <w:tc>
          <w:tcPr>
            <w:tcW w:w="260" w:type="dxa"/>
            <w:vAlign w:val="bottom"/>
            <w:shd w:val="clear" w:color="auto" w:fill="EAF9E8"/>
          </w:tcPr>
          <w:p>
            <w:pPr>
              <w:spacing w:after="0"/>
              <w:rPr>
                <w:sz w:val="21"/>
                <w:szCs w:val="21"/>
                <w:color w:val="auto"/>
              </w:rPr>
            </w:pP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33,135</w:t>
            </w:r>
          </w:p>
        </w:tc>
        <w:tc>
          <w:tcPr>
            <w:tcW w:w="320" w:type="dxa"/>
            <w:vAlign w:val="bottom"/>
            <w:shd w:val="clear" w:color="auto" w:fill="EAF9E8"/>
          </w:tcPr>
          <w:p>
            <w:pPr>
              <w:spacing w:after="0"/>
              <w:rPr>
                <w:sz w:val="21"/>
                <w:szCs w:val="21"/>
                <w:color w:val="auto"/>
              </w:rPr>
            </w:pPr>
          </w:p>
        </w:tc>
        <w:tc>
          <w:tcPr>
            <w:tcW w:w="200" w:type="dxa"/>
            <w:vAlign w:val="bottom"/>
            <w:shd w:val="clear" w:color="auto" w:fill="EAF9E8"/>
          </w:tcPr>
          <w:p>
            <w:pPr>
              <w:spacing w:after="0"/>
              <w:rPr>
                <w:sz w:val="21"/>
                <w:szCs w:val="21"/>
                <w:color w:val="auto"/>
              </w:rPr>
            </w:pPr>
          </w:p>
        </w:tc>
        <w:tc>
          <w:tcPr>
            <w:tcW w:w="128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42,798</w:t>
            </w:r>
          </w:p>
        </w:tc>
        <w:tc>
          <w:tcPr>
            <w:tcW w:w="140" w:type="dxa"/>
            <w:vAlign w:val="bottom"/>
            <w:shd w:val="clear" w:color="auto" w:fill="EAF9E8"/>
          </w:tcPr>
          <w:p>
            <w:pPr>
              <w:spacing w:after="0"/>
              <w:rPr>
                <w:sz w:val="21"/>
                <w:szCs w:val="21"/>
                <w:color w:val="auto"/>
              </w:rPr>
            </w:pPr>
          </w:p>
        </w:tc>
        <w:tc>
          <w:tcPr>
            <w:tcW w:w="260" w:type="dxa"/>
            <w:vAlign w:val="bottom"/>
            <w:shd w:val="clear" w:color="auto" w:fill="EAF9E8"/>
          </w:tcPr>
          <w:p>
            <w:pPr>
              <w:spacing w:after="0"/>
              <w:rPr>
                <w:sz w:val="21"/>
                <w:szCs w:val="21"/>
                <w:color w:val="auto"/>
              </w:rPr>
            </w:pP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42,798</w:t>
            </w:r>
          </w:p>
        </w:tc>
        <w:tc>
          <w:tcPr>
            <w:tcW w:w="120" w:type="dxa"/>
            <w:vAlign w:val="bottom"/>
            <w:shd w:val="clear" w:color="auto" w:fill="EAF9E8"/>
          </w:tcPr>
          <w:p>
            <w:pPr>
              <w:spacing w:after="0"/>
              <w:rPr>
                <w:sz w:val="21"/>
                <w:szCs w:val="21"/>
                <w:color w:val="auto"/>
              </w:rPr>
            </w:pPr>
          </w:p>
        </w:tc>
      </w:tr>
      <w:tr>
        <w:trPr>
          <w:trHeight w:val="242"/>
        </w:trPr>
        <w:tc>
          <w:tcPr>
            <w:tcW w:w="5200" w:type="dxa"/>
            <w:vAlign w:val="bottom"/>
          </w:tcPr>
          <w:p>
            <w:pPr>
              <w:spacing w:after="0"/>
              <w:rPr>
                <w:sz w:val="20"/>
                <w:szCs w:val="20"/>
                <w:color w:val="auto"/>
              </w:rPr>
            </w:pPr>
            <w:r>
              <w:rPr>
                <w:rFonts w:ascii="Arial" w:cs="Arial" w:eastAsia="Arial" w:hAnsi="Arial"/>
                <w:sz w:val="18"/>
                <w:szCs w:val="18"/>
                <w:color w:val="auto"/>
              </w:rPr>
              <w:t>Financial liabilities:</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4"/>
        </w:trPr>
        <w:tc>
          <w:tcPr>
            <w:tcW w:w="5200" w:type="dxa"/>
            <w:vAlign w:val="bottom"/>
            <w:shd w:val="clear" w:color="auto" w:fill="EAF9E8"/>
          </w:tcPr>
          <w:p>
            <w:pPr>
              <w:ind w:left="160"/>
              <w:spacing w:after="0"/>
              <w:rPr>
                <w:sz w:val="20"/>
                <w:szCs w:val="20"/>
                <w:color w:val="auto"/>
              </w:rPr>
            </w:pPr>
            <w:r>
              <w:rPr>
                <w:rFonts w:ascii="Arial" w:cs="Arial" w:eastAsia="Arial" w:hAnsi="Arial"/>
                <w:sz w:val="18"/>
                <w:szCs w:val="18"/>
                <w:color w:val="auto"/>
              </w:rPr>
              <w:t>Match funded liabilities</w:t>
            </w:r>
          </w:p>
        </w:tc>
        <w:tc>
          <w:tcPr>
            <w:tcW w:w="200" w:type="dxa"/>
            <w:vAlign w:val="bottom"/>
            <w:shd w:val="clear" w:color="auto" w:fill="EAF9E8"/>
          </w:tcPr>
          <w:p>
            <w:pPr>
              <w:jc w:val="right"/>
              <w:ind w:right="12"/>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529,779</w:t>
            </w:r>
          </w:p>
        </w:tc>
        <w:tc>
          <w:tcPr>
            <w:tcW w:w="260" w:type="dxa"/>
            <w:vAlign w:val="bottom"/>
            <w:shd w:val="clear" w:color="auto" w:fill="EAF9E8"/>
          </w:tcPr>
          <w:p>
            <w:pPr>
              <w:jc w:val="right"/>
              <w:ind w:right="103"/>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529,779</w:t>
            </w:r>
          </w:p>
        </w:tc>
        <w:tc>
          <w:tcPr>
            <w:tcW w:w="5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961,939</w:t>
            </w:r>
          </w:p>
        </w:tc>
        <w:tc>
          <w:tcPr>
            <w:tcW w:w="40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965,233</w:t>
            </w:r>
          </w:p>
        </w:tc>
        <w:tc>
          <w:tcPr>
            <w:tcW w:w="120" w:type="dxa"/>
            <w:vAlign w:val="bottom"/>
            <w:shd w:val="clear" w:color="auto" w:fill="EAF9E8"/>
          </w:tcPr>
          <w:p>
            <w:pPr>
              <w:spacing w:after="0"/>
              <w:rPr>
                <w:sz w:val="21"/>
                <w:szCs w:val="21"/>
                <w:color w:val="auto"/>
              </w:rPr>
            </w:pPr>
          </w:p>
        </w:tc>
      </w:tr>
      <w:tr>
        <w:trPr>
          <w:trHeight w:val="242"/>
        </w:trPr>
        <w:tc>
          <w:tcPr>
            <w:tcW w:w="5200" w:type="dxa"/>
            <w:vAlign w:val="bottom"/>
          </w:tcPr>
          <w:p>
            <w:pPr>
              <w:ind w:left="160"/>
              <w:spacing w:after="0"/>
              <w:rPr>
                <w:sz w:val="20"/>
                <w:szCs w:val="20"/>
                <w:color w:val="auto"/>
              </w:rPr>
            </w:pPr>
            <w:r>
              <w:rPr>
                <w:rFonts w:ascii="Arial" w:cs="Arial" w:eastAsia="Arial" w:hAnsi="Arial"/>
                <w:sz w:val="18"/>
                <w:szCs w:val="18"/>
                <w:color w:val="auto"/>
              </w:rPr>
              <w:t>Lines of credit and other secured borrowings</w:t>
            </w:r>
          </w:p>
        </w:tc>
        <w:tc>
          <w:tcPr>
            <w:tcW w:w="200" w:type="dxa"/>
            <w:vAlign w:val="bottom"/>
          </w:tcPr>
          <w:p>
            <w:pPr>
              <w:spacing w:after="0"/>
              <w:rPr>
                <w:sz w:val="21"/>
                <w:szCs w:val="21"/>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rPr>
              <w:t>54,665</w:t>
            </w:r>
          </w:p>
        </w:tc>
        <w:tc>
          <w:tcPr>
            <w:tcW w:w="2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54,665</w:t>
            </w: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116,870</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116,870</w:t>
            </w:r>
          </w:p>
        </w:tc>
        <w:tc>
          <w:tcPr>
            <w:tcW w:w="120" w:type="dxa"/>
            <w:vAlign w:val="bottom"/>
          </w:tcPr>
          <w:p>
            <w:pPr>
              <w:spacing w:after="0"/>
              <w:rPr>
                <w:sz w:val="21"/>
                <w:szCs w:val="21"/>
                <w:color w:val="auto"/>
              </w:rPr>
            </w:pPr>
          </w:p>
        </w:tc>
      </w:tr>
      <w:tr>
        <w:trPr>
          <w:trHeight w:val="244"/>
        </w:trPr>
        <w:tc>
          <w:tcPr>
            <w:tcW w:w="5200" w:type="dxa"/>
            <w:vAlign w:val="bottom"/>
            <w:shd w:val="clear" w:color="auto" w:fill="EAF9E8"/>
          </w:tcPr>
          <w:p>
            <w:pPr>
              <w:ind w:left="160"/>
              <w:spacing w:after="0"/>
              <w:rPr>
                <w:sz w:val="20"/>
                <w:szCs w:val="20"/>
                <w:color w:val="auto"/>
              </w:rPr>
            </w:pPr>
            <w:r>
              <w:rPr>
                <w:rFonts w:ascii="Arial" w:cs="Arial" w:eastAsia="Arial" w:hAnsi="Arial"/>
                <w:sz w:val="18"/>
                <w:szCs w:val="18"/>
                <w:color w:val="auto"/>
              </w:rPr>
              <w:t>Investment line</w:t>
            </w:r>
          </w:p>
        </w:tc>
        <w:tc>
          <w:tcPr>
            <w:tcW w:w="200" w:type="dxa"/>
            <w:vAlign w:val="bottom"/>
            <w:shd w:val="clear" w:color="auto" w:fill="EAF9E8"/>
          </w:tcPr>
          <w:p>
            <w:pPr>
              <w:spacing w:after="0"/>
              <w:rPr>
                <w:sz w:val="21"/>
                <w:szCs w:val="21"/>
                <w:color w:val="auto"/>
              </w:rPr>
            </w:pPr>
          </w:p>
        </w:tc>
        <w:tc>
          <w:tcPr>
            <w:tcW w:w="140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167,168</w:t>
            </w:r>
          </w:p>
        </w:tc>
        <w:tc>
          <w:tcPr>
            <w:tcW w:w="260" w:type="dxa"/>
            <w:vAlign w:val="bottom"/>
            <w:shd w:val="clear" w:color="auto" w:fill="EAF9E8"/>
          </w:tcPr>
          <w:p>
            <w:pPr>
              <w:spacing w:after="0"/>
              <w:rPr>
                <w:sz w:val="21"/>
                <w:szCs w:val="21"/>
                <w:color w:val="auto"/>
              </w:rPr>
            </w:pP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167,168</w:t>
            </w:r>
          </w:p>
        </w:tc>
        <w:tc>
          <w:tcPr>
            <w:tcW w:w="320" w:type="dxa"/>
            <w:vAlign w:val="bottom"/>
            <w:shd w:val="clear" w:color="auto" w:fill="EAF9E8"/>
          </w:tcPr>
          <w:p>
            <w:pPr>
              <w:spacing w:after="0"/>
              <w:rPr>
                <w:sz w:val="21"/>
                <w:szCs w:val="21"/>
                <w:color w:val="auto"/>
              </w:rPr>
            </w:pPr>
          </w:p>
        </w:tc>
        <w:tc>
          <w:tcPr>
            <w:tcW w:w="200" w:type="dxa"/>
            <w:vAlign w:val="bottom"/>
            <w:shd w:val="clear" w:color="auto" w:fill="EAF9E8"/>
          </w:tcPr>
          <w:p>
            <w:pPr>
              <w:spacing w:after="0"/>
              <w:rPr>
                <w:sz w:val="21"/>
                <w:szCs w:val="21"/>
                <w:color w:val="auto"/>
              </w:rPr>
            </w:pPr>
          </w:p>
        </w:tc>
        <w:tc>
          <w:tcPr>
            <w:tcW w:w="128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200,719</w:t>
            </w:r>
          </w:p>
        </w:tc>
        <w:tc>
          <w:tcPr>
            <w:tcW w:w="140" w:type="dxa"/>
            <w:vAlign w:val="bottom"/>
            <w:shd w:val="clear" w:color="auto" w:fill="EAF9E8"/>
          </w:tcPr>
          <w:p>
            <w:pPr>
              <w:spacing w:after="0"/>
              <w:rPr>
                <w:sz w:val="21"/>
                <w:szCs w:val="21"/>
                <w:color w:val="auto"/>
              </w:rPr>
            </w:pPr>
          </w:p>
        </w:tc>
        <w:tc>
          <w:tcPr>
            <w:tcW w:w="260" w:type="dxa"/>
            <w:vAlign w:val="bottom"/>
            <w:shd w:val="clear" w:color="auto" w:fill="EAF9E8"/>
          </w:tcPr>
          <w:p>
            <w:pPr>
              <w:spacing w:after="0"/>
              <w:rPr>
                <w:sz w:val="21"/>
                <w:szCs w:val="21"/>
                <w:color w:val="auto"/>
              </w:rPr>
            </w:pP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200,719</w:t>
            </w:r>
          </w:p>
        </w:tc>
        <w:tc>
          <w:tcPr>
            <w:tcW w:w="120" w:type="dxa"/>
            <w:vAlign w:val="bottom"/>
            <w:shd w:val="clear" w:color="auto" w:fill="EAF9E8"/>
          </w:tcPr>
          <w:p>
            <w:pPr>
              <w:spacing w:after="0"/>
              <w:rPr>
                <w:sz w:val="21"/>
                <w:szCs w:val="21"/>
                <w:color w:val="auto"/>
              </w:rPr>
            </w:pPr>
          </w:p>
        </w:tc>
      </w:tr>
      <w:tr>
        <w:trPr>
          <w:trHeight w:val="242"/>
        </w:trPr>
        <w:tc>
          <w:tcPr>
            <w:tcW w:w="5200" w:type="dxa"/>
            <w:vAlign w:val="bottom"/>
          </w:tcPr>
          <w:p>
            <w:pPr>
              <w:ind w:left="160"/>
              <w:spacing w:after="0"/>
              <w:rPr>
                <w:sz w:val="20"/>
                <w:szCs w:val="20"/>
                <w:color w:val="auto"/>
              </w:rPr>
            </w:pPr>
            <w:r>
              <w:rPr>
                <w:rFonts w:ascii="Arial" w:cs="Arial" w:eastAsia="Arial" w:hAnsi="Arial"/>
                <w:sz w:val="18"/>
                <w:szCs w:val="18"/>
                <w:color w:val="auto"/>
              </w:rPr>
              <w:t>Servicer liabilities</w:t>
            </w:r>
          </w:p>
        </w:tc>
        <w:tc>
          <w:tcPr>
            <w:tcW w:w="200" w:type="dxa"/>
            <w:vAlign w:val="bottom"/>
          </w:tcPr>
          <w:p>
            <w:pPr>
              <w:spacing w:after="0"/>
              <w:rPr>
                <w:sz w:val="21"/>
                <w:szCs w:val="21"/>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rPr>
              <w:t>59,457</w:t>
            </w:r>
          </w:p>
        </w:tc>
        <w:tc>
          <w:tcPr>
            <w:tcW w:w="2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59,457</w:t>
            </w: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135,751</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135,751</w:t>
            </w:r>
          </w:p>
        </w:tc>
        <w:tc>
          <w:tcPr>
            <w:tcW w:w="120" w:type="dxa"/>
            <w:vAlign w:val="bottom"/>
          </w:tcPr>
          <w:p>
            <w:pPr>
              <w:spacing w:after="0"/>
              <w:rPr>
                <w:sz w:val="21"/>
                <w:szCs w:val="21"/>
                <w:color w:val="auto"/>
              </w:rPr>
            </w:pPr>
          </w:p>
        </w:tc>
      </w:tr>
      <w:tr>
        <w:trPr>
          <w:trHeight w:val="244"/>
        </w:trPr>
        <w:tc>
          <w:tcPr>
            <w:tcW w:w="5200" w:type="dxa"/>
            <w:vAlign w:val="bottom"/>
            <w:shd w:val="clear" w:color="auto" w:fill="EAF9E8"/>
          </w:tcPr>
          <w:p>
            <w:pPr>
              <w:ind w:left="160"/>
              <w:spacing w:after="0"/>
              <w:rPr>
                <w:sz w:val="20"/>
                <w:szCs w:val="20"/>
                <w:color w:val="auto"/>
              </w:rPr>
            </w:pPr>
            <w:r>
              <w:rPr>
                <w:rFonts w:ascii="Arial" w:cs="Arial" w:eastAsia="Arial" w:hAnsi="Arial"/>
                <w:sz w:val="18"/>
                <w:szCs w:val="18"/>
                <w:color w:val="auto"/>
              </w:rPr>
              <w:t>Debt securities</w:t>
            </w:r>
          </w:p>
        </w:tc>
        <w:tc>
          <w:tcPr>
            <w:tcW w:w="200" w:type="dxa"/>
            <w:vAlign w:val="bottom"/>
            <w:shd w:val="clear" w:color="auto" w:fill="EAF9E8"/>
          </w:tcPr>
          <w:p>
            <w:pPr>
              <w:spacing w:after="0"/>
              <w:rPr>
                <w:sz w:val="21"/>
                <w:szCs w:val="21"/>
                <w:color w:val="auto"/>
              </w:rPr>
            </w:pPr>
          </w:p>
        </w:tc>
        <w:tc>
          <w:tcPr>
            <w:tcW w:w="140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109,814</w:t>
            </w:r>
          </w:p>
        </w:tc>
        <w:tc>
          <w:tcPr>
            <w:tcW w:w="260" w:type="dxa"/>
            <w:vAlign w:val="bottom"/>
            <w:shd w:val="clear" w:color="auto" w:fill="EAF9E8"/>
          </w:tcPr>
          <w:p>
            <w:pPr>
              <w:spacing w:after="0"/>
              <w:rPr>
                <w:sz w:val="21"/>
                <w:szCs w:val="21"/>
                <w:color w:val="auto"/>
              </w:rPr>
            </w:pP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101,258</w:t>
            </w:r>
          </w:p>
        </w:tc>
        <w:tc>
          <w:tcPr>
            <w:tcW w:w="320" w:type="dxa"/>
            <w:vAlign w:val="bottom"/>
            <w:shd w:val="clear" w:color="auto" w:fill="EAF9E8"/>
          </w:tcPr>
          <w:p>
            <w:pPr>
              <w:spacing w:after="0"/>
              <w:rPr>
                <w:sz w:val="21"/>
                <w:szCs w:val="21"/>
                <w:color w:val="auto"/>
              </w:rPr>
            </w:pPr>
          </w:p>
        </w:tc>
        <w:tc>
          <w:tcPr>
            <w:tcW w:w="200" w:type="dxa"/>
            <w:vAlign w:val="bottom"/>
            <w:shd w:val="clear" w:color="auto" w:fill="EAF9E8"/>
          </w:tcPr>
          <w:p>
            <w:pPr>
              <w:spacing w:after="0"/>
              <w:rPr>
                <w:sz w:val="21"/>
                <w:szCs w:val="21"/>
                <w:color w:val="auto"/>
              </w:rPr>
            </w:pPr>
          </w:p>
        </w:tc>
        <w:tc>
          <w:tcPr>
            <w:tcW w:w="128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133,367</w:t>
            </w:r>
          </w:p>
        </w:tc>
        <w:tc>
          <w:tcPr>
            <w:tcW w:w="140" w:type="dxa"/>
            <w:vAlign w:val="bottom"/>
            <w:shd w:val="clear" w:color="auto" w:fill="EAF9E8"/>
          </w:tcPr>
          <w:p>
            <w:pPr>
              <w:spacing w:after="0"/>
              <w:rPr>
                <w:sz w:val="21"/>
                <w:szCs w:val="21"/>
                <w:color w:val="auto"/>
              </w:rPr>
            </w:pPr>
          </w:p>
        </w:tc>
        <w:tc>
          <w:tcPr>
            <w:tcW w:w="260" w:type="dxa"/>
            <w:vAlign w:val="bottom"/>
            <w:shd w:val="clear" w:color="auto" w:fill="EAF9E8"/>
          </w:tcPr>
          <w:p>
            <w:pPr>
              <w:spacing w:after="0"/>
              <w:rPr>
                <w:sz w:val="21"/>
                <w:szCs w:val="21"/>
                <w:color w:val="auto"/>
              </w:rPr>
            </w:pP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112,764</w:t>
            </w:r>
          </w:p>
        </w:tc>
        <w:tc>
          <w:tcPr>
            <w:tcW w:w="120" w:type="dxa"/>
            <w:vAlign w:val="bottom"/>
            <w:shd w:val="clear" w:color="auto" w:fill="EAF9E8"/>
          </w:tcPr>
          <w:p>
            <w:pPr>
              <w:spacing w:after="0"/>
              <w:rPr>
                <w:sz w:val="21"/>
                <w:szCs w:val="21"/>
                <w:color w:val="auto"/>
              </w:rPr>
            </w:pPr>
          </w:p>
        </w:tc>
      </w:tr>
      <w:tr>
        <w:trPr>
          <w:trHeight w:val="241"/>
        </w:trPr>
        <w:tc>
          <w:tcPr>
            <w:tcW w:w="5200" w:type="dxa"/>
            <w:vAlign w:val="bottom"/>
          </w:tcPr>
          <w:p>
            <w:pPr>
              <w:spacing w:after="0"/>
              <w:rPr>
                <w:sz w:val="20"/>
                <w:szCs w:val="20"/>
                <w:color w:val="auto"/>
              </w:rPr>
            </w:pPr>
            <w:r>
              <w:rPr>
                <w:rFonts w:ascii="Arial" w:cs="Arial" w:eastAsia="Arial" w:hAnsi="Arial"/>
                <w:sz w:val="18"/>
                <w:szCs w:val="18"/>
                <w:color w:val="auto"/>
              </w:rPr>
              <w:t>Derivative financial instruments, net</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rPr>
              <w:t>631</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631</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(533)</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(533)</w:t>
            </w:r>
          </w:p>
        </w:tc>
      </w:tr>
    </w:tbl>
    <w:p>
      <w:pPr>
        <w:spacing w:after="0" w:line="210" w:lineRule="exact"/>
        <w:rPr>
          <w:sz w:val="20"/>
          <w:szCs w:val="20"/>
          <w:color w:val="auto"/>
        </w:rPr>
      </w:pPr>
    </w:p>
    <w:p>
      <w:pPr>
        <w:ind w:right="60" w:firstLine="439"/>
        <w:spacing w:after="0" w:line="254" w:lineRule="auto"/>
        <w:rPr>
          <w:sz w:val="20"/>
          <w:szCs w:val="20"/>
          <w:color w:val="auto"/>
        </w:rPr>
      </w:pPr>
      <w:r>
        <w:rPr>
          <w:rFonts w:ascii="Arial" w:cs="Arial" w:eastAsia="Arial" w:hAnsi="Arial"/>
          <w:sz w:val="18"/>
          <w:szCs w:val="18"/>
          <w:color w:val="auto"/>
        </w:rPr>
        <w:t>Fair value is estimated based on a hierarchy that maximizes the use of observable inputs and minimizes the use of unobservable inputs. Observable inputs are inputs that reflect the assumptions market participants would use in pricing the asset or liability developed based on market data obtained from sources independent of the reporting entity. Unobservable inputs are inputs that reflect the reporting entity’s own assumptions about the assumptions market participants would use in pricing the asset or liability developed based on the best information available in the circumstances. The fair value hierarchy prioritizes the inputs to valuation techniques into three broad levels whereby the highest priority is given to Level 1 inputs and the lowest to Level 3 inputs. The three broad categories are:</w:t>
      </w:r>
    </w:p>
    <w:p>
      <w:pPr>
        <w:spacing w:after="0" w:line="212" w:lineRule="exact"/>
        <w:rPr>
          <w:sz w:val="20"/>
          <w:szCs w:val="20"/>
          <w:color w:val="auto"/>
        </w:rPr>
      </w:pPr>
    </w:p>
    <w:p>
      <w:pPr>
        <w:ind w:left="580"/>
        <w:spacing w:after="0"/>
        <w:tabs>
          <w:tab w:leader="none" w:pos="146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Quoted prices in active markets for identical assets or liabilities.</w:t>
      </w:r>
    </w:p>
    <w:p>
      <w:pPr>
        <w:spacing w:after="0" w:line="279" w:lineRule="exact"/>
        <w:rPr>
          <w:sz w:val="20"/>
          <w:szCs w:val="20"/>
          <w:color w:val="auto"/>
        </w:rPr>
      </w:pPr>
    </w:p>
    <w:p>
      <w:pPr>
        <w:ind w:left="1480" w:right="220" w:hanging="904"/>
        <w:spacing w:after="0" w:line="268" w:lineRule="auto"/>
        <w:tabs>
          <w:tab w:leader="none" w:pos="146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Inputs other than quoted prices that are observable for the asset or liability, either directly or indirectly for substantially the full term of the financial instrument.</w:t>
      </w:r>
    </w:p>
    <w:p>
      <w:pPr>
        <w:spacing w:after="0" w:line="213" w:lineRule="exact"/>
        <w:rPr>
          <w:sz w:val="20"/>
          <w:szCs w:val="20"/>
          <w:color w:val="auto"/>
        </w:rPr>
      </w:pPr>
    </w:p>
    <w:p>
      <w:pPr>
        <w:ind w:left="580"/>
        <w:spacing w:after="0"/>
        <w:tabs>
          <w:tab w:leader="none" w:pos="146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6"/>
          <w:szCs w:val="16"/>
          <w:color w:val="auto"/>
        </w:rPr>
        <w:t>Unobservable inputs for the asset or liability.</w:t>
      </w:r>
    </w:p>
    <w:p>
      <w:pPr>
        <w:sectPr>
          <w:pgSz w:w="11900" w:h="16838" w:orient="portrait"/>
          <w:cols w:equalWidth="0" w:num="1">
            <w:col w:w="11420"/>
          </w:cols>
          <w:pgMar w:left="240" w:top="131"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16" w:name="page17"/>
    <w:bookmarkEnd w:id="16"/>
    <w:p>
      <w:pPr>
        <w:jc w:val="both"/>
        <w:ind w:right="280" w:firstLine="436"/>
        <w:spacing w:after="0" w:line="259" w:lineRule="auto"/>
        <w:rPr>
          <w:sz w:val="20"/>
          <w:szCs w:val="20"/>
          <w:color w:val="auto"/>
        </w:rPr>
      </w:pPr>
      <w:r>
        <w:rPr>
          <w:rFonts w:ascii="Arial" w:cs="Arial" w:eastAsia="Arial" w:hAnsi="Arial"/>
          <w:sz w:val="18"/>
          <w:szCs w:val="18"/>
          <w:color w:val="auto"/>
        </w:rPr>
        <w:t>Where available, we utilize quoted market prices or observable inputs rather than unobservable inputs to determine fair value. We classify assets in their entirety based on the lowest level of input that is significant to the fair value measurement. The following table sets forth assets and liabilities measured at fair value categorized by input level within the fair value hierarchy:</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5"/>
              </w:rPr>
              <w:t>Carrying value</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Level 1</w:t>
            </w:r>
          </w:p>
        </w:tc>
        <w:tc>
          <w:tcPr>
            <w:tcW w:w="240" w:type="dxa"/>
            <w:vAlign w:val="bottom"/>
          </w:tcPr>
          <w:p>
            <w:pPr>
              <w:spacing w:after="0"/>
              <w:rPr>
                <w:sz w:val="19"/>
                <w:szCs w:val="19"/>
                <w:color w:val="auto"/>
              </w:rPr>
            </w:pPr>
          </w:p>
        </w:tc>
        <w:tc>
          <w:tcPr>
            <w:tcW w:w="116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ind w:right="292"/>
              <w:spacing w:after="0"/>
              <w:rPr>
                <w:sz w:val="20"/>
                <w:szCs w:val="20"/>
                <w:color w:val="auto"/>
              </w:rPr>
            </w:pPr>
            <w:r>
              <w:rPr>
                <w:rFonts w:ascii="Arial" w:cs="Arial" w:eastAsia="Arial" w:hAnsi="Arial"/>
                <w:sz w:val="18"/>
                <w:szCs w:val="18"/>
                <w:b w:val="1"/>
                <w:bCs w:val="1"/>
                <w:color w:val="auto"/>
              </w:rPr>
              <w:t>Level 3</w:t>
            </w:r>
          </w:p>
        </w:tc>
        <w:tc>
          <w:tcPr>
            <w:tcW w:w="120" w:type="dxa"/>
            <w:vAlign w:val="bottom"/>
          </w:tcPr>
          <w:p>
            <w:pPr>
              <w:spacing w:after="0"/>
              <w:rPr>
                <w:sz w:val="19"/>
                <w:szCs w:val="19"/>
                <w:color w:val="auto"/>
              </w:rPr>
            </w:pPr>
          </w:p>
        </w:tc>
      </w:tr>
      <w:tr>
        <w:trPr>
          <w:trHeight w:val="197"/>
        </w:trPr>
        <w:tc>
          <w:tcPr>
            <w:tcW w:w="5160" w:type="dxa"/>
            <w:vAlign w:val="bottom"/>
            <w:gridSpan w:val="3"/>
            <w:shd w:val="clear" w:color="auto" w:fill="EAF9E8"/>
          </w:tcPr>
          <w:p>
            <w:pPr>
              <w:spacing w:after="0" w:line="197" w:lineRule="exact"/>
              <w:rPr>
                <w:sz w:val="20"/>
                <w:szCs w:val="20"/>
                <w:color w:val="auto"/>
              </w:rPr>
            </w:pPr>
            <w:r>
              <w:rPr>
                <w:rFonts w:ascii="Arial" w:cs="Arial" w:eastAsia="Arial" w:hAnsi="Arial"/>
                <w:sz w:val="18"/>
                <w:szCs w:val="18"/>
                <w:color w:val="auto"/>
              </w:rPr>
              <w:t>At September 30, 2009:</w:t>
            </w:r>
          </w:p>
        </w:tc>
        <w:tc>
          <w:tcPr>
            <w:tcW w:w="160" w:type="dxa"/>
            <w:vAlign w:val="bottom"/>
            <w:tcBorders>
              <w:top w:val="single" w:sz="8" w:color="auto"/>
            </w:tcBorders>
            <w:shd w:val="clear" w:color="auto" w:fill="EAF9E8"/>
          </w:tcPr>
          <w:p>
            <w:pPr>
              <w:spacing w:after="0"/>
              <w:rPr>
                <w:sz w:val="17"/>
                <w:szCs w:val="17"/>
                <w:color w:val="auto"/>
              </w:rPr>
            </w:pPr>
          </w:p>
        </w:tc>
        <w:tc>
          <w:tcPr>
            <w:tcW w:w="1460" w:type="dxa"/>
            <w:vAlign w:val="bottom"/>
            <w:tcBorders>
              <w:top w:val="single" w:sz="8" w:color="auto"/>
            </w:tcBorders>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80" w:type="dxa"/>
            <w:vAlign w:val="bottom"/>
            <w:shd w:val="clear" w:color="auto" w:fill="EAF9E8"/>
          </w:tcPr>
          <w:p>
            <w:pPr>
              <w:spacing w:after="0"/>
              <w:rPr>
                <w:sz w:val="17"/>
                <w:szCs w:val="17"/>
                <w:color w:val="auto"/>
              </w:rPr>
            </w:pPr>
          </w:p>
        </w:tc>
        <w:tc>
          <w:tcPr>
            <w:tcW w:w="220" w:type="dxa"/>
            <w:vAlign w:val="bottom"/>
            <w:tcBorders>
              <w:top w:val="single" w:sz="8" w:color="auto"/>
            </w:tcBorders>
            <w:shd w:val="clear" w:color="auto" w:fill="EAF9E8"/>
          </w:tcPr>
          <w:p>
            <w:pPr>
              <w:spacing w:after="0"/>
              <w:rPr>
                <w:sz w:val="17"/>
                <w:szCs w:val="17"/>
                <w:color w:val="auto"/>
              </w:rPr>
            </w:pPr>
          </w:p>
        </w:tc>
        <w:tc>
          <w:tcPr>
            <w:tcW w:w="1060" w:type="dxa"/>
            <w:vAlign w:val="bottom"/>
            <w:tcBorders>
              <w:top w:val="single" w:sz="8" w:color="auto"/>
            </w:tcBorders>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240" w:type="dxa"/>
            <w:vAlign w:val="bottom"/>
            <w:tcBorders>
              <w:top w:val="single" w:sz="8" w:color="auto"/>
            </w:tcBorders>
            <w:shd w:val="clear" w:color="auto" w:fill="EAF9E8"/>
          </w:tcPr>
          <w:p>
            <w:pPr>
              <w:spacing w:after="0"/>
              <w:rPr>
                <w:sz w:val="17"/>
                <w:szCs w:val="17"/>
                <w:color w:val="auto"/>
              </w:rPr>
            </w:pPr>
          </w:p>
        </w:tc>
        <w:tc>
          <w:tcPr>
            <w:tcW w:w="1060" w:type="dxa"/>
            <w:vAlign w:val="bottom"/>
            <w:tcBorders>
              <w:top w:val="single" w:sz="8" w:color="auto"/>
            </w:tcBorders>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240" w:type="dxa"/>
            <w:vAlign w:val="bottom"/>
            <w:tcBorders>
              <w:top w:val="single" w:sz="8" w:color="auto"/>
            </w:tcBorders>
            <w:shd w:val="clear" w:color="auto" w:fill="EAF9E8"/>
          </w:tcPr>
          <w:p>
            <w:pPr>
              <w:spacing w:after="0"/>
              <w:rPr>
                <w:sz w:val="17"/>
                <w:szCs w:val="17"/>
                <w:color w:val="auto"/>
              </w:rPr>
            </w:pPr>
          </w:p>
        </w:tc>
        <w:tc>
          <w:tcPr>
            <w:tcW w:w="1080" w:type="dxa"/>
            <w:vAlign w:val="bottom"/>
            <w:tcBorders>
              <w:top w:val="single" w:sz="8" w:color="auto"/>
            </w:tcBorders>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r>
      <w:tr>
        <w:trPr>
          <w:trHeight w:val="21"/>
        </w:trPr>
        <w:tc>
          <w:tcPr>
            <w:tcW w:w="1660" w:type="dxa"/>
            <w:vAlign w:val="bottom"/>
            <w:tcBorders>
              <w:top w:val="single" w:sz="8" w:color="auto"/>
            </w:tcBorders>
            <w:shd w:val="clear" w:color="auto" w:fill="EAF9E8"/>
          </w:tcPr>
          <w:p>
            <w:pPr>
              <w:spacing w:after="0" w:line="20" w:lineRule="exact"/>
              <w:rPr>
                <w:sz w:val="1"/>
                <w:szCs w:val="1"/>
                <w:color w:val="auto"/>
              </w:rPr>
            </w:pPr>
          </w:p>
        </w:tc>
        <w:tc>
          <w:tcPr>
            <w:tcW w:w="20" w:type="dxa"/>
            <w:vAlign w:val="bottom"/>
            <w:tcBorders>
              <w:top w:val="single" w:sz="8" w:color="auto"/>
            </w:tcBorders>
            <w:shd w:val="clear" w:color="auto" w:fill="EAF9E8"/>
          </w:tcPr>
          <w:p>
            <w:pPr>
              <w:spacing w:after="0" w:line="20" w:lineRule="exact"/>
              <w:rPr>
                <w:sz w:val="1"/>
                <w:szCs w:val="1"/>
                <w:color w:val="auto"/>
              </w:rPr>
            </w:pPr>
          </w:p>
        </w:tc>
        <w:tc>
          <w:tcPr>
            <w:tcW w:w="3480" w:type="dxa"/>
            <w:vAlign w:val="bottom"/>
            <w:tcBorders>
              <w:top w:val="single" w:sz="8" w:color="EAF9E8"/>
            </w:tcBorders>
            <w:shd w:val="clear" w:color="auto" w:fill="EAF9E8"/>
          </w:tcPr>
          <w:p>
            <w:pPr>
              <w:spacing w:after="0" w:line="20" w:lineRule="exact"/>
              <w:rPr>
                <w:sz w:val="1"/>
                <w:szCs w:val="1"/>
                <w:color w:val="auto"/>
              </w:rPr>
            </w:pPr>
          </w:p>
        </w:tc>
        <w:tc>
          <w:tcPr>
            <w:tcW w:w="160" w:type="dxa"/>
            <w:vAlign w:val="bottom"/>
            <w:tcBorders>
              <w:top w:val="single" w:sz="8" w:color="EAF9E8"/>
            </w:tcBorders>
            <w:shd w:val="clear" w:color="auto" w:fill="EAF9E8"/>
          </w:tcPr>
          <w:p>
            <w:pPr>
              <w:spacing w:after="0" w:line="20" w:lineRule="exact"/>
              <w:rPr>
                <w:sz w:val="1"/>
                <w:szCs w:val="1"/>
                <w:color w:val="auto"/>
              </w:rPr>
            </w:pPr>
          </w:p>
        </w:tc>
        <w:tc>
          <w:tcPr>
            <w:tcW w:w="1460" w:type="dxa"/>
            <w:vAlign w:val="bottom"/>
            <w:tcBorders>
              <w:top w:val="single" w:sz="8" w:color="EAF9E8"/>
            </w:tcBorders>
            <w:shd w:val="clear" w:color="auto" w:fill="EAF9E8"/>
          </w:tcPr>
          <w:p>
            <w:pPr>
              <w:spacing w:after="0" w:line="20" w:lineRule="exact"/>
              <w:rPr>
                <w:sz w:val="1"/>
                <w:szCs w:val="1"/>
                <w:color w:val="auto"/>
              </w:rPr>
            </w:pPr>
          </w:p>
        </w:tc>
        <w:tc>
          <w:tcPr>
            <w:tcW w:w="140" w:type="dxa"/>
            <w:vAlign w:val="bottom"/>
            <w:tcBorders>
              <w:top w:val="single" w:sz="8" w:color="EAF9E8"/>
            </w:tcBorders>
            <w:shd w:val="clear" w:color="auto" w:fill="EAF9E8"/>
          </w:tcPr>
          <w:p>
            <w:pPr>
              <w:spacing w:after="0" w:line="20" w:lineRule="exact"/>
              <w:rPr>
                <w:sz w:val="1"/>
                <w:szCs w:val="1"/>
                <w:color w:val="auto"/>
              </w:rPr>
            </w:pPr>
          </w:p>
        </w:tc>
        <w:tc>
          <w:tcPr>
            <w:tcW w:w="80" w:type="dxa"/>
            <w:vAlign w:val="bottom"/>
            <w:tcBorders>
              <w:top w:val="single" w:sz="8" w:color="EAF9E8"/>
            </w:tcBorders>
            <w:shd w:val="clear" w:color="auto" w:fill="EAF9E8"/>
          </w:tcPr>
          <w:p>
            <w:pPr>
              <w:spacing w:after="0" w:line="20" w:lineRule="exact"/>
              <w:rPr>
                <w:sz w:val="1"/>
                <w:szCs w:val="1"/>
                <w:color w:val="auto"/>
              </w:rPr>
            </w:pPr>
          </w:p>
        </w:tc>
        <w:tc>
          <w:tcPr>
            <w:tcW w:w="220" w:type="dxa"/>
            <w:vAlign w:val="bottom"/>
            <w:tcBorders>
              <w:top w:val="single" w:sz="8" w:color="EAF9E8"/>
            </w:tcBorders>
            <w:shd w:val="clear" w:color="auto" w:fill="EAF9E8"/>
          </w:tcPr>
          <w:p>
            <w:pPr>
              <w:spacing w:after="0" w:line="20" w:lineRule="exact"/>
              <w:rPr>
                <w:sz w:val="1"/>
                <w:szCs w:val="1"/>
                <w:color w:val="auto"/>
              </w:rPr>
            </w:pPr>
          </w:p>
        </w:tc>
        <w:tc>
          <w:tcPr>
            <w:tcW w:w="1060" w:type="dxa"/>
            <w:vAlign w:val="bottom"/>
            <w:tcBorders>
              <w:top w:val="single" w:sz="8" w:color="EAF9E8"/>
            </w:tcBorders>
            <w:shd w:val="clear" w:color="auto" w:fill="EAF9E8"/>
          </w:tcPr>
          <w:p>
            <w:pPr>
              <w:spacing w:after="0" w:line="20" w:lineRule="exact"/>
              <w:rPr>
                <w:sz w:val="1"/>
                <w:szCs w:val="1"/>
                <w:color w:val="auto"/>
              </w:rPr>
            </w:pPr>
          </w:p>
        </w:tc>
        <w:tc>
          <w:tcPr>
            <w:tcW w:w="200" w:type="dxa"/>
            <w:vAlign w:val="bottom"/>
            <w:tcBorders>
              <w:top w:val="single" w:sz="8" w:color="EAF9E8"/>
            </w:tcBorders>
            <w:shd w:val="clear" w:color="auto" w:fill="EAF9E8"/>
          </w:tcPr>
          <w:p>
            <w:pPr>
              <w:spacing w:after="0" w:line="20" w:lineRule="exact"/>
              <w:rPr>
                <w:sz w:val="1"/>
                <w:szCs w:val="1"/>
                <w:color w:val="auto"/>
              </w:rPr>
            </w:pPr>
          </w:p>
        </w:tc>
        <w:tc>
          <w:tcPr>
            <w:tcW w:w="240" w:type="dxa"/>
            <w:vAlign w:val="bottom"/>
            <w:tcBorders>
              <w:top w:val="single" w:sz="8" w:color="EAF9E8"/>
            </w:tcBorders>
            <w:shd w:val="clear" w:color="auto" w:fill="EAF9E8"/>
          </w:tcPr>
          <w:p>
            <w:pPr>
              <w:spacing w:after="0" w:line="20" w:lineRule="exact"/>
              <w:rPr>
                <w:sz w:val="1"/>
                <w:szCs w:val="1"/>
                <w:color w:val="auto"/>
              </w:rPr>
            </w:pPr>
          </w:p>
        </w:tc>
        <w:tc>
          <w:tcPr>
            <w:tcW w:w="1060" w:type="dxa"/>
            <w:vAlign w:val="bottom"/>
            <w:tcBorders>
              <w:top w:val="single" w:sz="8" w:color="EAF9E8"/>
            </w:tcBorders>
            <w:shd w:val="clear" w:color="auto" w:fill="EAF9E8"/>
          </w:tcPr>
          <w:p>
            <w:pPr>
              <w:spacing w:after="0" w:line="20" w:lineRule="exact"/>
              <w:rPr>
                <w:sz w:val="1"/>
                <w:szCs w:val="1"/>
                <w:color w:val="auto"/>
              </w:rPr>
            </w:pPr>
          </w:p>
        </w:tc>
        <w:tc>
          <w:tcPr>
            <w:tcW w:w="100" w:type="dxa"/>
            <w:vAlign w:val="bottom"/>
            <w:tcBorders>
              <w:top w:val="single" w:sz="8" w:color="EAF9E8"/>
            </w:tcBorders>
            <w:shd w:val="clear" w:color="auto" w:fill="EAF9E8"/>
          </w:tcPr>
          <w:p>
            <w:pPr>
              <w:spacing w:after="0" w:line="20" w:lineRule="exact"/>
              <w:rPr>
                <w:sz w:val="1"/>
                <w:szCs w:val="1"/>
                <w:color w:val="auto"/>
              </w:rPr>
            </w:pPr>
          </w:p>
        </w:tc>
        <w:tc>
          <w:tcPr>
            <w:tcW w:w="100" w:type="dxa"/>
            <w:vAlign w:val="bottom"/>
            <w:tcBorders>
              <w:top w:val="single" w:sz="8" w:color="EAF9E8"/>
            </w:tcBorders>
            <w:shd w:val="clear" w:color="auto" w:fill="EAF9E8"/>
          </w:tcPr>
          <w:p>
            <w:pPr>
              <w:spacing w:after="0" w:line="20" w:lineRule="exact"/>
              <w:rPr>
                <w:sz w:val="1"/>
                <w:szCs w:val="1"/>
                <w:color w:val="auto"/>
              </w:rPr>
            </w:pPr>
          </w:p>
        </w:tc>
        <w:tc>
          <w:tcPr>
            <w:tcW w:w="240" w:type="dxa"/>
            <w:vAlign w:val="bottom"/>
            <w:tcBorders>
              <w:top w:val="single" w:sz="8" w:color="EAF9E8"/>
            </w:tcBorders>
            <w:shd w:val="clear" w:color="auto" w:fill="EAF9E8"/>
          </w:tcPr>
          <w:p>
            <w:pPr>
              <w:spacing w:after="0" w:line="20" w:lineRule="exact"/>
              <w:rPr>
                <w:sz w:val="1"/>
                <w:szCs w:val="1"/>
                <w:color w:val="auto"/>
              </w:rPr>
            </w:pPr>
          </w:p>
        </w:tc>
        <w:tc>
          <w:tcPr>
            <w:tcW w:w="1080" w:type="dxa"/>
            <w:vAlign w:val="bottom"/>
            <w:tcBorders>
              <w:top w:val="single" w:sz="8" w:color="EAF9E8"/>
            </w:tcBorders>
            <w:shd w:val="clear" w:color="auto" w:fill="EAF9E8"/>
          </w:tcPr>
          <w:p>
            <w:pPr>
              <w:spacing w:after="0" w:line="20" w:lineRule="exact"/>
              <w:rPr>
                <w:sz w:val="1"/>
                <w:szCs w:val="1"/>
                <w:color w:val="auto"/>
              </w:rPr>
            </w:pPr>
          </w:p>
        </w:tc>
        <w:tc>
          <w:tcPr>
            <w:tcW w:w="120" w:type="dxa"/>
            <w:vAlign w:val="bottom"/>
            <w:tcBorders>
              <w:top w:val="single" w:sz="8" w:color="EAF9E8"/>
            </w:tcBorders>
            <w:shd w:val="clear" w:color="auto" w:fill="EAF9E8"/>
          </w:tcPr>
          <w:p>
            <w:pPr>
              <w:spacing w:after="0" w:line="20" w:lineRule="exact"/>
              <w:rPr>
                <w:sz w:val="1"/>
                <w:szCs w:val="1"/>
                <w:color w:val="auto"/>
              </w:rPr>
            </w:pPr>
          </w:p>
        </w:tc>
      </w:tr>
      <w:tr>
        <w:trPr>
          <w:trHeight w:val="242"/>
        </w:trPr>
        <w:tc>
          <w:tcPr>
            <w:tcW w:w="5160" w:type="dxa"/>
            <w:vAlign w:val="bottom"/>
            <w:gridSpan w:val="3"/>
          </w:tcPr>
          <w:p>
            <w:pPr>
              <w:spacing w:after="0"/>
              <w:rPr>
                <w:sz w:val="20"/>
                <w:szCs w:val="20"/>
                <w:color w:val="auto"/>
              </w:rPr>
            </w:pPr>
            <w:r>
              <w:rPr>
                <w:rFonts w:ascii="Arial" w:cs="Arial" w:eastAsia="Arial" w:hAnsi="Arial"/>
                <w:sz w:val="18"/>
                <w:szCs w:val="18"/>
                <w:i w:val="1"/>
                <w:iCs w:val="1"/>
                <w:color w:val="auto"/>
              </w:rPr>
              <w:t>Measured at fair value on a recurring basis:</w:t>
            </w:r>
          </w:p>
        </w:tc>
        <w:tc>
          <w:tcPr>
            <w:tcW w:w="1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4"/>
        </w:trPr>
        <w:tc>
          <w:tcPr>
            <w:tcW w:w="5160" w:type="dxa"/>
            <w:vAlign w:val="bottom"/>
            <w:gridSpan w:val="3"/>
            <w:shd w:val="clear" w:color="auto" w:fill="EAF9E8"/>
          </w:tcPr>
          <w:p>
            <w:pPr>
              <w:ind w:left="160"/>
              <w:spacing w:after="0"/>
              <w:rPr>
                <w:sz w:val="20"/>
                <w:szCs w:val="20"/>
                <w:color w:val="auto"/>
              </w:rPr>
            </w:pPr>
            <w:r>
              <w:rPr>
                <w:rFonts w:ascii="Arial" w:cs="Arial" w:eastAsia="Arial" w:hAnsi="Arial"/>
                <w:sz w:val="18"/>
                <w:szCs w:val="18"/>
                <w:color w:val="auto"/>
              </w:rPr>
              <w:t>Trading securities (1):</w:t>
            </w:r>
          </w:p>
        </w:tc>
        <w:tc>
          <w:tcPr>
            <w:tcW w:w="160" w:type="dxa"/>
            <w:vAlign w:val="bottom"/>
            <w:shd w:val="clear" w:color="auto" w:fill="EAF9E8"/>
          </w:tcPr>
          <w:p>
            <w:pPr>
              <w:spacing w:after="0"/>
              <w:rPr>
                <w:sz w:val="21"/>
                <w:szCs w:val="21"/>
                <w:color w:val="auto"/>
              </w:rPr>
            </w:pPr>
          </w:p>
        </w:tc>
        <w:tc>
          <w:tcPr>
            <w:tcW w:w="146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220" w:type="dxa"/>
            <w:vAlign w:val="bottom"/>
            <w:shd w:val="clear" w:color="auto" w:fill="EAF9E8"/>
          </w:tcPr>
          <w:p>
            <w:pPr>
              <w:spacing w:after="0"/>
              <w:rPr>
                <w:sz w:val="21"/>
                <w:szCs w:val="21"/>
                <w:color w:val="auto"/>
              </w:rPr>
            </w:pPr>
          </w:p>
        </w:tc>
        <w:tc>
          <w:tcPr>
            <w:tcW w:w="1060" w:type="dxa"/>
            <w:vAlign w:val="bottom"/>
            <w:shd w:val="clear" w:color="auto" w:fill="EAF9E8"/>
          </w:tcPr>
          <w:p>
            <w:pPr>
              <w:spacing w:after="0"/>
              <w:rPr>
                <w:sz w:val="21"/>
                <w:szCs w:val="21"/>
                <w:color w:val="auto"/>
              </w:rPr>
            </w:pPr>
          </w:p>
        </w:tc>
        <w:tc>
          <w:tcPr>
            <w:tcW w:w="200" w:type="dxa"/>
            <w:vAlign w:val="bottom"/>
            <w:shd w:val="clear" w:color="auto" w:fill="EAF9E8"/>
          </w:tcPr>
          <w:p>
            <w:pPr>
              <w:spacing w:after="0"/>
              <w:rPr>
                <w:sz w:val="21"/>
                <w:szCs w:val="21"/>
                <w:color w:val="auto"/>
              </w:rPr>
            </w:pPr>
          </w:p>
        </w:tc>
        <w:tc>
          <w:tcPr>
            <w:tcW w:w="240" w:type="dxa"/>
            <w:vAlign w:val="bottom"/>
            <w:shd w:val="clear" w:color="auto" w:fill="EAF9E8"/>
          </w:tcPr>
          <w:p>
            <w:pPr>
              <w:spacing w:after="0"/>
              <w:rPr>
                <w:sz w:val="21"/>
                <w:szCs w:val="21"/>
                <w:color w:val="auto"/>
              </w:rPr>
            </w:pPr>
          </w:p>
        </w:tc>
        <w:tc>
          <w:tcPr>
            <w:tcW w:w="106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240" w:type="dxa"/>
            <w:vAlign w:val="bottom"/>
            <w:shd w:val="clear" w:color="auto" w:fill="EAF9E8"/>
          </w:tcPr>
          <w:p>
            <w:pPr>
              <w:spacing w:after="0"/>
              <w:rPr>
                <w:sz w:val="21"/>
                <w:szCs w:val="21"/>
                <w:color w:val="auto"/>
              </w:rPr>
            </w:pPr>
          </w:p>
        </w:tc>
        <w:tc>
          <w:tcPr>
            <w:tcW w:w="108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r>
      <w:tr>
        <w:trPr>
          <w:trHeight w:val="242"/>
        </w:trPr>
        <w:tc>
          <w:tcPr>
            <w:tcW w:w="5160" w:type="dxa"/>
            <w:vAlign w:val="bottom"/>
            <w:gridSpan w:val="3"/>
          </w:tcPr>
          <w:p>
            <w:pPr>
              <w:ind w:left="320"/>
              <w:spacing w:after="0"/>
              <w:rPr>
                <w:sz w:val="20"/>
                <w:szCs w:val="20"/>
                <w:color w:val="auto"/>
              </w:rPr>
            </w:pPr>
            <w:r>
              <w:rPr>
                <w:rFonts w:ascii="Arial" w:cs="Arial" w:eastAsia="Arial" w:hAnsi="Arial"/>
                <w:sz w:val="18"/>
                <w:szCs w:val="18"/>
                <w:color w:val="auto"/>
              </w:rPr>
              <w:t>Auction rate</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600" w:type="dxa"/>
            <w:vAlign w:val="bottom"/>
            <w:gridSpan w:val="2"/>
          </w:tcPr>
          <w:p>
            <w:pPr>
              <w:jc w:val="right"/>
              <w:ind w:right="140"/>
              <w:spacing w:after="0"/>
              <w:rPr>
                <w:sz w:val="20"/>
                <w:szCs w:val="20"/>
                <w:color w:val="auto"/>
              </w:rPr>
            </w:pPr>
            <w:r>
              <w:rPr>
                <w:rFonts w:ascii="Arial" w:cs="Arial" w:eastAsia="Arial" w:hAnsi="Arial"/>
                <w:sz w:val="18"/>
                <w:szCs w:val="18"/>
                <w:color w:val="auto"/>
              </w:rPr>
              <w:t>250,099</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250,099</w:t>
            </w:r>
          </w:p>
        </w:tc>
        <w:tc>
          <w:tcPr>
            <w:tcW w:w="120" w:type="dxa"/>
            <w:vAlign w:val="bottom"/>
          </w:tcPr>
          <w:p>
            <w:pPr>
              <w:spacing w:after="0"/>
              <w:rPr>
                <w:sz w:val="21"/>
                <w:szCs w:val="21"/>
                <w:color w:val="auto"/>
              </w:rPr>
            </w:pPr>
          </w:p>
        </w:tc>
      </w:tr>
      <w:tr>
        <w:trPr>
          <w:trHeight w:val="244"/>
        </w:trPr>
        <w:tc>
          <w:tcPr>
            <w:tcW w:w="5160" w:type="dxa"/>
            <w:vAlign w:val="bottom"/>
            <w:gridSpan w:val="3"/>
            <w:shd w:val="clear" w:color="auto" w:fill="EAF9E8"/>
          </w:tcPr>
          <w:p>
            <w:pPr>
              <w:ind w:left="320"/>
              <w:spacing w:after="0"/>
              <w:rPr>
                <w:sz w:val="20"/>
                <w:szCs w:val="20"/>
                <w:color w:val="auto"/>
              </w:rPr>
            </w:pPr>
            <w:r>
              <w:rPr>
                <w:rFonts w:ascii="Arial" w:cs="Arial" w:eastAsia="Arial" w:hAnsi="Arial"/>
                <w:sz w:val="18"/>
                <w:szCs w:val="18"/>
                <w:color w:val="auto"/>
              </w:rPr>
              <w:t>Subordinates and residuals</w:t>
            </w:r>
          </w:p>
        </w:tc>
        <w:tc>
          <w:tcPr>
            <w:tcW w:w="160" w:type="dxa"/>
            <w:vAlign w:val="bottom"/>
            <w:shd w:val="clear" w:color="auto" w:fill="EAF9E8"/>
          </w:tcPr>
          <w:p>
            <w:pPr>
              <w:spacing w:after="0"/>
              <w:rPr>
                <w:sz w:val="21"/>
                <w:szCs w:val="21"/>
                <w:color w:val="auto"/>
              </w:rPr>
            </w:pPr>
          </w:p>
        </w:tc>
        <w:tc>
          <w:tcPr>
            <w:tcW w:w="160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4,417</w:t>
            </w:r>
          </w:p>
        </w:tc>
        <w:tc>
          <w:tcPr>
            <w:tcW w:w="80" w:type="dxa"/>
            <w:vAlign w:val="bottom"/>
            <w:shd w:val="clear" w:color="auto" w:fill="EAF9E8"/>
          </w:tcPr>
          <w:p>
            <w:pPr>
              <w:spacing w:after="0"/>
              <w:rPr>
                <w:sz w:val="21"/>
                <w:szCs w:val="21"/>
                <w:color w:val="auto"/>
              </w:rPr>
            </w:pPr>
          </w:p>
        </w:tc>
        <w:tc>
          <w:tcPr>
            <w:tcW w:w="220" w:type="dxa"/>
            <w:vAlign w:val="bottom"/>
            <w:shd w:val="clear" w:color="auto" w:fill="EAF9E8"/>
          </w:tcPr>
          <w:p>
            <w:pPr>
              <w:spacing w:after="0"/>
              <w:rPr>
                <w:sz w:val="21"/>
                <w:szCs w:val="21"/>
                <w:color w:val="auto"/>
              </w:rPr>
            </w:pPr>
          </w:p>
        </w:tc>
        <w:tc>
          <w:tcPr>
            <w:tcW w:w="126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EAF9E8"/>
          </w:tcPr>
          <w:p>
            <w:pPr>
              <w:spacing w:after="0"/>
              <w:rPr>
                <w:sz w:val="21"/>
                <w:szCs w:val="21"/>
                <w:color w:val="auto"/>
              </w:rPr>
            </w:pPr>
          </w:p>
        </w:tc>
        <w:tc>
          <w:tcPr>
            <w:tcW w:w="1160" w:type="dxa"/>
            <w:vAlign w:val="bottom"/>
            <w:gridSpan w:val="2"/>
            <w:shd w:val="clear" w:color="auto" w:fill="EAF9E8"/>
          </w:tcPr>
          <w:p>
            <w:pPr>
              <w:ind w:left="880"/>
              <w:spacing w:after="0"/>
              <w:rPr>
                <w:sz w:val="20"/>
                <w:szCs w:val="20"/>
                <w:color w:val="auto"/>
              </w:rPr>
            </w:pPr>
            <w:r>
              <w:rPr>
                <w:rFonts w:ascii="Arial" w:cs="Arial" w:eastAsia="Arial" w:hAnsi="Arial"/>
                <w:sz w:val="18"/>
                <w:szCs w:val="18"/>
                <w:color w:val="auto"/>
              </w:rPr>
              <w:t>—</w:t>
            </w:r>
          </w:p>
        </w:tc>
        <w:tc>
          <w:tcPr>
            <w:tcW w:w="100" w:type="dxa"/>
            <w:vAlign w:val="bottom"/>
            <w:shd w:val="clear" w:color="auto" w:fill="EAF9E8"/>
          </w:tcPr>
          <w:p>
            <w:pPr>
              <w:spacing w:after="0"/>
              <w:rPr>
                <w:sz w:val="21"/>
                <w:szCs w:val="21"/>
                <w:color w:val="auto"/>
              </w:rPr>
            </w:pPr>
          </w:p>
        </w:tc>
        <w:tc>
          <w:tcPr>
            <w:tcW w:w="240" w:type="dxa"/>
            <w:vAlign w:val="bottom"/>
            <w:shd w:val="clear" w:color="auto" w:fill="EAF9E8"/>
          </w:tcPr>
          <w:p>
            <w:pPr>
              <w:spacing w:after="0"/>
              <w:rPr>
                <w:sz w:val="21"/>
                <w:szCs w:val="21"/>
                <w:color w:val="auto"/>
              </w:rPr>
            </w:pPr>
          </w:p>
        </w:tc>
        <w:tc>
          <w:tcPr>
            <w:tcW w:w="10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4,417</w:t>
            </w:r>
          </w:p>
        </w:tc>
        <w:tc>
          <w:tcPr>
            <w:tcW w:w="120" w:type="dxa"/>
            <w:vAlign w:val="bottom"/>
            <w:shd w:val="clear" w:color="auto" w:fill="EAF9E8"/>
          </w:tcPr>
          <w:p>
            <w:pPr>
              <w:spacing w:after="0"/>
              <w:rPr>
                <w:sz w:val="21"/>
                <w:szCs w:val="21"/>
                <w:color w:val="auto"/>
              </w:rPr>
            </w:pPr>
          </w:p>
        </w:tc>
      </w:tr>
      <w:tr>
        <w:trPr>
          <w:trHeight w:val="242"/>
        </w:trPr>
        <w:tc>
          <w:tcPr>
            <w:tcW w:w="5160" w:type="dxa"/>
            <w:vAlign w:val="bottom"/>
            <w:gridSpan w:val="3"/>
          </w:tcPr>
          <w:p>
            <w:pPr>
              <w:ind w:left="160"/>
              <w:spacing w:after="0"/>
              <w:rPr>
                <w:sz w:val="20"/>
                <w:szCs w:val="20"/>
                <w:color w:val="auto"/>
              </w:rPr>
            </w:pPr>
            <w:r>
              <w:rPr>
                <w:rFonts w:ascii="Arial" w:cs="Arial" w:eastAsia="Arial" w:hAnsi="Arial"/>
                <w:sz w:val="18"/>
                <w:szCs w:val="18"/>
                <w:color w:val="auto"/>
              </w:rPr>
              <w:t>Derivative financial instruments, net (2)</w:t>
            </w:r>
          </w:p>
        </w:tc>
        <w:tc>
          <w:tcPr>
            <w:tcW w:w="160" w:type="dxa"/>
            <w:vAlign w:val="bottom"/>
          </w:tcPr>
          <w:p>
            <w:pPr>
              <w:spacing w:after="0"/>
              <w:rPr>
                <w:sz w:val="21"/>
                <w:szCs w:val="21"/>
                <w:color w:val="auto"/>
              </w:rPr>
            </w:pPr>
          </w:p>
        </w:tc>
        <w:tc>
          <w:tcPr>
            <w:tcW w:w="1600" w:type="dxa"/>
            <w:vAlign w:val="bottom"/>
            <w:gridSpan w:val="2"/>
          </w:tcPr>
          <w:p>
            <w:pPr>
              <w:jc w:val="right"/>
              <w:ind w:right="140"/>
              <w:spacing w:after="0"/>
              <w:rPr>
                <w:sz w:val="20"/>
                <w:szCs w:val="20"/>
                <w:color w:val="auto"/>
              </w:rPr>
            </w:pPr>
            <w:r>
              <w:rPr>
                <w:rFonts w:ascii="Arial" w:cs="Arial" w:eastAsia="Arial" w:hAnsi="Arial"/>
                <w:sz w:val="18"/>
                <w:szCs w:val="18"/>
                <w:color w:val="auto"/>
              </w:rPr>
              <w:t>631</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(252)</w:t>
            </w:r>
          </w:p>
        </w:tc>
        <w:tc>
          <w:tcPr>
            <w:tcW w:w="240" w:type="dxa"/>
            <w:vAlign w:val="bottom"/>
          </w:tcPr>
          <w:p>
            <w:pPr>
              <w:spacing w:after="0"/>
              <w:rPr>
                <w:sz w:val="21"/>
                <w:szCs w:val="21"/>
                <w:color w:val="auto"/>
              </w:rPr>
            </w:pPr>
          </w:p>
        </w:tc>
        <w:tc>
          <w:tcPr>
            <w:tcW w:w="116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883</w:t>
            </w:r>
          </w:p>
        </w:tc>
        <w:tc>
          <w:tcPr>
            <w:tcW w:w="120" w:type="dxa"/>
            <w:vAlign w:val="bottom"/>
          </w:tcPr>
          <w:p>
            <w:pPr>
              <w:spacing w:after="0"/>
              <w:rPr>
                <w:sz w:val="21"/>
                <w:szCs w:val="21"/>
                <w:color w:val="auto"/>
              </w:rPr>
            </w:pPr>
          </w:p>
        </w:tc>
      </w:tr>
      <w:tr>
        <w:trPr>
          <w:trHeight w:val="244"/>
        </w:trPr>
        <w:tc>
          <w:tcPr>
            <w:tcW w:w="5160" w:type="dxa"/>
            <w:vAlign w:val="bottom"/>
            <w:gridSpan w:val="3"/>
            <w:shd w:val="clear" w:color="auto" w:fill="EAF9E8"/>
          </w:tcPr>
          <w:p>
            <w:pPr>
              <w:spacing w:after="0"/>
              <w:rPr>
                <w:sz w:val="20"/>
                <w:szCs w:val="20"/>
                <w:color w:val="auto"/>
              </w:rPr>
            </w:pPr>
            <w:r>
              <w:rPr>
                <w:rFonts w:ascii="Arial" w:cs="Arial" w:eastAsia="Arial" w:hAnsi="Arial"/>
                <w:sz w:val="18"/>
                <w:szCs w:val="18"/>
                <w:i w:val="1"/>
                <w:iCs w:val="1"/>
                <w:color w:val="auto"/>
              </w:rPr>
              <w:t>Measured at fair value on a non-recurring basis:</w:t>
            </w:r>
          </w:p>
        </w:tc>
        <w:tc>
          <w:tcPr>
            <w:tcW w:w="160" w:type="dxa"/>
            <w:vAlign w:val="bottom"/>
            <w:shd w:val="clear" w:color="auto" w:fill="EAF9E8"/>
          </w:tcPr>
          <w:p>
            <w:pPr>
              <w:spacing w:after="0"/>
              <w:rPr>
                <w:sz w:val="21"/>
                <w:szCs w:val="21"/>
                <w:color w:val="auto"/>
              </w:rPr>
            </w:pPr>
          </w:p>
        </w:tc>
        <w:tc>
          <w:tcPr>
            <w:tcW w:w="146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220" w:type="dxa"/>
            <w:vAlign w:val="bottom"/>
            <w:shd w:val="clear" w:color="auto" w:fill="EAF9E8"/>
          </w:tcPr>
          <w:p>
            <w:pPr>
              <w:spacing w:after="0"/>
              <w:rPr>
                <w:sz w:val="21"/>
                <w:szCs w:val="21"/>
                <w:color w:val="auto"/>
              </w:rPr>
            </w:pPr>
          </w:p>
        </w:tc>
        <w:tc>
          <w:tcPr>
            <w:tcW w:w="1060" w:type="dxa"/>
            <w:vAlign w:val="bottom"/>
            <w:shd w:val="clear" w:color="auto" w:fill="EAF9E8"/>
          </w:tcPr>
          <w:p>
            <w:pPr>
              <w:spacing w:after="0"/>
              <w:rPr>
                <w:sz w:val="21"/>
                <w:szCs w:val="21"/>
                <w:color w:val="auto"/>
              </w:rPr>
            </w:pPr>
          </w:p>
        </w:tc>
        <w:tc>
          <w:tcPr>
            <w:tcW w:w="200" w:type="dxa"/>
            <w:vAlign w:val="bottom"/>
            <w:shd w:val="clear" w:color="auto" w:fill="EAF9E8"/>
          </w:tcPr>
          <w:p>
            <w:pPr>
              <w:spacing w:after="0"/>
              <w:rPr>
                <w:sz w:val="21"/>
                <w:szCs w:val="21"/>
                <w:color w:val="auto"/>
              </w:rPr>
            </w:pPr>
          </w:p>
        </w:tc>
        <w:tc>
          <w:tcPr>
            <w:tcW w:w="240" w:type="dxa"/>
            <w:vAlign w:val="bottom"/>
            <w:shd w:val="clear" w:color="auto" w:fill="EAF9E8"/>
          </w:tcPr>
          <w:p>
            <w:pPr>
              <w:spacing w:after="0"/>
              <w:rPr>
                <w:sz w:val="21"/>
                <w:szCs w:val="21"/>
                <w:color w:val="auto"/>
              </w:rPr>
            </w:pPr>
          </w:p>
        </w:tc>
        <w:tc>
          <w:tcPr>
            <w:tcW w:w="106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240" w:type="dxa"/>
            <w:vAlign w:val="bottom"/>
            <w:shd w:val="clear" w:color="auto" w:fill="EAF9E8"/>
          </w:tcPr>
          <w:p>
            <w:pPr>
              <w:spacing w:after="0"/>
              <w:rPr>
                <w:sz w:val="21"/>
                <w:szCs w:val="21"/>
                <w:color w:val="auto"/>
              </w:rPr>
            </w:pPr>
          </w:p>
        </w:tc>
        <w:tc>
          <w:tcPr>
            <w:tcW w:w="108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r>
      <w:tr>
        <w:trPr>
          <w:trHeight w:val="242"/>
        </w:trPr>
        <w:tc>
          <w:tcPr>
            <w:tcW w:w="5160" w:type="dxa"/>
            <w:vAlign w:val="bottom"/>
            <w:gridSpan w:val="3"/>
          </w:tcPr>
          <w:p>
            <w:pPr>
              <w:ind w:left="160"/>
              <w:spacing w:after="0"/>
              <w:rPr>
                <w:sz w:val="20"/>
                <w:szCs w:val="20"/>
                <w:color w:val="auto"/>
              </w:rPr>
            </w:pPr>
            <w:r>
              <w:rPr>
                <w:rFonts w:ascii="Arial" w:cs="Arial" w:eastAsia="Arial" w:hAnsi="Arial"/>
                <w:sz w:val="18"/>
                <w:szCs w:val="18"/>
                <w:color w:val="auto"/>
              </w:rPr>
              <w:t>Loans held for resale (3)</w:t>
            </w:r>
          </w:p>
        </w:tc>
        <w:tc>
          <w:tcPr>
            <w:tcW w:w="160" w:type="dxa"/>
            <w:vAlign w:val="bottom"/>
          </w:tcPr>
          <w:p>
            <w:pPr>
              <w:spacing w:after="0"/>
              <w:rPr>
                <w:sz w:val="21"/>
                <w:szCs w:val="21"/>
                <w:color w:val="auto"/>
              </w:rPr>
            </w:pPr>
          </w:p>
        </w:tc>
        <w:tc>
          <w:tcPr>
            <w:tcW w:w="1600" w:type="dxa"/>
            <w:vAlign w:val="bottom"/>
            <w:gridSpan w:val="2"/>
          </w:tcPr>
          <w:p>
            <w:pPr>
              <w:jc w:val="right"/>
              <w:ind w:right="140"/>
              <w:spacing w:after="0"/>
              <w:rPr>
                <w:sz w:val="20"/>
                <w:szCs w:val="20"/>
                <w:color w:val="auto"/>
              </w:rPr>
            </w:pPr>
            <w:r>
              <w:rPr>
                <w:rFonts w:ascii="Arial" w:cs="Arial" w:eastAsia="Arial" w:hAnsi="Arial"/>
                <w:sz w:val="18"/>
                <w:szCs w:val="18"/>
                <w:color w:val="auto"/>
              </w:rPr>
              <w:t>36,618</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6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36,618</w:t>
            </w:r>
          </w:p>
        </w:tc>
        <w:tc>
          <w:tcPr>
            <w:tcW w:w="120" w:type="dxa"/>
            <w:vAlign w:val="bottom"/>
          </w:tcPr>
          <w:p>
            <w:pPr>
              <w:spacing w:after="0"/>
              <w:rPr>
                <w:sz w:val="21"/>
                <w:szCs w:val="21"/>
                <w:color w:val="auto"/>
              </w:rPr>
            </w:pPr>
          </w:p>
        </w:tc>
      </w:tr>
      <w:tr>
        <w:trPr>
          <w:trHeight w:val="244"/>
        </w:trPr>
        <w:tc>
          <w:tcPr>
            <w:tcW w:w="5160" w:type="dxa"/>
            <w:vAlign w:val="bottom"/>
            <w:gridSpan w:val="3"/>
            <w:shd w:val="clear" w:color="auto" w:fill="EAF9E8"/>
          </w:tcPr>
          <w:p>
            <w:pPr>
              <w:ind w:left="160"/>
              <w:spacing w:after="0"/>
              <w:rPr>
                <w:sz w:val="20"/>
                <w:szCs w:val="20"/>
                <w:color w:val="auto"/>
              </w:rPr>
            </w:pPr>
            <w:r>
              <w:rPr>
                <w:rFonts w:ascii="Arial" w:cs="Arial" w:eastAsia="Arial" w:hAnsi="Arial"/>
                <w:sz w:val="18"/>
                <w:szCs w:val="18"/>
                <w:color w:val="auto"/>
              </w:rPr>
              <w:t>Mortgage servicing rights (4)</w:t>
            </w:r>
          </w:p>
        </w:tc>
        <w:tc>
          <w:tcPr>
            <w:tcW w:w="160" w:type="dxa"/>
            <w:vAlign w:val="bottom"/>
            <w:shd w:val="clear" w:color="auto" w:fill="EAF9E8"/>
          </w:tcPr>
          <w:p>
            <w:pPr>
              <w:spacing w:after="0"/>
              <w:rPr>
                <w:sz w:val="21"/>
                <w:szCs w:val="21"/>
                <w:color w:val="auto"/>
              </w:rPr>
            </w:pPr>
          </w:p>
        </w:tc>
        <w:tc>
          <w:tcPr>
            <w:tcW w:w="160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361</w:t>
            </w:r>
          </w:p>
        </w:tc>
        <w:tc>
          <w:tcPr>
            <w:tcW w:w="80" w:type="dxa"/>
            <w:vAlign w:val="bottom"/>
            <w:shd w:val="clear" w:color="auto" w:fill="EAF9E8"/>
          </w:tcPr>
          <w:p>
            <w:pPr>
              <w:spacing w:after="0"/>
              <w:rPr>
                <w:sz w:val="21"/>
                <w:szCs w:val="21"/>
                <w:color w:val="auto"/>
              </w:rPr>
            </w:pPr>
          </w:p>
        </w:tc>
        <w:tc>
          <w:tcPr>
            <w:tcW w:w="220" w:type="dxa"/>
            <w:vAlign w:val="bottom"/>
            <w:shd w:val="clear" w:color="auto" w:fill="EAF9E8"/>
          </w:tcPr>
          <w:p>
            <w:pPr>
              <w:spacing w:after="0"/>
              <w:rPr>
                <w:sz w:val="21"/>
                <w:szCs w:val="21"/>
                <w:color w:val="auto"/>
              </w:rPr>
            </w:pPr>
          </w:p>
        </w:tc>
        <w:tc>
          <w:tcPr>
            <w:tcW w:w="126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EAF9E8"/>
          </w:tcPr>
          <w:p>
            <w:pPr>
              <w:spacing w:after="0"/>
              <w:rPr>
                <w:sz w:val="21"/>
                <w:szCs w:val="21"/>
                <w:color w:val="auto"/>
              </w:rPr>
            </w:pPr>
          </w:p>
        </w:tc>
        <w:tc>
          <w:tcPr>
            <w:tcW w:w="1160" w:type="dxa"/>
            <w:vAlign w:val="bottom"/>
            <w:gridSpan w:val="2"/>
            <w:shd w:val="clear" w:color="auto" w:fill="EAF9E8"/>
          </w:tcPr>
          <w:p>
            <w:pPr>
              <w:ind w:left="880"/>
              <w:spacing w:after="0"/>
              <w:rPr>
                <w:sz w:val="20"/>
                <w:szCs w:val="20"/>
                <w:color w:val="auto"/>
              </w:rPr>
            </w:pPr>
            <w:r>
              <w:rPr>
                <w:rFonts w:ascii="Arial" w:cs="Arial" w:eastAsia="Arial" w:hAnsi="Arial"/>
                <w:sz w:val="18"/>
                <w:szCs w:val="18"/>
                <w:color w:val="auto"/>
              </w:rPr>
              <w:t>—</w:t>
            </w:r>
          </w:p>
        </w:tc>
        <w:tc>
          <w:tcPr>
            <w:tcW w:w="100" w:type="dxa"/>
            <w:vAlign w:val="bottom"/>
            <w:shd w:val="clear" w:color="auto" w:fill="EAF9E8"/>
          </w:tcPr>
          <w:p>
            <w:pPr>
              <w:spacing w:after="0"/>
              <w:rPr>
                <w:sz w:val="21"/>
                <w:szCs w:val="21"/>
                <w:color w:val="auto"/>
              </w:rPr>
            </w:pPr>
          </w:p>
        </w:tc>
        <w:tc>
          <w:tcPr>
            <w:tcW w:w="240" w:type="dxa"/>
            <w:vAlign w:val="bottom"/>
            <w:shd w:val="clear" w:color="auto" w:fill="EAF9E8"/>
          </w:tcPr>
          <w:p>
            <w:pPr>
              <w:spacing w:after="0"/>
              <w:rPr>
                <w:sz w:val="21"/>
                <w:szCs w:val="21"/>
                <w:color w:val="auto"/>
              </w:rPr>
            </w:pPr>
          </w:p>
        </w:tc>
        <w:tc>
          <w:tcPr>
            <w:tcW w:w="10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361</w:t>
            </w:r>
          </w:p>
        </w:tc>
        <w:tc>
          <w:tcPr>
            <w:tcW w:w="120" w:type="dxa"/>
            <w:vAlign w:val="bottom"/>
            <w:shd w:val="clear" w:color="auto" w:fill="EAF9E8"/>
          </w:tcPr>
          <w:p>
            <w:pPr>
              <w:spacing w:after="0"/>
              <w:rPr>
                <w:sz w:val="21"/>
                <w:szCs w:val="21"/>
                <w:color w:val="auto"/>
              </w:rPr>
            </w:pPr>
          </w:p>
        </w:tc>
      </w:tr>
      <w:tr>
        <w:trPr>
          <w:trHeight w:val="446"/>
        </w:trPr>
        <w:tc>
          <w:tcPr>
            <w:tcW w:w="5160" w:type="dxa"/>
            <w:vAlign w:val="bottom"/>
            <w:gridSpan w:val="3"/>
          </w:tcPr>
          <w:p>
            <w:pPr>
              <w:spacing w:after="0"/>
              <w:rPr>
                <w:sz w:val="20"/>
                <w:szCs w:val="20"/>
                <w:color w:val="auto"/>
              </w:rPr>
            </w:pPr>
            <w:r>
              <w:rPr>
                <w:rFonts w:ascii="Arial" w:cs="Arial" w:eastAsia="Arial" w:hAnsi="Arial"/>
                <w:sz w:val="18"/>
                <w:szCs w:val="18"/>
                <w:color w:val="auto"/>
              </w:rPr>
              <w:t>At December 31, 2008:</w:t>
            </w: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
        </w:trPr>
        <w:tc>
          <w:tcPr>
            <w:tcW w:w="166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43"/>
        </w:trPr>
        <w:tc>
          <w:tcPr>
            <w:tcW w:w="5160" w:type="dxa"/>
            <w:vAlign w:val="bottom"/>
            <w:gridSpan w:val="3"/>
            <w:shd w:val="clear" w:color="auto" w:fill="EAF9E8"/>
          </w:tcPr>
          <w:p>
            <w:pPr>
              <w:spacing w:after="0"/>
              <w:rPr>
                <w:sz w:val="20"/>
                <w:szCs w:val="20"/>
                <w:color w:val="auto"/>
              </w:rPr>
            </w:pPr>
            <w:r>
              <w:rPr>
                <w:rFonts w:ascii="Arial" w:cs="Arial" w:eastAsia="Arial" w:hAnsi="Arial"/>
                <w:sz w:val="18"/>
                <w:szCs w:val="18"/>
                <w:i w:val="1"/>
                <w:iCs w:val="1"/>
                <w:color w:val="auto"/>
              </w:rPr>
              <w:t>Measured at fair value on a recurring basis:</w:t>
            </w:r>
          </w:p>
        </w:tc>
        <w:tc>
          <w:tcPr>
            <w:tcW w:w="160" w:type="dxa"/>
            <w:vAlign w:val="bottom"/>
            <w:shd w:val="clear" w:color="auto" w:fill="EAF9E8"/>
          </w:tcPr>
          <w:p>
            <w:pPr>
              <w:spacing w:after="0"/>
              <w:rPr>
                <w:sz w:val="21"/>
                <w:szCs w:val="21"/>
                <w:color w:val="auto"/>
              </w:rPr>
            </w:pPr>
          </w:p>
        </w:tc>
        <w:tc>
          <w:tcPr>
            <w:tcW w:w="146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220" w:type="dxa"/>
            <w:vAlign w:val="bottom"/>
            <w:shd w:val="clear" w:color="auto" w:fill="EAF9E8"/>
          </w:tcPr>
          <w:p>
            <w:pPr>
              <w:spacing w:after="0"/>
              <w:rPr>
                <w:sz w:val="21"/>
                <w:szCs w:val="21"/>
                <w:color w:val="auto"/>
              </w:rPr>
            </w:pPr>
          </w:p>
        </w:tc>
        <w:tc>
          <w:tcPr>
            <w:tcW w:w="1060" w:type="dxa"/>
            <w:vAlign w:val="bottom"/>
            <w:shd w:val="clear" w:color="auto" w:fill="EAF9E8"/>
          </w:tcPr>
          <w:p>
            <w:pPr>
              <w:spacing w:after="0"/>
              <w:rPr>
                <w:sz w:val="21"/>
                <w:szCs w:val="21"/>
                <w:color w:val="auto"/>
              </w:rPr>
            </w:pPr>
          </w:p>
        </w:tc>
        <w:tc>
          <w:tcPr>
            <w:tcW w:w="200" w:type="dxa"/>
            <w:vAlign w:val="bottom"/>
            <w:shd w:val="clear" w:color="auto" w:fill="EAF9E8"/>
          </w:tcPr>
          <w:p>
            <w:pPr>
              <w:spacing w:after="0"/>
              <w:rPr>
                <w:sz w:val="21"/>
                <w:szCs w:val="21"/>
                <w:color w:val="auto"/>
              </w:rPr>
            </w:pPr>
          </w:p>
        </w:tc>
        <w:tc>
          <w:tcPr>
            <w:tcW w:w="240" w:type="dxa"/>
            <w:vAlign w:val="bottom"/>
            <w:shd w:val="clear" w:color="auto" w:fill="EAF9E8"/>
          </w:tcPr>
          <w:p>
            <w:pPr>
              <w:spacing w:after="0"/>
              <w:rPr>
                <w:sz w:val="21"/>
                <w:szCs w:val="21"/>
                <w:color w:val="auto"/>
              </w:rPr>
            </w:pPr>
          </w:p>
        </w:tc>
        <w:tc>
          <w:tcPr>
            <w:tcW w:w="106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240" w:type="dxa"/>
            <w:vAlign w:val="bottom"/>
            <w:shd w:val="clear" w:color="auto" w:fill="EAF9E8"/>
          </w:tcPr>
          <w:p>
            <w:pPr>
              <w:spacing w:after="0"/>
              <w:rPr>
                <w:sz w:val="21"/>
                <w:szCs w:val="21"/>
                <w:color w:val="auto"/>
              </w:rPr>
            </w:pPr>
          </w:p>
        </w:tc>
        <w:tc>
          <w:tcPr>
            <w:tcW w:w="108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r>
      <w:tr>
        <w:trPr>
          <w:trHeight w:val="242"/>
        </w:trPr>
        <w:tc>
          <w:tcPr>
            <w:tcW w:w="5160" w:type="dxa"/>
            <w:vAlign w:val="bottom"/>
            <w:gridSpan w:val="3"/>
          </w:tcPr>
          <w:p>
            <w:pPr>
              <w:ind w:left="160"/>
              <w:spacing w:after="0"/>
              <w:rPr>
                <w:sz w:val="20"/>
                <w:szCs w:val="20"/>
                <w:color w:val="auto"/>
              </w:rPr>
            </w:pPr>
            <w:r>
              <w:rPr>
                <w:rFonts w:ascii="Arial" w:cs="Arial" w:eastAsia="Arial" w:hAnsi="Arial"/>
                <w:sz w:val="18"/>
                <w:szCs w:val="18"/>
                <w:color w:val="auto"/>
              </w:rPr>
              <w:t>Trading securities (1):</w:t>
            </w:r>
          </w:p>
        </w:tc>
        <w:tc>
          <w:tcPr>
            <w:tcW w:w="1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4"/>
        </w:trPr>
        <w:tc>
          <w:tcPr>
            <w:tcW w:w="5160" w:type="dxa"/>
            <w:vAlign w:val="bottom"/>
            <w:gridSpan w:val="3"/>
            <w:shd w:val="clear" w:color="auto" w:fill="EAF9E8"/>
          </w:tcPr>
          <w:p>
            <w:pPr>
              <w:ind w:left="320"/>
              <w:spacing w:after="0"/>
              <w:rPr>
                <w:sz w:val="20"/>
                <w:szCs w:val="20"/>
                <w:color w:val="auto"/>
              </w:rPr>
            </w:pPr>
            <w:r>
              <w:rPr>
                <w:rFonts w:ascii="Arial" w:cs="Arial" w:eastAsia="Arial" w:hAnsi="Arial"/>
                <w:sz w:val="18"/>
                <w:szCs w:val="18"/>
                <w:color w:val="auto"/>
              </w:rPr>
              <w:t>Auction rate</w:t>
            </w:r>
          </w:p>
        </w:tc>
        <w:tc>
          <w:tcPr>
            <w:tcW w:w="160" w:type="dxa"/>
            <w:vAlign w:val="bottom"/>
            <w:shd w:val="clear" w:color="auto" w:fill="EAF9E8"/>
          </w:tcPr>
          <w:p>
            <w:pPr>
              <w:jc w:val="right"/>
              <w:ind w:right="3"/>
              <w:spacing w:after="0"/>
              <w:rPr>
                <w:sz w:val="20"/>
                <w:szCs w:val="20"/>
                <w:color w:val="auto"/>
              </w:rPr>
            </w:pPr>
            <w:r>
              <w:rPr>
                <w:rFonts w:ascii="Arial" w:cs="Arial" w:eastAsia="Arial" w:hAnsi="Arial"/>
                <w:sz w:val="15"/>
                <w:szCs w:val="15"/>
                <w:color w:val="auto"/>
                <w:w w:val="71"/>
              </w:rPr>
              <w:t>$</w:t>
            </w:r>
          </w:p>
        </w:tc>
        <w:tc>
          <w:tcPr>
            <w:tcW w:w="160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239,301</w:t>
            </w:r>
          </w:p>
        </w:tc>
        <w:tc>
          <w:tcPr>
            <w:tcW w:w="30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EAF9E8"/>
          </w:tcPr>
          <w:p>
            <w:pPr>
              <w:jc w:val="right"/>
              <w:ind w:right="52"/>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EAF9E8"/>
          </w:tcPr>
          <w:p>
            <w:pPr>
              <w:ind w:left="88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239,301</w:t>
            </w:r>
          </w:p>
        </w:tc>
        <w:tc>
          <w:tcPr>
            <w:tcW w:w="120" w:type="dxa"/>
            <w:vAlign w:val="bottom"/>
            <w:shd w:val="clear" w:color="auto" w:fill="EAF9E8"/>
          </w:tcPr>
          <w:p>
            <w:pPr>
              <w:spacing w:after="0"/>
              <w:rPr>
                <w:sz w:val="21"/>
                <w:szCs w:val="21"/>
                <w:color w:val="auto"/>
              </w:rPr>
            </w:pPr>
          </w:p>
        </w:tc>
      </w:tr>
      <w:tr>
        <w:trPr>
          <w:trHeight w:val="242"/>
        </w:trPr>
        <w:tc>
          <w:tcPr>
            <w:tcW w:w="5160" w:type="dxa"/>
            <w:vAlign w:val="bottom"/>
            <w:gridSpan w:val="3"/>
          </w:tcPr>
          <w:p>
            <w:pPr>
              <w:ind w:left="320"/>
              <w:spacing w:after="0"/>
              <w:rPr>
                <w:sz w:val="20"/>
                <w:szCs w:val="20"/>
                <w:color w:val="auto"/>
              </w:rPr>
            </w:pPr>
            <w:r>
              <w:rPr>
                <w:rFonts w:ascii="Arial" w:cs="Arial" w:eastAsia="Arial" w:hAnsi="Arial"/>
                <w:sz w:val="18"/>
                <w:szCs w:val="18"/>
                <w:color w:val="auto"/>
              </w:rPr>
              <w:t>Subordinates and residuals</w:t>
            </w:r>
          </w:p>
        </w:tc>
        <w:tc>
          <w:tcPr>
            <w:tcW w:w="160" w:type="dxa"/>
            <w:vAlign w:val="bottom"/>
          </w:tcPr>
          <w:p>
            <w:pPr>
              <w:spacing w:after="0"/>
              <w:rPr>
                <w:sz w:val="21"/>
                <w:szCs w:val="21"/>
                <w:color w:val="auto"/>
              </w:rPr>
            </w:pPr>
          </w:p>
        </w:tc>
        <w:tc>
          <w:tcPr>
            <w:tcW w:w="1600" w:type="dxa"/>
            <w:vAlign w:val="bottom"/>
            <w:gridSpan w:val="2"/>
          </w:tcPr>
          <w:p>
            <w:pPr>
              <w:jc w:val="right"/>
              <w:ind w:right="140"/>
              <w:spacing w:after="0"/>
              <w:rPr>
                <w:sz w:val="20"/>
                <w:szCs w:val="20"/>
                <w:color w:val="auto"/>
              </w:rPr>
            </w:pPr>
            <w:r>
              <w:rPr>
                <w:rFonts w:ascii="Arial" w:cs="Arial" w:eastAsia="Arial" w:hAnsi="Arial"/>
                <w:sz w:val="18"/>
                <w:szCs w:val="18"/>
                <w:color w:val="auto"/>
              </w:rPr>
              <w:t>4,369</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6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4,369</w:t>
            </w:r>
          </w:p>
        </w:tc>
        <w:tc>
          <w:tcPr>
            <w:tcW w:w="120" w:type="dxa"/>
            <w:vAlign w:val="bottom"/>
          </w:tcPr>
          <w:p>
            <w:pPr>
              <w:spacing w:after="0"/>
              <w:rPr>
                <w:sz w:val="21"/>
                <w:szCs w:val="21"/>
                <w:color w:val="auto"/>
              </w:rPr>
            </w:pPr>
          </w:p>
        </w:tc>
      </w:tr>
      <w:tr>
        <w:trPr>
          <w:trHeight w:val="244"/>
        </w:trPr>
        <w:tc>
          <w:tcPr>
            <w:tcW w:w="5160" w:type="dxa"/>
            <w:vAlign w:val="bottom"/>
            <w:gridSpan w:val="3"/>
            <w:shd w:val="clear" w:color="auto" w:fill="EAF9E8"/>
          </w:tcPr>
          <w:p>
            <w:pPr>
              <w:ind w:left="160"/>
              <w:spacing w:after="0"/>
              <w:rPr>
                <w:sz w:val="20"/>
                <w:szCs w:val="20"/>
                <w:color w:val="auto"/>
              </w:rPr>
            </w:pPr>
            <w:r>
              <w:rPr>
                <w:rFonts w:ascii="Arial" w:cs="Arial" w:eastAsia="Arial" w:hAnsi="Arial"/>
                <w:sz w:val="18"/>
                <w:szCs w:val="18"/>
                <w:color w:val="auto"/>
              </w:rPr>
              <w:t>Derivative financial instruments, net (2)</w:t>
            </w:r>
          </w:p>
        </w:tc>
        <w:tc>
          <w:tcPr>
            <w:tcW w:w="160" w:type="dxa"/>
            <w:vAlign w:val="bottom"/>
            <w:shd w:val="clear" w:color="auto" w:fill="EAF9E8"/>
          </w:tcPr>
          <w:p>
            <w:pPr>
              <w:spacing w:after="0"/>
              <w:rPr>
                <w:sz w:val="21"/>
                <w:szCs w:val="21"/>
                <w:color w:val="auto"/>
              </w:rPr>
            </w:pPr>
          </w:p>
        </w:tc>
        <w:tc>
          <w:tcPr>
            <w:tcW w:w="160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(533)</w:t>
            </w:r>
          </w:p>
        </w:tc>
        <w:tc>
          <w:tcPr>
            <w:tcW w:w="80" w:type="dxa"/>
            <w:vAlign w:val="bottom"/>
            <w:shd w:val="clear" w:color="auto" w:fill="EAF9E8"/>
          </w:tcPr>
          <w:p>
            <w:pPr>
              <w:spacing w:after="0"/>
              <w:rPr>
                <w:sz w:val="21"/>
                <w:szCs w:val="21"/>
                <w:color w:val="auto"/>
              </w:rPr>
            </w:pPr>
          </w:p>
        </w:tc>
        <w:tc>
          <w:tcPr>
            <w:tcW w:w="220" w:type="dxa"/>
            <w:vAlign w:val="bottom"/>
            <w:shd w:val="clear" w:color="auto" w:fill="EAF9E8"/>
          </w:tcPr>
          <w:p>
            <w:pPr>
              <w:spacing w:after="0"/>
              <w:rPr>
                <w:sz w:val="21"/>
                <w:szCs w:val="21"/>
                <w:color w:val="auto"/>
              </w:rPr>
            </w:pPr>
          </w:p>
        </w:tc>
        <w:tc>
          <w:tcPr>
            <w:tcW w:w="126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(726)</w:t>
            </w:r>
          </w:p>
        </w:tc>
        <w:tc>
          <w:tcPr>
            <w:tcW w:w="240" w:type="dxa"/>
            <w:vAlign w:val="bottom"/>
            <w:shd w:val="clear" w:color="auto" w:fill="EAF9E8"/>
          </w:tcPr>
          <w:p>
            <w:pPr>
              <w:spacing w:after="0"/>
              <w:rPr>
                <w:sz w:val="21"/>
                <w:szCs w:val="21"/>
                <w:color w:val="auto"/>
              </w:rPr>
            </w:pPr>
          </w:p>
        </w:tc>
        <w:tc>
          <w:tcPr>
            <w:tcW w:w="1160" w:type="dxa"/>
            <w:vAlign w:val="bottom"/>
            <w:gridSpan w:val="2"/>
            <w:shd w:val="clear" w:color="auto" w:fill="EAF9E8"/>
          </w:tcPr>
          <w:p>
            <w:pPr>
              <w:ind w:left="880"/>
              <w:spacing w:after="0"/>
              <w:rPr>
                <w:sz w:val="20"/>
                <w:szCs w:val="20"/>
                <w:color w:val="auto"/>
              </w:rPr>
            </w:pPr>
            <w:r>
              <w:rPr>
                <w:rFonts w:ascii="Arial" w:cs="Arial" w:eastAsia="Arial" w:hAnsi="Arial"/>
                <w:sz w:val="18"/>
                <w:szCs w:val="18"/>
                <w:color w:val="auto"/>
              </w:rPr>
              <w:t>—</w:t>
            </w:r>
          </w:p>
        </w:tc>
        <w:tc>
          <w:tcPr>
            <w:tcW w:w="100" w:type="dxa"/>
            <w:vAlign w:val="bottom"/>
            <w:shd w:val="clear" w:color="auto" w:fill="EAF9E8"/>
          </w:tcPr>
          <w:p>
            <w:pPr>
              <w:spacing w:after="0"/>
              <w:rPr>
                <w:sz w:val="21"/>
                <w:szCs w:val="21"/>
                <w:color w:val="auto"/>
              </w:rPr>
            </w:pPr>
          </w:p>
        </w:tc>
        <w:tc>
          <w:tcPr>
            <w:tcW w:w="240" w:type="dxa"/>
            <w:vAlign w:val="bottom"/>
            <w:shd w:val="clear" w:color="auto" w:fill="EAF9E8"/>
          </w:tcPr>
          <w:p>
            <w:pPr>
              <w:spacing w:after="0"/>
              <w:rPr>
                <w:sz w:val="21"/>
                <w:szCs w:val="21"/>
                <w:color w:val="auto"/>
              </w:rPr>
            </w:pPr>
          </w:p>
        </w:tc>
        <w:tc>
          <w:tcPr>
            <w:tcW w:w="10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193</w:t>
            </w:r>
          </w:p>
        </w:tc>
        <w:tc>
          <w:tcPr>
            <w:tcW w:w="120" w:type="dxa"/>
            <w:vAlign w:val="bottom"/>
            <w:shd w:val="clear" w:color="auto" w:fill="EAF9E8"/>
          </w:tcPr>
          <w:p>
            <w:pPr>
              <w:spacing w:after="0"/>
              <w:rPr>
                <w:sz w:val="21"/>
                <w:szCs w:val="21"/>
                <w:color w:val="auto"/>
              </w:rPr>
            </w:pPr>
          </w:p>
        </w:tc>
      </w:tr>
      <w:tr>
        <w:trPr>
          <w:trHeight w:val="242"/>
        </w:trPr>
        <w:tc>
          <w:tcPr>
            <w:tcW w:w="5160" w:type="dxa"/>
            <w:vAlign w:val="bottom"/>
            <w:gridSpan w:val="3"/>
          </w:tcPr>
          <w:p>
            <w:pPr>
              <w:spacing w:after="0"/>
              <w:rPr>
                <w:sz w:val="20"/>
                <w:szCs w:val="20"/>
                <w:color w:val="auto"/>
              </w:rPr>
            </w:pPr>
            <w:r>
              <w:rPr>
                <w:rFonts w:ascii="Arial" w:cs="Arial" w:eastAsia="Arial" w:hAnsi="Arial"/>
                <w:sz w:val="18"/>
                <w:szCs w:val="18"/>
                <w:i w:val="1"/>
                <w:iCs w:val="1"/>
                <w:color w:val="auto"/>
              </w:rPr>
              <w:t>Measured at fair value on a non-recurring basis:</w:t>
            </w:r>
          </w:p>
        </w:tc>
        <w:tc>
          <w:tcPr>
            <w:tcW w:w="1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4"/>
        </w:trPr>
        <w:tc>
          <w:tcPr>
            <w:tcW w:w="5160" w:type="dxa"/>
            <w:vAlign w:val="bottom"/>
            <w:gridSpan w:val="3"/>
            <w:shd w:val="clear" w:color="auto" w:fill="EAF9E8"/>
          </w:tcPr>
          <w:p>
            <w:pPr>
              <w:ind w:left="160"/>
              <w:spacing w:after="0"/>
              <w:rPr>
                <w:sz w:val="20"/>
                <w:szCs w:val="20"/>
                <w:color w:val="auto"/>
              </w:rPr>
            </w:pPr>
            <w:r>
              <w:rPr>
                <w:rFonts w:ascii="Arial" w:cs="Arial" w:eastAsia="Arial" w:hAnsi="Arial"/>
                <w:sz w:val="18"/>
                <w:szCs w:val="18"/>
                <w:color w:val="auto"/>
              </w:rPr>
              <w:t>Loans held for resale (3)</w:t>
            </w:r>
          </w:p>
        </w:tc>
        <w:tc>
          <w:tcPr>
            <w:tcW w:w="160" w:type="dxa"/>
            <w:vAlign w:val="bottom"/>
            <w:shd w:val="clear" w:color="auto" w:fill="EAF9E8"/>
          </w:tcPr>
          <w:p>
            <w:pPr>
              <w:spacing w:after="0"/>
              <w:rPr>
                <w:sz w:val="21"/>
                <w:szCs w:val="21"/>
                <w:color w:val="auto"/>
              </w:rPr>
            </w:pPr>
          </w:p>
        </w:tc>
        <w:tc>
          <w:tcPr>
            <w:tcW w:w="160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49,918</w:t>
            </w:r>
          </w:p>
        </w:tc>
        <w:tc>
          <w:tcPr>
            <w:tcW w:w="80" w:type="dxa"/>
            <w:vAlign w:val="bottom"/>
            <w:shd w:val="clear" w:color="auto" w:fill="EAF9E8"/>
          </w:tcPr>
          <w:p>
            <w:pPr>
              <w:spacing w:after="0"/>
              <w:rPr>
                <w:sz w:val="21"/>
                <w:szCs w:val="21"/>
                <w:color w:val="auto"/>
              </w:rPr>
            </w:pPr>
          </w:p>
        </w:tc>
        <w:tc>
          <w:tcPr>
            <w:tcW w:w="220" w:type="dxa"/>
            <w:vAlign w:val="bottom"/>
            <w:shd w:val="clear" w:color="auto" w:fill="EAF9E8"/>
          </w:tcPr>
          <w:p>
            <w:pPr>
              <w:spacing w:after="0"/>
              <w:rPr>
                <w:sz w:val="21"/>
                <w:szCs w:val="21"/>
                <w:color w:val="auto"/>
              </w:rPr>
            </w:pPr>
          </w:p>
        </w:tc>
        <w:tc>
          <w:tcPr>
            <w:tcW w:w="126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EAF9E8"/>
          </w:tcPr>
          <w:p>
            <w:pPr>
              <w:spacing w:after="0"/>
              <w:rPr>
                <w:sz w:val="21"/>
                <w:szCs w:val="21"/>
                <w:color w:val="auto"/>
              </w:rPr>
            </w:pPr>
          </w:p>
        </w:tc>
        <w:tc>
          <w:tcPr>
            <w:tcW w:w="1160" w:type="dxa"/>
            <w:vAlign w:val="bottom"/>
            <w:gridSpan w:val="2"/>
            <w:shd w:val="clear" w:color="auto" w:fill="EAF9E8"/>
          </w:tcPr>
          <w:p>
            <w:pPr>
              <w:ind w:left="880"/>
              <w:spacing w:after="0"/>
              <w:rPr>
                <w:sz w:val="20"/>
                <w:szCs w:val="20"/>
                <w:color w:val="auto"/>
              </w:rPr>
            </w:pPr>
            <w:r>
              <w:rPr>
                <w:rFonts w:ascii="Arial" w:cs="Arial" w:eastAsia="Arial" w:hAnsi="Arial"/>
                <w:sz w:val="18"/>
                <w:szCs w:val="18"/>
                <w:color w:val="auto"/>
              </w:rPr>
              <w:t>—</w:t>
            </w:r>
          </w:p>
        </w:tc>
        <w:tc>
          <w:tcPr>
            <w:tcW w:w="100" w:type="dxa"/>
            <w:vAlign w:val="bottom"/>
            <w:shd w:val="clear" w:color="auto" w:fill="EAF9E8"/>
          </w:tcPr>
          <w:p>
            <w:pPr>
              <w:spacing w:after="0"/>
              <w:rPr>
                <w:sz w:val="21"/>
                <w:szCs w:val="21"/>
                <w:color w:val="auto"/>
              </w:rPr>
            </w:pPr>
          </w:p>
        </w:tc>
        <w:tc>
          <w:tcPr>
            <w:tcW w:w="240" w:type="dxa"/>
            <w:vAlign w:val="bottom"/>
            <w:shd w:val="clear" w:color="auto" w:fill="EAF9E8"/>
          </w:tcPr>
          <w:p>
            <w:pPr>
              <w:spacing w:after="0"/>
              <w:rPr>
                <w:sz w:val="21"/>
                <w:szCs w:val="21"/>
                <w:color w:val="auto"/>
              </w:rPr>
            </w:pPr>
          </w:p>
        </w:tc>
        <w:tc>
          <w:tcPr>
            <w:tcW w:w="10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49,918</w:t>
            </w:r>
          </w:p>
        </w:tc>
        <w:tc>
          <w:tcPr>
            <w:tcW w:w="120" w:type="dxa"/>
            <w:vAlign w:val="bottom"/>
            <w:shd w:val="clear" w:color="auto" w:fill="EAF9E8"/>
          </w:tcPr>
          <w:p>
            <w:pPr>
              <w:spacing w:after="0"/>
              <w:rPr>
                <w:sz w:val="21"/>
                <w:szCs w:val="21"/>
                <w:color w:val="auto"/>
              </w:rPr>
            </w:pPr>
          </w:p>
        </w:tc>
      </w:tr>
      <w:tr>
        <w:trPr>
          <w:trHeight w:val="241"/>
        </w:trPr>
        <w:tc>
          <w:tcPr>
            <w:tcW w:w="5160" w:type="dxa"/>
            <w:vAlign w:val="bottom"/>
            <w:gridSpan w:val="3"/>
          </w:tcPr>
          <w:p>
            <w:pPr>
              <w:ind w:left="160"/>
              <w:spacing w:after="0"/>
              <w:rPr>
                <w:sz w:val="20"/>
                <w:szCs w:val="20"/>
                <w:color w:val="auto"/>
              </w:rPr>
            </w:pPr>
            <w:r>
              <w:rPr>
                <w:rFonts w:ascii="Arial" w:cs="Arial" w:eastAsia="Arial" w:hAnsi="Arial"/>
                <w:sz w:val="18"/>
                <w:szCs w:val="18"/>
                <w:color w:val="auto"/>
              </w:rPr>
              <w:t>Mortgage servicing rights (4)</w:t>
            </w:r>
          </w:p>
        </w:tc>
        <w:tc>
          <w:tcPr>
            <w:tcW w:w="160" w:type="dxa"/>
            <w:vAlign w:val="bottom"/>
          </w:tcPr>
          <w:p>
            <w:pPr>
              <w:spacing w:after="0"/>
              <w:rPr>
                <w:sz w:val="20"/>
                <w:szCs w:val="20"/>
                <w:color w:val="auto"/>
              </w:rPr>
            </w:pPr>
          </w:p>
        </w:tc>
        <w:tc>
          <w:tcPr>
            <w:tcW w:w="16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6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r>
    </w:tbl>
    <w:p>
      <w:pPr>
        <w:spacing w:after="0" w:line="250" w:lineRule="exact"/>
        <w:rPr>
          <w:sz w:val="20"/>
          <w:szCs w:val="20"/>
          <w:color w:val="auto"/>
        </w:rPr>
      </w:pPr>
    </w:p>
    <w:p>
      <w:pPr>
        <w:ind w:left="580" w:right="560" w:hanging="572"/>
        <w:spacing w:after="0" w:line="268" w:lineRule="auto"/>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Because our internal valuation model requires significant use of unobservable inputs, we classified these securities within Level 3 of the fair value hierarchy.</w:t>
      </w:r>
    </w:p>
    <w:p>
      <w:pPr>
        <w:spacing w:after="0" w:line="212" w:lineRule="exact"/>
        <w:rPr>
          <w:rFonts w:ascii="Arial" w:cs="Arial" w:eastAsia="Arial" w:hAnsi="Arial"/>
          <w:sz w:val="18"/>
          <w:szCs w:val="18"/>
          <w:color w:val="auto"/>
        </w:rPr>
      </w:pPr>
    </w:p>
    <w:p>
      <w:pPr>
        <w:ind w:left="580" w:right="20" w:hanging="572"/>
        <w:spacing w:after="0" w:line="255" w:lineRule="auto"/>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Derivative financial instruments consist of interest rate caps that we use to protect against our exposure to rising interest rates on two of our match funded variable funding notes and foreign currency futures contracts that we use to hedge our net investment in Bankhaus Oswald Kruber GmbH &amp; Co. KG (BOK), our wholly-owned German banking subsidiary, against adverse changes in the value of the Euro versus the U.S. Dollar. We classified the interest rate caps within Level 3 of the fair value hierarchy and the futures contracts within Level 1. See Note 21 for additional information on our derivative financial instruments.</w:t>
      </w:r>
    </w:p>
    <w:p>
      <w:pPr>
        <w:spacing w:after="0" w:line="223" w:lineRule="exact"/>
        <w:rPr>
          <w:rFonts w:ascii="Arial" w:cs="Arial" w:eastAsia="Arial" w:hAnsi="Arial"/>
          <w:sz w:val="18"/>
          <w:szCs w:val="18"/>
          <w:color w:val="auto"/>
        </w:rPr>
      </w:pPr>
    </w:p>
    <w:p>
      <w:pPr>
        <w:ind w:left="580" w:hanging="572"/>
        <w:spacing w:after="0" w:line="259" w:lineRule="auto"/>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Loans held for resale are measured at fair value on a non-recurring basis. At September 30, 2009 and December 31, 2008, the carrying value of loans held for resale is net of a valuation allowance of $16,468 and $17,491, respectively. Current market illiquidity has reduced the availability of observable pricing data. Consequently, we classify these loans within level 3 of the fair value hierarchy.</w:t>
      </w:r>
    </w:p>
    <w:p>
      <w:pPr>
        <w:spacing w:after="0" w:line="221" w:lineRule="exact"/>
        <w:rPr>
          <w:rFonts w:ascii="Arial" w:cs="Arial" w:eastAsia="Arial" w:hAnsi="Arial"/>
          <w:sz w:val="18"/>
          <w:szCs w:val="18"/>
          <w:color w:val="auto"/>
        </w:rPr>
      </w:pPr>
    </w:p>
    <w:p>
      <w:pPr>
        <w:jc w:val="both"/>
        <w:ind w:left="580" w:right="420" w:hanging="572"/>
        <w:spacing w:after="0" w:line="306" w:lineRule="auto"/>
        <w:tabs>
          <w:tab w:leader="none" w:pos="58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carrying value of MSRs at September 30, 2009 and December 31, 2008 is net of a valuation allowance for impairment of $3,250. The valuation allowance, which relates exclusively to the high-loan-to-value stratum of our residential MSRs, reduced the carrying value of the stratum to $361 at September 30, 2009. The estimated fair value exceeded amortized cost for all other strata. See Note 9 for additional information on MSRs.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 w:name="page18"/>
    <w:bookmarkEnd w:id="17"/>
    <w:p>
      <w:pPr>
        <w:ind w:left="440"/>
        <w:spacing w:after="0"/>
        <w:rPr>
          <w:sz w:val="20"/>
          <w:szCs w:val="20"/>
          <w:color w:val="auto"/>
        </w:rPr>
      </w:pPr>
      <w:r>
        <w:rPr>
          <w:rFonts w:ascii="Arial" w:cs="Arial" w:eastAsia="Arial" w:hAnsi="Arial"/>
          <w:sz w:val="16"/>
          <w:szCs w:val="16"/>
          <w:color w:val="auto"/>
        </w:rPr>
        <w:t>The following table sets forth a reconciliation of the changes in fair value of our Level 3 assets that we measure at fair value on a recurring basis: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3"/>
              </w:rPr>
              <w:t>Purchases,</w:t>
            </w:r>
          </w:p>
        </w:tc>
        <w:tc>
          <w:tcPr>
            <w:tcW w:w="140" w:type="dxa"/>
            <w:vAlign w:val="bottom"/>
          </w:tcPr>
          <w:p>
            <w:pPr>
              <w:spacing w:after="0"/>
              <w:rPr>
                <w:sz w:val="18"/>
                <w:szCs w:val="18"/>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Total realized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Fair value at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5"/>
              </w:rPr>
              <w:t>collections and</w:t>
            </w:r>
          </w:p>
        </w:tc>
        <w:tc>
          <w:tcPr>
            <w:tcW w:w="140" w:type="dxa"/>
            <w:vAlign w:val="bottom"/>
          </w:tcPr>
          <w:p>
            <w:pPr>
              <w:spacing w:after="0"/>
              <w:rPr>
                <w:sz w:val="18"/>
                <w:szCs w:val="18"/>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and unrealized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center"/>
              <w:ind w:right="52"/>
              <w:spacing w:after="0"/>
              <w:rPr>
                <w:sz w:val="20"/>
                <w:szCs w:val="20"/>
                <w:color w:val="auto"/>
              </w:rPr>
            </w:pPr>
            <w:r>
              <w:rPr>
                <w:rFonts w:ascii="Arial" w:cs="Arial" w:eastAsia="Arial" w:hAnsi="Arial"/>
                <w:sz w:val="18"/>
                <w:szCs w:val="18"/>
                <w:b w:val="1"/>
                <w:bCs w:val="1"/>
                <w:color w:val="auto"/>
                <w:w w:val="87"/>
              </w:rPr>
              <w:t>Transfers in</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beginning of</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3"/>
              </w:rPr>
              <w:t>settlements,</w:t>
            </w:r>
          </w:p>
        </w:tc>
        <w:tc>
          <w:tcPr>
            <w:tcW w:w="140" w:type="dxa"/>
            <w:vAlign w:val="bottom"/>
          </w:tcPr>
          <w:p>
            <w:pPr>
              <w:spacing w:after="0"/>
              <w:rPr>
                <w:sz w:val="18"/>
                <w:szCs w:val="18"/>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5"/>
              </w:rPr>
              <w:t>gains and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center"/>
              <w:ind w:right="52"/>
              <w:spacing w:after="0"/>
              <w:rPr>
                <w:sz w:val="20"/>
                <w:szCs w:val="20"/>
                <w:color w:val="auto"/>
              </w:rPr>
            </w:pPr>
            <w:r>
              <w:rPr>
                <w:rFonts w:ascii="Arial" w:cs="Arial" w:eastAsia="Arial" w:hAnsi="Arial"/>
                <w:sz w:val="18"/>
                <w:szCs w:val="18"/>
                <w:b w:val="1"/>
                <w:bCs w:val="1"/>
                <w:color w:val="auto"/>
                <w:w w:val="89"/>
              </w:rPr>
              <w:t>and/or out of</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ind w:right="132"/>
              <w:spacing w:after="0"/>
              <w:rPr>
                <w:sz w:val="20"/>
                <w:szCs w:val="20"/>
                <w:color w:val="auto"/>
              </w:rPr>
            </w:pPr>
            <w:r>
              <w:rPr>
                <w:rFonts w:ascii="Arial" w:cs="Arial" w:eastAsia="Arial" w:hAnsi="Arial"/>
                <w:sz w:val="18"/>
                <w:szCs w:val="18"/>
                <w:b w:val="1"/>
                <w:bCs w:val="1"/>
                <w:color w:val="auto"/>
                <w:w w:val="97"/>
              </w:rPr>
              <w:t>Fair value at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period</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net (1)</w:t>
            </w:r>
          </w:p>
        </w:tc>
        <w:tc>
          <w:tcPr>
            <w:tcW w:w="140" w:type="dxa"/>
            <w:vAlign w:val="bottom"/>
          </w:tcPr>
          <w:p>
            <w:pPr>
              <w:spacing w:after="0"/>
              <w:rPr>
                <w:sz w:val="19"/>
                <w:szCs w:val="19"/>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2"/>
              </w:rPr>
              <w:t>(losses) (2)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center"/>
              <w:ind w:right="52"/>
              <w:spacing w:after="0"/>
              <w:rPr>
                <w:sz w:val="20"/>
                <w:szCs w:val="20"/>
                <w:color w:val="auto"/>
              </w:rPr>
            </w:pPr>
            <w:r>
              <w:rPr>
                <w:rFonts w:ascii="Arial" w:cs="Arial" w:eastAsia="Arial" w:hAnsi="Arial"/>
                <w:sz w:val="18"/>
                <w:szCs w:val="18"/>
                <w:b w:val="1"/>
                <w:bCs w:val="1"/>
                <w:color w:val="auto"/>
                <w:w w:val="88"/>
              </w:rPr>
              <w:t>Level 3</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ind w:right="92"/>
              <w:spacing w:after="0"/>
              <w:rPr>
                <w:sz w:val="20"/>
                <w:szCs w:val="20"/>
                <w:color w:val="auto"/>
              </w:rPr>
            </w:pPr>
            <w:r>
              <w:rPr>
                <w:rFonts w:ascii="Arial" w:cs="Arial" w:eastAsia="Arial" w:hAnsi="Arial"/>
                <w:sz w:val="18"/>
                <w:szCs w:val="18"/>
                <w:b w:val="1"/>
                <w:bCs w:val="1"/>
                <w:color w:val="auto"/>
                <w:w w:val="89"/>
              </w:rPr>
              <w:t>September 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920" w:type="dxa"/>
            <w:vAlign w:val="bottom"/>
            <w:gridSpan w:val="5"/>
            <w:shd w:val="clear" w:color="auto" w:fill="EAF9E8"/>
          </w:tcPr>
          <w:p>
            <w:pPr>
              <w:spacing w:after="0" w:line="170" w:lineRule="exact"/>
              <w:rPr>
                <w:sz w:val="20"/>
                <w:szCs w:val="20"/>
                <w:color w:val="auto"/>
              </w:rPr>
            </w:pPr>
            <w:r>
              <w:rPr>
                <w:rFonts w:ascii="Arial" w:cs="Arial" w:eastAsia="Arial" w:hAnsi="Arial"/>
                <w:sz w:val="18"/>
                <w:szCs w:val="18"/>
                <w:color w:val="auto"/>
                <w:w w:val="92"/>
              </w:rPr>
              <w:t>For the three months ended September</w:t>
            </w:r>
          </w:p>
        </w:tc>
        <w:tc>
          <w:tcPr>
            <w:tcW w:w="200" w:type="dxa"/>
            <w:vAlign w:val="bottom"/>
            <w:shd w:val="clear" w:color="auto" w:fill="EAF9E8"/>
          </w:tcPr>
          <w:p>
            <w:pPr>
              <w:spacing w:after="0"/>
              <w:rPr>
                <w:sz w:val="14"/>
                <w:szCs w:val="14"/>
                <w:color w:val="auto"/>
              </w:rPr>
            </w:pPr>
          </w:p>
        </w:tc>
        <w:tc>
          <w:tcPr>
            <w:tcW w:w="160" w:type="dxa"/>
            <w:vAlign w:val="bottom"/>
            <w:tcBorders>
              <w:top w:val="single" w:sz="8" w:color="auto"/>
            </w:tcBorders>
            <w:shd w:val="clear" w:color="auto" w:fill="EAF9E8"/>
          </w:tcPr>
          <w:p>
            <w:pPr>
              <w:spacing w:after="0"/>
              <w:rPr>
                <w:sz w:val="14"/>
                <w:szCs w:val="14"/>
                <w:color w:val="auto"/>
              </w:rPr>
            </w:pPr>
          </w:p>
        </w:tc>
        <w:tc>
          <w:tcPr>
            <w:tcW w:w="1220" w:type="dxa"/>
            <w:vAlign w:val="bottom"/>
            <w:tcBorders>
              <w:top w:val="single" w:sz="8" w:color="auto"/>
            </w:tcBorders>
            <w:shd w:val="clear" w:color="auto" w:fill="EAF9E8"/>
          </w:tcPr>
          <w:p>
            <w:pPr>
              <w:spacing w:after="0"/>
              <w:rPr>
                <w:sz w:val="14"/>
                <w:szCs w:val="14"/>
                <w:color w:val="auto"/>
              </w:rPr>
            </w:pPr>
          </w:p>
        </w:tc>
        <w:tc>
          <w:tcPr>
            <w:tcW w:w="120" w:type="dxa"/>
            <w:vAlign w:val="bottom"/>
            <w:shd w:val="clear" w:color="auto" w:fill="EAF9E8"/>
          </w:tcPr>
          <w:p>
            <w:pPr>
              <w:spacing w:after="0"/>
              <w:rPr>
                <w:sz w:val="14"/>
                <w:szCs w:val="14"/>
                <w:color w:val="auto"/>
              </w:rPr>
            </w:pPr>
          </w:p>
        </w:tc>
        <w:tc>
          <w:tcPr>
            <w:tcW w:w="120" w:type="dxa"/>
            <w:vAlign w:val="bottom"/>
            <w:shd w:val="clear" w:color="auto" w:fill="EAF9E8"/>
          </w:tcPr>
          <w:p>
            <w:pPr>
              <w:spacing w:after="0"/>
              <w:rPr>
                <w:sz w:val="14"/>
                <w:szCs w:val="14"/>
                <w:color w:val="auto"/>
              </w:rPr>
            </w:pPr>
          </w:p>
        </w:tc>
        <w:tc>
          <w:tcPr>
            <w:tcW w:w="140" w:type="dxa"/>
            <w:vAlign w:val="bottom"/>
            <w:tcBorders>
              <w:top w:val="single" w:sz="8" w:color="auto"/>
            </w:tcBorders>
            <w:shd w:val="clear" w:color="auto" w:fill="EAF9E8"/>
          </w:tcPr>
          <w:p>
            <w:pPr>
              <w:spacing w:after="0"/>
              <w:rPr>
                <w:sz w:val="14"/>
                <w:szCs w:val="14"/>
                <w:color w:val="auto"/>
              </w:rPr>
            </w:pPr>
          </w:p>
        </w:tc>
        <w:tc>
          <w:tcPr>
            <w:tcW w:w="1380" w:type="dxa"/>
            <w:vAlign w:val="bottom"/>
            <w:tcBorders>
              <w:top w:val="single" w:sz="8" w:color="auto"/>
            </w:tcBorders>
            <w:shd w:val="clear" w:color="auto" w:fill="EAF9E8"/>
          </w:tcPr>
          <w:p>
            <w:pPr>
              <w:spacing w:after="0"/>
              <w:rPr>
                <w:sz w:val="14"/>
                <w:szCs w:val="14"/>
                <w:color w:val="auto"/>
              </w:rPr>
            </w:pPr>
          </w:p>
        </w:tc>
        <w:tc>
          <w:tcPr>
            <w:tcW w:w="240" w:type="dxa"/>
            <w:vAlign w:val="bottom"/>
            <w:shd w:val="clear" w:color="auto" w:fill="EAF9E8"/>
          </w:tcPr>
          <w:p>
            <w:pPr>
              <w:spacing w:after="0"/>
              <w:rPr>
                <w:sz w:val="14"/>
                <w:szCs w:val="14"/>
                <w:color w:val="auto"/>
              </w:rPr>
            </w:pPr>
          </w:p>
        </w:tc>
        <w:tc>
          <w:tcPr>
            <w:tcW w:w="140" w:type="dxa"/>
            <w:vAlign w:val="bottom"/>
            <w:tcBorders>
              <w:top w:val="single" w:sz="8" w:color="auto"/>
            </w:tcBorders>
            <w:shd w:val="clear" w:color="auto" w:fill="EAF9E8"/>
          </w:tcPr>
          <w:p>
            <w:pPr>
              <w:spacing w:after="0"/>
              <w:rPr>
                <w:sz w:val="14"/>
                <w:szCs w:val="14"/>
                <w:color w:val="auto"/>
              </w:rPr>
            </w:pPr>
          </w:p>
        </w:tc>
        <w:tc>
          <w:tcPr>
            <w:tcW w:w="1380" w:type="dxa"/>
            <w:vAlign w:val="bottom"/>
            <w:tcBorders>
              <w:top w:val="single" w:sz="8" w:color="auto"/>
            </w:tcBorders>
            <w:shd w:val="clear" w:color="auto" w:fill="EAF9E8"/>
          </w:tcPr>
          <w:p>
            <w:pPr>
              <w:spacing w:after="0"/>
              <w:rPr>
                <w:sz w:val="14"/>
                <w:szCs w:val="14"/>
                <w:color w:val="auto"/>
              </w:rPr>
            </w:pPr>
          </w:p>
        </w:tc>
        <w:tc>
          <w:tcPr>
            <w:tcW w:w="140" w:type="dxa"/>
            <w:vAlign w:val="bottom"/>
            <w:shd w:val="clear" w:color="auto" w:fill="EAF9E8"/>
          </w:tcPr>
          <w:p>
            <w:pPr>
              <w:spacing w:after="0"/>
              <w:rPr>
                <w:sz w:val="14"/>
                <w:szCs w:val="14"/>
                <w:color w:val="auto"/>
              </w:rPr>
            </w:pPr>
          </w:p>
        </w:tc>
        <w:tc>
          <w:tcPr>
            <w:tcW w:w="100" w:type="dxa"/>
            <w:vAlign w:val="bottom"/>
            <w:shd w:val="clear" w:color="auto" w:fill="EAF9E8"/>
          </w:tcPr>
          <w:p>
            <w:pPr>
              <w:spacing w:after="0"/>
              <w:rPr>
                <w:sz w:val="14"/>
                <w:szCs w:val="14"/>
                <w:color w:val="auto"/>
              </w:rPr>
            </w:pPr>
          </w:p>
        </w:tc>
        <w:tc>
          <w:tcPr>
            <w:tcW w:w="140" w:type="dxa"/>
            <w:vAlign w:val="bottom"/>
            <w:tcBorders>
              <w:top w:val="single" w:sz="8" w:color="auto"/>
            </w:tcBorders>
            <w:shd w:val="clear" w:color="auto" w:fill="EAF9E8"/>
          </w:tcPr>
          <w:p>
            <w:pPr>
              <w:spacing w:after="0"/>
              <w:rPr>
                <w:sz w:val="14"/>
                <w:szCs w:val="14"/>
                <w:color w:val="auto"/>
              </w:rPr>
            </w:pPr>
          </w:p>
        </w:tc>
        <w:tc>
          <w:tcPr>
            <w:tcW w:w="1240" w:type="dxa"/>
            <w:vAlign w:val="bottom"/>
            <w:tcBorders>
              <w:top w:val="single" w:sz="8" w:color="auto"/>
            </w:tcBorders>
            <w:shd w:val="clear" w:color="auto" w:fill="EAF9E8"/>
          </w:tcPr>
          <w:p>
            <w:pPr>
              <w:spacing w:after="0"/>
              <w:rPr>
                <w:sz w:val="14"/>
                <w:szCs w:val="14"/>
                <w:color w:val="auto"/>
              </w:rPr>
            </w:pPr>
          </w:p>
        </w:tc>
        <w:tc>
          <w:tcPr>
            <w:tcW w:w="240" w:type="dxa"/>
            <w:vAlign w:val="bottom"/>
            <w:shd w:val="clear" w:color="auto" w:fill="EAF9E8"/>
          </w:tcPr>
          <w:p>
            <w:pPr>
              <w:spacing w:after="0"/>
              <w:rPr>
                <w:sz w:val="14"/>
                <w:szCs w:val="14"/>
                <w:color w:val="auto"/>
              </w:rPr>
            </w:pPr>
          </w:p>
        </w:tc>
        <w:tc>
          <w:tcPr>
            <w:tcW w:w="140" w:type="dxa"/>
            <w:vAlign w:val="bottom"/>
            <w:tcBorders>
              <w:top w:val="single" w:sz="8" w:color="auto"/>
            </w:tcBorders>
            <w:shd w:val="clear" w:color="auto" w:fill="EAF9E8"/>
          </w:tcPr>
          <w:p>
            <w:pPr>
              <w:spacing w:after="0"/>
              <w:rPr>
                <w:sz w:val="14"/>
                <w:szCs w:val="14"/>
                <w:color w:val="auto"/>
              </w:rPr>
            </w:pPr>
          </w:p>
        </w:tc>
        <w:tc>
          <w:tcPr>
            <w:tcW w:w="1260" w:type="dxa"/>
            <w:vAlign w:val="bottom"/>
            <w:tcBorders>
              <w:top w:val="single" w:sz="8" w:color="auto"/>
            </w:tcBorders>
            <w:shd w:val="clear" w:color="auto" w:fill="EAF9E8"/>
          </w:tcPr>
          <w:p>
            <w:pPr>
              <w:spacing w:after="0"/>
              <w:rPr>
                <w:sz w:val="14"/>
                <w:szCs w:val="14"/>
                <w:color w:val="auto"/>
              </w:rPr>
            </w:pPr>
          </w:p>
        </w:tc>
        <w:tc>
          <w:tcPr>
            <w:tcW w:w="120" w:type="dxa"/>
            <w:vAlign w:val="bottom"/>
            <w:shd w:val="clear" w:color="auto" w:fill="EAF9E8"/>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40" w:type="dxa"/>
            <w:vAlign w:val="bottom"/>
            <w:tcBorders>
              <w:top w:val="single" w:sz="8" w:color="auto"/>
              <w:bottom w:val="single" w:sz="8" w:color="EAF9E8"/>
            </w:tcBorders>
            <w:shd w:val="clear" w:color="auto" w:fill="EAF9E8"/>
          </w:tcPr>
          <w:p>
            <w:pPr>
              <w:spacing w:after="0"/>
              <w:rPr>
                <w:sz w:val="18"/>
                <w:szCs w:val="18"/>
                <w:color w:val="auto"/>
              </w:rPr>
            </w:pPr>
          </w:p>
        </w:tc>
        <w:tc>
          <w:tcPr>
            <w:tcW w:w="660" w:type="dxa"/>
            <w:vAlign w:val="bottom"/>
            <w:tcBorders>
              <w:top w:val="single" w:sz="8" w:color="auto"/>
              <w:bottom w:val="single" w:sz="8" w:color="auto"/>
            </w:tcBorders>
            <w:shd w:val="clear" w:color="auto" w:fill="EAF9E8"/>
          </w:tcPr>
          <w:p>
            <w:pPr>
              <w:spacing w:after="0" w:line="196" w:lineRule="exact"/>
              <w:rPr>
                <w:sz w:val="20"/>
                <w:szCs w:val="20"/>
                <w:color w:val="auto"/>
              </w:rPr>
            </w:pPr>
            <w:r>
              <w:rPr>
                <w:rFonts w:ascii="Arial" w:cs="Arial" w:eastAsia="Arial" w:hAnsi="Arial"/>
                <w:sz w:val="18"/>
                <w:szCs w:val="18"/>
                <w:color w:val="auto"/>
                <w:w w:val="85"/>
              </w:rPr>
              <w:t>30, 2009:</w:t>
            </w:r>
          </w:p>
        </w:tc>
        <w:tc>
          <w:tcPr>
            <w:tcW w:w="1860" w:type="dxa"/>
            <w:vAlign w:val="bottom"/>
            <w:tcBorders>
              <w:top w:val="single" w:sz="8" w:color="auto"/>
              <w:bottom w:val="single" w:sz="8" w:color="EAF9E8"/>
            </w:tcBorders>
            <w:shd w:val="clear" w:color="auto" w:fill="EAF9E8"/>
          </w:tcPr>
          <w:p>
            <w:pPr>
              <w:spacing w:after="0"/>
              <w:rPr>
                <w:sz w:val="18"/>
                <w:szCs w:val="18"/>
                <w:color w:val="auto"/>
              </w:rPr>
            </w:pPr>
          </w:p>
        </w:tc>
        <w:tc>
          <w:tcPr>
            <w:tcW w:w="40" w:type="dxa"/>
            <w:vAlign w:val="bottom"/>
            <w:tcBorders>
              <w:top w:val="single" w:sz="8" w:color="auto"/>
              <w:bottom w:val="single" w:sz="8" w:color="EAF9E8"/>
            </w:tcBorders>
            <w:shd w:val="clear" w:color="auto" w:fill="EAF9E8"/>
          </w:tcPr>
          <w:p>
            <w:pPr>
              <w:spacing w:after="0"/>
              <w:rPr>
                <w:sz w:val="18"/>
                <w:szCs w:val="18"/>
                <w:color w:val="auto"/>
              </w:rPr>
            </w:pPr>
          </w:p>
        </w:tc>
        <w:tc>
          <w:tcPr>
            <w:tcW w:w="220" w:type="dxa"/>
            <w:vAlign w:val="bottom"/>
            <w:tcBorders>
              <w:top w:val="single" w:sz="8" w:color="EAF9E8"/>
              <w:bottom w:val="single" w:sz="8" w:color="EAF9E8"/>
            </w:tcBorders>
            <w:shd w:val="clear" w:color="auto" w:fill="EAF9E8"/>
          </w:tcPr>
          <w:p>
            <w:pPr>
              <w:spacing w:after="0"/>
              <w:rPr>
                <w:sz w:val="18"/>
                <w:szCs w:val="18"/>
                <w:color w:val="auto"/>
              </w:rPr>
            </w:pPr>
          </w:p>
        </w:tc>
        <w:tc>
          <w:tcPr>
            <w:tcW w:w="200" w:type="dxa"/>
            <w:vAlign w:val="bottom"/>
            <w:tcBorders>
              <w:top w:val="single" w:sz="8" w:color="EAF9E8"/>
              <w:bottom w:val="single" w:sz="8" w:color="EAF9E8"/>
            </w:tcBorders>
            <w:shd w:val="clear" w:color="auto" w:fill="EAF9E8"/>
          </w:tcPr>
          <w:p>
            <w:pPr>
              <w:spacing w:after="0"/>
              <w:rPr>
                <w:sz w:val="18"/>
                <w:szCs w:val="18"/>
                <w:color w:val="auto"/>
              </w:rPr>
            </w:pPr>
          </w:p>
        </w:tc>
        <w:tc>
          <w:tcPr>
            <w:tcW w:w="160" w:type="dxa"/>
            <w:vAlign w:val="bottom"/>
            <w:tcBorders>
              <w:top w:val="single" w:sz="8" w:color="EAF9E8"/>
              <w:bottom w:val="single" w:sz="8" w:color="EAF9E8"/>
            </w:tcBorders>
            <w:shd w:val="clear" w:color="auto" w:fill="EAF9E8"/>
          </w:tcPr>
          <w:p>
            <w:pPr>
              <w:spacing w:after="0"/>
              <w:rPr>
                <w:sz w:val="18"/>
                <w:szCs w:val="18"/>
                <w:color w:val="auto"/>
              </w:rPr>
            </w:pPr>
          </w:p>
        </w:tc>
        <w:tc>
          <w:tcPr>
            <w:tcW w:w="1220" w:type="dxa"/>
            <w:vAlign w:val="bottom"/>
            <w:tcBorders>
              <w:top w:val="single" w:sz="8" w:color="EAF9E8"/>
              <w:bottom w:val="single" w:sz="8" w:color="EAF9E8"/>
            </w:tcBorders>
            <w:shd w:val="clear" w:color="auto" w:fill="EAF9E8"/>
          </w:tcPr>
          <w:p>
            <w:pPr>
              <w:spacing w:after="0"/>
              <w:rPr>
                <w:sz w:val="18"/>
                <w:szCs w:val="18"/>
                <w:color w:val="auto"/>
              </w:rPr>
            </w:pPr>
          </w:p>
        </w:tc>
        <w:tc>
          <w:tcPr>
            <w:tcW w:w="120" w:type="dxa"/>
            <w:vAlign w:val="bottom"/>
            <w:tcBorders>
              <w:top w:val="single" w:sz="8" w:color="EAF9E8"/>
              <w:bottom w:val="single" w:sz="8" w:color="EAF9E8"/>
            </w:tcBorders>
            <w:shd w:val="clear" w:color="auto" w:fill="EAF9E8"/>
          </w:tcPr>
          <w:p>
            <w:pPr>
              <w:spacing w:after="0"/>
              <w:rPr>
                <w:sz w:val="18"/>
                <w:szCs w:val="18"/>
                <w:color w:val="auto"/>
              </w:rPr>
            </w:pPr>
          </w:p>
        </w:tc>
        <w:tc>
          <w:tcPr>
            <w:tcW w:w="120" w:type="dxa"/>
            <w:vAlign w:val="bottom"/>
            <w:tcBorders>
              <w:top w:val="single" w:sz="8" w:color="EAF9E8"/>
              <w:bottom w:val="single" w:sz="8" w:color="EAF9E8"/>
            </w:tcBorders>
            <w:shd w:val="clear" w:color="auto" w:fill="EAF9E8"/>
          </w:tcPr>
          <w:p>
            <w:pPr>
              <w:spacing w:after="0"/>
              <w:rPr>
                <w:sz w:val="18"/>
                <w:szCs w:val="18"/>
                <w:color w:val="auto"/>
              </w:rPr>
            </w:pPr>
          </w:p>
        </w:tc>
        <w:tc>
          <w:tcPr>
            <w:tcW w:w="140" w:type="dxa"/>
            <w:vAlign w:val="bottom"/>
            <w:tcBorders>
              <w:top w:val="single" w:sz="8" w:color="EAF9E8"/>
              <w:bottom w:val="single" w:sz="8" w:color="EAF9E8"/>
            </w:tcBorders>
            <w:shd w:val="clear" w:color="auto" w:fill="EAF9E8"/>
          </w:tcPr>
          <w:p>
            <w:pPr>
              <w:spacing w:after="0"/>
              <w:rPr>
                <w:sz w:val="18"/>
                <w:szCs w:val="18"/>
                <w:color w:val="auto"/>
              </w:rPr>
            </w:pPr>
          </w:p>
        </w:tc>
        <w:tc>
          <w:tcPr>
            <w:tcW w:w="1380" w:type="dxa"/>
            <w:vAlign w:val="bottom"/>
            <w:tcBorders>
              <w:top w:val="single" w:sz="8" w:color="EAF9E8"/>
              <w:bottom w:val="single" w:sz="8" w:color="EAF9E8"/>
            </w:tcBorders>
            <w:shd w:val="clear" w:color="auto" w:fill="EAF9E8"/>
          </w:tcPr>
          <w:p>
            <w:pPr>
              <w:spacing w:after="0"/>
              <w:rPr>
                <w:sz w:val="18"/>
                <w:szCs w:val="18"/>
                <w:color w:val="auto"/>
              </w:rPr>
            </w:pPr>
          </w:p>
        </w:tc>
        <w:tc>
          <w:tcPr>
            <w:tcW w:w="240" w:type="dxa"/>
            <w:vAlign w:val="bottom"/>
            <w:tcBorders>
              <w:top w:val="single" w:sz="8" w:color="EAF9E8"/>
              <w:bottom w:val="single" w:sz="8" w:color="EAF9E8"/>
            </w:tcBorders>
            <w:shd w:val="clear" w:color="auto" w:fill="EAF9E8"/>
          </w:tcPr>
          <w:p>
            <w:pPr>
              <w:spacing w:after="0"/>
              <w:rPr>
                <w:sz w:val="18"/>
                <w:szCs w:val="18"/>
                <w:color w:val="auto"/>
              </w:rPr>
            </w:pPr>
          </w:p>
        </w:tc>
        <w:tc>
          <w:tcPr>
            <w:tcW w:w="140" w:type="dxa"/>
            <w:vAlign w:val="bottom"/>
            <w:tcBorders>
              <w:top w:val="single" w:sz="8" w:color="EAF9E8"/>
              <w:bottom w:val="single" w:sz="8" w:color="EAF9E8"/>
            </w:tcBorders>
            <w:shd w:val="clear" w:color="auto" w:fill="EAF9E8"/>
          </w:tcPr>
          <w:p>
            <w:pPr>
              <w:spacing w:after="0"/>
              <w:rPr>
                <w:sz w:val="18"/>
                <w:szCs w:val="18"/>
                <w:color w:val="auto"/>
              </w:rPr>
            </w:pPr>
          </w:p>
        </w:tc>
        <w:tc>
          <w:tcPr>
            <w:tcW w:w="1380" w:type="dxa"/>
            <w:vAlign w:val="bottom"/>
            <w:tcBorders>
              <w:top w:val="single" w:sz="8" w:color="EAF9E8"/>
              <w:bottom w:val="single" w:sz="8" w:color="EAF9E8"/>
            </w:tcBorders>
            <w:shd w:val="clear" w:color="auto" w:fill="EAF9E8"/>
          </w:tcPr>
          <w:p>
            <w:pPr>
              <w:spacing w:after="0"/>
              <w:rPr>
                <w:sz w:val="18"/>
                <w:szCs w:val="18"/>
                <w:color w:val="auto"/>
              </w:rPr>
            </w:pPr>
          </w:p>
        </w:tc>
        <w:tc>
          <w:tcPr>
            <w:tcW w:w="140" w:type="dxa"/>
            <w:vAlign w:val="bottom"/>
            <w:tcBorders>
              <w:top w:val="single" w:sz="8" w:color="EAF9E8"/>
              <w:bottom w:val="single" w:sz="8" w:color="EAF9E8"/>
            </w:tcBorders>
            <w:shd w:val="clear" w:color="auto" w:fill="EAF9E8"/>
          </w:tcPr>
          <w:p>
            <w:pPr>
              <w:spacing w:after="0"/>
              <w:rPr>
                <w:sz w:val="18"/>
                <w:szCs w:val="18"/>
                <w:color w:val="auto"/>
              </w:rPr>
            </w:pPr>
          </w:p>
        </w:tc>
        <w:tc>
          <w:tcPr>
            <w:tcW w:w="100" w:type="dxa"/>
            <w:vAlign w:val="bottom"/>
            <w:tcBorders>
              <w:top w:val="single" w:sz="8" w:color="EAF9E8"/>
              <w:bottom w:val="single" w:sz="8" w:color="EAF9E8"/>
            </w:tcBorders>
            <w:shd w:val="clear" w:color="auto" w:fill="EAF9E8"/>
          </w:tcPr>
          <w:p>
            <w:pPr>
              <w:spacing w:after="0"/>
              <w:rPr>
                <w:sz w:val="18"/>
                <w:szCs w:val="18"/>
                <w:color w:val="auto"/>
              </w:rPr>
            </w:pPr>
          </w:p>
        </w:tc>
        <w:tc>
          <w:tcPr>
            <w:tcW w:w="140" w:type="dxa"/>
            <w:vAlign w:val="bottom"/>
            <w:tcBorders>
              <w:top w:val="single" w:sz="8" w:color="EAF9E8"/>
              <w:bottom w:val="single" w:sz="8" w:color="EAF9E8"/>
            </w:tcBorders>
            <w:shd w:val="clear" w:color="auto" w:fill="EAF9E8"/>
          </w:tcPr>
          <w:p>
            <w:pPr>
              <w:spacing w:after="0"/>
              <w:rPr>
                <w:sz w:val="18"/>
                <w:szCs w:val="18"/>
                <w:color w:val="auto"/>
              </w:rPr>
            </w:pPr>
          </w:p>
        </w:tc>
        <w:tc>
          <w:tcPr>
            <w:tcW w:w="1240" w:type="dxa"/>
            <w:vAlign w:val="bottom"/>
            <w:tcBorders>
              <w:top w:val="single" w:sz="8" w:color="EAF9E8"/>
              <w:bottom w:val="single" w:sz="8" w:color="EAF9E8"/>
            </w:tcBorders>
            <w:shd w:val="clear" w:color="auto" w:fill="EAF9E8"/>
          </w:tcPr>
          <w:p>
            <w:pPr>
              <w:spacing w:after="0"/>
              <w:rPr>
                <w:sz w:val="18"/>
                <w:szCs w:val="18"/>
                <w:color w:val="auto"/>
              </w:rPr>
            </w:pPr>
          </w:p>
        </w:tc>
        <w:tc>
          <w:tcPr>
            <w:tcW w:w="240" w:type="dxa"/>
            <w:vAlign w:val="bottom"/>
            <w:tcBorders>
              <w:top w:val="single" w:sz="8" w:color="EAF9E8"/>
              <w:bottom w:val="single" w:sz="8" w:color="EAF9E8"/>
            </w:tcBorders>
            <w:shd w:val="clear" w:color="auto" w:fill="EAF9E8"/>
          </w:tcPr>
          <w:p>
            <w:pPr>
              <w:spacing w:after="0"/>
              <w:rPr>
                <w:sz w:val="18"/>
                <w:szCs w:val="18"/>
                <w:color w:val="auto"/>
              </w:rPr>
            </w:pPr>
          </w:p>
        </w:tc>
        <w:tc>
          <w:tcPr>
            <w:tcW w:w="140" w:type="dxa"/>
            <w:vAlign w:val="bottom"/>
            <w:tcBorders>
              <w:top w:val="single" w:sz="8" w:color="EAF9E8"/>
              <w:bottom w:val="single" w:sz="8" w:color="EAF9E8"/>
            </w:tcBorders>
            <w:shd w:val="clear" w:color="auto" w:fill="EAF9E8"/>
          </w:tcPr>
          <w:p>
            <w:pPr>
              <w:spacing w:after="0"/>
              <w:rPr>
                <w:sz w:val="18"/>
                <w:szCs w:val="18"/>
                <w:color w:val="auto"/>
              </w:rPr>
            </w:pPr>
          </w:p>
        </w:tc>
        <w:tc>
          <w:tcPr>
            <w:tcW w:w="1260" w:type="dxa"/>
            <w:vAlign w:val="bottom"/>
            <w:tcBorders>
              <w:top w:val="single" w:sz="8" w:color="EAF9E8"/>
              <w:bottom w:val="single" w:sz="8" w:color="EAF9E8"/>
            </w:tcBorders>
            <w:shd w:val="clear" w:color="auto" w:fill="EAF9E8"/>
          </w:tcPr>
          <w:p>
            <w:pPr>
              <w:spacing w:after="0"/>
              <w:rPr>
                <w:sz w:val="18"/>
                <w:szCs w:val="18"/>
                <w:color w:val="auto"/>
              </w:rPr>
            </w:pPr>
          </w:p>
        </w:tc>
        <w:tc>
          <w:tcPr>
            <w:tcW w:w="120" w:type="dxa"/>
            <w:vAlign w:val="bottom"/>
            <w:tcBorders>
              <w:top w:val="single" w:sz="8" w:color="EAF9E8"/>
              <w:bottom w:val="single" w:sz="8" w:color="EAF9E8"/>
            </w:tcBorders>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940" w:type="dxa"/>
            <w:vAlign w:val="bottom"/>
            <w:gridSpan w:val="6"/>
          </w:tcPr>
          <w:p>
            <w:pPr>
              <w:spacing w:after="0"/>
              <w:rPr>
                <w:sz w:val="20"/>
                <w:szCs w:val="20"/>
                <w:color w:val="auto"/>
              </w:rPr>
            </w:pPr>
            <w:r>
              <w:rPr>
                <w:rFonts w:ascii="Arial" w:cs="Arial" w:eastAsia="Arial" w:hAnsi="Arial"/>
                <w:sz w:val="18"/>
                <w:szCs w:val="18"/>
                <w:color w:val="auto"/>
              </w:rPr>
              <w:t>Trading securities:</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2780" w:type="dxa"/>
            <w:vAlign w:val="bottom"/>
            <w:gridSpan w:val="4"/>
            <w:shd w:val="clear" w:color="auto" w:fill="EAF9E8"/>
          </w:tcPr>
          <w:p>
            <w:pPr>
              <w:spacing w:after="0"/>
              <w:rPr>
                <w:sz w:val="20"/>
                <w:szCs w:val="20"/>
                <w:color w:val="auto"/>
              </w:rPr>
            </w:pPr>
            <w:r>
              <w:rPr>
                <w:rFonts w:ascii="Arial" w:cs="Arial" w:eastAsia="Arial" w:hAnsi="Arial"/>
                <w:sz w:val="18"/>
                <w:szCs w:val="18"/>
                <w:color w:val="auto"/>
              </w:rPr>
              <w:t>Auction rate</w:t>
            </w:r>
          </w:p>
        </w:tc>
        <w:tc>
          <w:tcPr>
            <w:tcW w:w="36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243,285</w:t>
            </w:r>
          </w:p>
        </w:tc>
        <w:tc>
          <w:tcPr>
            <w:tcW w:w="26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(500)</w:t>
            </w:r>
          </w:p>
        </w:tc>
        <w:tc>
          <w:tcPr>
            <w:tcW w:w="14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7,314</w:t>
            </w:r>
          </w:p>
        </w:tc>
        <w:tc>
          <w:tcPr>
            <w:tcW w:w="24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shd w:val="clear" w:color="auto" w:fill="EAF9E8"/>
          </w:tcPr>
          <w:p>
            <w:pPr>
              <w:ind w:left="1060"/>
              <w:spacing w:after="0"/>
              <w:rPr>
                <w:sz w:val="20"/>
                <w:szCs w:val="20"/>
                <w:color w:val="auto"/>
              </w:rPr>
            </w:pPr>
            <w:r>
              <w:rPr>
                <w:rFonts w:ascii="Arial" w:cs="Arial" w:eastAsia="Arial" w:hAnsi="Arial"/>
                <w:sz w:val="18"/>
                <w:szCs w:val="18"/>
                <w:color w:val="auto"/>
                <w:w w:val="88"/>
              </w:rPr>
              <w:t>—</w:t>
            </w:r>
          </w:p>
        </w:tc>
        <w:tc>
          <w:tcPr>
            <w:tcW w:w="38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250,099</w:t>
            </w: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780" w:type="dxa"/>
            <w:vAlign w:val="bottom"/>
            <w:gridSpan w:val="4"/>
          </w:tcPr>
          <w:p>
            <w:pPr>
              <w:spacing w:after="0"/>
              <w:rPr>
                <w:sz w:val="20"/>
                <w:szCs w:val="20"/>
                <w:color w:val="auto"/>
              </w:rPr>
            </w:pPr>
            <w:r>
              <w:rPr>
                <w:rFonts w:ascii="Arial" w:cs="Arial" w:eastAsia="Arial" w:hAnsi="Arial"/>
                <w:sz w:val="18"/>
                <w:szCs w:val="18"/>
                <w:color w:val="auto"/>
              </w:rPr>
              <w:t>Subordinates and residuals</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3,440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977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ind w:left="106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4,417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160" w:type="dxa"/>
            <w:vAlign w:val="bottom"/>
            <w:gridSpan w:val="2"/>
          </w:tcPr>
          <w:p>
            <w:pPr>
              <w:spacing w:after="0"/>
              <w:rPr>
                <w:sz w:val="21"/>
                <w:szCs w:val="21"/>
                <w:color w:val="auto"/>
              </w:rPr>
            </w:pPr>
          </w:p>
        </w:tc>
        <w:tc>
          <w:tcPr>
            <w:tcW w:w="66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gridSpan w:val="2"/>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20" w:type="dxa"/>
            <w:vAlign w:val="bottom"/>
            <w:gridSpan w:val="2"/>
          </w:tcPr>
          <w:p>
            <w:pPr>
              <w:spacing w:after="0"/>
              <w:rPr>
                <w:sz w:val="21"/>
                <w:szCs w:val="21"/>
                <w:color w:val="auto"/>
              </w:rPr>
            </w:pPr>
          </w:p>
        </w:tc>
        <w:tc>
          <w:tcPr>
            <w:tcW w:w="140" w:type="dxa"/>
            <w:vAlign w:val="bottom"/>
          </w:tcPr>
          <w:p>
            <w:pPr>
              <w:spacing w:after="0"/>
              <w:rPr>
                <w:sz w:val="21"/>
                <w:szCs w:val="21"/>
                <w:color w:val="auto"/>
              </w:rPr>
            </w:pPr>
          </w:p>
        </w:tc>
        <w:tc>
          <w:tcPr>
            <w:tcW w:w="1520" w:type="dxa"/>
            <w:vAlign w:val="bottom"/>
            <w:gridSpan w:val="2"/>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20" w:type="dxa"/>
            <w:vAlign w:val="bottom"/>
            <w:gridSpan w:val="5"/>
            <w:shd w:val="clear" w:color="auto" w:fill="EAF9E8"/>
          </w:tcPr>
          <w:p>
            <w:pPr>
              <w:spacing w:after="0"/>
              <w:rPr>
                <w:sz w:val="20"/>
                <w:szCs w:val="20"/>
                <w:color w:val="auto"/>
              </w:rPr>
            </w:pPr>
            <w:r>
              <w:rPr>
                <w:rFonts w:ascii="Arial" w:cs="Arial" w:eastAsia="Arial" w:hAnsi="Arial"/>
                <w:sz w:val="18"/>
                <w:szCs w:val="18"/>
                <w:color w:val="auto"/>
              </w:rPr>
              <w:t>Derivative financial instruments</w:t>
            </w:r>
          </w:p>
        </w:tc>
        <w:tc>
          <w:tcPr>
            <w:tcW w:w="20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34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957</w:t>
            </w:r>
          </w:p>
        </w:tc>
        <w:tc>
          <w:tcPr>
            <w:tcW w:w="12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162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EAF9E8"/>
          </w:tcPr>
          <w:p>
            <w:pPr>
              <w:spacing w:after="0"/>
              <w:rPr>
                <w:sz w:val="21"/>
                <w:szCs w:val="21"/>
                <w:color w:val="auto"/>
              </w:rPr>
            </w:pPr>
          </w:p>
        </w:tc>
        <w:tc>
          <w:tcPr>
            <w:tcW w:w="15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(74)</w:t>
            </w:r>
          </w:p>
        </w:tc>
        <w:tc>
          <w:tcPr>
            <w:tcW w:w="10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1240" w:type="dxa"/>
            <w:vAlign w:val="bottom"/>
            <w:shd w:val="clear" w:color="auto" w:fill="EAF9E8"/>
          </w:tcPr>
          <w:p>
            <w:pPr>
              <w:ind w:left="1060"/>
              <w:spacing w:after="0"/>
              <w:rPr>
                <w:sz w:val="20"/>
                <w:szCs w:val="20"/>
                <w:color w:val="auto"/>
              </w:rPr>
            </w:pPr>
            <w:r>
              <w:rPr>
                <w:rFonts w:ascii="Arial" w:cs="Arial" w:eastAsia="Arial" w:hAnsi="Arial"/>
                <w:sz w:val="18"/>
                <w:szCs w:val="18"/>
                <w:color w:val="auto"/>
                <w:w w:val="88"/>
              </w:rPr>
              <w:t>—</w:t>
            </w:r>
          </w:p>
        </w:tc>
        <w:tc>
          <w:tcPr>
            <w:tcW w:w="24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12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883</w:t>
            </w: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419"/>
        </w:trPr>
        <w:tc>
          <w:tcPr>
            <w:tcW w:w="2940" w:type="dxa"/>
            <w:vAlign w:val="bottom"/>
            <w:gridSpan w:val="6"/>
          </w:tcPr>
          <w:p>
            <w:pPr>
              <w:spacing w:after="0"/>
              <w:rPr>
                <w:sz w:val="20"/>
                <w:szCs w:val="20"/>
                <w:color w:val="auto"/>
              </w:rPr>
            </w:pPr>
            <w:r>
              <w:rPr>
                <w:rFonts w:ascii="Arial" w:cs="Arial" w:eastAsia="Arial" w:hAnsi="Arial"/>
                <w:sz w:val="18"/>
                <w:szCs w:val="18"/>
                <w:color w:val="auto"/>
                <w:w w:val="92"/>
              </w:rPr>
              <w:t>For the three months ended September</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0" w:type="dxa"/>
            <w:vAlign w:val="bottom"/>
            <w:tcBorders>
              <w:top w:val="single" w:sz="8" w:color="auto"/>
            </w:tcBorders>
            <w:gridSpan w:val="2"/>
          </w:tcPr>
          <w:p>
            <w:pPr>
              <w:ind w:left="140"/>
              <w:spacing w:after="0" w:line="196" w:lineRule="exact"/>
              <w:rPr>
                <w:sz w:val="20"/>
                <w:szCs w:val="20"/>
                <w:color w:val="auto"/>
              </w:rPr>
            </w:pPr>
            <w:r>
              <w:rPr>
                <w:rFonts w:ascii="Arial" w:cs="Arial" w:eastAsia="Arial" w:hAnsi="Arial"/>
                <w:sz w:val="18"/>
                <w:szCs w:val="18"/>
                <w:color w:val="auto"/>
                <w:w w:val="85"/>
              </w:rPr>
              <w:t>30, 2008:</w:t>
            </w:r>
          </w:p>
        </w:tc>
        <w:tc>
          <w:tcPr>
            <w:tcW w:w="186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tcPr>
          <w:p>
            <w:pPr>
              <w:spacing w:after="0"/>
              <w:rPr>
                <w:sz w:val="21"/>
                <w:szCs w:val="21"/>
                <w:color w:val="auto"/>
              </w:rPr>
            </w:pPr>
          </w:p>
        </w:tc>
        <w:tc>
          <w:tcPr>
            <w:tcW w:w="2920" w:type="dxa"/>
            <w:vAlign w:val="bottom"/>
            <w:gridSpan w:val="5"/>
            <w:shd w:val="clear" w:color="auto" w:fill="EAF9E8"/>
          </w:tcPr>
          <w:p>
            <w:pPr>
              <w:spacing w:after="0"/>
              <w:rPr>
                <w:sz w:val="20"/>
                <w:szCs w:val="20"/>
                <w:color w:val="auto"/>
              </w:rPr>
            </w:pPr>
            <w:r>
              <w:rPr>
                <w:rFonts w:ascii="Arial" w:cs="Arial" w:eastAsia="Arial" w:hAnsi="Arial"/>
                <w:sz w:val="18"/>
                <w:szCs w:val="18"/>
                <w:color w:val="auto"/>
              </w:rPr>
              <w:t>Trading securities:</w:t>
            </w:r>
          </w:p>
        </w:tc>
        <w:tc>
          <w:tcPr>
            <w:tcW w:w="20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22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1380" w:type="dxa"/>
            <w:vAlign w:val="bottom"/>
            <w:shd w:val="clear" w:color="auto" w:fill="EAF9E8"/>
          </w:tcPr>
          <w:p>
            <w:pPr>
              <w:spacing w:after="0"/>
              <w:rPr>
                <w:sz w:val="21"/>
                <w:szCs w:val="21"/>
                <w:color w:val="auto"/>
              </w:rPr>
            </w:pPr>
          </w:p>
        </w:tc>
        <w:tc>
          <w:tcPr>
            <w:tcW w:w="24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138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1240" w:type="dxa"/>
            <w:vAlign w:val="bottom"/>
            <w:shd w:val="clear" w:color="auto" w:fill="EAF9E8"/>
          </w:tcPr>
          <w:p>
            <w:pPr>
              <w:spacing w:after="0"/>
              <w:rPr>
                <w:sz w:val="21"/>
                <w:szCs w:val="21"/>
                <w:color w:val="auto"/>
              </w:rPr>
            </w:pPr>
          </w:p>
        </w:tc>
        <w:tc>
          <w:tcPr>
            <w:tcW w:w="24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126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780" w:type="dxa"/>
            <w:vAlign w:val="bottom"/>
            <w:gridSpan w:val="4"/>
          </w:tcPr>
          <w:p>
            <w:pPr>
              <w:spacing w:after="0"/>
              <w:rPr>
                <w:sz w:val="20"/>
                <w:szCs w:val="20"/>
                <w:color w:val="auto"/>
              </w:rPr>
            </w:pPr>
            <w:r>
              <w:rPr>
                <w:rFonts w:ascii="Arial" w:cs="Arial" w:eastAsia="Arial" w:hAnsi="Arial"/>
                <w:sz w:val="18"/>
                <w:szCs w:val="18"/>
                <w:color w:val="auto"/>
              </w:rPr>
              <w:t>Auction rate</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254,745</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(801)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tcPr>
          <w:p>
            <w:pPr>
              <w:ind w:left="1060"/>
              <w:spacing w:after="0"/>
              <w:rPr>
                <w:sz w:val="20"/>
                <w:szCs w:val="20"/>
                <w:color w:val="auto"/>
              </w:rPr>
            </w:pPr>
            <w:r>
              <w:rPr>
                <w:rFonts w:ascii="Arial" w:cs="Arial" w:eastAsia="Arial" w:hAnsi="Arial"/>
                <w:sz w:val="18"/>
                <w:szCs w:val="18"/>
                <w:color w:val="auto"/>
                <w:w w:val="88"/>
              </w:rPr>
              <w:t>—</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253,944</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2780" w:type="dxa"/>
            <w:vAlign w:val="bottom"/>
            <w:gridSpan w:val="4"/>
            <w:shd w:val="clear" w:color="auto" w:fill="EAF9E8"/>
          </w:tcPr>
          <w:p>
            <w:pPr>
              <w:spacing w:after="0"/>
              <w:rPr>
                <w:sz w:val="20"/>
                <w:szCs w:val="20"/>
                <w:color w:val="auto"/>
              </w:rPr>
            </w:pPr>
            <w:r>
              <w:rPr>
                <w:rFonts w:ascii="Arial" w:cs="Arial" w:eastAsia="Arial" w:hAnsi="Arial"/>
                <w:sz w:val="18"/>
                <w:szCs w:val="18"/>
                <w:color w:val="auto"/>
              </w:rPr>
              <w:t>Subordinates and residuals</w:t>
            </w:r>
          </w:p>
        </w:tc>
        <w:tc>
          <w:tcPr>
            <w:tcW w:w="20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34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4,860</w:t>
            </w:r>
          </w:p>
        </w:tc>
        <w:tc>
          <w:tcPr>
            <w:tcW w:w="12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162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EAF9E8"/>
          </w:tcPr>
          <w:p>
            <w:pPr>
              <w:spacing w:after="0"/>
              <w:rPr>
                <w:sz w:val="21"/>
                <w:szCs w:val="21"/>
                <w:color w:val="auto"/>
              </w:rPr>
            </w:pPr>
          </w:p>
        </w:tc>
        <w:tc>
          <w:tcPr>
            <w:tcW w:w="15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(621)</w:t>
            </w:r>
          </w:p>
        </w:tc>
        <w:tc>
          <w:tcPr>
            <w:tcW w:w="10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1240" w:type="dxa"/>
            <w:vAlign w:val="bottom"/>
            <w:shd w:val="clear" w:color="auto" w:fill="EAF9E8"/>
          </w:tcPr>
          <w:p>
            <w:pPr>
              <w:ind w:left="1060"/>
              <w:spacing w:after="0"/>
              <w:rPr>
                <w:sz w:val="20"/>
                <w:szCs w:val="20"/>
                <w:color w:val="auto"/>
              </w:rPr>
            </w:pPr>
            <w:r>
              <w:rPr>
                <w:rFonts w:ascii="Arial" w:cs="Arial" w:eastAsia="Arial" w:hAnsi="Arial"/>
                <w:sz w:val="18"/>
                <w:szCs w:val="18"/>
                <w:color w:val="auto"/>
                <w:w w:val="88"/>
              </w:rPr>
              <w:t>—</w:t>
            </w:r>
          </w:p>
        </w:tc>
        <w:tc>
          <w:tcPr>
            <w:tcW w:w="24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12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4,239</w:t>
            </w: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484"/>
        </w:trPr>
        <w:tc>
          <w:tcPr>
            <w:tcW w:w="2940" w:type="dxa"/>
            <w:vAlign w:val="bottom"/>
            <w:gridSpan w:val="6"/>
          </w:tcPr>
          <w:p>
            <w:pPr>
              <w:spacing w:after="0"/>
              <w:rPr>
                <w:sz w:val="20"/>
                <w:szCs w:val="20"/>
                <w:color w:val="auto"/>
              </w:rPr>
            </w:pPr>
            <w:r>
              <w:rPr>
                <w:rFonts w:ascii="Arial" w:cs="Arial" w:eastAsia="Arial" w:hAnsi="Arial"/>
                <w:sz w:val="18"/>
                <w:szCs w:val="18"/>
                <w:color w:val="auto"/>
              </w:rPr>
              <w:t>Derivative financial instruments</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1,326</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ind w:left="106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1,163</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vMerge w:val="restart"/>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920" w:type="dxa"/>
            <w:vAlign w:val="bottom"/>
            <w:gridSpan w:val="5"/>
            <w:shd w:val="clear" w:color="auto" w:fill="EAF9E8"/>
          </w:tcPr>
          <w:p>
            <w:pPr>
              <w:spacing w:after="0" w:line="176" w:lineRule="exact"/>
              <w:rPr>
                <w:sz w:val="20"/>
                <w:szCs w:val="20"/>
                <w:color w:val="auto"/>
              </w:rPr>
            </w:pPr>
            <w:r>
              <w:rPr>
                <w:rFonts w:ascii="Arial" w:cs="Arial" w:eastAsia="Arial" w:hAnsi="Arial"/>
                <w:sz w:val="18"/>
                <w:szCs w:val="18"/>
                <w:color w:val="auto"/>
                <w:w w:val="94"/>
              </w:rPr>
              <w:t>For the nine months ended September</w:t>
            </w:r>
          </w:p>
        </w:tc>
        <w:tc>
          <w:tcPr>
            <w:tcW w:w="200" w:type="dxa"/>
            <w:vAlign w:val="bottom"/>
            <w:shd w:val="clear" w:color="auto" w:fill="EAF9E8"/>
          </w:tcPr>
          <w:p>
            <w:pPr>
              <w:spacing w:after="0"/>
              <w:rPr>
                <w:sz w:val="15"/>
                <w:szCs w:val="15"/>
                <w:color w:val="auto"/>
              </w:rPr>
            </w:pPr>
          </w:p>
        </w:tc>
        <w:tc>
          <w:tcPr>
            <w:tcW w:w="160" w:type="dxa"/>
            <w:vAlign w:val="bottom"/>
            <w:shd w:val="clear" w:color="auto" w:fill="EAF9E8"/>
          </w:tcPr>
          <w:p>
            <w:pPr>
              <w:spacing w:after="0"/>
              <w:rPr>
                <w:sz w:val="15"/>
                <w:szCs w:val="15"/>
                <w:color w:val="auto"/>
              </w:rPr>
            </w:pPr>
          </w:p>
        </w:tc>
        <w:tc>
          <w:tcPr>
            <w:tcW w:w="1220" w:type="dxa"/>
            <w:vAlign w:val="bottom"/>
            <w:shd w:val="clear" w:color="auto" w:fill="EAF9E8"/>
          </w:tcPr>
          <w:p>
            <w:pPr>
              <w:spacing w:after="0"/>
              <w:rPr>
                <w:sz w:val="15"/>
                <w:szCs w:val="15"/>
                <w:color w:val="auto"/>
              </w:rPr>
            </w:pPr>
          </w:p>
        </w:tc>
        <w:tc>
          <w:tcPr>
            <w:tcW w:w="120" w:type="dxa"/>
            <w:vAlign w:val="bottom"/>
            <w:shd w:val="clear" w:color="auto" w:fill="EAF9E8"/>
          </w:tcPr>
          <w:p>
            <w:pPr>
              <w:spacing w:after="0"/>
              <w:rPr>
                <w:sz w:val="15"/>
                <w:szCs w:val="15"/>
                <w:color w:val="auto"/>
              </w:rPr>
            </w:pPr>
          </w:p>
        </w:tc>
        <w:tc>
          <w:tcPr>
            <w:tcW w:w="120" w:type="dxa"/>
            <w:vAlign w:val="bottom"/>
            <w:shd w:val="clear" w:color="auto" w:fill="EAF9E8"/>
          </w:tcPr>
          <w:p>
            <w:pPr>
              <w:spacing w:after="0"/>
              <w:rPr>
                <w:sz w:val="15"/>
                <w:szCs w:val="15"/>
                <w:color w:val="auto"/>
              </w:rPr>
            </w:pPr>
          </w:p>
        </w:tc>
        <w:tc>
          <w:tcPr>
            <w:tcW w:w="140" w:type="dxa"/>
            <w:vAlign w:val="bottom"/>
            <w:shd w:val="clear" w:color="auto" w:fill="EAF9E8"/>
          </w:tcPr>
          <w:p>
            <w:pPr>
              <w:spacing w:after="0"/>
              <w:rPr>
                <w:sz w:val="15"/>
                <w:szCs w:val="15"/>
                <w:color w:val="auto"/>
              </w:rPr>
            </w:pPr>
          </w:p>
        </w:tc>
        <w:tc>
          <w:tcPr>
            <w:tcW w:w="1380" w:type="dxa"/>
            <w:vAlign w:val="bottom"/>
            <w:shd w:val="clear" w:color="auto" w:fill="EAF9E8"/>
          </w:tcPr>
          <w:p>
            <w:pPr>
              <w:spacing w:after="0"/>
              <w:rPr>
                <w:sz w:val="15"/>
                <w:szCs w:val="15"/>
                <w:color w:val="auto"/>
              </w:rPr>
            </w:pPr>
          </w:p>
        </w:tc>
        <w:tc>
          <w:tcPr>
            <w:tcW w:w="240" w:type="dxa"/>
            <w:vAlign w:val="bottom"/>
            <w:shd w:val="clear" w:color="auto" w:fill="EAF9E8"/>
          </w:tcPr>
          <w:p>
            <w:pPr>
              <w:spacing w:after="0"/>
              <w:rPr>
                <w:sz w:val="15"/>
                <w:szCs w:val="15"/>
                <w:color w:val="auto"/>
              </w:rPr>
            </w:pPr>
          </w:p>
        </w:tc>
        <w:tc>
          <w:tcPr>
            <w:tcW w:w="140" w:type="dxa"/>
            <w:vAlign w:val="bottom"/>
            <w:shd w:val="clear" w:color="auto" w:fill="EAF9E8"/>
          </w:tcPr>
          <w:p>
            <w:pPr>
              <w:spacing w:after="0"/>
              <w:rPr>
                <w:sz w:val="15"/>
                <w:szCs w:val="15"/>
                <w:color w:val="auto"/>
              </w:rPr>
            </w:pPr>
          </w:p>
        </w:tc>
        <w:tc>
          <w:tcPr>
            <w:tcW w:w="1380" w:type="dxa"/>
            <w:vAlign w:val="bottom"/>
            <w:shd w:val="clear" w:color="auto" w:fill="EAF9E8"/>
          </w:tcPr>
          <w:p>
            <w:pPr>
              <w:spacing w:after="0"/>
              <w:rPr>
                <w:sz w:val="15"/>
                <w:szCs w:val="15"/>
                <w:color w:val="auto"/>
              </w:rPr>
            </w:pPr>
          </w:p>
        </w:tc>
        <w:tc>
          <w:tcPr>
            <w:tcW w:w="140" w:type="dxa"/>
            <w:vAlign w:val="bottom"/>
            <w:shd w:val="clear" w:color="auto" w:fill="EAF9E8"/>
          </w:tcPr>
          <w:p>
            <w:pPr>
              <w:spacing w:after="0"/>
              <w:rPr>
                <w:sz w:val="15"/>
                <w:szCs w:val="15"/>
                <w:color w:val="auto"/>
              </w:rPr>
            </w:pPr>
          </w:p>
        </w:tc>
        <w:tc>
          <w:tcPr>
            <w:tcW w:w="100" w:type="dxa"/>
            <w:vAlign w:val="bottom"/>
            <w:shd w:val="clear" w:color="auto" w:fill="EAF9E8"/>
          </w:tcPr>
          <w:p>
            <w:pPr>
              <w:spacing w:after="0"/>
              <w:rPr>
                <w:sz w:val="15"/>
                <w:szCs w:val="15"/>
                <w:color w:val="auto"/>
              </w:rPr>
            </w:pPr>
          </w:p>
        </w:tc>
        <w:tc>
          <w:tcPr>
            <w:tcW w:w="140" w:type="dxa"/>
            <w:vAlign w:val="bottom"/>
            <w:shd w:val="clear" w:color="auto" w:fill="EAF9E8"/>
          </w:tcPr>
          <w:p>
            <w:pPr>
              <w:spacing w:after="0"/>
              <w:rPr>
                <w:sz w:val="15"/>
                <w:szCs w:val="15"/>
                <w:color w:val="auto"/>
              </w:rPr>
            </w:pPr>
          </w:p>
        </w:tc>
        <w:tc>
          <w:tcPr>
            <w:tcW w:w="1240" w:type="dxa"/>
            <w:vAlign w:val="bottom"/>
            <w:shd w:val="clear" w:color="auto" w:fill="EAF9E8"/>
          </w:tcPr>
          <w:p>
            <w:pPr>
              <w:spacing w:after="0"/>
              <w:rPr>
                <w:sz w:val="15"/>
                <w:szCs w:val="15"/>
                <w:color w:val="auto"/>
              </w:rPr>
            </w:pPr>
          </w:p>
        </w:tc>
        <w:tc>
          <w:tcPr>
            <w:tcW w:w="240" w:type="dxa"/>
            <w:vAlign w:val="bottom"/>
            <w:shd w:val="clear" w:color="auto" w:fill="EAF9E8"/>
          </w:tcPr>
          <w:p>
            <w:pPr>
              <w:spacing w:after="0"/>
              <w:rPr>
                <w:sz w:val="15"/>
                <w:szCs w:val="15"/>
                <w:color w:val="auto"/>
              </w:rPr>
            </w:pPr>
          </w:p>
        </w:tc>
        <w:tc>
          <w:tcPr>
            <w:tcW w:w="140" w:type="dxa"/>
            <w:vAlign w:val="bottom"/>
            <w:shd w:val="clear" w:color="auto" w:fill="EAF9E8"/>
          </w:tcPr>
          <w:p>
            <w:pPr>
              <w:spacing w:after="0"/>
              <w:rPr>
                <w:sz w:val="15"/>
                <w:szCs w:val="15"/>
                <w:color w:val="auto"/>
              </w:rPr>
            </w:pPr>
          </w:p>
        </w:tc>
        <w:tc>
          <w:tcPr>
            <w:tcW w:w="1260" w:type="dxa"/>
            <w:vAlign w:val="bottom"/>
            <w:shd w:val="clear" w:color="auto" w:fill="EAF9E8"/>
          </w:tcPr>
          <w:p>
            <w:pPr>
              <w:spacing w:after="0"/>
              <w:rPr>
                <w:sz w:val="15"/>
                <w:szCs w:val="15"/>
                <w:color w:val="auto"/>
              </w:rPr>
            </w:pPr>
          </w:p>
        </w:tc>
        <w:tc>
          <w:tcPr>
            <w:tcW w:w="120" w:type="dxa"/>
            <w:vAlign w:val="bottom"/>
            <w:shd w:val="clear" w:color="auto" w:fill="EAF9E8"/>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40" w:type="dxa"/>
            <w:vAlign w:val="bottom"/>
            <w:tcBorders>
              <w:top w:val="single" w:sz="8" w:color="auto"/>
              <w:bottom w:val="single" w:sz="8" w:color="EAF9E8"/>
            </w:tcBorders>
            <w:shd w:val="clear" w:color="auto" w:fill="EAF9E8"/>
          </w:tcPr>
          <w:p>
            <w:pPr>
              <w:spacing w:after="0"/>
              <w:rPr>
                <w:sz w:val="18"/>
                <w:szCs w:val="18"/>
                <w:color w:val="auto"/>
              </w:rPr>
            </w:pPr>
          </w:p>
        </w:tc>
        <w:tc>
          <w:tcPr>
            <w:tcW w:w="660" w:type="dxa"/>
            <w:vAlign w:val="bottom"/>
            <w:tcBorders>
              <w:top w:val="single" w:sz="8" w:color="auto"/>
              <w:bottom w:val="single" w:sz="8" w:color="auto"/>
            </w:tcBorders>
            <w:shd w:val="clear" w:color="auto" w:fill="EAF9E8"/>
          </w:tcPr>
          <w:p>
            <w:pPr>
              <w:spacing w:after="0" w:line="196" w:lineRule="exact"/>
              <w:rPr>
                <w:sz w:val="20"/>
                <w:szCs w:val="20"/>
                <w:color w:val="auto"/>
              </w:rPr>
            </w:pPr>
            <w:r>
              <w:rPr>
                <w:rFonts w:ascii="Arial" w:cs="Arial" w:eastAsia="Arial" w:hAnsi="Arial"/>
                <w:sz w:val="18"/>
                <w:szCs w:val="18"/>
                <w:color w:val="auto"/>
                <w:w w:val="85"/>
              </w:rPr>
              <w:t>30, 2009:</w:t>
            </w:r>
          </w:p>
        </w:tc>
        <w:tc>
          <w:tcPr>
            <w:tcW w:w="1860" w:type="dxa"/>
            <w:vAlign w:val="bottom"/>
            <w:tcBorders>
              <w:top w:val="single" w:sz="8" w:color="auto"/>
              <w:bottom w:val="single" w:sz="8" w:color="EAF9E8"/>
            </w:tcBorders>
            <w:shd w:val="clear" w:color="auto" w:fill="EAF9E8"/>
          </w:tcPr>
          <w:p>
            <w:pPr>
              <w:spacing w:after="0"/>
              <w:rPr>
                <w:sz w:val="18"/>
                <w:szCs w:val="18"/>
                <w:color w:val="auto"/>
              </w:rPr>
            </w:pPr>
          </w:p>
        </w:tc>
        <w:tc>
          <w:tcPr>
            <w:tcW w:w="40" w:type="dxa"/>
            <w:vAlign w:val="bottom"/>
            <w:tcBorders>
              <w:top w:val="single" w:sz="8" w:color="EAF9E8"/>
              <w:bottom w:val="single" w:sz="8" w:color="EAF9E8"/>
            </w:tcBorders>
            <w:shd w:val="clear" w:color="auto" w:fill="EAF9E8"/>
          </w:tcPr>
          <w:p>
            <w:pPr>
              <w:spacing w:after="0"/>
              <w:rPr>
                <w:sz w:val="18"/>
                <w:szCs w:val="18"/>
                <w:color w:val="auto"/>
              </w:rPr>
            </w:pPr>
          </w:p>
        </w:tc>
        <w:tc>
          <w:tcPr>
            <w:tcW w:w="220" w:type="dxa"/>
            <w:vAlign w:val="bottom"/>
            <w:tcBorders>
              <w:top w:val="single" w:sz="8" w:color="EAF9E8"/>
              <w:bottom w:val="single" w:sz="8" w:color="EAF9E8"/>
            </w:tcBorders>
            <w:shd w:val="clear" w:color="auto" w:fill="EAF9E8"/>
          </w:tcPr>
          <w:p>
            <w:pPr>
              <w:spacing w:after="0"/>
              <w:rPr>
                <w:sz w:val="18"/>
                <w:szCs w:val="18"/>
                <w:color w:val="auto"/>
              </w:rPr>
            </w:pPr>
          </w:p>
        </w:tc>
        <w:tc>
          <w:tcPr>
            <w:tcW w:w="200" w:type="dxa"/>
            <w:vAlign w:val="bottom"/>
            <w:tcBorders>
              <w:top w:val="single" w:sz="8" w:color="EAF9E8"/>
              <w:bottom w:val="single" w:sz="8" w:color="EAF9E8"/>
            </w:tcBorders>
            <w:shd w:val="clear" w:color="auto" w:fill="EAF9E8"/>
          </w:tcPr>
          <w:p>
            <w:pPr>
              <w:spacing w:after="0"/>
              <w:rPr>
                <w:sz w:val="18"/>
                <w:szCs w:val="18"/>
                <w:color w:val="auto"/>
              </w:rPr>
            </w:pPr>
          </w:p>
        </w:tc>
        <w:tc>
          <w:tcPr>
            <w:tcW w:w="160" w:type="dxa"/>
            <w:vAlign w:val="bottom"/>
            <w:tcBorders>
              <w:top w:val="single" w:sz="8" w:color="EAF9E8"/>
              <w:bottom w:val="single" w:sz="8" w:color="EAF9E8"/>
            </w:tcBorders>
            <w:shd w:val="clear" w:color="auto" w:fill="EAF9E8"/>
          </w:tcPr>
          <w:p>
            <w:pPr>
              <w:spacing w:after="0"/>
              <w:rPr>
                <w:sz w:val="18"/>
                <w:szCs w:val="18"/>
                <w:color w:val="auto"/>
              </w:rPr>
            </w:pPr>
          </w:p>
        </w:tc>
        <w:tc>
          <w:tcPr>
            <w:tcW w:w="1220" w:type="dxa"/>
            <w:vAlign w:val="bottom"/>
            <w:tcBorders>
              <w:top w:val="single" w:sz="8" w:color="EAF9E8"/>
              <w:bottom w:val="single" w:sz="8" w:color="EAF9E8"/>
            </w:tcBorders>
            <w:shd w:val="clear" w:color="auto" w:fill="EAF9E8"/>
          </w:tcPr>
          <w:p>
            <w:pPr>
              <w:spacing w:after="0"/>
              <w:rPr>
                <w:sz w:val="18"/>
                <w:szCs w:val="18"/>
                <w:color w:val="auto"/>
              </w:rPr>
            </w:pPr>
          </w:p>
        </w:tc>
        <w:tc>
          <w:tcPr>
            <w:tcW w:w="120" w:type="dxa"/>
            <w:vAlign w:val="bottom"/>
            <w:tcBorders>
              <w:top w:val="single" w:sz="8" w:color="EAF9E8"/>
              <w:bottom w:val="single" w:sz="8" w:color="EAF9E8"/>
            </w:tcBorders>
            <w:shd w:val="clear" w:color="auto" w:fill="EAF9E8"/>
          </w:tcPr>
          <w:p>
            <w:pPr>
              <w:spacing w:after="0"/>
              <w:rPr>
                <w:sz w:val="18"/>
                <w:szCs w:val="18"/>
                <w:color w:val="auto"/>
              </w:rPr>
            </w:pPr>
          </w:p>
        </w:tc>
        <w:tc>
          <w:tcPr>
            <w:tcW w:w="120" w:type="dxa"/>
            <w:vAlign w:val="bottom"/>
            <w:tcBorders>
              <w:top w:val="single" w:sz="8" w:color="EAF9E8"/>
              <w:bottom w:val="single" w:sz="8" w:color="EAF9E8"/>
            </w:tcBorders>
            <w:shd w:val="clear" w:color="auto" w:fill="EAF9E8"/>
          </w:tcPr>
          <w:p>
            <w:pPr>
              <w:spacing w:after="0"/>
              <w:rPr>
                <w:sz w:val="18"/>
                <w:szCs w:val="18"/>
                <w:color w:val="auto"/>
              </w:rPr>
            </w:pPr>
          </w:p>
        </w:tc>
        <w:tc>
          <w:tcPr>
            <w:tcW w:w="140" w:type="dxa"/>
            <w:vAlign w:val="bottom"/>
            <w:tcBorders>
              <w:top w:val="single" w:sz="8" w:color="EAF9E8"/>
              <w:bottom w:val="single" w:sz="8" w:color="EAF9E8"/>
            </w:tcBorders>
            <w:shd w:val="clear" w:color="auto" w:fill="EAF9E8"/>
          </w:tcPr>
          <w:p>
            <w:pPr>
              <w:spacing w:after="0"/>
              <w:rPr>
                <w:sz w:val="18"/>
                <w:szCs w:val="18"/>
                <w:color w:val="auto"/>
              </w:rPr>
            </w:pPr>
          </w:p>
        </w:tc>
        <w:tc>
          <w:tcPr>
            <w:tcW w:w="1380" w:type="dxa"/>
            <w:vAlign w:val="bottom"/>
            <w:tcBorders>
              <w:top w:val="single" w:sz="8" w:color="EAF9E8"/>
              <w:bottom w:val="single" w:sz="8" w:color="EAF9E8"/>
            </w:tcBorders>
            <w:shd w:val="clear" w:color="auto" w:fill="EAF9E8"/>
          </w:tcPr>
          <w:p>
            <w:pPr>
              <w:spacing w:after="0"/>
              <w:rPr>
                <w:sz w:val="18"/>
                <w:szCs w:val="18"/>
                <w:color w:val="auto"/>
              </w:rPr>
            </w:pPr>
          </w:p>
        </w:tc>
        <w:tc>
          <w:tcPr>
            <w:tcW w:w="240" w:type="dxa"/>
            <w:vAlign w:val="bottom"/>
            <w:tcBorders>
              <w:top w:val="single" w:sz="8" w:color="EAF9E8"/>
              <w:bottom w:val="single" w:sz="8" w:color="EAF9E8"/>
            </w:tcBorders>
            <w:shd w:val="clear" w:color="auto" w:fill="EAF9E8"/>
          </w:tcPr>
          <w:p>
            <w:pPr>
              <w:spacing w:after="0"/>
              <w:rPr>
                <w:sz w:val="18"/>
                <w:szCs w:val="18"/>
                <w:color w:val="auto"/>
              </w:rPr>
            </w:pPr>
          </w:p>
        </w:tc>
        <w:tc>
          <w:tcPr>
            <w:tcW w:w="140" w:type="dxa"/>
            <w:vAlign w:val="bottom"/>
            <w:tcBorders>
              <w:top w:val="single" w:sz="8" w:color="EAF9E8"/>
              <w:bottom w:val="single" w:sz="8" w:color="EAF9E8"/>
            </w:tcBorders>
            <w:shd w:val="clear" w:color="auto" w:fill="EAF9E8"/>
          </w:tcPr>
          <w:p>
            <w:pPr>
              <w:spacing w:after="0"/>
              <w:rPr>
                <w:sz w:val="18"/>
                <w:szCs w:val="18"/>
                <w:color w:val="auto"/>
              </w:rPr>
            </w:pPr>
          </w:p>
        </w:tc>
        <w:tc>
          <w:tcPr>
            <w:tcW w:w="1380" w:type="dxa"/>
            <w:vAlign w:val="bottom"/>
            <w:tcBorders>
              <w:top w:val="single" w:sz="8" w:color="EAF9E8"/>
              <w:bottom w:val="single" w:sz="8" w:color="EAF9E8"/>
            </w:tcBorders>
            <w:shd w:val="clear" w:color="auto" w:fill="EAF9E8"/>
          </w:tcPr>
          <w:p>
            <w:pPr>
              <w:spacing w:after="0"/>
              <w:rPr>
                <w:sz w:val="18"/>
                <w:szCs w:val="18"/>
                <w:color w:val="auto"/>
              </w:rPr>
            </w:pPr>
          </w:p>
        </w:tc>
        <w:tc>
          <w:tcPr>
            <w:tcW w:w="140" w:type="dxa"/>
            <w:vAlign w:val="bottom"/>
            <w:tcBorders>
              <w:top w:val="single" w:sz="8" w:color="EAF9E8"/>
              <w:bottom w:val="single" w:sz="8" w:color="EAF9E8"/>
            </w:tcBorders>
            <w:shd w:val="clear" w:color="auto" w:fill="EAF9E8"/>
          </w:tcPr>
          <w:p>
            <w:pPr>
              <w:spacing w:after="0"/>
              <w:rPr>
                <w:sz w:val="18"/>
                <w:szCs w:val="18"/>
                <w:color w:val="auto"/>
              </w:rPr>
            </w:pPr>
          </w:p>
        </w:tc>
        <w:tc>
          <w:tcPr>
            <w:tcW w:w="100" w:type="dxa"/>
            <w:vAlign w:val="bottom"/>
            <w:tcBorders>
              <w:top w:val="single" w:sz="8" w:color="EAF9E8"/>
              <w:bottom w:val="single" w:sz="8" w:color="EAF9E8"/>
            </w:tcBorders>
            <w:shd w:val="clear" w:color="auto" w:fill="EAF9E8"/>
          </w:tcPr>
          <w:p>
            <w:pPr>
              <w:spacing w:after="0"/>
              <w:rPr>
                <w:sz w:val="18"/>
                <w:szCs w:val="18"/>
                <w:color w:val="auto"/>
              </w:rPr>
            </w:pPr>
          </w:p>
        </w:tc>
        <w:tc>
          <w:tcPr>
            <w:tcW w:w="140" w:type="dxa"/>
            <w:vAlign w:val="bottom"/>
            <w:tcBorders>
              <w:top w:val="single" w:sz="8" w:color="EAF9E8"/>
              <w:bottom w:val="single" w:sz="8" w:color="EAF9E8"/>
            </w:tcBorders>
            <w:shd w:val="clear" w:color="auto" w:fill="EAF9E8"/>
          </w:tcPr>
          <w:p>
            <w:pPr>
              <w:spacing w:after="0"/>
              <w:rPr>
                <w:sz w:val="18"/>
                <w:szCs w:val="18"/>
                <w:color w:val="auto"/>
              </w:rPr>
            </w:pPr>
          </w:p>
        </w:tc>
        <w:tc>
          <w:tcPr>
            <w:tcW w:w="1240" w:type="dxa"/>
            <w:vAlign w:val="bottom"/>
            <w:tcBorders>
              <w:top w:val="single" w:sz="8" w:color="EAF9E8"/>
              <w:bottom w:val="single" w:sz="8" w:color="EAF9E8"/>
            </w:tcBorders>
            <w:shd w:val="clear" w:color="auto" w:fill="EAF9E8"/>
          </w:tcPr>
          <w:p>
            <w:pPr>
              <w:spacing w:after="0"/>
              <w:rPr>
                <w:sz w:val="18"/>
                <w:szCs w:val="18"/>
                <w:color w:val="auto"/>
              </w:rPr>
            </w:pPr>
          </w:p>
        </w:tc>
        <w:tc>
          <w:tcPr>
            <w:tcW w:w="240" w:type="dxa"/>
            <w:vAlign w:val="bottom"/>
            <w:tcBorders>
              <w:top w:val="single" w:sz="8" w:color="EAF9E8"/>
              <w:bottom w:val="single" w:sz="8" w:color="EAF9E8"/>
            </w:tcBorders>
            <w:shd w:val="clear" w:color="auto" w:fill="EAF9E8"/>
          </w:tcPr>
          <w:p>
            <w:pPr>
              <w:spacing w:after="0"/>
              <w:rPr>
                <w:sz w:val="18"/>
                <w:szCs w:val="18"/>
                <w:color w:val="auto"/>
              </w:rPr>
            </w:pPr>
          </w:p>
        </w:tc>
        <w:tc>
          <w:tcPr>
            <w:tcW w:w="140" w:type="dxa"/>
            <w:vAlign w:val="bottom"/>
            <w:tcBorders>
              <w:top w:val="single" w:sz="8" w:color="EAF9E8"/>
              <w:bottom w:val="single" w:sz="8" w:color="EAF9E8"/>
            </w:tcBorders>
            <w:shd w:val="clear" w:color="auto" w:fill="EAF9E8"/>
          </w:tcPr>
          <w:p>
            <w:pPr>
              <w:spacing w:after="0"/>
              <w:rPr>
                <w:sz w:val="18"/>
                <w:szCs w:val="18"/>
                <w:color w:val="auto"/>
              </w:rPr>
            </w:pPr>
          </w:p>
        </w:tc>
        <w:tc>
          <w:tcPr>
            <w:tcW w:w="1260" w:type="dxa"/>
            <w:vAlign w:val="bottom"/>
            <w:tcBorders>
              <w:top w:val="single" w:sz="8" w:color="EAF9E8"/>
              <w:bottom w:val="single" w:sz="8" w:color="EAF9E8"/>
            </w:tcBorders>
            <w:shd w:val="clear" w:color="auto" w:fill="EAF9E8"/>
          </w:tcPr>
          <w:p>
            <w:pPr>
              <w:spacing w:after="0"/>
              <w:rPr>
                <w:sz w:val="18"/>
                <w:szCs w:val="18"/>
                <w:color w:val="auto"/>
              </w:rPr>
            </w:pPr>
          </w:p>
        </w:tc>
        <w:tc>
          <w:tcPr>
            <w:tcW w:w="120" w:type="dxa"/>
            <w:vAlign w:val="bottom"/>
            <w:tcBorders>
              <w:top w:val="single" w:sz="8" w:color="EAF9E8"/>
              <w:bottom w:val="single" w:sz="8" w:color="EAF9E8"/>
            </w:tcBorders>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940" w:type="dxa"/>
            <w:vAlign w:val="bottom"/>
            <w:gridSpan w:val="6"/>
          </w:tcPr>
          <w:p>
            <w:pPr>
              <w:spacing w:after="0"/>
              <w:rPr>
                <w:sz w:val="20"/>
                <w:szCs w:val="20"/>
                <w:color w:val="auto"/>
              </w:rPr>
            </w:pPr>
            <w:r>
              <w:rPr>
                <w:rFonts w:ascii="Arial" w:cs="Arial" w:eastAsia="Arial" w:hAnsi="Arial"/>
                <w:sz w:val="18"/>
                <w:szCs w:val="18"/>
                <w:color w:val="auto"/>
              </w:rPr>
              <w:t>Trading securities:</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2780" w:type="dxa"/>
            <w:vAlign w:val="bottom"/>
            <w:gridSpan w:val="4"/>
            <w:shd w:val="clear" w:color="auto" w:fill="EAF9E8"/>
          </w:tcPr>
          <w:p>
            <w:pPr>
              <w:spacing w:after="0"/>
              <w:rPr>
                <w:sz w:val="20"/>
                <w:szCs w:val="20"/>
                <w:color w:val="auto"/>
              </w:rPr>
            </w:pPr>
            <w:r>
              <w:rPr>
                <w:rFonts w:ascii="Arial" w:cs="Arial" w:eastAsia="Arial" w:hAnsi="Arial"/>
                <w:sz w:val="18"/>
                <w:szCs w:val="18"/>
                <w:color w:val="auto"/>
              </w:rPr>
              <w:t>Auction rate</w:t>
            </w:r>
          </w:p>
        </w:tc>
        <w:tc>
          <w:tcPr>
            <w:tcW w:w="36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239,301</w:t>
            </w:r>
          </w:p>
        </w:tc>
        <w:tc>
          <w:tcPr>
            <w:tcW w:w="26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(2,500)</w:t>
            </w:r>
          </w:p>
        </w:tc>
        <w:tc>
          <w:tcPr>
            <w:tcW w:w="14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13,298</w:t>
            </w:r>
          </w:p>
        </w:tc>
        <w:tc>
          <w:tcPr>
            <w:tcW w:w="24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shd w:val="clear" w:color="auto" w:fill="EAF9E8"/>
          </w:tcPr>
          <w:p>
            <w:pPr>
              <w:ind w:left="1060"/>
              <w:spacing w:after="0"/>
              <w:rPr>
                <w:sz w:val="20"/>
                <w:szCs w:val="20"/>
                <w:color w:val="auto"/>
              </w:rPr>
            </w:pPr>
            <w:r>
              <w:rPr>
                <w:rFonts w:ascii="Arial" w:cs="Arial" w:eastAsia="Arial" w:hAnsi="Arial"/>
                <w:sz w:val="18"/>
                <w:szCs w:val="18"/>
                <w:color w:val="auto"/>
                <w:w w:val="88"/>
              </w:rPr>
              <w:t>—</w:t>
            </w:r>
          </w:p>
        </w:tc>
        <w:tc>
          <w:tcPr>
            <w:tcW w:w="38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250,099</w:t>
            </w: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780" w:type="dxa"/>
            <w:vAlign w:val="bottom"/>
            <w:gridSpan w:val="4"/>
          </w:tcPr>
          <w:p>
            <w:pPr>
              <w:spacing w:after="0"/>
              <w:rPr>
                <w:sz w:val="20"/>
                <w:szCs w:val="20"/>
                <w:color w:val="auto"/>
              </w:rPr>
            </w:pPr>
            <w:r>
              <w:rPr>
                <w:rFonts w:ascii="Arial" w:cs="Arial" w:eastAsia="Arial" w:hAnsi="Arial"/>
                <w:sz w:val="18"/>
                <w:szCs w:val="18"/>
                <w:color w:val="auto"/>
              </w:rPr>
              <w:t>Subordinates and residuals</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4,369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ind w:left="106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4,417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160" w:type="dxa"/>
            <w:vAlign w:val="bottom"/>
            <w:gridSpan w:val="2"/>
          </w:tcPr>
          <w:p>
            <w:pPr>
              <w:spacing w:after="0"/>
              <w:rPr>
                <w:sz w:val="21"/>
                <w:szCs w:val="21"/>
                <w:color w:val="auto"/>
              </w:rPr>
            </w:pPr>
          </w:p>
        </w:tc>
        <w:tc>
          <w:tcPr>
            <w:tcW w:w="66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gridSpan w:val="2"/>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20" w:type="dxa"/>
            <w:vAlign w:val="bottom"/>
            <w:gridSpan w:val="2"/>
          </w:tcPr>
          <w:p>
            <w:pPr>
              <w:spacing w:after="0"/>
              <w:rPr>
                <w:sz w:val="21"/>
                <w:szCs w:val="21"/>
                <w:color w:val="auto"/>
              </w:rPr>
            </w:pPr>
          </w:p>
        </w:tc>
        <w:tc>
          <w:tcPr>
            <w:tcW w:w="140" w:type="dxa"/>
            <w:vAlign w:val="bottom"/>
          </w:tcPr>
          <w:p>
            <w:pPr>
              <w:spacing w:after="0"/>
              <w:rPr>
                <w:sz w:val="21"/>
                <w:szCs w:val="21"/>
                <w:color w:val="auto"/>
              </w:rPr>
            </w:pPr>
          </w:p>
        </w:tc>
        <w:tc>
          <w:tcPr>
            <w:tcW w:w="1520" w:type="dxa"/>
            <w:vAlign w:val="bottom"/>
            <w:gridSpan w:val="2"/>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20" w:type="dxa"/>
            <w:vAlign w:val="bottom"/>
            <w:gridSpan w:val="5"/>
            <w:shd w:val="clear" w:color="auto" w:fill="EAF9E8"/>
          </w:tcPr>
          <w:p>
            <w:pPr>
              <w:spacing w:after="0"/>
              <w:rPr>
                <w:sz w:val="20"/>
                <w:szCs w:val="20"/>
                <w:color w:val="auto"/>
              </w:rPr>
            </w:pPr>
            <w:r>
              <w:rPr>
                <w:rFonts w:ascii="Arial" w:cs="Arial" w:eastAsia="Arial" w:hAnsi="Arial"/>
                <w:sz w:val="18"/>
                <w:szCs w:val="18"/>
                <w:color w:val="auto"/>
              </w:rPr>
              <w:t>Derivative financial instruments</w:t>
            </w:r>
          </w:p>
        </w:tc>
        <w:tc>
          <w:tcPr>
            <w:tcW w:w="20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34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193</w:t>
            </w:r>
          </w:p>
        </w:tc>
        <w:tc>
          <w:tcPr>
            <w:tcW w:w="12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162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EAF9E8"/>
          </w:tcPr>
          <w:p>
            <w:pPr>
              <w:spacing w:after="0"/>
              <w:rPr>
                <w:sz w:val="21"/>
                <w:szCs w:val="21"/>
                <w:color w:val="auto"/>
              </w:rPr>
            </w:pPr>
          </w:p>
        </w:tc>
        <w:tc>
          <w:tcPr>
            <w:tcW w:w="152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690</w:t>
            </w:r>
          </w:p>
        </w:tc>
        <w:tc>
          <w:tcPr>
            <w:tcW w:w="10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1240" w:type="dxa"/>
            <w:vAlign w:val="bottom"/>
            <w:shd w:val="clear" w:color="auto" w:fill="EAF9E8"/>
          </w:tcPr>
          <w:p>
            <w:pPr>
              <w:ind w:left="1060"/>
              <w:spacing w:after="0"/>
              <w:rPr>
                <w:sz w:val="20"/>
                <w:szCs w:val="20"/>
                <w:color w:val="auto"/>
              </w:rPr>
            </w:pPr>
            <w:r>
              <w:rPr>
                <w:rFonts w:ascii="Arial" w:cs="Arial" w:eastAsia="Arial" w:hAnsi="Arial"/>
                <w:sz w:val="18"/>
                <w:szCs w:val="18"/>
                <w:color w:val="auto"/>
                <w:w w:val="88"/>
              </w:rPr>
              <w:t>—</w:t>
            </w:r>
          </w:p>
        </w:tc>
        <w:tc>
          <w:tcPr>
            <w:tcW w:w="24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12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883</w:t>
            </w: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419"/>
        </w:trPr>
        <w:tc>
          <w:tcPr>
            <w:tcW w:w="2940" w:type="dxa"/>
            <w:vAlign w:val="bottom"/>
            <w:gridSpan w:val="6"/>
          </w:tcPr>
          <w:p>
            <w:pPr>
              <w:spacing w:after="0"/>
              <w:rPr>
                <w:sz w:val="20"/>
                <w:szCs w:val="20"/>
                <w:color w:val="auto"/>
              </w:rPr>
            </w:pPr>
            <w:r>
              <w:rPr>
                <w:rFonts w:ascii="Arial" w:cs="Arial" w:eastAsia="Arial" w:hAnsi="Arial"/>
                <w:sz w:val="18"/>
                <w:szCs w:val="18"/>
                <w:color w:val="auto"/>
                <w:w w:val="94"/>
              </w:rPr>
              <w:t>For the nine months ended September</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0" w:type="dxa"/>
            <w:vAlign w:val="bottom"/>
            <w:tcBorders>
              <w:top w:val="single" w:sz="8" w:color="auto"/>
            </w:tcBorders>
            <w:gridSpan w:val="2"/>
          </w:tcPr>
          <w:p>
            <w:pPr>
              <w:ind w:left="140"/>
              <w:spacing w:after="0" w:line="196" w:lineRule="exact"/>
              <w:rPr>
                <w:sz w:val="20"/>
                <w:szCs w:val="20"/>
                <w:color w:val="auto"/>
              </w:rPr>
            </w:pPr>
            <w:r>
              <w:rPr>
                <w:rFonts w:ascii="Arial" w:cs="Arial" w:eastAsia="Arial" w:hAnsi="Arial"/>
                <w:sz w:val="18"/>
                <w:szCs w:val="18"/>
                <w:color w:val="auto"/>
                <w:w w:val="85"/>
              </w:rPr>
              <w:t>30, 2008:</w:t>
            </w:r>
          </w:p>
        </w:tc>
        <w:tc>
          <w:tcPr>
            <w:tcW w:w="186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tcPr>
          <w:p>
            <w:pPr>
              <w:spacing w:after="0"/>
              <w:rPr>
                <w:sz w:val="21"/>
                <w:szCs w:val="21"/>
                <w:color w:val="auto"/>
              </w:rPr>
            </w:pPr>
          </w:p>
        </w:tc>
        <w:tc>
          <w:tcPr>
            <w:tcW w:w="2920" w:type="dxa"/>
            <w:vAlign w:val="bottom"/>
            <w:gridSpan w:val="5"/>
            <w:shd w:val="clear" w:color="auto" w:fill="EAF9E8"/>
          </w:tcPr>
          <w:p>
            <w:pPr>
              <w:spacing w:after="0"/>
              <w:rPr>
                <w:sz w:val="20"/>
                <w:szCs w:val="20"/>
                <w:color w:val="auto"/>
              </w:rPr>
            </w:pPr>
            <w:r>
              <w:rPr>
                <w:rFonts w:ascii="Arial" w:cs="Arial" w:eastAsia="Arial" w:hAnsi="Arial"/>
                <w:sz w:val="18"/>
                <w:szCs w:val="18"/>
                <w:color w:val="auto"/>
              </w:rPr>
              <w:t>Trading securities:</w:t>
            </w:r>
          </w:p>
        </w:tc>
        <w:tc>
          <w:tcPr>
            <w:tcW w:w="20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22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1380" w:type="dxa"/>
            <w:vAlign w:val="bottom"/>
            <w:shd w:val="clear" w:color="auto" w:fill="EAF9E8"/>
          </w:tcPr>
          <w:p>
            <w:pPr>
              <w:spacing w:after="0"/>
              <w:rPr>
                <w:sz w:val="21"/>
                <w:szCs w:val="21"/>
                <w:color w:val="auto"/>
              </w:rPr>
            </w:pPr>
          </w:p>
        </w:tc>
        <w:tc>
          <w:tcPr>
            <w:tcW w:w="24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138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1240" w:type="dxa"/>
            <w:vAlign w:val="bottom"/>
            <w:shd w:val="clear" w:color="auto" w:fill="EAF9E8"/>
          </w:tcPr>
          <w:p>
            <w:pPr>
              <w:spacing w:after="0"/>
              <w:rPr>
                <w:sz w:val="21"/>
                <w:szCs w:val="21"/>
                <w:color w:val="auto"/>
              </w:rPr>
            </w:pPr>
          </w:p>
        </w:tc>
        <w:tc>
          <w:tcPr>
            <w:tcW w:w="24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126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780" w:type="dxa"/>
            <w:vAlign w:val="bottom"/>
            <w:gridSpan w:val="4"/>
          </w:tcPr>
          <w:p>
            <w:pPr>
              <w:spacing w:after="0"/>
              <w:rPr>
                <w:sz w:val="20"/>
                <w:szCs w:val="20"/>
                <w:color w:val="auto"/>
              </w:rPr>
            </w:pPr>
            <w:r>
              <w:rPr>
                <w:rFonts w:ascii="Arial" w:cs="Arial" w:eastAsia="Arial" w:hAnsi="Arial"/>
                <w:sz w:val="18"/>
                <w:szCs w:val="18"/>
                <w:color w:val="auto"/>
              </w:rPr>
              <w:t>Auction rate</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270,313</w:t>
            </w:r>
          </w:p>
        </w:tc>
        <w:tc>
          <w:tcPr>
            <w:tcW w:w="24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(16,369)</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tcPr>
          <w:p>
            <w:pPr>
              <w:ind w:left="1060"/>
              <w:spacing w:after="0"/>
              <w:rPr>
                <w:sz w:val="20"/>
                <w:szCs w:val="20"/>
                <w:color w:val="auto"/>
              </w:rPr>
            </w:pPr>
            <w:r>
              <w:rPr>
                <w:rFonts w:ascii="Arial" w:cs="Arial" w:eastAsia="Arial" w:hAnsi="Arial"/>
                <w:sz w:val="18"/>
                <w:szCs w:val="18"/>
                <w:color w:val="auto"/>
                <w:w w:val="88"/>
              </w:rPr>
              <w:t>—</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253,944</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2780" w:type="dxa"/>
            <w:vAlign w:val="bottom"/>
            <w:gridSpan w:val="4"/>
            <w:shd w:val="clear" w:color="auto" w:fill="EAF9E8"/>
          </w:tcPr>
          <w:p>
            <w:pPr>
              <w:spacing w:after="0"/>
              <w:rPr>
                <w:sz w:val="20"/>
                <w:szCs w:val="20"/>
                <w:color w:val="auto"/>
              </w:rPr>
            </w:pPr>
            <w:r>
              <w:rPr>
                <w:rFonts w:ascii="Arial" w:cs="Arial" w:eastAsia="Arial" w:hAnsi="Arial"/>
                <w:sz w:val="18"/>
                <w:szCs w:val="18"/>
                <w:color w:val="auto"/>
              </w:rPr>
              <w:t>Subordinates and residuals</w:t>
            </w:r>
          </w:p>
        </w:tc>
        <w:tc>
          <w:tcPr>
            <w:tcW w:w="20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34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7,362</w:t>
            </w:r>
          </w:p>
        </w:tc>
        <w:tc>
          <w:tcPr>
            <w:tcW w:w="12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13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22</w:t>
            </w:r>
          </w:p>
        </w:tc>
        <w:tc>
          <w:tcPr>
            <w:tcW w:w="24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15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(3,145)</w:t>
            </w:r>
          </w:p>
        </w:tc>
        <w:tc>
          <w:tcPr>
            <w:tcW w:w="10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1240" w:type="dxa"/>
            <w:vAlign w:val="bottom"/>
            <w:shd w:val="clear" w:color="auto" w:fill="EAF9E8"/>
          </w:tcPr>
          <w:p>
            <w:pPr>
              <w:ind w:left="1060"/>
              <w:spacing w:after="0"/>
              <w:rPr>
                <w:sz w:val="20"/>
                <w:szCs w:val="20"/>
                <w:color w:val="auto"/>
              </w:rPr>
            </w:pPr>
            <w:r>
              <w:rPr>
                <w:rFonts w:ascii="Arial" w:cs="Arial" w:eastAsia="Arial" w:hAnsi="Arial"/>
                <w:sz w:val="18"/>
                <w:szCs w:val="18"/>
                <w:color w:val="auto"/>
                <w:w w:val="88"/>
              </w:rPr>
              <w:t>—</w:t>
            </w:r>
          </w:p>
        </w:tc>
        <w:tc>
          <w:tcPr>
            <w:tcW w:w="24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12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4,239</w:t>
            </w: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484"/>
        </w:trPr>
        <w:tc>
          <w:tcPr>
            <w:tcW w:w="2940" w:type="dxa"/>
            <w:vAlign w:val="bottom"/>
            <w:gridSpan w:val="6"/>
          </w:tcPr>
          <w:p>
            <w:pPr>
              <w:spacing w:after="0"/>
              <w:rPr>
                <w:sz w:val="20"/>
                <w:szCs w:val="20"/>
                <w:color w:val="auto"/>
              </w:rPr>
            </w:pPr>
            <w:r>
              <w:rPr>
                <w:rFonts w:ascii="Arial" w:cs="Arial" w:eastAsia="Arial" w:hAnsi="Arial"/>
                <w:sz w:val="18"/>
                <w:szCs w:val="18"/>
                <w:color w:val="auto"/>
              </w:rPr>
              <w:t>Derivative financial instruments</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4,867</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(7,063)</w:t>
            </w:r>
          </w:p>
        </w:tc>
        <w:tc>
          <w:tcPr>
            <w:tcW w:w="140" w:type="dxa"/>
            <w:vAlign w:val="bottom"/>
          </w:tcPr>
          <w:p>
            <w:pPr>
              <w:spacing w:after="0"/>
              <w:rPr>
                <w:sz w:val="24"/>
                <w:szCs w:val="24"/>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3,359</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ind w:left="106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1,163</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50" w:lineRule="exact"/>
        <w:rPr>
          <w:sz w:val="20"/>
          <w:szCs w:val="20"/>
          <w:color w:val="auto"/>
        </w:rPr>
      </w:pPr>
    </w:p>
    <w:p>
      <w:pPr>
        <w:ind w:left="580" w:hanging="572"/>
        <w:spacing w:after="0"/>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Purchases, collections and settlements, net, related to trading securities exclude interest received.</w:t>
      </w:r>
    </w:p>
    <w:p>
      <w:pPr>
        <w:spacing w:after="0" w:line="252" w:lineRule="exact"/>
        <w:rPr>
          <w:rFonts w:ascii="Arial" w:cs="Arial" w:eastAsia="Arial" w:hAnsi="Arial"/>
          <w:sz w:val="18"/>
          <w:szCs w:val="18"/>
          <w:color w:val="auto"/>
        </w:rPr>
      </w:pPr>
    </w:p>
    <w:p>
      <w:pPr>
        <w:ind w:left="580" w:right="20" w:hanging="572"/>
        <w:spacing w:after="0" w:line="255" w:lineRule="auto"/>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Total gains on auction rate securities for the third quarter include unrealized gains of $7,314 on auction rate securities held at September 30, 2009. We did not record any unrealized gains or losses on auction rate securities during the three months ended September 30, 2008. For the year to date periods, unrealized gains (losses) on auction rate securities held at September 30, 2009 and 2008 were $13,298 and $(15,707), respectively. The total losses attributable to subordinates and residuals and derivative financial instruments were comprised exclusively of unrealized losses on assets held at September 30, 2009 and 2008.</w:t>
      </w:r>
    </w:p>
    <w:p>
      <w:pPr>
        <w:spacing w:after="0" w:line="197" w:lineRule="exact"/>
        <w:rPr>
          <w:sz w:val="20"/>
          <w:szCs w:val="20"/>
          <w:color w:val="auto"/>
        </w:rPr>
      </w:pPr>
    </w:p>
    <w:p>
      <w:pPr>
        <w:ind w:right="460" w:firstLine="436"/>
        <w:spacing w:after="0" w:line="268" w:lineRule="auto"/>
        <w:rPr>
          <w:sz w:val="20"/>
          <w:szCs w:val="20"/>
          <w:color w:val="auto"/>
        </w:rPr>
      </w:pPr>
      <w:r>
        <w:rPr>
          <w:rFonts w:ascii="Arial" w:cs="Arial" w:eastAsia="Arial" w:hAnsi="Arial"/>
          <w:sz w:val="18"/>
          <w:szCs w:val="18"/>
          <w:color w:val="auto"/>
        </w:rPr>
        <w:t>The methodologies that we use and key assumptions that we make to estimate the fair value of instruments are described in more detail by instrument below:</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Trading Securities</w:t>
      </w:r>
    </w:p>
    <w:p>
      <w:pPr>
        <w:spacing w:after="0" w:line="231" w:lineRule="exact"/>
        <w:rPr>
          <w:sz w:val="20"/>
          <w:szCs w:val="20"/>
          <w:color w:val="auto"/>
        </w:rPr>
      </w:pPr>
    </w:p>
    <w:p>
      <w:pPr>
        <w:ind w:right="240" w:firstLine="439"/>
        <w:spacing w:after="0" w:line="255" w:lineRule="auto"/>
        <w:rPr>
          <w:sz w:val="20"/>
          <w:szCs w:val="20"/>
          <w:color w:val="auto"/>
        </w:rPr>
      </w:pPr>
      <w:r>
        <w:rPr>
          <w:rFonts w:ascii="Arial" w:cs="Arial" w:eastAsia="Arial" w:hAnsi="Arial"/>
          <w:sz w:val="18"/>
          <w:szCs w:val="18"/>
          <w:i w:val="1"/>
          <w:iCs w:val="1"/>
          <w:color w:val="auto"/>
        </w:rPr>
        <w:t xml:space="preserve">Auction Rate Securities. </w:t>
      </w:r>
      <w:r>
        <w:rPr>
          <w:rFonts w:ascii="Arial" w:cs="Arial" w:eastAsia="Arial" w:hAnsi="Arial"/>
          <w:sz w:val="18"/>
          <w:szCs w:val="18"/>
          <w:color w:val="auto"/>
        </w:rPr>
        <w:t>We estimated the fair value of the auction rate securities based on a combination of observable market inputs provided by actual</w:t>
      </w:r>
      <w:r>
        <w:rPr>
          <w:rFonts w:ascii="Arial" w:cs="Arial" w:eastAsia="Arial" w:hAnsi="Arial"/>
          <w:sz w:val="18"/>
          <w:szCs w:val="18"/>
          <w:i w:val="1"/>
          <w:iCs w:val="1"/>
          <w:color w:val="auto"/>
        </w:rPr>
        <w:t xml:space="preserve"> </w:t>
      </w:r>
      <w:r>
        <w:rPr>
          <w:rFonts w:ascii="Arial" w:cs="Arial" w:eastAsia="Arial" w:hAnsi="Arial"/>
          <w:sz w:val="18"/>
          <w:szCs w:val="18"/>
          <w:color w:val="auto"/>
        </w:rPr>
        <w:t>orderly sales of similar auction rate securities and a discounted cash flow analysis. This discounted cash flow analysis incorporates expected future cash flows based on our best estimate of market participant assumptions. In periods of market illiquidity, the fair value of auction rate securities is determined after consideration of the credit quality of the securities held and the underlying collateral, market activity and general market conditions affecting auction rate securities.</w:t>
      </w:r>
    </w:p>
    <w:p>
      <w:pPr>
        <w:spacing w:after="0" w:line="19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discounted cash flow analysis included the following range of assumptions at September 30, 2009:</w:t>
      </w:r>
    </w:p>
    <w:p>
      <w:pPr>
        <w:spacing w:after="0" w:line="239" w:lineRule="exact"/>
        <w:rPr>
          <w:sz w:val="20"/>
          <w:szCs w:val="20"/>
          <w:color w:val="auto"/>
        </w:rPr>
      </w:pPr>
    </w:p>
    <w:tbl>
      <w:tblPr>
        <w:tblLayout w:type="fixed"/>
        <w:tblInd w:w="580" w:type="dxa"/>
        <w:tblCellMar>
          <w:top w:w="0" w:type="dxa"/>
          <w:left w:w="0" w:type="dxa"/>
          <w:bottom w:w="0" w:type="dxa"/>
          <w:right w:w="0" w:type="dxa"/>
        </w:tblCellMar>
      </w:tblPr>
      <w:tr>
        <w:trPr>
          <w:trHeight w:val="222"/>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5100" w:type="dxa"/>
            <w:vAlign w:val="bottom"/>
          </w:tcPr>
          <w:p>
            <w:pPr>
              <w:ind w:left="80"/>
              <w:spacing w:after="0"/>
              <w:rPr>
                <w:sz w:val="20"/>
                <w:szCs w:val="20"/>
                <w:color w:val="auto"/>
              </w:rPr>
            </w:pPr>
            <w:r>
              <w:rPr>
                <w:rFonts w:ascii="Arial" w:cs="Arial" w:eastAsia="Arial" w:hAnsi="Arial"/>
                <w:sz w:val="18"/>
                <w:szCs w:val="18"/>
                <w:color w:val="auto"/>
              </w:rPr>
              <w:t>Expected term</w:t>
            </w:r>
          </w:p>
        </w:tc>
        <w:tc>
          <w:tcPr>
            <w:tcW w:w="4620" w:type="dxa"/>
            <w:vAlign w:val="bottom"/>
          </w:tcPr>
          <w:p>
            <w:pPr>
              <w:ind w:left="3740"/>
              <w:spacing w:after="0"/>
              <w:rPr>
                <w:sz w:val="20"/>
                <w:szCs w:val="20"/>
                <w:color w:val="auto"/>
              </w:rPr>
            </w:pPr>
            <w:r>
              <w:rPr>
                <w:rFonts w:ascii="Arial" w:cs="Arial" w:eastAsia="Arial" w:hAnsi="Arial"/>
                <w:sz w:val="18"/>
                <w:szCs w:val="18"/>
                <w:color w:val="auto"/>
              </w:rPr>
              <w:t>27 months</w:t>
            </w:r>
          </w:p>
        </w:tc>
      </w:tr>
      <w:tr>
        <w:trPr>
          <w:trHeight w:val="243"/>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5100" w:type="dxa"/>
            <w:vAlign w:val="bottom"/>
          </w:tcPr>
          <w:p>
            <w:pPr>
              <w:ind w:left="80"/>
              <w:spacing w:after="0"/>
              <w:rPr>
                <w:sz w:val="20"/>
                <w:szCs w:val="20"/>
                <w:color w:val="auto"/>
              </w:rPr>
            </w:pPr>
            <w:r>
              <w:rPr>
                <w:rFonts w:ascii="Arial" w:cs="Arial" w:eastAsia="Arial" w:hAnsi="Arial"/>
                <w:sz w:val="18"/>
                <w:szCs w:val="18"/>
                <w:color w:val="auto"/>
              </w:rPr>
              <w:t>Illiquidity premium</w:t>
            </w:r>
          </w:p>
        </w:tc>
        <w:tc>
          <w:tcPr>
            <w:tcW w:w="4620" w:type="dxa"/>
            <w:vAlign w:val="bottom"/>
          </w:tcPr>
          <w:p>
            <w:pPr>
              <w:jc w:val="center"/>
              <w:ind w:left="3512"/>
              <w:spacing w:after="0"/>
              <w:rPr>
                <w:sz w:val="20"/>
                <w:szCs w:val="20"/>
                <w:color w:val="auto"/>
              </w:rPr>
            </w:pPr>
            <w:r>
              <w:rPr>
                <w:rFonts w:ascii="Arial" w:cs="Arial" w:eastAsia="Arial" w:hAnsi="Arial"/>
                <w:sz w:val="18"/>
                <w:szCs w:val="18"/>
                <w:color w:val="auto"/>
                <w:w w:val="88"/>
              </w:rPr>
              <w:t>1.0% –1.5%</w:t>
            </w:r>
          </w:p>
        </w:tc>
      </w:tr>
      <w:tr>
        <w:trPr>
          <w:trHeight w:val="243"/>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5100" w:type="dxa"/>
            <w:vAlign w:val="bottom"/>
          </w:tcPr>
          <w:p>
            <w:pPr>
              <w:ind w:left="80"/>
              <w:spacing w:after="0"/>
              <w:rPr>
                <w:sz w:val="20"/>
                <w:szCs w:val="20"/>
                <w:color w:val="auto"/>
              </w:rPr>
            </w:pPr>
            <w:r>
              <w:rPr>
                <w:rFonts w:ascii="Arial" w:cs="Arial" w:eastAsia="Arial" w:hAnsi="Arial"/>
                <w:sz w:val="18"/>
                <w:szCs w:val="18"/>
                <w:color w:val="auto"/>
              </w:rPr>
              <w:t>Discount rate</w:t>
            </w:r>
          </w:p>
        </w:tc>
        <w:tc>
          <w:tcPr>
            <w:tcW w:w="4620" w:type="dxa"/>
            <w:vAlign w:val="bottom"/>
          </w:tcPr>
          <w:p>
            <w:pPr>
              <w:jc w:val="center"/>
              <w:ind w:left="3532"/>
              <w:spacing w:after="0"/>
              <w:rPr>
                <w:sz w:val="20"/>
                <w:szCs w:val="20"/>
                <w:color w:val="auto"/>
              </w:rPr>
            </w:pPr>
            <w:r>
              <w:rPr>
                <w:rFonts w:ascii="Arial" w:cs="Arial" w:eastAsia="Arial" w:hAnsi="Arial"/>
                <w:sz w:val="18"/>
                <w:szCs w:val="18"/>
                <w:color w:val="auto"/>
                <w:w w:val="89"/>
              </w:rPr>
              <w:t>3.1% – 14.3%</w:t>
            </w:r>
          </w:p>
        </w:tc>
      </w:tr>
    </w:tbl>
    <w:p>
      <w:pPr>
        <w:spacing w:after="0" w:line="200" w:lineRule="exact"/>
        <w:rPr>
          <w:sz w:val="20"/>
          <w:szCs w:val="20"/>
          <w:color w:val="auto"/>
        </w:rPr>
      </w:pPr>
    </w:p>
    <w:p>
      <w:pPr>
        <w:sectPr>
          <w:pgSz w:w="11900" w:h="16838" w:orient="portrait"/>
          <w:cols w:equalWidth="0" w:num="1">
            <w:col w:w="11420"/>
          </w:cols>
          <w:pgMar w:left="240" w:top="131" w:right="239" w:bottom="1440" w:gutter="0" w:footer="0" w:header="0"/>
        </w:sectPr>
      </w:pPr>
    </w:p>
    <w:p>
      <w:pPr>
        <w:spacing w:after="0" w:line="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18" w:name="page19"/>
    <w:bookmarkEnd w:id="18"/>
    <w:p>
      <w:pPr>
        <w:ind w:firstLine="436"/>
        <w:spacing w:after="0" w:line="298" w:lineRule="auto"/>
        <w:rPr>
          <w:sz w:val="20"/>
          <w:szCs w:val="20"/>
          <w:color w:val="auto"/>
        </w:rPr>
      </w:pPr>
      <w:r>
        <w:rPr>
          <w:rFonts w:ascii="Arial" w:cs="Arial" w:eastAsia="Arial" w:hAnsi="Arial"/>
          <w:sz w:val="16"/>
          <w:szCs w:val="16"/>
          <w:color w:val="auto"/>
        </w:rPr>
        <w:t>The expected term was based upon our best estimate of market participants’ expectations of future successful auctions. The discount rate and illiquidity premium are consistent with prevailing rates for similar securities. Other significant assumptions that we considered in our analysis included the credit risk profiles of the issuers, the impact on the issuers of the increased debt service costs associated with the payment of penalty interest rates and the collateralization of the securitization trusts. We do not assume defaults in our valuation due to the high credit quality of both the securities we hold and the underlying collateral.</w:t>
      </w:r>
    </w:p>
    <w:p>
      <w:pPr>
        <w:spacing w:after="0" w:line="167" w:lineRule="exact"/>
        <w:rPr>
          <w:sz w:val="20"/>
          <w:szCs w:val="20"/>
          <w:color w:val="auto"/>
        </w:rPr>
      </w:pPr>
    </w:p>
    <w:p>
      <w:pPr>
        <w:ind w:right="180" w:firstLine="439"/>
        <w:spacing w:after="0" w:line="253" w:lineRule="auto"/>
        <w:rPr>
          <w:sz w:val="20"/>
          <w:szCs w:val="20"/>
          <w:color w:val="auto"/>
        </w:rPr>
      </w:pPr>
      <w:r>
        <w:rPr>
          <w:rFonts w:ascii="Arial" w:cs="Arial" w:eastAsia="Arial" w:hAnsi="Arial"/>
          <w:sz w:val="18"/>
          <w:szCs w:val="18"/>
          <w:i w:val="1"/>
          <w:iCs w:val="1"/>
          <w:color w:val="auto"/>
        </w:rPr>
        <w:t xml:space="preserve">Subordinates and Residuals. </w:t>
      </w:r>
      <w:r>
        <w:rPr>
          <w:rFonts w:ascii="Arial" w:cs="Arial" w:eastAsia="Arial" w:hAnsi="Arial"/>
          <w:sz w:val="18"/>
          <w:szCs w:val="18"/>
          <w:color w:val="auto"/>
        </w:rPr>
        <w:t>Our subordinate and residual securities are not actively traded, and, therefore, we estimate the fair value of these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based on the present value of expected future cash flows from the underlying mortgage pools. We use our best estimate of the key assumptions we believe are used by market participants. We calibrate our internally developed discounted cash flow models for trading activity when appropriate to do so in light of market liquidity levels. Key inputs include expected prepayment rates, delinquency and cumulative loss curves and discount rates commensurate with the risks. Where possible, we use observable inputs in the valuation of our securities. However, the subordinate and residual securities in which we invest typically trade infrequently and therefore have few or no observable inputs and little price transparency. Additionally, during periods of market dislocation the observability of inputs is further reduced.</w:t>
      </w:r>
    </w:p>
    <w:p>
      <w:pPr>
        <w:spacing w:after="0" w:line="201" w:lineRule="exact"/>
        <w:rPr>
          <w:sz w:val="20"/>
          <w:szCs w:val="20"/>
          <w:color w:val="auto"/>
        </w:rPr>
      </w:pPr>
    </w:p>
    <w:p>
      <w:pPr>
        <w:ind w:right="240" w:firstLine="439"/>
        <w:spacing w:after="0" w:line="256" w:lineRule="auto"/>
        <w:rPr>
          <w:sz w:val="20"/>
          <w:szCs w:val="20"/>
          <w:color w:val="auto"/>
        </w:rPr>
      </w:pPr>
      <w:r>
        <w:rPr>
          <w:rFonts w:ascii="Arial" w:cs="Arial" w:eastAsia="Arial" w:hAnsi="Arial"/>
          <w:sz w:val="18"/>
          <w:szCs w:val="18"/>
          <w:color w:val="auto"/>
        </w:rPr>
        <w:t>Discount rates for the subordinate and residual securities range from 21% to 22% and are determined based upon an assessment of prevailing market conditions and prices for similar assets. We project the delinquency, loss and prepayment assumptions based on a comparison to actual historical performance curves adjusted for prevailing market conditions. Peak delinquency assumptions range from 20% to 30%, and loss assumptions on current balances range from 19% to 28%. Average prepayment assumptions range from 5% to 6%.</w:t>
      </w:r>
    </w:p>
    <w:p>
      <w:pPr>
        <w:spacing w:after="0" w:line="197" w:lineRule="exact"/>
        <w:rPr>
          <w:sz w:val="20"/>
          <w:szCs w:val="20"/>
          <w:color w:val="auto"/>
        </w:rPr>
      </w:pPr>
    </w:p>
    <w:p>
      <w:pPr>
        <w:ind w:right="180" w:firstLine="429"/>
        <w:spacing w:after="0" w:line="268" w:lineRule="auto"/>
        <w:rPr>
          <w:sz w:val="20"/>
          <w:szCs w:val="20"/>
          <w:color w:val="auto"/>
        </w:rPr>
      </w:pPr>
      <w:r>
        <w:rPr>
          <w:rFonts w:ascii="Arial" w:cs="Arial" w:eastAsia="Arial" w:hAnsi="Arial"/>
          <w:sz w:val="18"/>
          <w:szCs w:val="18"/>
          <w:color w:val="auto"/>
        </w:rPr>
        <w:t>At September 30, 2009, securities amounting to $254,516 were carried at their fair value as determined by using valuations based on internally developed discounted cash flow models. These models are calibrated for observable liquid market trading activity.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Financial Instruments</w:t>
      </w:r>
    </w:p>
    <w:p>
      <w:pPr>
        <w:spacing w:after="0" w:line="231" w:lineRule="exact"/>
        <w:rPr>
          <w:sz w:val="20"/>
          <w:szCs w:val="20"/>
          <w:color w:val="auto"/>
        </w:rPr>
      </w:pPr>
    </w:p>
    <w:p>
      <w:pPr>
        <w:ind w:right="440" w:firstLine="439"/>
        <w:spacing w:after="0" w:line="268" w:lineRule="auto"/>
        <w:rPr>
          <w:sz w:val="20"/>
          <w:szCs w:val="20"/>
          <w:color w:val="auto"/>
        </w:rPr>
      </w:pPr>
      <w:r>
        <w:rPr>
          <w:rFonts w:ascii="Arial" w:cs="Arial" w:eastAsia="Arial" w:hAnsi="Arial"/>
          <w:sz w:val="18"/>
          <w:szCs w:val="18"/>
          <w:color w:val="auto"/>
        </w:rPr>
        <w:t>Exchange-traded derivative financial instruments are valued based on quoted market prices. If quoted market prices or other observable inputs are not available, fair value is based on estimates provided by third-party pricing sources.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Loans Held for Resale</w:t>
      </w:r>
    </w:p>
    <w:p>
      <w:pPr>
        <w:spacing w:after="0" w:line="231" w:lineRule="exact"/>
        <w:rPr>
          <w:sz w:val="20"/>
          <w:szCs w:val="20"/>
          <w:color w:val="auto"/>
        </w:rPr>
      </w:pPr>
    </w:p>
    <w:p>
      <w:pPr>
        <w:jc w:val="both"/>
        <w:ind w:right="80" w:firstLine="439"/>
        <w:spacing w:after="0" w:line="306" w:lineRule="auto"/>
        <w:rPr>
          <w:sz w:val="20"/>
          <w:szCs w:val="20"/>
          <w:color w:val="auto"/>
        </w:rPr>
      </w:pPr>
      <w:r>
        <w:rPr>
          <w:rFonts w:ascii="Arial" w:cs="Arial" w:eastAsia="Arial" w:hAnsi="Arial"/>
          <w:sz w:val="16"/>
          <w:szCs w:val="16"/>
          <w:color w:val="auto"/>
        </w:rPr>
        <w:t>Loans held for resale are reported at the lower of cost or fair value. We account for the excess of cost over fair value as a valuation allowance with changes in the valuation allowance included in gain (loss) on loans held for resale, net, in the period in which the change occurs. All loans held for resale were measured at fair value because the cost of $53,086 exceeded the estimated fair value of $36,618 at September 30, 2009.</w:t>
      </w:r>
    </w:p>
    <w:p>
      <w:pPr>
        <w:spacing w:after="0" w:line="161" w:lineRule="exact"/>
        <w:rPr>
          <w:sz w:val="20"/>
          <w:szCs w:val="20"/>
          <w:color w:val="auto"/>
        </w:rPr>
      </w:pPr>
    </w:p>
    <w:p>
      <w:pPr>
        <w:ind w:right="20" w:firstLine="436"/>
        <w:spacing w:after="0" w:line="254" w:lineRule="auto"/>
        <w:rPr>
          <w:sz w:val="20"/>
          <w:szCs w:val="20"/>
          <w:color w:val="auto"/>
        </w:rPr>
      </w:pPr>
      <w:r>
        <w:rPr>
          <w:rFonts w:ascii="Arial" w:cs="Arial" w:eastAsia="Arial" w:hAnsi="Arial"/>
          <w:sz w:val="18"/>
          <w:szCs w:val="18"/>
          <w:color w:val="auto"/>
        </w:rPr>
        <w:t>When we enter into an agreement to sell a loan to an investor at a set price, the loan is valued at the commitment price. The fair value of loans for which we do not have a firm commitment to sell is based upon a discounted cash flow analysis. We stratify our fair value estimate of uncommitted loans held for resale based upon the delinquency status of the loans. We base the fair value of our performing loans on the expected future cash flows discounted at a rate commensurate with the risk of the estimated cash flows. Significant assumptions include collateral and loan characteristics, prevailing market conditions and the creditworthiness of the borrower. The fair value of our non-performing loans is determined based upon the underlying collateral of the loan and the estimated period and cost of disposition.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Mortgage Servicing Rights</w:t>
      </w:r>
    </w:p>
    <w:p>
      <w:pPr>
        <w:spacing w:after="0" w:line="231" w:lineRule="exact"/>
        <w:rPr>
          <w:sz w:val="20"/>
          <w:szCs w:val="20"/>
          <w:color w:val="auto"/>
        </w:rPr>
      </w:pPr>
    </w:p>
    <w:p>
      <w:pPr>
        <w:ind w:right="20" w:firstLine="436"/>
        <w:spacing w:after="0" w:line="306" w:lineRule="auto"/>
        <w:rPr>
          <w:sz w:val="20"/>
          <w:szCs w:val="20"/>
          <w:color w:val="auto"/>
        </w:rPr>
      </w:pPr>
      <w:r>
        <w:rPr>
          <w:rFonts w:ascii="Arial" w:cs="Arial" w:eastAsia="Arial" w:hAnsi="Arial"/>
          <w:sz w:val="16"/>
          <w:szCs w:val="16"/>
          <w:color w:val="auto"/>
        </w:rPr>
        <w:t>We estimate the fair value of our MSRs by calculating the present value of expected future cash flows utilizing assumptions that we believe are used by market participants. The most significant assumptions used in our internal valuation are the speed at which mortgages prepay and delinquency experience, both of which we derive from our historical experience and available market data. Other assumptions used in our internal valuation are:</w:t>
      </w:r>
    </w:p>
    <w:p>
      <w:pPr>
        <w:spacing w:after="0" w:line="174" w:lineRule="exact"/>
        <w:rPr>
          <w:sz w:val="20"/>
          <w:szCs w:val="20"/>
          <w:color w:val="auto"/>
        </w:rPr>
      </w:pPr>
    </w:p>
    <w:p>
      <w:pPr>
        <w:ind w:left="1160" w:hanging="571"/>
        <w:spacing w:after="0"/>
        <w:tabs>
          <w:tab w:leader="none" w:pos="1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Cost of servicing</w:t>
      </w:r>
    </w:p>
    <w:p>
      <w:pPr>
        <w:spacing w:after="0" w:line="279" w:lineRule="exact"/>
        <w:rPr>
          <w:rFonts w:ascii="Arial" w:cs="Arial" w:eastAsia="Arial" w:hAnsi="Arial"/>
          <w:sz w:val="18"/>
          <w:szCs w:val="18"/>
          <w:color w:val="auto"/>
        </w:rPr>
      </w:pPr>
    </w:p>
    <w:p>
      <w:pPr>
        <w:ind w:left="1160" w:hanging="571"/>
        <w:spacing w:after="0"/>
        <w:tabs>
          <w:tab w:leader="none" w:pos="1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Discount rate</w:t>
      </w:r>
    </w:p>
    <w:p>
      <w:pPr>
        <w:spacing w:after="0" w:line="279" w:lineRule="exact"/>
        <w:rPr>
          <w:rFonts w:ascii="Arial" w:cs="Arial" w:eastAsia="Arial" w:hAnsi="Arial"/>
          <w:sz w:val="18"/>
          <w:szCs w:val="18"/>
          <w:color w:val="auto"/>
        </w:rPr>
      </w:pPr>
    </w:p>
    <w:p>
      <w:pPr>
        <w:ind w:left="1160" w:hanging="571"/>
        <w:spacing w:after="0"/>
        <w:tabs>
          <w:tab w:leader="none" w:pos="1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Interest rate used for computing the cost of servicing advances</w:t>
      </w:r>
    </w:p>
    <w:p>
      <w:pPr>
        <w:spacing w:after="0" w:line="279" w:lineRule="exact"/>
        <w:rPr>
          <w:rFonts w:ascii="Arial" w:cs="Arial" w:eastAsia="Arial" w:hAnsi="Arial"/>
          <w:sz w:val="18"/>
          <w:szCs w:val="18"/>
          <w:color w:val="auto"/>
        </w:rPr>
      </w:pPr>
    </w:p>
    <w:p>
      <w:pPr>
        <w:ind w:left="1160" w:hanging="571"/>
        <w:spacing w:after="0"/>
        <w:tabs>
          <w:tab w:leader="none" w:pos="1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Interest rate used for computing float earnings</w:t>
      </w:r>
    </w:p>
    <w:p>
      <w:pPr>
        <w:spacing w:after="0" w:line="279" w:lineRule="exact"/>
        <w:rPr>
          <w:rFonts w:ascii="Arial" w:cs="Arial" w:eastAsia="Arial" w:hAnsi="Arial"/>
          <w:sz w:val="18"/>
          <w:szCs w:val="18"/>
          <w:color w:val="auto"/>
        </w:rPr>
      </w:pPr>
    </w:p>
    <w:p>
      <w:pPr>
        <w:ind w:left="1160" w:hanging="571"/>
        <w:spacing w:after="0"/>
        <w:tabs>
          <w:tab w:leader="none" w:pos="1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Compensating interest expense</w:t>
      </w:r>
    </w:p>
    <w:p>
      <w:pPr>
        <w:spacing w:after="0" w:line="252" w:lineRule="exact"/>
        <w:rPr>
          <w:sz w:val="20"/>
          <w:szCs w:val="20"/>
          <w:color w:val="auto"/>
        </w:rPr>
      </w:pPr>
    </w:p>
    <w:p>
      <w:pPr>
        <w:ind w:right="160" w:firstLine="436"/>
        <w:spacing w:after="0" w:line="312" w:lineRule="auto"/>
        <w:rPr>
          <w:sz w:val="20"/>
          <w:szCs w:val="20"/>
          <w:color w:val="auto"/>
        </w:rPr>
      </w:pPr>
      <w:r>
        <w:rPr>
          <w:rFonts w:ascii="Arial" w:cs="Arial" w:eastAsia="Arial" w:hAnsi="Arial"/>
          <w:sz w:val="15"/>
          <w:szCs w:val="15"/>
          <w:color w:val="auto"/>
        </w:rPr>
        <w:t>The significant components of the estimated future cash inflows for MSRs include servicing fees, late fees, prepayment penalties, float earnings and other ancillary fees. Significant cash outflows include the cost of servicing, the cost of financing servicing advances and compensating interest payments. We derive prepayment speeds and delinquency assumptions from historical experience adjusted for prevailing market conditions. We develop the discount rate internally, and we consider external market-based assumptions in determining the interest rate for the cost of financing advances, the interest rate for float earnings and the cost of servicing. The more significant assumptions used in the September 30, 2009 valuation include prepayment speeds ranging from 19.3% to 25.7% (depending on loan type) and delinquency rates ranging from 18.0% to 26.1% (depending on loan type). Other assumptions include an interest rate of 1-month LIBOR plus 5% for computing the cost of financing advances, an interest rate of 1-month LIBOR for computing float earnings and a discount rate of 20%.</w:t>
      </w:r>
    </w:p>
    <w:p>
      <w:pPr>
        <w:sectPr>
          <w:pgSz w:w="11900" w:h="16838" w:orient="portrait"/>
          <w:cols w:equalWidth="0" w:num="1">
            <w:col w:w="11420"/>
          </w:cols>
          <w:pgMar w:left="240" w:top="131" w:right="239" w:bottom="1440" w:gutter="0" w:footer="0" w:header="0"/>
        </w:sectPr>
      </w:pP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19" w:name="page20"/>
    <w:bookmarkEnd w:id="19"/>
    <w:p>
      <w:pPr>
        <w:ind w:right="20" w:firstLine="436"/>
        <w:spacing w:after="0" w:line="259" w:lineRule="auto"/>
        <w:rPr>
          <w:sz w:val="20"/>
          <w:szCs w:val="20"/>
          <w:color w:val="auto"/>
        </w:rPr>
      </w:pPr>
      <w:r>
        <w:rPr>
          <w:rFonts w:ascii="Arial" w:cs="Arial" w:eastAsia="Arial" w:hAnsi="Arial"/>
          <w:sz w:val="18"/>
          <w:szCs w:val="18"/>
          <w:color w:val="auto"/>
        </w:rPr>
        <w:t>We perform an impairment analysis based on the difference between the carrying amount and fair value after grouping our loans into the applicable strata based on one or more of the predominant risk characteristics of the underlying loans. The risk factors used to assign loans to strata include the credit score (FICO) of the borrower, the loan to value ratio and the default risk. Our strata include:</w:t>
      </w:r>
    </w:p>
    <w:p>
      <w:pPr>
        <w:spacing w:after="0" w:line="208" w:lineRule="exact"/>
        <w:rPr>
          <w:sz w:val="20"/>
          <w:szCs w:val="20"/>
          <w:color w:val="auto"/>
        </w:rPr>
      </w:pPr>
    </w:p>
    <w:p>
      <w:pPr>
        <w:ind w:left="1160" w:hanging="571"/>
        <w:spacing w:after="0"/>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Subprime</w:t>
      </w:r>
    </w:p>
    <w:p>
      <w:pPr>
        <w:spacing w:after="0" w:line="279" w:lineRule="exact"/>
        <w:rPr>
          <w:rFonts w:ascii="Arial" w:cs="Arial" w:eastAsia="Arial" w:hAnsi="Arial"/>
          <w:sz w:val="18"/>
          <w:szCs w:val="18"/>
          <w:color w:val="auto"/>
        </w:rPr>
      </w:pPr>
    </w:p>
    <w:p>
      <w:pPr>
        <w:ind w:left="1160" w:hanging="571"/>
        <w:spacing w:after="0"/>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ALT A</w:t>
      </w:r>
    </w:p>
    <w:p>
      <w:pPr>
        <w:spacing w:after="0" w:line="279" w:lineRule="exact"/>
        <w:rPr>
          <w:rFonts w:ascii="Arial" w:cs="Arial" w:eastAsia="Arial" w:hAnsi="Arial"/>
          <w:sz w:val="18"/>
          <w:szCs w:val="18"/>
          <w:color w:val="auto"/>
        </w:rPr>
      </w:pPr>
    </w:p>
    <w:p>
      <w:pPr>
        <w:ind w:left="1160" w:hanging="571"/>
        <w:spacing w:after="0"/>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High-loan-to-value</w:t>
      </w:r>
    </w:p>
    <w:p>
      <w:pPr>
        <w:spacing w:after="0" w:line="279" w:lineRule="exact"/>
        <w:rPr>
          <w:rFonts w:ascii="Arial" w:cs="Arial" w:eastAsia="Arial" w:hAnsi="Arial"/>
          <w:sz w:val="18"/>
          <w:szCs w:val="18"/>
          <w:color w:val="auto"/>
        </w:rPr>
      </w:pPr>
    </w:p>
    <w:p>
      <w:pPr>
        <w:ind w:left="1160" w:hanging="571"/>
        <w:spacing w:after="0"/>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Re-performing</w:t>
      </w:r>
    </w:p>
    <w:p>
      <w:pPr>
        <w:spacing w:after="0" w:line="279" w:lineRule="exact"/>
        <w:rPr>
          <w:rFonts w:ascii="Arial" w:cs="Arial" w:eastAsia="Arial" w:hAnsi="Arial"/>
          <w:sz w:val="18"/>
          <w:szCs w:val="18"/>
          <w:color w:val="auto"/>
        </w:rPr>
      </w:pPr>
    </w:p>
    <w:p>
      <w:pPr>
        <w:ind w:left="1160" w:hanging="571"/>
        <w:spacing w:after="0"/>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Special servicing</w:t>
      </w:r>
    </w:p>
    <w:p>
      <w:pPr>
        <w:spacing w:after="0" w:line="279" w:lineRule="exact"/>
        <w:rPr>
          <w:rFonts w:ascii="Arial" w:cs="Arial" w:eastAsia="Arial" w:hAnsi="Arial"/>
          <w:sz w:val="18"/>
          <w:szCs w:val="18"/>
          <w:color w:val="auto"/>
        </w:rPr>
      </w:pPr>
    </w:p>
    <w:p>
      <w:pPr>
        <w:ind w:left="1160" w:hanging="571"/>
        <w:spacing w:after="0"/>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Other</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Advances</w:t>
      </w:r>
    </w:p>
    <w:p>
      <w:pPr>
        <w:spacing w:after="0" w:line="231" w:lineRule="exact"/>
        <w:rPr>
          <w:sz w:val="20"/>
          <w:szCs w:val="20"/>
          <w:color w:val="auto"/>
        </w:rPr>
      </w:pPr>
    </w:p>
    <w:p>
      <w:pPr>
        <w:ind w:right="180" w:firstLine="436"/>
        <w:spacing w:after="0" w:line="268" w:lineRule="auto"/>
        <w:rPr>
          <w:sz w:val="20"/>
          <w:szCs w:val="20"/>
          <w:color w:val="auto"/>
        </w:rPr>
      </w:pPr>
      <w:r>
        <w:rPr>
          <w:rFonts w:ascii="Arial" w:cs="Arial" w:eastAsia="Arial" w:hAnsi="Arial"/>
          <w:sz w:val="18"/>
          <w:szCs w:val="18"/>
          <w:color w:val="auto"/>
        </w:rPr>
        <w:t>We value advances that we make on loans that we service for others at their carrying amounts because they have no stated maturity, generally are realized within a relatively short period of time and do not bear interest.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Receivables</w:t>
      </w:r>
    </w:p>
    <w:p>
      <w:pPr>
        <w:spacing w:after="0" w:line="231" w:lineRule="exact"/>
        <w:rPr>
          <w:sz w:val="20"/>
          <w:szCs w:val="20"/>
          <w:color w:val="auto"/>
        </w:rPr>
      </w:pPr>
    </w:p>
    <w:p>
      <w:pPr>
        <w:ind w:right="100" w:firstLine="436"/>
        <w:spacing w:after="0" w:line="259" w:lineRule="auto"/>
        <w:rPr>
          <w:sz w:val="20"/>
          <w:szCs w:val="20"/>
          <w:color w:val="auto"/>
        </w:rPr>
      </w:pPr>
      <w:r>
        <w:rPr>
          <w:rFonts w:ascii="Arial" w:cs="Arial" w:eastAsia="Arial" w:hAnsi="Arial"/>
          <w:sz w:val="18"/>
          <w:szCs w:val="18"/>
          <w:color w:val="auto"/>
        </w:rPr>
        <w:t>The carrying value of receivables generally approximates fair value because of the relatively short period of time between their origination and realization. We carry long-term receivables with an implicit fixed rate or floating rate at a discounted value or approximate face value, respectively, which we believe approximates fair value.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Servicer Liabilities</w:t>
      </w:r>
    </w:p>
    <w:p>
      <w:pPr>
        <w:spacing w:after="0" w:line="231" w:lineRule="exact"/>
        <w:rPr>
          <w:sz w:val="20"/>
          <w:szCs w:val="20"/>
          <w:color w:val="auto"/>
        </w:rPr>
      </w:pPr>
    </w:p>
    <w:p>
      <w:pPr>
        <w:ind w:right="400" w:firstLine="436"/>
        <w:spacing w:after="0" w:line="268" w:lineRule="auto"/>
        <w:rPr>
          <w:sz w:val="20"/>
          <w:szCs w:val="20"/>
          <w:color w:val="auto"/>
        </w:rPr>
      </w:pPr>
      <w:r>
        <w:rPr>
          <w:rFonts w:ascii="Arial" w:cs="Arial" w:eastAsia="Arial" w:hAnsi="Arial"/>
          <w:sz w:val="18"/>
          <w:szCs w:val="18"/>
          <w:color w:val="auto"/>
        </w:rPr>
        <w:t>The carrying value of servicer liabilities approximates fair value due to the short period of time the funds are held until they are deposited in collection accounts, paid directly to an investment trust or refunded to borrowers.</w:t>
      </w:r>
    </w:p>
    <w:p>
      <w:pPr>
        <w:spacing w:after="0" w:line="193"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Note 5</w:t>
      </w:r>
      <w:r>
        <w:rPr>
          <w:sz w:val="20"/>
          <w:szCs w:val="20"/>
          <w:color w:val="auto"/>
        </w:rPr>
        <w:tab/>
      </w:r>
      <w:r>
        <w:rPr>
          <w:rFonts w:ascii="Arial" w:cs="Arial" w:eastAsia="Arial" w:hAnsi="Arial"/>
          <w:sz w:val="15"/>
          <w:szCs w:val="15"/>
          <w:b w:val="1"/>
          <w:bCs w:val="1"/>
          <w:color w:val="auto"/>
        </w:rPr>
        <w:t>Discontinued Operations</w:t>
      </w:r>
    </w:p>
    <w:p>
      <w:pPr>
        <w:spacing w:after="0" w:line="231" w:lineRule="exact"/>
        <w:rPr>
          <w:sz w:val="20"/>
          <w:szCs w:val="20"/>
          <w:color w:val="auto"/>
        </w:rPr>
      </w:pPr>
    </w:p>
    <w:p>
      <w:pPr>
        <w:ind w:right="80" w:firstLine="439"/>
        <w:spacing w:after="0" w:line="306" w:lineRule="auto"/>
        <w:rPr>
          <w:sz w:val="20"/>
          <w:szCs w:val="20"/>
          <w:color w:val="auto"/>
        </w:rPr>
      </w:pPr>
      <w:r>
        <w:rPr>
          <w:rFonts w:ascii="Arial" w:cs="Arial" w:eastAsia="Arial" w:hAnsi="Arial"/>
          <w:sz w:val="16"/>
          <w:szCs w:val="16"/>
          <w:color w:val="auto"/>
        </w:rPr>
        <w:t>In the fourth quarter of 2007, management of OCN approved and committed to a plan to sell its investment in BOK. Management has concluded that BOK met and continues to meet the definition of a discontinued operation. Accordingly, the results of BOK are classified as discontinued in the accompanying consolidated financial statements. For segment reporting purposes, the operations of BOK are included in Corporate Items and Other.</w:t>
      </w:r>
    </w:p>
    <w:p>
      <w:pPr>
        <w:spacing w:after="0" w:line="161" w:lineRule="exact"/>
        <w:rPr>
          <w:sz w:val="20"/>
          <w:szCs w:val="20"/>
          <w:color w:val="auto"/>
        </w:rPr>
      </w:pPr>
    </w:p>
    <w:p>
      <w:pPr>
        <w:ind w:right="600" w:firstLine="439"/>
        <w:spacing w:after="0" w:line="268" w:lineRule="auto"/>
        <w:rPr>
          <w:sz w:val="20"/>
          <w:szCs w:val="20"/>
          <w:color w:val="auto"/>
        </w:rPr>
      </w:pPr>
      <w:r>
        <w:rPr>
          <w:rFonts w:ascii="Arial" w:cs="Arial" w:eastAsia="Arial" w:hAnsi="Arial"/>
          <w:sz w:val="18"/>
          <w:szCs w:val="18"/>
          <w:color w:val="auto"/>
        </w:rPr>
        <w:t>In the second quarter of 2008, we recorded a charge of $4,980 that included the impairment of the remaining $3,423 carrying value of goodwill and intangibles, a $1,377 write-down of receivables and a $180 write-down of premises and equipment.</w:t>
      </w:r>
    </w:p>
    <w:p>
      <w:pPr>
        <w:spacing w:after="0" w:line="186" w:lineRule="exact"/>
        <w:rPr>
          <w:sz w:val="20"/>
          <w:szCs w:val="20"/>
          <w:color w:val="auto"/>
        </w:rPr>
      </w:pPr>
    </w:p>
    <w:p>
      <w:pPr>
        <w:ind w:right="100" w:firstLine="439"/>
        <w:spacing w:after="0" w:line="259" w:lineRule="auto"/>
        <w:rPr>
          <w:sz w:val="20"/>
          <w:szCs w:val="20"/>
          <w:color w:val="auto"/>
        </w:rPr>
      </w:pPr>
      <w:r>
        <w:rPr>
          <w:rFonts w:ascii="Arial" w:cs="Arial" w:eastAsia="Arial" w:hAnsi="Arial"/>
          <w:sz w:val="18"/>
          <w:szCs w:val="18"/>
          <w:color w:val="auto"/>
        </w:rPr>
        <w:t>On June 15, 2009, we entered into an agreement to sell our investment in BOK, subject to regulatory approvals. Based on the terms of this new agreement, we recognized a gain of $1,227 in the second quarter of 2009 to partially reflect the increased sales price for our investment. This gain relates to a previously recorded valuation adjustment</w:t>
      </w:r>
      <w:r>
        <w:rPr>
          <w:rFonts w:ascii="Arial" w:cs="Arial" w:eastAsia="Arial" w:hAnsi="Arial"/>
          <w:sz w:val="18"/>
          <w:szCs w:val="18"/>
          <w:b w:val="1"/>
          <w:bCs w:val="1"/>
          <w:color w:val="auto"/>
        </w:rPr>
        <w:t>.</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420" w:type="dxa"/>
            <w:vAlign w:val="bottom"/>
          </w:tcPr>
          <w:p>
            <w:pPr>
              <w:ind w:left="440"/>
              <w:spacing w:after="0"/>
              <w:rPr>
                <w:sz w:val="20"/>
                <w:szCs w:val="20"/>
                <w:color w:val="auto"/>
              </w:rPr>
            </w:pPr>
            <w:r>
              <w:rPr>
                <w:rFonts w:ascii="Arial" w:cs="Arial" w:eastAsia="Arial" w:hAnsi="Arial"/>
                <w:sz w:val="18"/>
                <w:szCs w:val="18"/>
                <w:color w:val="auto"/>
                <w:w w:val="93"/>
              </w:rPr>
              <w:t>Results of BOK’s operations for the periods ended September 30 are as follows:</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2"/>
        </w:trPr>
        <w:tc>
          <w:tcPr>
            <w:tcW w:w="6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80" w:type="dxa"/>
            <w:vAlign w:val="bottom"/>
            <w:gridSpan w:val="6"/>
          </w:tcPr>
          <w:p>
            <w:pPr>
              <w:jc w:val="right"/>
              <w:ind w:right="640"/>
              <w:spacing w:after="0"/>
              <w:rPr>
                <w:sz w:val="20"/>
                <w:szCs w:val="20"/>
                <w:color w:val="auto"/>
              </w:rPr>
            </w:pPr>
            <w:r>
              <w:rPr>
                <w:rFonts w:ascii="Arial" w:cs="Arial" w:eastAsia="Arial" w:hAnsi="Arial"/>
                <w:sz w:val="18"/>
                <w:szCs w:val="18"/>
                <w:b w:val="1"/>
                <w:bCs w:val="1"/>
                <w:color w:val="auto"/>
              </w:rPr>
              <w:t>Three Months</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gridSpan w:val="4"/>
          </w:tcPr>
          <w:p>
            <w:pPr>
              <w:ind w:left="320"/>
              <w:spacing w:after="0"/>
              <w:rPr>
                <w:sz w:val="20"/>
                <w:szCs w:val="20"/>
                <w:color w:val="auto"/>
              </w:rPr>
            </w:pPr>
            <w:r>
              <w:rPr>
                <w:rFonts w:ascii="Arial" w:cs="Arial" w:eastAsia="Arial" w:hAnsi="Arial"/>
                <w:sz w:val="18"/>
                <w:szCs w:val="18"/>
                <w:b w:val="1"/>
                <w:bCs w:val="1"/>
                <w:color w:val="auto"/>
                <w:w w:val="88"/>
              </w:rPr>
              <w:t>Nine Months</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2009</w:t>
            </w:r>
          </w:p>
        </w:tc>
        <w:tc>
          <w:tcPr>
            <w:tcW w:w="32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2008</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560" w:type="dxa"/>
            <w:vAlign w:val="bottom"/>
            <w:tcBorders>
              <w:top w:val="single" w:sz="8" w:color="auto"/>
              <w:bottom w:val="single" w:sz="8" w:color="auto"/>
            </w:tcBorders>
            <w:gridSpan w:val="2"/>
          </w:tcPr>
          <w:p>
            <w:pPr>
              <w:jc w:val="right"/>
              <w:ind w:right="112"/>
              <w:spacing w:after="0"/>
              <w:rPr>
                <w:sz w:val="20"/>
                <w:szCs w:val="20"/>
                <w:color w:val="auto"/>
              </w:rPr>
            </w:pPr>
            <w:r>
              <w:rPr>
                <w:rFonts w:ascii="Arial" w:cs="Arial" w:eastAsia="Arial" w:hAnsi="Arial"/>
                <w:sz w:val="18"/>
                <w:szCs w:val="18"/>
                <w:b w:val="1"/>
                <w:bCs w:val="1"/>
                <w:color w:val="auto"/>
                <w:w w:val="84"/>
              </w:rPr>
              <w:t>2009</w:t>
            </w:r>
          </w:p>
        </w:tc>
        <w:tc>
          <w:tcPr>
            <w:tcW w:w="340" w:type="dxa"/>
            <w:vAlign w:val="bottom"/>
            <w:tcBorders>
              <w:top w:val="single" w:sz="8" w:color="auto"/>
            </w:tcBorders>
          </w:tcPr>
          <w:p>
            <w:pPr>
              <w:spacing w:after="0"/>
              <w:rPr>
                <w:sz w:val="21"/>
                <w:szCs w:val="21"/>
                <w:color w:val="auto"/>
              </w:rPr>
            </w:pPr>
          </w:p>
        </w:tc>
        <w:tc>
          <w:tcPr>
            <w:tcW w:w="920" w:type="dxa"/>
            <w:vAlign w:val="bottom"/>
            <w:tcBorders>
              <w:top w:val="single" w:sz="8" w:color="auto"/>
              <w:bottom w:val="single" w:sz="8" w:color="auto"/>
            </w:tcBorders>
            <w:gridSpan w:val="2"/>
          </w:tcPr>
          <w:p>
            <w:pPr>
              <w:jc w:val="right"/>
              <w:ind w:right="192"/>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20" w:type="dxa"/>
            <w:vAlign w:val="bottom"/>
            <w:shd w:val="clear" w:color="auto" w:fill="EAF9E8"/>
          </w:tcPr>
          <w:p>
            <w:pPr>
              <w:spacing w:after="0"/>
              <w:rPr>
                <w:sz w:val="20"/>
                <w:szCs w:val="20"/>
                <w:color w:val="auto"/>
              </w:rPr>
            </w:pPr>
            <w:r>
              <w:rPr>
                <w:rFonts w:ascii="Arial" w:cs="Arial" w:eastAsia="Arial" w:hAnsi="Arial"/>
                <w:sz w:val="18"/>
                <w:szCs w:val="18"/>
                <w:color w:val="auto"/>
              </w:rPr>
              <w:t>Revenue</w:t>
            </w:r>
          </w:p>
        </w:tc>
        <w:tc>
          <w:tcPr>
            <w:tcW w:w="520" w:type="dxa"/>
            <w:vAlign w:val="bottom"/>
            <w:gridSpan w:val="2"/>
            <w:shd w:val="clear" w:color="auto" w:fill="EAF9E8"/>
          </w:tcPr>
          <w:p>
            <w:pPr>
              <w:jc w:val="right"/>
              <w:ind w:right="23"/>
              <w:spacing w:after="0"/>
              <w:rPr>
                <w:sz w:val="20"/>
                <w:szCs w:val="20"/>
                <w:color w:val="auto"/>
              </w:rPr>
            </w:pPr>
            <w:r>
              <w:rPr>
                <w:rFonts w:ascii="Arial" w:cs="Arial" w:eastAsia="Arial" w:hAnsi="Arial"/>
                <w:sz w:val="18"/>
                <w:szCs w:val="18"/>
                <w:color w:val="auto"/>
              </w:rPr>
              <w:t>$</w:t>
            </w:r>
          </w:p>
        </w:tc>
        <w:tc>
          <w:tcPr>
            <w:tcW w:w="7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25</w:t>
            </w:r>
          </w:p>
        </w:tc>
        <w:tc>
          <w:tcPr>
            <w:tcW w:w="320" w:type="dxa"/>
            <w:vAlign w:val="bottom"/>
            <w:shd w:val="clear" w:color="auto" w:fill="EAF9E8"/>
          </w:tcPr>
          <w:p>
            <w:pPr>
              <w:spacing w:after="0"/>
              <w:rPr>
                <w:sz w:val="21"/>
                <w:szCs w:val="21"/>
                <w:color w:val="auto"/>
              </w:rPr>
            </w:pPr>
          </w:p>
        </w:tc>
        <w:tc>
          <w:tcPr>
            <w:tcW w:w="16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68</w:t>
            </w:r>
          </w:p>
        </w:tc>
        <w:tc>
          <w:tcPr>
            <w:tcW w:w="48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64</w:t>
            </w:r>
          </w:p>
        </w:tc>
        <w:tc>
          <w:tcPr>
            <w:tcW w:w="740" w:type="dxa"/>
            <w:vAlign w:val="bottom"/>
            <w:gridSpan w:val="2"/>
            <w:shd w:val="clear" w:color="auto" w:fill="EAF9E8"/>
          </w:tcPr>
          <w:p>
            <w:pPr>
              <w:ind w:left="34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49"/>
        </w:trPr>
        <w:tc>
          <w:tcPr>
            <w:tcW w:w="6420" w:type="dxa"/>
            <w:vAlign w:val="bottom"/>
          </w:tcPr>
          <w:p>
            <w:pPr>
              <w:ind w:left="160"/>
              <w:spacing w:after="0"/>
              <w:rPr>
                <w:sz w:val="20"/>
                <w:szCs w:val="20"/>
                <w:color w:val="auto"/>
              </w:rPr>
            </w:pPr>
            <w:r>
              <w:rPr>
                <w:rFonts w:ascii="Arial" w:cs="Arial" w:eastAsia="Arial" w:hAnsi="Arial"/>
                <w:sz w:val="18"/>
                <w:szCs w:val="18"/>
                <w:color w:val="auto"/>
              </w:rPr>
              <w:t>Operating expenses</w:t>
            </w: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414</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593</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6,891</w:t>
            </w:r>
          </w:p>
        </w:tc>
        <w:tc>
          <w:tcPr>
            <w:tcW w:w="0" w:type="dxa"/>
            <w:vAlign w:val="bottom"/>
          </w:tcPr>
          <w:p>
            <w:pPr>
              <w:spacing w:after="0"/>
              <w:rPr>
                <w:sz w:val="1"/>
                <w:szCs w:val="1"/>
                <w:color w:val="auto"/>
              </w:rPr>
            </w:pPr>
          </w:p>
        </w:tc>
      </w:tr>
      <w:tr>
        <w:trPr>
          <w:trHeight w:val="21"/>
        </w:trPr>
        <w:tc>
          <w:tcPr>
            <w:tcW w:w="6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6420" w:type="dxa"/>
            <w:vAlign w:val="bottom"/>
            <w:shd w:val="clear" w:color="auto" w:fill="EAF9E8"/>
          </w:tcPr>
          <w:p>
            <w:pPr>
              <w:spacing w:after="0"/>
              <w:rPr>
                <w:sz w:val="20"/>
                <w:szCs w:val="20"/>
                <w:color w:val="auto"/>
              </w:rPr>
            </w:pPr>
            <w:r>
              <w:rPr>
                <w:rFonts w:ascii="Arial" w:cs="Arial" w:eastAsia="Arial" w:hAnsi="Arial"/>
                <w:sz w:val="18"/>
                <w:szCs w:val="18"/>
                <w:color w:val="auto"/>
              </w:rPr>
              <w:t>Income (loss) from operations</w:t>
            </w:r>
          </w:p>
        </w:tc>
        <w:tc>
          <w:tcPr>
            <w:tcW w:w="340" w:type="dxa"/>
            <w:vAlign w:val="bottom"/>
            <w:shd w:val="clear" w:color="auto" w:fill="EAF9E8"/>
          </w:tcPr>
          <w:p>
            <w:pPr>
              <w:spacing w:after="0"/>
              <w:rPr>
                <w:sz w:val="21"/>
                <w:szCs w:val="21"/>
                <w:color w:val="auto"/>
              </w:rPr>
            </w:pPr>
          </w:p>
        </w:tc>
        <w:tc>
          <w:tcPr>
            <w:tcW w:w="180" w:type="dxa"/>
            <w:vAlign w:val="bottom"/>
            <w:shd w:val="clear" w:color="auto" w:fill="EAF9E8"/>
          </w:tcPr>
          <w:p>
            <w:pPr>
              <w:spacing w:after="0"/>
              <w:rPr>
                <w:sz w:val="21"/>
                <w:szCs w:val="21"/>
                <w:color w:val="auto"/>
              </w:rPr>
            </w:pPr>
          </w:p>
        </w:tc>
        <w:tc>
          <w:tcPr>
            <w:tcW w:w="108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(389)</w:t>
            </w:r>
          </w:p>
        </w:tc>
        <w:tc>
          <w:tcPr>
            <w:tcW w:w="2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84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(525)</w:t>
            </w:r>
          </w:p>
        </w:tc>
        <w:tc>
          <w:tcPr>
            <w:tcW w:w="260" w:type="dxa"/>
            <w:vAlign w:val="bottom"/>
            <w:shd w:val="clear" w:color="auto" w:fill="EAF9E8"/>
          </w:tcPr>
          <w:p>
            <w:pPr>
              <w:spacing w:after="0"/>
              <w:rPr>
                <w:sz w:val="21"/>
                <w:szCs w:val="21"/>
                <w:color w:val="auto"/>
              </w:rPr>
            </w:pPr>
          </w:p>
        </w:tc>
        <w:tc>
          <w:tcPr>
            <w:tcW w:w="220" w:type="dxa"/>
            <w:vAlign w:val="bottom"/>
            <w:shd w:val="clear" w:color="auto" w:fill="EAF9E8"/>
          </w:tcPr>
          <w:p>
            <w:pPr>
              <w:spacing w:after="0"/>
              <w:rPr>
                <w:sz w:val="21"/>
                <w:szCs w:val="21"/>
                <w:color w:val="auto"/>
              </w:rPr>
            </w:pPr>
          </w:p>
        </w:tc>
        <w:tc>
          <w:tcPr>
            <w:tcW w:w="56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46</w:t>
            </w:r>
          </w:p>
        </w:tc>
        <w:tc>
          <w:tcPr>
            <w:tcW w:w="340" w:type="dxa"/>
            <w:vAlign w:val="bottom"/>
            <w:shd w:val="clear" w:color="auto" w:fill="EAF9E8"/>
          </w:tcPr>
          <w:p>
            <w:pPr>
              <w:spacing w:after="0"/>
              <w:rPr>
                <w:sz w:val="21"/>
                <w:szCs w:val="21"/>
                <w:color w:val="auto"/>
              </w:rPr>
            </w:pPr>
          </w:p>
        </w:tc>
        <w:tc>
          <w:tcPr>
            <w:tcW w:w="400" w:type="dxa"/>
            <w:vAlign w:val="bottom"/>
            <w:shd w:val="clear" w:color="auto" w:fill="EAF9E8"/>
          </w:tcPr>
          <w:p>
            <w:pPr>
              <w:spacing w:after="0"/>
              <w:rPr>
                <w:sz w:val="21"/>
                <w:szCs w:val="21"/>
                <w:color w:val="auto"/>
              </w:rPr>
            </w:pPr>
          </w:p>
        </w:tc>
        <w:tc>
          <w:tcPr>
            <w:tcW w:w="62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w w:val="98"/>
              </w:rPr>
              <w:t>(6,552)</w:t>
            </w:r>
          </w:p>
        </w:tc>
        <w:tc>
          <w:tcPr>
            <w:tcW w:w="0" w:type="dxa"/>
            <w:vAlign w:val="bottom"/>
          </w:tcPr>
          <w:p>
            <w:pPr>
              <w:spacing w:after="0"/>
              <w:rPr>
                <w:sz w:val="1"/>
                <w:szCs w:val="1"/>
                <w:color w:val="auto"/>
              </w:rPr>
            </w:pPr>
          </w:p>
        </w:tc>
      </w:tr>
      <w:tr>
        <w:trPr>
          <w:trHeight w:val="249"/>
        </w:trPr>
        <w:tc>
          <w:tcPr>
            <w:tcW w:w="6420" w:type="dxa"/>
            <w:vAlign w:val="bottom"/>
          </w:tcPr>
          <w:p>
            <w:pPr>
              <w:ind w:left="160"/>
              <w:spacing w:after="0"/>
              <w:rPr>
                <w:sz w:val="20"/>
                <w:szCs w:val="20"/>
                <w:color w:val="auto"/>
              </w:rPr>
            </w:pPr>
            <w:r>
              <w:rPr>
                <w:rFonts w:ascii="Arial" w:cs="Arial" w:eastAsia="Arial" w:hAnsi="Arial"/>
                <w:sz w:val="18"/>
                <w:szCs w:val="18"/>
                <w:color w:val="auto"/>
              </w:rPr>
              <w:t>Other income, net</w:t>
            </w: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158</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339</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587</w:t>
            </w:r>
          </w:p>
        </w:tc>
        <w:tc>
          <w:tcPr>
            <w:tcW w:w="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980</w:t>
            </w:r>
          </w:p>
        </w:tc>
        <w:tc>
          <w:tcPr>
            <w:tcW w:w="0" w:type="dxa"/>
            <w:vAlign w:val="bottom"/>
          </w:tcPr>
          <w:p>
            <w:pPr>
              <w:spacing w:after="0"/>
              <w:rPr>
                <w:sz w:val="1"/>
                <w:szCs w:val="1"/>
                <w:color w:val="auto"/>
              </w:rPr>
            </w:pPr>
          </w:p>
        </w:tc>
      </w:tr>
      <w:tr>
        <w:trPr>
          <w:trHeight w:val="21"/>
        </w:trPr>
        <w:tc>
          <w:tcPr>
            <w:tcW w:w="6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6420" w:type="dxa"/>
            <w:vAlign w:val="bottom"/>
            <w:shd w:val="clear" w:color="auto" w:fill="EAF9E8"/>
          </w:tcPr>
          <w:p>
            <w:pPr>
              <w:spacing w:after="0"/>
              <w:rPr>
                <w:sz w:val="20"/>
                <w:szCs w:val="20"/>
                <w:color w:val="auto"/>
              </w:rPr>
            </w:pPr>
            <w:r>
              <w:rPr>
                <w:rFonts w:ascii="Arial" w:cs="Arial" w:eastAsia="Arial" w:hAnsi="Arial"/>
                <w:sz w:val="18"/>
                <w:szCs w:val="18"/>
                <w:color w:val="auto"/>
              </w:rPr>
              <w:t>Income (loss) before income taxes</w:t>
            </w:r>
          </w:p>
        </w:tc>
        <w:tc>
          <w:tcPr>
            <w:tcW w:w="340" w:type="dxa"/>
            <w:vAlign w:val="bottom"/>
            <w:shd w:val="clear" w:color="auto" w:fill="EAF9E8"/>
          </w:tcPr>
          <w:p>
            <w:pPr>
              <w:spacing w:after="0"/>
              <w:rPr>
                <w:sz w:val="21"/>
                <w:szCs w:val="21"/>
                <w:color w:val="auto"/>
              </w:rPr>
            </w:pPr>
          </w:p>
        </w:tc>
        <w:tc>
          <w:tcPr>
            <w:tcW w:w="180" w:type="dxa"/>
            <w:vAlign w:val="bottom"/>
            <w:shd w:val="clear" w:color="auto" w:fill="EAF9E8"/>
          </w:tcPr>
          <w:p>
            <w:pPr>
              <w:spacing w:after="0"/>
              <w:rPr>
                <w:sz w:val="21"/>
                <w:szCs w:val="21"/>
                <w:color w:val="auto"/>
              </w:rPr>
            </w:pPr>
          </w:p>
        </w:tc>
        <w:tc>
          <w:tcPr>
            <w:tcW w:w="108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(231)</w:t>
            </w:r>
          </w:p>
        </w:tc>
        <w:tc>
          <w:tcPr>
            <w:tcW w:w="2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84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(186)</w:t>
            </w:r>
          </w:p>
        </w:tc>
        <w:tc>
          <w:tcPr>
            <w:tcW w:w="260" w:type="dxa"/>
            <w:vAlign w:val="bottom"/>
            <w:shd w:val="clear" w:color="auto" w:fill="EAF9E8"/>
          </w:tcPr>
          <w:p>
            <w:pPr>
              <w:spacing w:after="0"/>
              <w:rPr>
                <w:sz w:val="21"/>
                <w:szCs w:val="21"/>
                <w:color w:val="auto"/>
              </w:rPr>
            </w:pPr>
          </w:p>
        </w:tc>
        <w:tc>
          <w:tcPr>
            <w:tcW w:w="220" w:type="dxa"/>
            <w:vAlign w:val="bottom"/>
            <w:shd w:val="clear" w:color="auto" w:fill="EAF9E8"/>
          </w:tcPr>
          <w:p>
            <w:pPr>
              <w:spacing w:after="0"/>
              <w:rPr>
                <w:sz w:val="21"/>
                <w:szCs w:val="21"/>
                <w:color w:val="auto"/>
              </w:rPr>
            </w:pPr>
          </w:p>
        </w:tc>
        <w:tc>
          <w:tcPr>
            <w:tcW w:w="56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633</w:t>
            </w:r>
          </w:p>
        </w:tc>
        <w:tc>
          <w:tcPr>
            <w:tcW w:w="340" w:type="dxa"/>
            <w:vAlign w:val="bottom"/>
            <w:shd w:val="clear" w:color="auto" w:fill="EAF9E8"/>
          </w:tcPr>
          <w:p>
            <w:pPr>
              <w:spacing w:after="0"/>
              <w:rPr>
                <w:sz w:val="21"/>
                <w:szCs w:val="21"/>
                <w:color w:val="auto"/>
              </w:rPr>
            </w:pPr>
          </w:p>
        </w:tc>
        <w:tc>
          <w:tcPr>
            <w:tcW w:w="400" w:type="dxa"/>
            <w:vAlign w:val="bottom"/>
            <w:shd w:val="clear" w:color="auto" w:fill="EAF9E8"/>
          </w:tcPr>
          <w:p>
            <w:pPr>
              <w:spacing w:after="0"/>
              <w:rPr>
                <w:sz w:val="21"/>
                <w:szCs w:val="21"/>
                <w:color w:val="auto"/>
              </w:rPr>
            </w:pPr>
          </w:p>
        </w:tc>
        <w:tc>
          <w:tcPr>
            <w:tcW w:w="62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w w:val="98"/>
              </w:rPr>
              <w:t>(5,572)</w:t>
            </w:r>
          </w:p>
        </w:tc>
        <w:tc>
          <w:tcPr>
            <w:tcW w:w="0" w:type="dxa"/>
            <w:vAlign w:val="bottom"/>
          </w:tcPr>
          <w:p>
            <w:pPr>
              <w:spacing w:after="0"/>
              <w:rPr>
                <w:sz w:val="1"/>
                <w:szCs w:val="1"/>
                <w:color w:val="auto"/>
              </w:rPr>
            </w:pPr>
          </w:p>
        </w:tc>
      </w:tr>
      <w:tr>
        <w:trPr>
          <w:trHeight w:val="249"/>
        </w:trPr>
        <w:tc>
          <w:tcPr>
            <w:tcW w:w="6420" w:type="dxa"/>
            <w:vAlign w:val="bottom"/>
          </w:tcPr>
          <w:p>
            <w:pPr>
              <w:ind w:left="160"/>
              <w:spacing w:after="0"/>
              <w:rPr>
                <w:sz w:val="20"/>
                <w:szCs w:val="20"/>
                <w:color w:val="auto"/>
              </w:rPr>
            </w:pPr>
            <w:r>
              <w:rPr>
                <w:rFonts w:ascii="Arial" w:cs="Arial" w:eastAsia="Arial" w:hAnsi="Arial"/>
                <w:sz w:val="18"/>
                <w:szCs w:val="18"/>
                <w:color w:val="auto"/>
              </w:rPr>
              <w:t>Income tax expense (benefit)</w:t>
            </w: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6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6420" w:type="dxa"/>
            <w:vAlign w:val="bottom"/>
            <w:shd w:val="clear" w:color="auto" w:fill="EAF9E8"/>
          </w:tcPr>
          <w:p>
            <w:pPr>
              <w:spacing w:after="0"/>
              <w:rPr>
                <w:sz w:val="20"/>
                <w:szCs w:val="20"/>
                <w:color w:val="auto"/>
              </w:rPr>
            </w:pPr>
            <w:r>
              <w:rPr>
                <w:rFonts w:ascii="Arial" w:cs="Arial" w:eastAsia="Arial" w:hAnsi="Arial"/>
                <w:sz w:val="18"/>
                <w:szCs w:val="18"/>
                <w:color w:val="auto"/>
              </w:rPr>
              <w:t>Net income (loss)</w:t>
            </w:r>
          </w:p>
        </w:tc>
        <w:tc>
          <w:tcPr>
            <w:tcW w:w="340" w:type="dxa"/>
            <w:vAlign w:val="bottom"/>
            <w:shd w:val="clear" w:color="auto" w:fill="EAF9E8"/>
          </w:tcPr>
          <w:p>
            <w:pPr>
              <w:spacing w:after="0"/>
              <w:rPr>
                <w:sz w:val="21"/>
                <w:szCs w:val="21"/>
                <w:color w:val="auto"/>
              </w:rPr>
            </w:pPr>
          </w:p>
        </w:tc>
        <w:tc>
          <w:tcPr>
            <w:tcW w:w="180" w:type="dxa"/>
            <w:vAlign w:val="bottom"/>
            <w:shd w:val="clear" w:color="auto" w:fill="EAF9E8"/>
          </w:tcPr>
          <w:p>
            <w:pPr>
              <w:jc w:val="right"/>
              <w:ind w:right="23"/>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(231)</w:t>
            </w:r>
          </w:p>
        </w:tc>
        <w:tc>
          <w:tcPr>
            <w:tcW w:w="16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(186)</w:t>
            </w:r>
          </w:p>
        </w:tc>
        <w:tc>
          <w:tcPr>
            <w:tcW w:w="48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633</w:t>
            </w:r>
          </w:p>
        </w:tc>
        <w:tc>
          <w:tcPr>
            <w:tcW w:w="740" w:type="dxa"/>
            <w:vAlign w:val="bottom"/>
            <w:gridSpan w:val="2"/>
            <w:shd w:val="clear" w:color="auto" w:fill="EAF9E8"/>
          </w:tcPr>
          <w:p>
            <w:pPr>
              <w:ind w:left="34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w w:val="98"/>
              </w:rPr>
              <w:t>(5,572)</w:t>
            </w:r>
          </w:p>
        </w:tc>
        <w:tc>
          <w:tcPr>
            <w:tcW w:w="0" w:type="dxa"/>
            <w:vAlign w:val="bottom"/>
          </w:tcPr>
          <w:p>
            <w:pPr>
              <w:spacing w:after="0"/>
              <w:rPr>
                <w:sz w:val="1"/>
                <w:szCs w:val="1"/>
                <w:color w:val="auto"/>
              </w:rPr>
            </w:pPr>
          </w:p>
        </w:tc>
      </w:tr>
      <w:tr>
        <w:trPr>
          <w:trHeight w:val="20"/>
        </w:trPr>
        <w:tc>
          <w:tcPr>
            <w:tcW w:w="6420" w:type="dxa"/>
            <w:vAlign w:val="bottom"/>
            <w:vMerge w:val="restart"/>
          </w:tcPr>
          <w:p>
            <w:pPr>
              <w:spacing w:after="0"/>
              <w:rPr>
                <w:sz w:val="20"/>
                <w:szCs w:val="20"/>
                <w:color w:val="auto"/>
              </w:rPr>
            </w:pPr>
            <w:r>
              <w:rPr>
                <w:rFonts w:ascii="Arial" w:cs="Arial" w:eastAsia="Arial" w:hAnsi="Arial"/>
                <w:sz w:val="18"/>
                <w:szCs w:val="18"/>
                <w:color w:val="auto"/>
              </w:rPr>
              <w:t>The following table presents BOK’s assets and liabilities at the dates indicated:</w:t>
            </w: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420" w:type="dxa"/>
            <w:vAlign w:val="bottom"/>
            <w:vMerge w:val="continu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642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6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gridSpan w:val="4"/>
          </w:tcPr>
          <w:p>
            <w:pPr>
              <w:jc w:val="right"/>
              <w:ind w:right="200"/>
              <w:spacing w:after="0"/>
              <w:rPr>
                <w:sz w:val="20"/>
                <w:szCs w:val="20"/>
                <w:color w:val="auto"/>
              </w:rPr>
            </w:pPr>
            <w:r>
              <w:rPr>
                <w:rFonts w:ascii="Arial" w:cs="Arial" w:eastAsia="Arial" w:hAnsi="Arial"/>
                <w:sz w:val="18"/>
                <w:szCs w:val="18"/>
                <w:b w:val="1"/>
                <w:bCs w:val="1"/>
                <w:color w:val="auto"/>
                <w:w w:val="89"/>
              </w:rPr>
              <w:t>September 30,</w:t>
            </w:r>
          </w:p>
        </w:tc>
        <w:tc>
          <w:tcPr>
            <w:tcW w:w="340" w:type="dxa"/>
            <w:vAlign w:val="bottom"/>
          </w:tcPr>
          <w:p>
            <w:pPr>
              <w:spacing w:after="0"/>
              <w:rPr>
                <w:sz w:val="24"/>
                <w:szCs w:val="24"/>
                <w:color w:val="auto"/>
              </w:rPr>
            </w:pPr>
          </w:p>
        </w:tc>
        <w:tc>
          <w:tcPr>
            <w:tcW w:w="1580" w:type="dxa"/>
            <w:vAlign w:val="bottom"/>
            <w:gridSpan w:val="5"/>
          </w:tcPr>
          <w:p>
            <w:pPr>
              <w:jc w:val="right"/>
              <w:ind w:right="34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7"/>
        </w:trPr>
        <w:tc>
          <w:tcPr>
            <w:tcW w:w="6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2009</w:t>
            </w:r>
          </w:p>
        </w:tc>
        <w:tc>
          <w:tcPr>
            <w:tcW w:w="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gridSpan w:val="2"/>
          </w:tcPr>
          <w:p>
            <w:pPr>
              <w:ind w:left="340"/>
              <w:spacing w:after="0"/>
              <w:rPr>
                <w:sz w:val="20"/>
                <w:szCs w:val="20"/>
                <w:color w:val="auto"/>
              </w:rPr>
            </w:pPr>
            <w:r>
              <w:rPr>
                <w:rFonts w:ascii="Arial" w:cs="Arial" w:eastAsia="Arial" w:hAnsi="Arial"/>
                <w:sz w:val="18"/>
                <w:szCs w:val="18"/>
                <w:b w:val="1"/>
                <w:bCs w:val="1"/>
                <w:color w:val="auto"/>
                <w:w w:val="94"/>
              </w:rPr>
              <w:t>2008</w:t>
            </w:r>
          </w:p>
        </w:tc>
        <w:tc>
          <w:tcPr>
            <w:tcW w:w="5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420" w:type="dxa"/>
            <w:vAlign w:val="bottom"/>
            <w:shd w:val="clear" w:color="auto" w:fill="EAF9E8"/>
          </w:tcPr>
          <w:p>
            <w:pPr>
              <w:spacing w:after="0"/>
              <w:rPr>
                <w:sz w:val="20"/>
                <w:szCs w:val="20"/>
                <w:color w:val="auto"/>
              </w:rPr>
            </w:pPr>
            <w:r>
              <w:rPr>
                <w:rFonts w:ascii="Arial" w:cs="Arial" w:eastAsia="Arial" w:hAnsi="Arial"/>
                <w:sz w:val="18"/>
                <w:szCs w:val="18"/>
                <w:color w:val="auto"/>
              </w:rPr>
              <w:t>Cash</w:t>
            </w:r>
          </w:p>
        </w:tc>
        <w:tc>
          <w:tcPr>
            <w:tcW w:w="340" w:type="dxa"/>
            <w:vAlign w:val="bottom"/>
            <w:shd w:val="clear" w:color="auto" w:fill="EAF9E8"/>
          </w:tcPr>
          <w:p>
            <w:pPr>
              <w:spacing w:after="0"/>
              <w:rPr>
                <w:sz w:val="21"/>
                <w:szCs w:val="21"/>
                <w:color w:val="auto"/>
              </w:rPr>
            </w:pPr>
          </w:p>
        </w:tc>
        <w:tc>
          <w:tcPr>
            <w:tcW w:w="180" w:type="dxa"/>
            <w:vAlign w:val="bottom"/>
            <w:shd w:val="clear" w:color="auto" w:fill="EAF9E8"/>
          </w:tcPr>
          <w:p>
            <w:pPr>
              <w:spacing w:after="0"/>
              <w:rPr>
                <w:sz w:val="21"/>
                <w:szCs w:val="21"/>
                <w:color w:val="auto"/>
              </w:rPr>
            </w:pPr>
          </w:p>
        </w:tc>
        <w:tc>
          <w:tcPr>
            <w:tcW w:w="760" w:type="dxa"/>
            <w:vAlign w:val="bottom"/>
            <w:shd w:val="clear" w:color="auto" w:fill="EAF9E8"/>
          </w:tcPr>
          <w:p>
            <w:pPr>
              <w:spacing w:after="0"/>
              <w:rPr>
                <w:sz w:val="21"/>
                <w:szCs w:val="21"/>
                <w:color w:val="auto"/>
              </w:rPr>
            </w:pPr>
          </w:p>
        </w:tc>
        <w:tc>
          <w:tcPr>
            <w:tcW w:w="320" w:type="dxa"/>
            <w:vAlign w:val="bottom"/>
            <w:shd w:val="clear" w:color="auto" w:fill="EAF9E8"/>
          </w:tcPr>
          <w:p>
            <w:pPr>
              <w:spacing w:after="0"/>
              <w:rPr>
                <w:sz w:val="21"/>
                <w:szCs w:val="21"/>
                <w:color w:val="auto"/>
              </w:rPr>
            </w:pPr>
          </w:p>
        </w:tc>
        <w:tc>
          <w:tcPr>
            <w:tcW w:w="160" w:type="dxa"/>
            <w:vAlign w:val="bottom"/>
            <w:gridSpan w:val="2"/>
            <w:shd w:val="clear" w:color="auto" w:fill="EAF9E8"/>
          </w:tcPr>
          <w:p>
            <w:pPr>
              <w:jc w:val="right"/>
              <w:ind w:right="80"/>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48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9,482</w:t>
            </w:r>
          </w:p>
        </w:tc>
        <w:tc>
          <w:tcPr>
            <w:tcW w:w="560" w:type="dxa"/>
            <w:vAlign w:val="bottom"/>
            <w:gridSpan w:val="2"/>
            <w:shd w:val="clear" w:color="auto" w:fill="EAF9E8"/>
          </w:tcPr>
          <w:p>
            <w:pPr>
              <w:jc w:val="right"/>
              <w:ind w:right="52"/>
              <w:spacing w:after="0"/>
              <w:rPr>
                <w:sz w:val="20"/>
                <w:szCs w:val="20"/>
                <w:color w:val="auto"/>
              </w:rPr>
            </w:pPr>
            <w:r>
              <w:rPr>
                <w:rFonts w:ascii="Arial" w:cs="Arial" w:eastAsia="Arial" w:hAnsi="Arial"/>
                <w:sz w:val="18"/>
                <w:szCs w:val="18"/>
                <w:color w:val="auto"/>
              </w:rPr>
              <w:t>$</w:t>
            </w:r>
          </w:p>
        </w:tc>
        <w:tc>
          <w:tcPr>
            <w:tcW w:w="340" w:type="dxa"/>
            <w:vAlign w:val="bottom"/>
            <w:shd w:val="clear" w:color="auto" w:fill="EAF9E8"/>
          </w:tcPr>
          <w:p>
            <w:pPr>
              <w:spacing w:after="0"/>
              <w:rPr>
                <w:sz w:val="21"/>
                <w:szCs w:val="21"/>
                <w:color w:val="auto"/>
              </w:rPr>
            </w:pPr>
          </w:p>
        </w:tc>
        <w:tc>
          <w:tcPr>
            <w:tcW w:w="400" w:type="dxa"/>
            <w:vAlign w:val="bottom"/>
            <w:shd w:val="clear" w:color="auto" w:fill="EAF9E8"/>
          </w:tcPr>
          <w:p>
            <w:pPr>
              <w:spacing w:after="0"/>
              <w:rPr>
                <w:sz w:val="21"/>
                <w:szCs w:val="21"/>
                <w:color w:val="auto"/>
              </w:rPr>
            </w:pPr>
          </w:p>
        </w:tc>
        <w:tc>
          <w:tcPr>
            <w:tcW w:w="6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4,613</w:t>
            </w:r>
          </w:p>
        </w:tc>
        <w:tc>
          <w:tcPr>
            <w:tcW w:w="0" w:type="dxa"/>
            <w:vAlign w:val="bottom"/>
          </w:tcPr>
          <w:p>
            <w:pPr>
              <w:spacing w:after="0"/>
              <w:rPr>
                <w:sz w:val="1"/>
                <w:szCs w:val="1"/>
                <w:color w:val="auto"/>
              </w:rPr>
            </w:pPr>
          </w:p>
        </w:tc>
      </w:tr>
      <w:tr>
        <w:trPr>
          <w:trHeight w:val="242"/>
        </w:trPr>
        <w:tc>
          <w:tcPr>
            <w:tcW w:w="6420" w:type="dxa"/>
            <w:vAlign w:val="bottom"/>
          </w:tcPr>
          <w:p>
            <w:pPr>
              <w:spacing w:after="0"/>
              <w:rPr>
                <w:sz w:val="20"/>
                <w:szCs w:val="20"/>
                <w:color w:val="auto"/>
              </w:rPr>
            </w:pPr>
            <w:r>
              <w:rPr>
                <w:rFonts w:ascii="Arial" w:cs="Arial" w:eastAsia="Arial" w:hAnsi="Arial"/>
                <w:sz w:val="18"/>
                <w:szCs w:val="18"/>
                <w:color w:val="auto"/>
              </w:rPr>
              <w:t>Receivables</w:t>
            </w: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7,224</w:t>
            </w: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10,250</w:t>
            </w:r>
          </w:p>
        </w:tc>
        <w:tc>
          <w:tcPr>
            <w:tcW w:w="0" w:type="dxa"/>
            <w:vAlign w:val="bottom"/>
          </w:tcPr>
          <w:p>
            <w:pPr>
              <w:spacing w:after="0"/>
              <w:rPr>
                <w:sz w:val="1"/>
                <w:szCs w:val="1"/>
                <w:color w:val="auto"/>
              </w:rPr>
            </w:pPr>
          </w:p>
        </w:tc>
      </w:tr>
      <w:tr>
        <w:trPr>
          <w:trHeight w:val="244"/>
        </w:trPr>
        <w:tc>
          <w:tcPr>
            <w:tcW w:w="6420" w:type="dxa"/>
            <w:vAlign w:val="bottom"/>
            <w:shd w:val="clear" w:color="auto" w:fill="EAF9E8"/>
          </w:tcPr>
          <w:p>
            <w:pPr>
              <w:spacing w:after="0"/>
              <w:rPr>
                <w:sz w:val="20"/>
                <w:szCs w:val="20"/>
                <w:color w:val="auto"/>
              </w:rPr>
            </w:pPr>
            <w:r>
              <w:rPr>
                <w:rFonts w:ascii="Arial" w:cs="Arial" w:eastAsia="Arial" w:hAnsi="Arial"/>
                <w:sz w:val="18"/>
                <w:szCs w:val="18"/>
                <w:color w:val="auto"/>
              </w:rPr>
              <w:t>Other</w:t>
            </w:r>
          </w:p>
        </w:tc>
        <w:tc>
          <w:tcPr>
            <w:tcW w:w="340" w:type="dxa"/>
            <w:vAlign w:val="bottom"/>
            <w:shd w:val="clear" w:color="auto" w:fill="EAF9E8"/>
          </w:tcPr>
          <w:p>
            <w:pPr>
              <w:spacing w:after="0"/>
              <w:rPr>
                <w:sz w:val="21"/>
                <w:szCs w:val="21"/>
                <w:color w:val="auto"/>
              </w:rPr>
            </w:pPr>
          </w:p>
        </w:tc>
        <w:tc>
          <w:tcPr>
            <w:tcW w:w="180" w:type="dxa"/>
            <w:vAlign w:val="bottom"/>
            <w:shd w:val="clear" w:color="auto" w:fill="EAF9E8"/>
          </w:tcPr>
          <w:p>
            <w:pPr>
              <w:spacing w:after="0"/>
              <w:rPr>
                <w:sz w:val="21"/>
                <w:szCs w:val="21"/>
                <w:color w:val="auto"/>
              </w:rPr>
            </w:pPr>
          </w:p>
        </w:tc>
        <w:tc>
          <w:tcPr>
            <w:tcW w:w="760" w:type="dxa"/>
            <w:vAlign w:val="bottom"/>
            <w:shd w:val="clear" w:color="auto" w:fill="EAF9E8"/>
          </w:tcPr>
          <w:p>
            <w:pPr>
              <w:spacing w:after="0"/>
              <w:rPr>
                <w:sz w:val="21"/>
                <w:szCs w:val="21"/>
                <w:color w:val="auto"/>
              </w:rPr>
            </w:pPr>
          </w:p>
        </w:tc>
        <w:tc>
          <w:tcPr>
            <w:tcW w:w="320" w:type="dxa"/>
            <w:vAlign w:val="bottom"/>
            <w:shd w:val="clear" w:color="auto" w:fill="EAF9E8"/>
          </w:tcPr>
          <w:p>
            <w:pPr>
              <w:spacing w:after="0"/>
              <w:rPr>
                <w:sz w:val="21"/>
                <w:szCs w:val="21"/>
                <w:color w:val="auto"/>
              </w:rPr>
            </w:pPr>
          </w:p>
        </w:tc>
        <w:tc>
          <w:tcPr>
            <w:tcW w:w="2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76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48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56</w:t>
            </w:r>
          </w:p>
        </w:tc>
        <w:tc>
          <w:tcPr>
            <w:tcW w:w="340" w:type="dxa"/>
            <w:vAlign w:val="bottom"/>
            <w:shd w:val="clear" w:color="auto" w:fill="EAF9E8"/>
          </w:tcPr>
          <w:p>
            <w:pPr>
              <w:spacing w:after="0"/>
              <w:rPr>
                <w:sz w:val="21"/>
                <w:szCs w:val="21"/>
                <w:color w:val="auto"/>
              </w:rPr>
            </w:pPr>
          </w:p>
        </w:tc>
        <w:tc>
          <w:tcPr>
            <w:tcW w:w="220" w:type="dxa"/>
            <w:vAlign w:val="bottom"/>
            <w:shd w:val="clear" w:color="auto" w:fill="EAF9E8"/>
          </w:tcPr>
          <w:p>
            <w:pPr>
              <w:spacing w:after="0"/>
              <w:rPr>
                <w:sz w:val="21"/>
                <w:szCs w:val="21"/>
                <w:color w:val="auto"/>
              </w:rPr>
            </w:pPr>
          </w:p>
        </w:tc>
        <w:tc>
          <w:tcPr>
            <w:tcW w:w="340" w:type="dxa"/>
            <w:vAlign w:val="bottom"/>
            <w:shd w:val="clear" w:color="auto" w:fill="EAF9E8"/>
          </w:tcPr>
          <w:p>
            <w:pPr>
              <w:spacing w:after="0"/>
              <w:rPr>
                <w:sz w:val="21"/>
                <w:szCs w:val="21"/>
                <w:color w:val="auto"/>
              </w:rPr>
            </w:pPr>
          </w:p>
        </w:tc>
        <w:tc>
          <w:tcPr>
            <w:tcW w:w="400" w:type="dxa"/>
            <w:vAlign w:val="bottom"/>
            <w:shd w:val="clear" w:color="auto" w:fill="EAF9E8"/>
          </w:tcPr>
          <w:p>
            <w:pPr>
              <w:spacing w:after="0"/>
              <w:rPr>
                <w:sz w:val="21"/>
                <w:szCs w:val="21"/>
                <w:color w:val="auto"/>
              </w:rPr>
            </w:pPr>
          </w:p>
        </w:tc>
        <w:tc>
          <w:tcPr>
            <w:tcW w:w="6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gridSpan w:val="2"/>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420" w:type="dxa"/>
            <w:vAlign w:val="bottom"/>
          </w:tcPr>
          <w:p>
            <w:pPr>
              <w:ind w:left="160"/>
              <w:spacing w:after="0"/>
              <w:rPr>
                <w:sz w:val="20"/>
                <w:szCs w:val="20"/>
                <w:color w:val="auto"/>
              </w:rPr>
            </w:pPr>
            <w:r>
              <w:rPr>
                <w:rFonts w:ascii="Arial" w:cs="Arial" w:eastAsia="Arial" w:hAnsi="Arial"/>
                <w:sz w:val="18"/>
                <w:szCs w:val="18"/>
                <w:color w:val="auto"/>
              </w:rPr>
              <w:t>Total assets</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gridSpan w:val="2"/>
          </w:tcPr>
          <w:p>
            <w:pPr>
              <w:jc w:val="right"/>
              <w:ind w:right="80"/>
              <w:spacing w:after="0"/>
              <w:rPr>
                <w:sz w:val="20"/>
                <w:szCs w:val="20"/>
                <w:color w:val="auto"/>
              </w:rPr>
            </w:pPr>
            <w:r>
              <w:rPr>
                <w:rFonts w:ascii="Arial" w:cs="Arial" w:eastAsia="Arial" w:hAnsi="Arial"/>
                <w:sz w:val="15"/>
                <w:szCs w:val="15"/>
                <w:color w:val="auto"/>
                <w:w w:val="71"/>
              </w:rPr>
              <w:t>$</w:t>
            </w: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w w:val="83"/>
              </w:rPr>
              <w:t>16,762</w:t>
            </w:r>
          </w:p>
        </w:tc>
        <w:tc>
          <w:tcPr>
            <w:tcW w:w="56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14,896</w:t>
            </w: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gridSpan w:val="2"/>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gridSpan w:val="2"/>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gridSpan w:val="2"/>
          </w:tcPr>
          <w:p>
            <w:pPr>
              <w:spacing w:after="0"/>
              <w:rPr>
                <w:sz w:val="20"/>
                <w:szCs w:val="20"/>
                <w:color w:val="auto"/>
              </w:rPr>
            </w:pPr>
          </w:p>
        </w:tc>
        <w:tc>
          <w:tcPr>
            <w:tcW w:w="560" w:type="dxa"/>
            <w:vAlign w:val="bottom"/>
            <w:gridSpan w:val="2"/>
          </w:tcPr>
          <w:p>
            <w:pPr>
              <w:spacing w:after="0"/>
              <w:rPr>
                <w:sz w:val="20"/>
                <w:szCs w:val="20"/>
                <w:color w:val="auto"/>
              </w:rPr>
            </w:pP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2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420" w:type="dxa"/>
            <w:vAlign w:val="bottom"/>
            <w:shd w:val="clear" w:color="auto" w:fill="EAF9E8"/>
          </w:tcPr>
          <w:p>
            <w:pPr>
              <w:spacing w:after="0"/>
              <w:rPr>
                <w:sz w:val="20"/>
                <w:szCs w:val="20"/>
                <w:color w:val="auto"/>
              </w:rPr>
            </w:pPr>
            <w:r>
              <w:rPr>
                <w:rFonts w:ascii="Arial" w:cs="Arial" w:eastAsia="Arial" w:hAnsi="Arial"/>
                <w:sz w:val="18"/>
                <w:szCs w:val="18"/>
                <w:color w:val="auto"/>
              </w:rPr>
              <w:t>Total liabilities (including customer deposits of $6,784 and $5,820)</w:t>
            </w:r>
          </w:p>
        </w:tc>
        <w:tc>
          <w:tcPr>
            <w:tcW w:w="340" w:type="dxa"/>
            <w:vAlign w:val="bottom"/>
            <w:shd w:val="clear" w:color="auto" w:fill="EAF9E8"/>
          </w:tcPr>
          <w:p>
            <w:pPr>
              <w:spacing w:after="0"/>
              <w:rPr>
                <w:sz w:val="21"/>
                <w:szCs w:val="21"/>
                <w:color w:val="auto"/>
              </w:rPr>
            </w:pPr>
          </w:p>
        </w:tc>
        <w:tc>
          <w:tcPr>
            <w:tcW w:w="180" w:type="dxa"/>
            <w:vAlign w:val="bottom"/>
            <w:shd w:val="clear" w:color="auto" w:fill="EAF9E8"/>
          </w:tcPr>
          <w:p>
            <w:pPr>
              <w:spacing w:after="0"/>
              <w:rPr>
                <w:sz w:val="21"/>
                <w:szCs w:val="21"/>
                <w:color w:val="auto"/>
              </w:rPr>
            </w:pPr>
          </w:p>
        </w:tc>
        <w:tc>
          <w:tcPr>
            <w:tcW w:w="760" w:type="dxa"/>
            <w:vAlign w:val="bottom"/>
            <w:shd w:val="clear" w:color="auto" w:fill="EAF9E8"/>
          </w:tcPr>
          <w:p>
            <w:pPr>
              <w:spacing w:after="0"/>
              <w:rPr>
                <w:sz w:val="21"/>
                <w:szCs w:val="21"/>
                <w:color w:val="auto"/>
              </w:rPr>
            </w:pPr>
          </w:p>
        </w:tc>
        <w:tc>
          <w:tcPr>
            <w:tcW w:w="320" w:type="dxa"/>
            <w:vAlign w:val="bottom"/>
            <w:shd w:val="clear" w:color="auto" w:fill="EAF9E8"/>
          </w:tcPr>
          <w:p>
            <w:pPr>
              <w:spacing w:after="0"/>
              <w:rPr>
                <w:sz w:val="21"/>
                <w:szCs w:val="21"/>
                <w:color w:val="auto"/>
              </w:rPr>
            </w:pPr>
          </w:p>
        </w:tc>
        <w:tc>
          <w:tcPr>
            <w:tcW w:w="160" w:type="dxa"/>
            <w:vAlign w:val="bottom"/>
            <w:gridSpan w:val="2"/>
            <w:shd w:val="clear" w:color="auto" w:fill="EAF9E8"/>
          </w:tcPr>
          <w:p>
            <w:pPr>
              <w:jc w:val="right"/>
              <w:ind w:right="80"/>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48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7,087</w:t>
            </w:r>
          </w:p>
        </w:tc>
        <w:tc>
          <w:tcPr>
            <w:tcW w:w="560" w:type="dxa"/>
            <w:vAlign w:val="bottom"/>
            <w:gridSpan w:val="2"/>
            <w:shd w:val="clear" w:color="auto" w:fill="EAF9E8"/>
          </w:tcPr>
          <w:p>
            <w:pPr>
              <w:jc w:val="right"/>
              <w:ind w:right="52"/>
              <w:spacing w:after="0"/>
              <w:rPr>
                <w:sz w:val="20"/>
                <w:szCs w:val="20"/>
                <w:color w:val="auto"/>
              </w:rPr>
            </w:pPr>
            <w:r>
              <w:rPr>
                <w:rFonts w:ascii="Arial" w:cs="Arial" w:eastAsia="Arial" w:hAnsi="Arial"/>
                <w:sz w:val="18"/>
                <w:szCs w:val="18"/>
                <w:color w:val="auto"/>
              </w:rPr>
              <w:t>$</w:t>
            </w:r>
          </w:p>
        </w:tc>
        <w:tc>
          <w:tcPr>
            <w:tcW w:w="340" w:type="dxa"/>
            <w:vAlign w:val="bottom"/>
            <w:shd w:val="clear" w:color="auto" w:fill="EAF9E8"/>
          </w:tcPr>
          <w:p>
            <w:pPr>
              <w:spacing w:after="0"/>
              <w:rPr>
                <w:sz w:val="21"/>
                <w:szCs w:val="21"/>
                <w:color w:val="auto"/>
              </w:rPr>
            </w:pPr>
          </w:p>
        </w:tc>
        <w:tc>
          <w:tcPr>
            <w:tcW w:w="400" w:type="dxa"/>
            <w:vAlign w:val="bottom"/>
            <w:shd w:val="clear" w:color="auto" w:fill="EAF9E8"/>
          </w:tcPr>
          <w:p>
            <w:pPr>
              <w:spacing w:after="0"/>
              <w:rPr>
                <w:sz w:val="21"/>
                <w:szCs w:val="21"/>
                <w:color w:val="auto"/>
              </w:rPr>
            </w:pPr>
          </w:p>
        </w:tc>
        <w:tc>
          <w:tcPr>
            <w:tcW w:w="6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6,280</w:t>
            </w: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31" w:right="239" w:bottom="157" w:gutter="0" w:footer="0" w:header="0"/>
        </w:sectPr>
      </w:pP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57" w:gutter="0" w:footer="0" w:header="0"/>
          <w:type w:val="continuous"/>
        </w:sectPr>
      </w:pPr>
    </w:p>
    <w:bookmarkStart w:id="20" w:name="page21"/>
    <w:bookmarkEnd w:id="20"/>
    <w:p>
      <w:pPr>
        <w:spacing w:after="0"/>
        <w:tabs>
          <w:tab w:leader="none" w:pos="114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5"/>
          <w:szCs w:val="15"/>
          <w:b w:val="1"/>
          <w:bCs w:val="1"/>
          <w:color w:val="auto"/>
        </w:rPr>
        <w:t>Trading Securities</w:t>
      </w:r>
    </w:p>
    <w:p>
      <w:pPr>
        <w:spacing w:after="0" w:line="2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Trading securities consisted of the following at the dates indicated: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5"/>
          </w:tcPr>
          <w:p>
            <w:pPr>
              <w:ind w:left="40"/>
              <w:spacing w:after="0"/>
              <w:rPr>
                <w:sz w:val="20"/>
                <w:szCs w:val="20"/>
                <w:color w:val="auto"/>
              </w:rPr>
            </w:pPr>
            <w:r>
              <w:rPr>
                <w:rFonts w:ascii="Arial" w:cs="Arial" w:eastAsia="Arial" w:hAnsi="Arial"/>
                <w:sz w:val="18"/>
                <w:szCs w:val="18"/>
                <w:b w:val="1"/>
                <w:bCs w:val="1"/>
                <w:color w:val="auto"/>
              </w:rPr>
              <w:t>September 30,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0" w:type="dxa"/>
            <w:vAlign w:val="bottom"/>
            <w:gridSpan w:val="4"/>
          </w:tcPr>
          <w:p>
            <w:pPr>
              <w:jc w:val="center"/>
              <w:ind w:right="300"/>
              <w:spacing w:after="0"/>
              <w:rPr>
                <w:sz w:val="20"/>
                <w:szCs w:val="20"/>
                <w:color w:val="auto"/>
              </w:rPr>
            </w:pPr>
            <w:r>
              <w:rPr>
                <w:rFonts w:ascii="Arial" w:cs="Arial" w:eastAsia="Arial" w:hAnsi="Arial"/>
                <w:sz w:val="18"/>
                <w:szCs w:val="18"/>
                <w:b w:val="1"/>
                <w:bCs w:val="1"/>
                <w:color w:val="auto"/>
                <w:w w:val="87"/>
              </w:rPr>
              <w:t>December 31,</w:t>
            </w:r>
          </w:p>
        </w:tc>
        <w:tc>
          <w:tcPr>
            <w:tcW w:w="0" w:type="dxa"/>
            <w:vAlign w:val="bottom"/>
          </w:tcPr>
          <w:p>
            <w:pPr>
              <w:spacing w:after="0"/>
              <w:rPr>
                <w:sz w:val="1"/>
                <w:szCs w:val="1"/>
                <w:color w:val="auto"/>
              </w:rPr>
            </w:pPr>
          </w:p>
        </w:tc>
      </w:tr>
      <w:tr>
        <w:trPr>
          <w:trHeight w:val="237"/>
        </w:trPr>
        <w:tc>
          <w:tcPr>
            <w:tcW w:w="5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72"/>
              <w:spacing w:after="0"/>
              <w:rPr>
                <w:sz w:val="20"/>
                <w:szCs w:val="20"/>
                <w:color w:val="auto"/>
              </w:rPr>
            </w:pPr>
            <w:r>
              <w:rPr>
                <w:rFonts w:ascii="Arial" w:cs="Arial" w:eastAsia="Arial" w:hAnsi="Arial"/>
                <w:sz w:val="18"/>
                <w:szCs w:val="18"/>
                <w:b w:val="1"/>
                <w:bCs w:val="1"/>
                <w:color w:val="auto"/>
                <w:w w:val="94"/>
              </w:rPr>
              <w:t>2009</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52"/>
              <w:spacing w:after="0"/>
              <w:rPr>
                <w:sz w:val="20"/>
                <w:szCs w:val="20"/>
                <w:color w:val="auto"/>
              </w:rPr>
            </w:pPr>
            <w:r>
              <w:rPr>
                <w:rFonts w:ascii="Arial" w:cs="Arial" w:eastAsia="Arial" w:hAnsi="Arial"/>
                <w:sz w:val="18"/>
                <w:szCs w:val="18"/>
                <w:b w:val="1"/>
                <w:bCs w:val="1"/>
                <w:color w:val="auto"/>
                <w:w w:val="94"/>
              </w:rPr>
              <w:t>2008</w:t>
            </w:r>
          </w:p>
        </w:tc>
        <w:tc>
          <w:tcPr>
            <w:tcW w:w="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200" w:type="dxa"/>
            <w:vAlign w:val="bottom"/>
            <w:shd w:val="clear" w:color="auto" w:fill="EAF9E8"/>
          </w:tcPr>
          <w:p>
            <w:pPr>
              <w:spacing w:after="0"/>
              <w:rPr>
                <w:sz w:val="20"/>
                <w:szCs w:val="20"/>
                <w:color w:val="auto"/>
              </w:rPr>
            </w:pPr>
            <w:r>
              <w:rPr>
                <w:rFonts w:ascii="Arial" w:cs="Arial" w:eastAsia="Arial" w:hAnsi="Arial"/>
                <w:sz w:val="18"/>
                <w:szCs w:val="18"/>
                <w:color w:val="auto"/>
              </w:rPr>
              <w:t>Auction rate (Corporate Items and Other)</w:t>
            </w:r>
          </w:p>
        </w:tc>
        <w:tc>
          <w:tcPr>
            <w:tcW w:w="840" w:type="dxa"/>
            <w:vAlign w:val="bottom"/>
            <w:shd w:val="clear" w:color="auto" w:fill="EAF9E8"/>
          </w:tcPr>
          <w:p>
            <w:pPr>
              <w:spacing w:after="0"/>
              <w:rPr>
                <w:sz w:val="21"/>
                <w:szCs w:val="21"/>
                <w:color w:val="auto"/>
              </w:rPr>
            </w:pPr>
          </w:p>
        </w:tc>
        <w:tc>
          <w:tcPr>
            <w:tcW w:w="420" w:type="dxa"/>
            <w:vAlign w:val="bottom"/>
            <w:shd w:val="clear" w:color="auto" w:fill="EAF9E8"/>
          </w:tcPr>
          <w:p>
            <w:pPr>
              <w:spacing w:after="0"/>
              <w:rPr>
                <w:sz w:val="21"/>
                <w:szCs w:val="21"/>
                <w:color w:val="auto"/>
              </w:rPr>
            </w:pPr>
          </w:p>
        </w:tc>
        <w:tc>
          <w:tcPr>
            <w:tcW w:w="340" w:type="dxa"/>
            <w:vAlign w:val="bottom"/>
            <w:shd w:val="clear" w:color="auto" w:fill="EAF9E8"/>
          </w:tcPr>
          <w:p>
            <w:pPr>
              <w:spacing w:after="0"/>
              <w:rPr>
                <w:sz w:val="21"/>
                <w:szCs w:val="21"/>
                <w:color w:val="auto"/>
              </w:rPr>
            </w:pPr>
          </w:p>
        </w:tc>
        <w:tc>
          <w:tcPr>
            <w:tcW w:w="880" w:type="dxa"/>
            <w:vAlign w:val="bottom"/>
            <w:shd w:val="clear" w:color="auto" w:fill="EAF9E8"/>
          </w:tcPr>
          <w:p>
            <w:pPr>
              <w:spacing w:after="0"/>
              <w:rPr>
                <w:sz w:val="21"/>
                <w:szCs w:val="21"/>
                <w:color w:val="auto"/>
              </w:rPr>
            </w:pPr>
          </w:p>
        </w:tc>
        <w:tc>
          <w:tcPr>
            <w:tcW w:w="500" w:type="dxa"/>
            <w:vAlign w:val="bottom"/>
            <w:gridSpan w:val="3"/>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22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9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250,099</w:t>
            </w:r>
          </w:p>
        </w:tc>
        <w:tc>
          <w:tcPr>
            <w:tcW w:w="18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22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shd w:val="clear" w:color="auto" w:fill="EAF9E8"/>
          </w:tcPr>
          <w:p>
            <w:pPr>
              <w:spacing w:after="0"/>
              <w:rPr>
                <w:sz w:val="21"/>
                <w:szCs w:val="21"/>
                <w:color w:val="auto"/>
              </w:rPr>
            </w:pPr>
          </w:p>
        </w:tc>
        <w:tc>
          <w:tcPr>
            <w:tcW w:w="340" w:type="dxa"/>
            <w:vAlign w:val="bottom"/>
            <w:shd w:val="clear" w:color="auto" w:fill="EAF9E8"/>
          </w:tcPr>
          <w:p>
            <w:pPr>
              <w:spacing w:after="0"/>
              <w:rPr>
                <w:sz w:val="21"/>
                <w:szCs w:val="21"/>
                <w:color w:val="auto"/>
              </w:rPr>
            </w:pPr>
          </w:p>
        </w:tc>
        <w:tc>
          <w:tcPr>
            <w:tcW w:w="1060" w:type="dxa"/>
            <w:vAlign w:val="bottom"/>
            <w:gridSpan w:val="3"/>
            <w:shd w:val="clear" w:color="auto" w:fill="EAF9E8"/>
          </w:tcPr>
          <w:p>
            <w:pPr>
              <w:jc w:val="right"/>
              <w:ind w:right="100"/>
              <w:spacing w:after="0"/>
              <w:rPr>
                <w:sz w:val="20"/>
                <w:szCs w:val="20"/>
                <w:color w:val="auto"/>
              </w:rPr>
            </w:pPr>
            <w:r>
              <w:rPr>
                <w:rFonts w:ascii="Arial" w:cs="Arial" w:eastAsia="Arial" w:hAnsi="Arial"/>
                <w:sz w:val="18"/>
                <w:szCs w:val="18"/>
                <w:color w:val="auto"/>
              </w:rPr>
              <w:t>239,301</w:t>
            </w:r>
          </w:p>
        </w:tc>
        <w:tc>
          <w:tcPr>
            <w:tcW w:w="0" w:type="dxa"/>
            <w:vAlign w:val="bottom"/>
          </w:tcPr>
          <w:p>
            <w:pPr>
              <w:spacing w:after="0"/>
              <w:rPr>
                <w:sz w:val="1"/>
                <w:szCs w:val="1"/>
                <w:color w:val="auto"/>
              </w:rPr>
            </w:pPr>
          </w:p>
        </w:tc>
      </w:tr>
      <w:tr>
        <w:trPr>
          <w:trHeight w:val="20"/>
        </w:trPr>
        <w:tc>
          <w:tcPr>
            <w:tcW w:w="5200" w:type="dxa"/>
            <w:vAlign w:val="bottom"/>
            <w:vMerge w:val="restart"/>
          </w:tcPr>
          <w:p>
            <w:pPr>
              <w:spacing w:after="0"/>
              <w:rPr>
                <w:sz w:val="20"/>
                <w:szCs w:val="20"/>
                <w:color w:val="auto"/>
              </w:rPr>
            </w:pPr>
            <w:r>
              <w:rPr>
                <w:rFonts w:ascii="Arial" w:cs="Arial" w:eastAsia="Arial" w:hAnsi="Arial"/>
                <w:sz w:val="18"/>
                <w:szCs w:val="18"/>
                <w:color w:val="auto"/>
              </w:rPr>
              <w:t>Subordinates and residuals:</w:t>
            </w:r>
          </w:p>
        </w:tc>
        <w:tc>
          <w:tcPr>
            <w:tcW w:w="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200" w:type="dxa"/>
            <w:vAlign w:val="bottom"/>
            <w:vMerge w:val="continu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9"/>
        </w:trPr>
        <w:tc>
          <w:tcPr>
            <w:tcW w:w="520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5200" w:type="dxa"/>
            <w:vAlign w:val="bottom"/>
            <w:shd w:val="clear" w:color="auto" w:fill="EAF9E8"/>
          </w:tcPr>
          <w:p>
            <w:pPr>
              <w:ind w:left="160"/>
              <w:spacing w:after="0"/>
              <w:rPr>
                <w:sz w:val="20"/>
                <w:szCs w:val="20"/>
                <w:color w:val="auto"/>
              </w:rPr>
            </w:pPr>
            <w:r>
              <w:rPr>
                <w:rFonts w:ascii="Arial" w:cs="Arial" w:eastAsia="Arial" w:hAnsi="Arial"/>
                <w:sz w:val="18"/>
                <w:szCs w:val="18"/>
                <w:color w:val="auto"/>
              </w:rPr>
              <w:t>Loans and Residuals</w:t>
            </w:r>
          </w:p>
        </w:tc>
        <w:tc>
          <w:tcPr>
            <w:tcW w:w="840" w:type="dxa"/>
            <w:vAlign w:val="bottom"/>
            <w:shd w:val="clear" w:color="auto" w:fill="EAF9E8"/>
          </w:tcPr>
          <w:p>
            <w:pPr>
              <w:spacing w:after="0"/>
              <w:rPr>
                <w:sz w:val="21"/>
                <w:szCs w:val="21"/>
                <w:color w:val="auto"/>
              </w:rPr>
            </w:pPr>
          </w:p>
        </w:tc>
        <w:tc>
          <w:tcPr>
            <w:tcW w:w="420" w:type="dxa"/>
            <w:vAlign w:val="bottom"/>
            <w:shd w:val="clear" w:color="auto" w:fill="EAF9E8"/>
          </w:tcPr>
          <w:p>
            <w:pPr>
              <w:spacing w:after="0"/>
              <w:rPr>
                <w:sz w:val="21"/>
                <w:szCs w:val="21"/>
                <w:color w:val="auto"/>
              </w:rPr>
            </w:pPr>
          </w:p>
        </w:tc>
        <w:tc>
          <w:tcPr>
            <w:tcW w:w="340" w:type="dxa"/>
            <w:vAlign w:val="bottom"/>
            <w:shd w:val="clear" w:color="auto" w:fill="EAF9E8"/>
          </w:tcPr>
          <w:p>
            <w:pPr>
              <w:spacing w:after="0"/>
              <w:rPr>
                <w:sz w:val="21"/>
                <w:szCs w:val="21"/>
                <w:color w:val="auto"/>
              </w:rPr>
            </w:pPr>
          </w:p>
        </w:tc>
        <w:tc>
          <w:tcPr>
            <w:tcW w:w="880" w:type="dxa"/>
            <w:vAlign w:val="bottom"/>
            <w:shd w:val="clear" w:color="auto" w:fill="EAF9E8"/>
          </w:tcPr>
          <w:p>
            <w:pPr>
              <w:spacing w:after="0"/>
              <w:rPr>
                <w:sz w:val="21"/>
                <w:szCs w:val="21"/>
                <w:color w:val="auto"/>
              </w:rPr>
            </w:pPr>
          </w:p>
        </w:tc>
        <w:tc>
          <w:tcPr>
            <w:tcW w:w="500" w:type="dxa"/>
            <w:vAlign w:val="bottom"/>
            <w:gridSpan w:val="3"/>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22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9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4,327</w:t>
            </w:r>
          </w:p>
        </w:tc>
        <w:tc>
          <w:tcPr>
            <w:tcW w:w="18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22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shd w:val="clear" w:color="auto" w:fill="EAF9E8"/>
          </w:tcPr>
          <w:p>
            <w:pPr>
              <w:spacing w:after="0"/>
              <w:rPr>
                <w:sz w:val="21"/>
                <w:szCs w:val="21"/>
                <w:color w:val="auto"/>
              </w:rPr>
            </w:pPr>
          </w:p>
        </w:tc>
        <w:tc>
          <w:tcPr>
            <w:tcW w:w="340" w:type="dxa"/>
            <w:vAlign w:val="bottom"/>
            <w:shd w:val="clear" w:color="auto" w:fill="EAF9E8"/>
          </w:tcPr>
          <w:p>
            <w:pPr>
              <w:spacing w:after="0"/>
              <w:rPr>
                <w:sz w:val="21"/>
                <w:szCs w:val="21"/>
                <w:color w:val="auto"/>
              </w:rPr>
            </w:pPr>
          </w:p>
        </w:tc>
        <w:tc>
          <w:tcPr>
            <w:tcW w:w="1060" w:type="dxa"/>
            <w:vAlign w:val="bottom"/>
            <w:gridSpan w:val="3"/>
            <w:shd w:val="clear" w:color="auto" w:fill="EAF9E8"/>
          </w:tcPr>
          <w:p>
            <w:pPr>
              <w:jc w:val="right"/>
              <w:ind w:right="100"/>
              <w:spacing w:after="0"/>
              <w:rPr>
                <w:sz w:val="20"/>
                <w:szCs w:val="20"/>
                <w:color w:val="auto"/>
              </w:rPr>
            </w:pPr>
            <w:r>
              <w:rPr>
                <w:rFonts w:ascii="Arial" w:cs="Arial" w:eastAsia="Arial" w:hAnsi="Arial"/>
                <w:sz w:val="18"/>
                <w:szCs w:val="18"/>
                <w:color w:val="auto"/>
              </w:rPr>
              <w:t>4,204</w:t>
            </w:r>
          </w:p>
        </w:tc>
        <w:tc>
          <w:tcPr>
            <w:tcW w:w="0" w:type="dxa"/>
            <w:vAlign w:val="bottom"/>
          </w:tcPr>
          <w:p>
            <w:pPr>
              <w:spacing w:after="0"/>
              <w:rPr>
                <w:sz w:val="1"/>
                <w:szCs w:val="1"/>
                <w:color w:val="auto"/>
              </w:rPr>
            </w:pPr>
          </w:p>
        </w:tc>
      </w:tr>
      <w:tr>
        <w:trPr>
          <w:trHeight w:val="250"/>
        </w:trPr>
        <w:tc>
          <w:tcPr>
            <w:tcW w:w="5200" w:type="dxa"/>
            <w:vAlign w:val="bottom"/>
          </w:tcPr>
          <w:p>
            <w:pPr>
              <w:ind w:left="160"/>
              <w:spacing w:after="0"/>
              <w:rPr>
                <w:sz w:val="20"/>
                <w:szCs w:val="20"/>
                <w:color w:val="auto"/>
              </w:rPr>
            </w:pPr>
            <w:r>
              <w:rPr>
                <w:rFonts w:ascii="Arial" w:cs="Arial" w:eastAsia="Arial" w:hAnsi="Arial"/>
                <w:sz w:val="18"/>
                <w:szCs w:val="18"/>
                <w:color w:val="auto"/>
              </w:rPr>
              <w:t>Corporate Items and Other</w:t>
            </w:r>
          </w:p>
        </w:tc>
        <w:tc>
          <w:tcPr>
            <w:tcW w:w="8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00" w:type="dxa"/>
            <w:vAlign w:val="bottom"/>
            <w:shd w:val="clear" w:color="auto" w:fill="EAF9E8"/>
          </w:tcPr>
          <w:p>
            <w:pPr>
              <w:spacing w:after="0"/>
              <w:rPr>
                <w:sz w:val="21"/>
                <w:szCs w:val="21"/>
                <w:color w:val="auto"/>
              </w:rPr>
            </w:pPr>
          </w:p>
        </w:tc>
        <w:tc>
          <w:tcPr>
            <w:tcW w:w="840" w:type="dxa"/>
            <w:vAlign w:val="bottom"/>
            <w:shd w:val="clear" w:color="auto" w:fill="EAF9E8"/>
          </w:tcPr>
          <w:p>
            <w:pPr>
              <w:spacing w:after="0"/>
              <w:rPr>
                <w:sz w:val="21"/>
                <w:szCs w:val="21"/>
                <w:color w:val="auto"/>
              </w:rPr>
            </w:pPr>
          </w:p>
        </w:tc>
        <w:tc>
          <w:tcPr>
            <w:tcW w:w="420" w:type="dxa"/>
            <w:vAlign w:val="bottom"/>
            <w:shd w:val="clear" w:color="auto" w:fill="EAF9E8"/>
          </w:tcPr>
          <w:p>
            <w:pPr>
              <w:spacing w:after="0"/>
              <w:rPr>
                <w:sz w:val="21"/>
                <w:szCs w:val="21"/>
                <w:color w:val="auto"/>
              </w:rPr>
            </w:pPr>
          </w:p>
        </w:tc>
        <w:tc>
          <w:tcPr>
            <w:tcW w:w="340" w:type="dxa"/>
            <w:vAlign w:val="bottom"/>
            <w:shd w:val="clear" w:color="auto" w:fill="EAF9E8"/>
          </w:tcPr>
          <w:p>
            <w:pPr>
              <w:spacing w:after="0"/>
              <w:rPr>
                <w:sz w:val="21"/>
                <w:szCs w:val="21"/>
                <w:color w:val="auto"/>
              </w:rPr>
            </w:pPr>
          </w:p>
        </w:tc>
        <w:tc>
          <w:tcPr>
            <w:tcW w:w="880" w:type="dxa"/>
            <w:vAlign w:val="bottom"/>
            <w:shd w:val="clear" w:color="auto" w:fill="EAF9E8"/>
          </w:tcPr>
          <w:p>
            <w:pPr>
              <w:spacing w:after="0"/>
              <w:rPr>
                <w:sz w:val="21"/>
                <w:szCs w:val="21"/>
                <w:color w:val="auto"/>
              </w:rPr>
            </w:pPr>
          </w:p>
        </w:tc>
        <w:tc>
          <w:tcPr>
            <w:tcW w:w="500" w:type="dxa"/>
            <w:vAlign w:val="bottom"/>
            <w:gridSpan w:val="3"/>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22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9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4,417</w:t>
            </w:r>
          </w:p>
        </w:tc>
        <w:tc>
          <w:tcPr>
            <w:tcW w:w="18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22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shd w:val="clear" w:color="auto" w:fill="EAF9E8"/>
          </w:tcPr>
          <w:p>
            <w:pPr>
              <w:spacing w:after="0"/>
              <w:rPr>
                <w:sz w:val="21"/>
                <w:szCs w:val="21"/>
                <w:color w:val="auto"/>
              </w:rPr>
            </w:pPr>
          </w:p>
        </w:tc>
        <w:tc>
          <w:tcPr>
            <w:tcW w:w="340" w:type="dxa"/>
            <w:vAlign w:val="bottom"/>
            <w:shd w:val="clear" w:color="auto" w:fill="EAF9E8"/>
          </w:tcPr>
          <w:p>
            <w:pPr>
              <w:spacing w:after="0"/>
              <w:rPr>
                <w:sz w:val="21"/>
                <w:szCs w:val="21"/>
                <w:color w:val="auto"/>
              </w:rPr>
            </w:pPr>
          </w:p>
        </w:tc>
        <w:tc>
          <w:tcPr>
            <w:tcW w:w="1060" w:type="dxa"/>
            <w:vAlign w:val="bottom"/>
            <w:gridSpan w:val="3"/>
            <w:shd w:val="clear" w:color="auto" w:fill="EAF9E8"/>
          </w:tcPr>
          <w:p>
            <w:pPr>
              <w:jc w:val="right"/>
              <w:ind w:right="100"/>
              <w:spacing w:after="0"/>
              <w:rPr>
                <w:sz w:val="20"/>
                <w:szCs w:val="20"/>
                <w:color w:val="auto"/>
              </w:rPr>
            </w:pPr>
            <w:r>
              <w:rPr>
                <w:rFonts w:ascii="Arial" w:cs="Arial" w:eastAsia="Arial" w:hAnsi="Arial"/>
                <w:sz w:val="18"/>
                <w:szCs w:val="18"/>
                <w:color w:val="auto"/>
              </w:rPr>
              <w:t>4,369</w:t>
            </w:r>
          </w:p>
        </w:tc>
        <w:tc>
          <w:tcPr>
            <w:tcW w:w="0" w:type="dxa"/>
            <w:vAlign w:val="bottom"/>
          </w:tcPr>
          <w:p>
            <w:pPr>
              <w:spacing w:after="0"/>
              <w:rPr>
                <w:sz w:val="1"/>
                <w:szCs w:val="1"/>
                <w:color w:val="auto"/>
              </w:rPr>
            </w:pPr>
          </w:p>
        </w:tc>
      </w:tr>
      <w:tr>
        <w:trPr>
          <w:trHeight w:val="20"/>
        </w:trPr>
        <w:tc>
          <w:tcPr>
            <w:tcW w:w="7680" w:type="dxa"/>
            <w:vAlign w:val="bottom"/>
            <w:gridSpan w:val="5"/>
            <w:vMerge w:val="restart"/>
          </w:tcPr>
          <w:p>
            <w:pPr>
              <w:ind w:left="440"/>
              <w:spacing w:after="0"/>
              <w:rPr>
                <w:sz w:val="20"/>
                <w:szCs w:val="20"/>
                <w:color w:val="auto"/>
              </w:rPr>
            </w:pPr>
            <w:r>
              <w:rPr>
                <w:rFonts w:ascii="Arial" w:cs="Arial" w:eastAsia="Arial" w:hAnsi="Arial"/>
                <w:sz w:val="18"/>
                <w:szCs w:val="18"/>
                <w:color w:val="auto"/>
                <w:w w:val="90"/>
              </w:rPr>
              <w:t>Gain (loss) on trading securities for the periods ended September 30 was comprised of the following:</w:t>
            </w:r>
          </w:p>
        </w:tc>
        <w:tc>
          <w:tcPr>
            <w:tcW w:w="3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680" w:type="dxa"/>
            <w:vAlign w:val="bottom"/>
            <w:gridSpan w:val="5"/>
            <w:vMerge w:val="continu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7680" w:type="dxa"/>
            <w:vAlign w:val="bottom"/>
            <w:gridSpan w:val="5"/>
            <w:vMerge w:val="continue"/>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2"/>
        </w:trPr>
        <w:tc>
          <w:tcPr>
            <w:tcW w:w="520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3"/>
          </w:tcPr>
          <w:p>
            <w:pPr>
              <w:jc w:val="right"/>
              <w:ind w:right="440"/>
              <w:spacing w:after="0"/>
              <w:rPr>
                <w:sz w:val="20"/>
                <w:szCs w:val="20"/>
                <w:color w:val="auto"/>
              </w:rPr>
            </w:pPr>
            <w:r>
              <w:rPr>
                <w:rFonts w:ascii="Arial" w:cs="Arial" w:eastAsia="Arial" w:hAnsi="Arial"/>
                <w:sz w:val="18"/>
                <w:szCs w:val="18"/>
                <w:b w:val="1"/>
                <w:bCs w:val="1"/>
                <w:color w:val="auto"/>
                <w:w w:val="92"/>
              </w:rPr>
              <w:t>Three months</w:t>
            </w:r>
          </w:p>
        </w:tc>
        <w:tc>
          <w:tcPr>
            <w:tcW w:w="3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7"/>
          </w:tcPr>
          <w:p>
            <w:pPr>
              <w:jc w:val="right"/>
              <w:spacing w:after="0"/>
              <w:rPr>
                <w:sz w:val="20"/>
                <w:szCs w:val="20"/>
                <w:color w:val="auto"/>
              </w:rPr>
            </w:pPr>
            <w:r>
              <w:rPr>
                <w:rFonts w:ascii="Arial" w:cs="Arial" w:eastAsia="Arial" w:hAnsi="Arial"/>
                <w:sz w:val="18"/>
                <w:szCs w:val="18"/>
                <w:b w:val="1"/>
                <w:bCs w:val="1"/>
                <w:color w:val="auto"/>
              </w:rPr>
              <w:t>Nine months</w:t>
            </w:r>
          </w:p>
        </w:tc>
        <w:tc>
          <w:tcPr>
            <w:tcW w:w="9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200" w:type="dxa"/>
            <w:vAlign w:val="bottom"/>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2009</w:t>
            </w:r>
          </w:p>
        </w:tc>
        <w:tc>
          <w:tcPr>
            <w:tcW w:w="420" w:type="dxa"/>
            <w:vAlign w:val="bottom"/>
            <w:tcBorders>
              <w:bottom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2008</w:t>
            </w:r>
          </w:p>
        </w:tc>
        <w:tc>
          <w:tcPr>
            <w:tcW w:w="34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2009</w:t>
            </w:r>
          </w:p>
        </w:tc>
        <w:tc>
          <w:tcPr>
            <w:tcW w:w="18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2008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00" w:type="dxa"/>
            <w:vAlign w:val="bottom"/>
            <w:shd w:val="clear" w:color="auto" w:fill="EAF9E8"/>
          </w:tcPr>
          <w:p>
            <w:pPr>
              <w:spacing w:after="0"/>
              <w:rPr>
                <w:sz w:val="20"/>
                <w:szCs w:val="20"/>
                <w:color w:val="auto"/>
              </w:rPr>
            </w:pPr>
            <w:r>
              <w:rPr>
                <w:rFonts w:ascii="Arial" w:cs="Arial" w:eastAsia="Arial" w:hAnsi="Arial"/>
                <w:sz w:val="18"/>
                <w:szCs w:val="18"/>
                <w:color w:val="auto"/>
              </w:rPr>
              <w:t>Unrealized gains (losses) (1)</w:t>
            </w:r>
          </w:p>
        </w:tc>
        <w:tc>
          <w:tcPr>
            <w:tcW w:w="840" w:type="dxa"/>
            <w:vAlign w:val="bottom"/>
            <w:shd w:val="clear" w:color="auto" w:fill="EAF9E8"/>
          </w:tcPr>
          <w:p>
            <w:pPr>
              <w:jc w:val="right"/>
              <w:ind w:right="652"/>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EAF9E8"/>
          </w:tcPr>
          <w:p>
            <w:pPr>
              <w:jc w:val="right"/>
              <w:spacing w:after="0"/>
              <w:rPr>
                <w:sz w:val="20"/>
                <w:szCs w:val="20"/>
                <w:color w:val="auto"/>
              </w:rPr>
            </w:pPr>
            <w:r>
              <w:rPr>
                <w:rFonts w:ascii="Arial" w:cs="Arial" w:eastAsia="Arial" w:hAnsi="Arial"/>
                <w:sz w:val="18"/>
                <w:szCs w:val="18"/>
                <w:color w:val="auto"/>
                <w:w w:val="88"/>
              </w:rPr>
              <w:t>8,291</w:t>
            </w:r>
          </w:p>
        </w:tc>
        <w:tc>
          <w:tcPr>
            <w:tcW w:w="340" w:type="dxa"/>
            <w:vAlign w:val="bottom"/>
            <w:shd w:val="clear" w:color="auto" w:fill="EAF9E8"/>
          </w:tcPr>
          <w:p>
            <w:pPr>
              <w:spacing w:after="0"/>
              <w:rPr>
                <w:sz w:val="21"/>
                <w:szCs w:val="21"/>
                <w:color w:val="auto"/>
              </w:rPr>
            </w:pPr>
          </w:p>
        </w:tc>
        <w:tc>
          <w:tcPr>
            <w:tcW w:w="880" w:type="dxa"/>
            <w:vAlign w:val="bottom"/>
            <w:shd w:val="clear" w:color="auto" w:fill="EAF9E8"/>
          </w:tcPr>
          <w:p>
            <w:pPr>
              <w:jc w:val="right"/>
              <w:ind w:right="720"/>
              <w:spacing w:after="0"/>
              <w:rPr>
                <w:sz w:val="20"/>
                <w:szCs w:val="20"/>
                <w:color w:val="auto"/>
              </w:rPr>
            </w:pPr>
            <w:r>
              <w:rPr>
                <w:rFonts w:ascii="Arial" w:cs="Arial" w:eastAsia="Arial" w:hAnsi="Arial"/>
                <w:sz w:val="15"/>
                <w:szCs w:val="15"/>
                <w:color w:val="auto"/>
                <w:w w:val="71"/>
              </w:rPr>
              <w:t>$</w:t>
            </w:r>
          </w:p>
        </w:tc>
        <w:tc>
          <w:tcPr>
            <w:tcW w:w="500" w:type="dxa"/>
            <w:vAlign w:val="bottom"/>
            <w:gridSpan w:val="3"/>
            <w:shd w:val="clear" w:color="auto" w:fill="EAF9E8"/>
          </w:tcPr>
          <w:p>
            <w:pPr>
              <w:jc w:val="right"/>
              <w:ind w:right="60"/>
              <w:spacing w:after="0"/>
              <w:rPr>
                <w:sz w:val="20"/>
                <w:szCs w:val="20"/>
                <w:color w:val="auto"/>
              </w:rPr>
            </w:pPr>
            <w:r>
              <w:rPr>
                <w:rFonts w:ascii="Arial" w:cs="Arial" w:eastAsia="Arial" w:hAnsi="Arial"/>
                <w:sz w:val="18"/>
                <w:szCs w:val="18"/>
                <w:color w:val="auto"/>
                <w:w w:val="99"/>
              </w:rPr>
              <w:t>(621)</w:t>
            </w:r>
          </w:p>
        </w:tc>
        <w:tc>
          <w:tcPr>
            <w:tcW w:w="36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EAF9E8"/>
          </w:tcPr>
          <w:p>
            <w:pPr>
              <w:jc w:val="right"/>
              <w:ind w:right="80"/>
              <w:spacing w:after="0"/>
              <w:rPr>
                <w:sz w:val="20"/>
                <w:szCs w:val="20"/>
                <w:color w:val="auto"/>
              </w:rPr>
            </w:pPr>
            <w:r>
              <w:rPr>
                <w:rFonts w:ascii="Arial" w:cs="Arial" w:eastAsia="Arial" w:hAnsi="Arial"/>
                <w:sz w:val="18"/>
                <w:szCs w:val="18"/>
                <w:color w:val="auto"/>
              </w:rPr>
              <w:t>13,346</w:t>
            </w:r>
          </w:p>
        </w:tc>
        <w:tc>
          <w:tcPr>
            <w:tcW w:w="8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380" w:type="dxa"/>
            <w:vAlign w:val="bottom"/>
            <w:gridSpan w:val="2"/>
            <w:shd w:val="clear" w:color="auto" w:fill="EAF9E8"/>
          </w:tcPr>
          <w:p>
            <w:pPr>
              <w:jc w:val="right"/>
              <w:ind w:right="172"/>
              <w:spacing w:after="0"/>
              <w:rPr>
                <w:sz w:val="20"/>
                <w:szCs w:val="20"/>
                <w:color w:val="auto"/>
              </w:rPr>
            </w:pPr>
            <w:r>
              <w:rPr>
                <w:rFonts w:ascii="Arial" w:cs="Arial" w:eastAsia="Arial" w:hAnsi="Arial"/>
                <w:sz w:val="18"/>
                <w:szCs w:val="18"/>
                <w:color w:val="auto"/>
                <w:w w:val="99"/>
              </w:rPr>
              <w:t>$</w:t>
            </w:r>
          </w:p>
        </w:tc>
        <w:tc>
          <w:tcPr>
            <w:tcW w:w="1060" w:type="dxa"/>
            <w:vAlign w:val="bottom"/>
            <w:gridSpan w:val="3"/>
            <w:shd w:val="clear" w:color="auto" w:fill="EAF9E8"/>
          </w:tcPr>
          <w:p>
            <w:pPr>
              <w:jc w:val="right"/>
              <w:ind w:right="60"/>
              <w:spacing w:after="0"/>
              <w:rPr>
                <w:sz w:val="20"/>
                <w:szCs w:val="20"/>
                <w:color w:val="auto"/>
              </w:rPr>
            </w:pPr>
            <w:r>
              <w:rPr>
                <w:rFonts w:ascii="Arial" w:cs="Arial" w:eastAsia="Arial" w:hAnsi="Arial"/>
                <w:sz w:val="18"/>
                <w:szCs w:val="18"/>
                <w:color w:val="auto"/>
              </w:rPr>
              <w:t>(20,670)</w:t>
            </w:r>
          </w:p>
        </w:tc>
        <w:tc>
          <w:tcPr>
            <w:tcW w:w="0" w:type="dxa"/>
            <w:vAlign w:val="bottom"/>
          </w:tcPr>
          <w:p>
            <w:pPr>
              <w:spacing w:after="0"/>
              <w:rPr>
                <w:sz w:val="1"/>
                <w:szCs w:val="1"/>
                <w:color w:val="auto"/>
              </w:rPr>
            </w:pPr>
          </w:p>
        </w:tc>
      </w:tr>
      <w:tr>
        <w:trPr>
          <w:trHeight w:val="249"/>
        </w:trPr>
        <w:tc>
          <w:tcPr>
            <w:tcW w:w="5200" w:type="dxa"/>
            <w:vAlign w:val="bottom"/>
          </w:tcPr>
          <w:p>
            <w:pPr>
              <w:spacing w:after="0"/>
              <w:rPr>
                <w:sz w:val="20"/>
                <w:szCs w:val="20"/>
                <w:color w:val="auto"/>
              </w:rPr>
            </w:pPr>
            <w:r>
              <w:rPr>
                <w:rFonts w:ascii="Arial" w:cs="Arial" w:eastAsia="Arial" w:hAnsi="Arial"/>
                <w:sz w:val="18"/>
                <w:szCs w:val="18"/>
                <w:color w:val="auto"/>
              </w:rPr>
              <w:t>Realized losses (2)</w:t>
            </w:r>
          </w:p>
        </w:tc>
        <w:tc>
          <w:tcPr>
            <w:tcW w:w="840" w:type="dxa"/>
            <w:vAlign w:val="bottom"/>
          </w:tcPr>
          <w:p>
            <w:pPr>
              <w:spacing w:after="0"/>
              <w:rPr>
                <w:sz w:val="21"/>
                <w:szCs w:val="21"/>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1"/>
                <w:szCs w:val="21"/>
                <w:color w:val="auto"/>
              </w:rPr>
            </w:pPr>
          </w:p>
        </w:tc>
        <w:tc>
          <w:tcPr>
            <w:tcW w:w="5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(1,696)</w:t>
            </w:r>
          </w:p>
        </w:tc>
        <w:tc>
          <w:tcPr>
            <w:tcW w:w="0" w:type="dxa"/>
            <w:vAlign w:val="bottom"/>
          </w:tcPr>
          <w:p>
            <w:pPr>
              <w:spacing w:after="0"/>
              <w:rPr>
                <w:sz w:val="1"/>
                <w:szCs w:val="1"/>
                <w:color w:val="auto"/>
              </w:rPr>
            </w:pPr>
          </w:p>
        </w:tc>
      </w:tr>
      <w:tr>
        <w:trPr>
          <w:trHeight w:val="21"/>
        </w:trPr>
        <w:tc>
          <w:tcPr>
            <w:tcW w:w="52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200" w:type="dxa"/>
            <w:vAlign w:val="bottom"/>
            <w:shd w:val="clear" w:color="auto" w:fill="EAF9E8"/>
          </w:tcPr>
          <w:p>
            <w:pPr>
              <w:spacing w:after="0"/>
              <w:rPr>
                <w:sz w:val="21"/>
                <w:szCs w:val="21"/>
                <w:color w:val="auto"/>
              </w:rPr>
            </w:pPr>
          </w:p>
        </w:tc>
        <w:tc>
          <w:tcPr>
            <w:tcW w:w="840" w:type="dxa"/>
            <w:vAlign w:val="bottom"/>
            <w:shd w:val="clear" w:color="auto" w:fill="EAF9E8"/>
          </w:tcPr>
          <w:p>
            <w:pPr>
              <w:jc w:val="right"/>
              <w:ind w:right="652"/>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EAF9E8"/>
          </w:tcPr>
          <w:p>
            <w:pPr>
              <w:jc w:val="right"/>
              <w:spacing w:after="0"/>
              <w:rPr>
                <w:sz w:val="20"/>
                <w:szCs w:val="20"/>
                <w:color w:val="auto"/>
              </w:rPr>
            </w:pPr>
            <w:r>
              <w:rPr>
                <w:rFonts w:ascii="Arial" w:cs="Arial" w:eastAsia="Arial" w:hAnsi="Arial"/>
                <w:sz w:val="18"/>
                <w:szCs w:val="18"/>
                <w:color w:val="auto"/>
                <w:w w:val="88"/>
              </w:rPr>
              <w:t>8,291</w:t>
            </w:r>
          </w:p>
        </w:tc>
        <w:tc>
          <w:tcPr>
            <w:tcW w:w="340" w:type="dxa"/>
            <w:vAlign w:val="bottom"/>
            <w:shd w:val="clear" w:color="auto" w:fill="EAF9E8"/>
          </w:tcPr>
          <w:p>
            <w:pPr>
              <w:spacing w:after="0"/>
              <w:rPr>
                <w:sz w:val="21"/>
                <w:szCs w:val="21"/>
                <w:color w:val="auto"/>
              </w:rPr>
            </w:pPr>
          </w:p>
        </w:tc>
        <w:tc>
          <w:tcPr>
            <w:tcW w:w="880" w:type="dxa"/>
            <w:vAlign w:val="bottom"/>
            <w:shd w:val="clear" w:color="auto" w:fill="EAF9E8"/>
          </w:tcPr>
          <w:p>
            <w:pPr>
              <w:jc w:val="right"/>
              <w:ind w:right="720"/>
              <w:spacing w:after="0"/>
              <w:rPr>
                <w:sz w:val="20"/>
                <w:szCs w:val="20"/>
                <w:color w:val="auto"/>
              </w:rPr>
            </w:pPr>
            <w:r>
              <w:rPr>
                <w:rFonts w:ascii="Arial" w:cs="Arial" w:eastAsia="Arial" w:hAnsi="Arial"/>
                <w:sz w:val="15"/>
                <w:szCs w:val="15"/>
                <w:color w:val="auto"/>
                <w:w w:val="71"/>
              </w:rPr>
              <w:t>$</w:t>
            </w:r>
          </w:p>
        </w:tc>
        <w:tc>
          <w:tcPr>
            <w:tcW w:w="500" w:type="dxa"/>
            <w:vAlign w:val="bottom"/>
            <w:gridSpan w:val="3"/>
            <w:shd w:val="clear" w:color="auto" w:fill="EAF9E8"/>
          </w:tcPr>
          <w:p>
            <w:pPr>
              <w:jc w:val="right"/>
              <w:ind w:right="60"/>
              <w:spacing w:after="0"/>
              <w:rPr>
                <w:sz w:val="20"/>
                <w:szCs w:val="20"/>
                <w:color w:val="auto"/>
              </w:rPr>
            </w:pPr>
            <w:r>
              <w:rPr>
                <w:rFonts w:ascii="Arial" w:cs="Arial" w:eastAsia="Arial" w:hAnsi="Arial"/>
                <w:sz w:val="18"/>
                <w:szCs w:val="18"/>
                <w:color w:val="auto"/>
                <w:w w:val="99"/>
              </w:rPr>
              <w:t>(621)</w:t>
            </w:r>
          </w:p>
        </w:tc>
        <w:tc>
          <w:tcPr>
            <w:tcW w:w="36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EAF9E8"/>
          </w:tcPr>
          <w:p>
            <w:pPr>
              <w:jc w:val="right"/>
              <w:ind w:right="80"/>
              <w:spacing w:after="0"/>
              <w:rPr>
                <w:sz w:val="20"/>
                <w:szCs w:val="20"/>
                <w:color w:val="auto"/>
              </w:rPr>
            </w:pPr>
            <w:r>
              <w:rPr>
                <w:rFonts w:ascii="Arial" w:cs="Arial" w:eastAsia="Arial" w:hAnsi="Arial"/>
                <w:sz w:val="18"/>
                <w:szCs w:val="18"/>
                <w:color w:val="auto"/>
              </w:rPr>
              <w:t>13,346</w:t>
            </w:r>
          </w:p>
        </w:tc>
        <w:tc>
          <w:tcPr>
            <w:tcW w:w="8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380" w:type="dxa"/>
            <w:vAlign w:val="bottom"/>
            <w:gridSpan w:val="2"/>
            <w:shd w:val="clear" w:color="auto" w:fill="EAF9E8"/>
          </w:tcPr>
          <w:p>
            <w:pPr>
              <w:jc w:val="right"/>
              <w:ind w:right="172"/>
              <w:spacing w:after="0"/>
              <w:rPr>
                <w:sz w:val="20"/>
                <w:szCs w:val="20"/>
                <w:color w:val="auto"/>
              </w:rPr>
            </w:pPr>
            <w:r>
              <w:rPr>
                <w:rFonts w:ascii="Arial" w:cs="Arial" w:eastAsia="Arial" w:hAnsi="Arial"/>
                <w:sz w:val="18"/>
                <w:szCs w:val="18"/>
                <w:color w:val="auto"/>
                <w:w w:val="99"/>
              </w:rPr>
              <w:t>$</w:t>
            </w:r>
          </w:p>
        </w:tc>
        <w:tc>
          <w:tcPr>
            <w:tcW w:w="1060" w:type="dxa"/>
            <w:vAlign w:val="bottom"/>
            <w:gridSpan w:val="3"/>
            <w:shd w:val="clear" w:color="auto" w:fill="EAF9E8"/>
          </w:tcPr>
          <w:p>
            <w:pPr>
              <w:jc w:val="right"/>
              <w:ind w:right="60"/>
              <w:spacing w:after="0"/>
              <w:rPr>
                <w:sz w:val="20"/>
                <w:szCs w:val="20"/>
                <w:color w:val="auto"/>
              </w:rPr>
            </w:pPr>
            <w:r>
              <w:rPr>
                <w:rFonts w:ascii="Arial" w:cs="Arial" w:eastAsia="Arial" w:hAnsi="Arial"/>
                <w:sz w:val="18"/>
                <w:szCs w:val="18"/>
                <w:color w:val="auto"/>
              </w:rPr>
              <w:t>(22,366)</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580" w:right="80" w:hanging="572"/>
        <w:spacing w:after="0" w:line="259" w:lineRule="auto"/>
        <w:tabs>
          <w:tab w:leader="none" w:pos="5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Unrealized gains on auction rate securities were $7,314 for the three months ended September 30, 2009. We did not record any unrealized gains or losses on auction rate securities during the three months ended September 30, 2008. Year to date, the unrealized gains (losses) on auction rate securities were $13,298 and $(15,707) for 2009 and 2008, respectively.</w:t>
      </w:r>
    </w:p>
    <w:p>
      <w:pPr>
        <w:spacing w:after="0" w:line="221" w:lineRule="exact"/>
        <w:rPr>
          <w:rFonts w:ascii="Arial" w:cs="Arial" w:eastAsia="Arial" w:hAnsi="Arial"/>
          <w:sz w:val="18"/>
          <w:szCs w:val="18"/>
          <w:color w:val="auto"/>
        </w:rPr>
      </w:pPr>
    </w:p>
    <w:p>
      <w:pPr>
        <w:ind w:left="580" w:hanging="572"/>
        <w:spacing w:after="0"/>
        <w:tabs>
          <w:tab w:leader="none" w:pos="5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Realized losses for 2008 include a loss of $662 on the sale of auction rate securities in the second quarter.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Auction Rate Securities</w:t>
      </w:r>
    </w:p>
    <w:p>
      <w:pPr>
        <w:spacing w:after="0" w:line="231" w:lineRule="exact"/>
        <w:rPr>
          <w:sz w:val="20"/>
          <w:szCs w:val="20"/>
          <w:color w:val="auto"/>
        </w:rPr>
      </w:pPr>
    </w:p>
    <w:p>
      <w:pPr>
        <w:ind w:right="40" w:firstLine="439"/>
        <w:spacing w:after="0" w:line="288" w:lineRule="auto"/>
        <w:rPr>
          <w:sz w:val="20"/>
          <w:szCs w:val="20"/>
          <w:color w:val="auto"/>
        </w:rPr>
      </w:pPr>
      <w:r>
        <w:rPr>
          <w:rFonts w:ascii="Arial" w:cs="Arial" w:eastAsia="Arial" w:hAnsi="Arial"/>
          <w:sz w:val="16"/>
          <w:szCs w:val="16"/>
          <w:color w:val="auto"/>
        </w:rPr>
        <w:t>During the first quarter of 2008, we invested investment line borrowings (see Note 15) in AAA-rated auction rate securities backed by student loans originated under the U. S. Department of Education’s Federal Family Education Loan Program (FFELP). Auction rate securities are long-term variable rate bonds tied to short-term interest rates that reset through an auction process that historically occurred every 7 to 35 days. The student loans underlying the auction rate securities carry a U.S Government guarantee of at least 97% of the unpaid principal balance in the event of default. The auction rate securities that we hold are in the senior-most position and are smaller in amount than the federally guaranteed portion of the underlying loans. Historically, the par value of auction rate securities approximated fair value due to the frequent auctions of these securities at par. In the first quarter of 2008, the auction rate security market began experiencing illiquidity, and auctions began to fail because there were not enough orders to purchase all of the securities being offered at the auction. Within the context of a failed auction, the issuer pays the investor a “fail rate” penalty interest until the auction returns to clearing status, the notes mature at par or the notes are called or redeemed.</w:t>
      </w:r>
    </w:p>
    <w:p>
      <w:pPr>
        <w:spacing w:after="0" w:line="174" w:lineRule="exact"/>
        <w:rPr>
          <w:sz w:val="20"/>
          <w:szCs w:val="20"/>
          <w:color w:val="auto"/>
        </w:rPr>
      </w:pPr>
    </w:p>
    <w:p>
      <w:pPr>
        <w:ind w:right="40" w:firstLine="439"/>
        <w:spacing w:after="0" w:line="254" w:lineRule="auto"/>
        <w:rPr>
          <w:sz w:val="20"/>
          <w:szCs w:val="20"/>
          <w:color w:val="auto"/>
        </w:rPr>
      </w:pPr>
      <w:r>
        <w:rPr>
          <w:rFonts w:ascii="Arial" w:cs="Arial" w:eastAsia="Arial" w:hAnsi="Arial"/>
          <w:sz w:val="18"/>
          <w:szCs w:val="18"/>
          <w:color w:val="auto"/>
        </w:rPr>
        <w:t>On January 21, 2009, Fitch Ratings announced that it had downgraded several tranches of auction rate securities from ‘AAA’ to ‘BBB’. Auction rate securities we hold, with a par value of $70,350 at September 30, 2009, were affected by this ratings action. On January 28, 2009 and February 19, 2009, respectively, Moody’s Investors Services, Inc. announced that it had downgraded several tranches of auction rate securities from ‘BBB’ to ‘B’ and from ‘AAA’ to ‘A’. Auction rate securities we hold, with a par value of $70,350 and $6,400 at September 30, 2009, were affected by the ratings actions from ‘BBB’ to ‘B’ and from ‘AAA’ to ‘A’, respectively. The AAA rating from Standard and Poor’s Ratings Services has not been revised. To date we have received all interest payments when due.</w:t>
      </w:r>
    </w:p>
    <w:p>
      <w:pPr>
        <w:spacing w:after="0" w:line="198" w:lineRule="exact"/>
        <w:rPr>
          <w:sz w:val="20"/>
          <w:szCs w:val="20"/>
          <w:color w:val="auto"/>
        </w:rPr>
      </w:pPr>
    </w:p>
    <w:p>
      <w:pPr>
        <w:ind w:right="40" w:firstLine="436"/>
        <w:spacing w:after="0" w:line="298" w:lineRule="auto"/>
        <w:rPr>
          <w:sz w:val="20"/>
          <w:szCs w:val="20"/>
          <w:color w:val="auto"/>
        </w:rPr>
      </w:pPr>
      <w:r>
        <w:rPr>
          <w:rFonts w:ascii="Arial" w:cs="Arial" w:eastAsia="Arial" w:hAnsi="Arial"/>
          <w:sz w:val="16"/>
          <w:szCs w:val="16"/>
          <w:color w:val="auto"/>
        </w:rPr>
        <w:t>We did not sell any of our auction rate securities during the first nine months of 2009. During this same period, issuers redeemed, at par, auction rate securities we held with a face value of $2,500, including $500 during the third quarter. We recognized an $8,291 unrealized gain in the third quarter of 2009. This gain was due to the increased probability of a near term liquidity solution for approximately $70,350 principal amount of the auction rate securities and continued improvement in the underlying FFELP student loan market since December 31, 2008. See Note 25 for a subsequent event related to auction rate securities.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Subordinates and Residuals</w:t>
      </w:r>
    </w:p>
    <w:p>
      <w:pPr>
        <w:spacing w:after="0" w:line="231" w:lineRule="exact"/>
        <w:rPr>
          <w:sz w:val="20"/>
          <w:szCs w:val="20"/>
          <w:color w:val="auto"/>
        </w:rPr>
      </w:pPr>
    </w:p>
    <w:p>
      <w:pPr>
        <w:ind w:right="260" w:firstLine="436"/>
        <w:spacing w:after="0" w:line="256" w:lineRule="auto"/>
        <w:rPr>
          <w:sz w:val="20"/>
          <w:szCs w:val="20"/>
          <w:color w:val="auto"/>
        </w:rPr>
      </w:pPr>
      <w:r>
        <w:rPr>
          <w:rFonts w:ascii="Arial" w:cs="Arial" w:eastAsia="Arial" w:hAnsi="Arial"/>
          <w:sz w:val="18"/>
          <w:szCs w:val="18"/>
          <w:color w:val="auto"/>
        </w:rPr>
        <w:t>Through our investment in subordinate and residual securities, we support senior classes of securities. Principal from the underlying mortgage loans generally is allocated first to the senior classes with the most senior class having a priority right to the cash flow from the mortgage loans until its payment requirements are satisfied. To the extent that there are defaults and unrecoverable losses on the underlying mortgage loans, resulting in reduced cash flows, the most subordinate security will be the first to bear this loss.</w:t>
      </w:r>
    </w:p>
    <w:p>
      <w:pPr>
        <w:sectPr>
          <w:pgSz w:w="11900" w:h="16838" w:orient="portrait"/>
          <w:cols w:equalWidth="0" w:num="1">
            <w:col w:w="11420"/>
          </w:cols>
          <w:pgMar w:left="240" w:top="382"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type w:val="continuous"/>
        </w:sectPr>
      </w:pPr>
    </w:p>
    <w:bookmarkStart w:id="21" w:name="page22"/>
    <w:bookmarkEnd w:id="21"/>
    <w:p>
      <w:pPr>
        <w:spacing w:after="0"/>
        <w:tabs>
          <w:tab w:leader="none" w:pos="114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5"/>
          <w:szCs w:val="15"/>
          <w:b w:val="1"/>
          <w:bCs w:val="1"/>
          <w:color w:val="auto"/>
        </w:rPr>
        <w:t>Advances</w:t>
      </w:r>
    </w:p>
    <w:p>
      <w:pPr>
        <w:spacing w:after="0" w:line="231" w:lineRule="exact"/>
        <w:rPr>
          <w:sz w:val="20"/>
          <w:szCs w:val="20"/>
          <w:color w:val="auto"/>
        </w:rPr>
      </w:pPr>
    </w:p>
    <w:p>
      <w:pPr>
        <w:ind w:right="240" w:firstLine="429"/>
        <w:spacing w:after="0" w:line="268" w:lineRule="auto"/>
        <w:rPr>
          <w:sz w:val="20"/>
          <w:szCs w:val="20"/>
          <w:color w:val="auto"/>
        </w:rPr>
      </w:pPr>
      <w:r>
        <w:rPr>
          <w:rFonts w:ascii="Arial" w:cs="Arial" w:eastAsia="Arial" w:hAnsi="Arial"/>
          <w:sz w:val="18"/>
          <w:szCs w:val="18"/>
          <w:color w:val="auto"/>
        </w:rPr>
        <w:t>Advances, representing payments made on behalf of borrowers or on foreclosed properties, as more fully described in Note 1—Mortgage Servicing Fees and Advances, consisted of the following at the dates indicated: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4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ind w:right="112"/>
              <w:spacing w:after="0"/>
              <w:rPr>
                <w:sz w:val="20"/>
                <w:szCs w:val="20"/>
                <w:color w:val="auto"/>
              </w:rPr>
            </w:pPr>
            <w:r>
              <w:rPr>
                <w:rFonts w:ascii="Arial" w:cs="Arial" w:eastAsia="Arial" w:hAnsi="Arial"/>
                <w:sz w:val="18"/>
                <w:szCs w:val="18"/>
                <w:b w:val="1"/>
                <w:bCs w:val="1"/>
                <w:color w:val="auto"/>
                <w:w w:val="90"/>
              </w:rPr>
              <w:t>September 30,</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7"/>
        </w:trPr>
        <w:tc>
          <w:tcPr>
            <w:tcW w:w="94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2"/>
              <w:spacing w:after="0"/>
              <w:rPr>
                <w:sz w:val="20"/>
                <w:szCs w:val="20"/>
                <w:color w:val="auto"/>
              </w:rPr>
            </w:pPr>
            <w:r>
              <w:rPr>
                <w:rFonts w:ascii="Arial" w:cs="Arial" w:eastAsia="Arial" w:hAnsi="Arial"/>
                <w:sz w:val="18"/>
                <w:szCs w:val="18"/>
                <w:b w:val="1"/>
                <w:bCs w:val="1"/>
                <w:color w:val="auto"/>
              </w:rPr>
              <w:t>2009</w:t>
            </w:r>
          </w:p>
        </w:tc>
        <w:tc>
          <w:tcPr>
            <w:tcW w:w="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2"/>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940" w:type="dxa"/>
            <w:vAlign w:val="bottom"/>
            <w:shd w:val="clear" w:color="auto" w:fill="EAF9E8"/>
          </w:tcPr>
          <w:p>
            <w:pPr>
              <w:spacing w:after="0"/>
              <w:rPr>
                <w:sz w:val="20"/>
                <w:szCs w:val="20"/>
                <w:color w:val="auto"/>
              </w:rPr>
            </w:pPr>
            <w:r>
              <w:rPr>
                <w:rFonts w:ascii="Arial" w:cs="Arial" w:eastAsia="Arial" w:hAnsi="Arial"/>
                <w:sz w:val="18"/>
                <w:szCs w:val="18"/>
                <w:color w:val="auto"/>
              </w:rPr>
              <w:t>Servicing:</w:t>
            </w:r>
          </w:p>
        </w:tc>
        <w:tc>
          <w:tcPr>
            <w:tcW w:w="4580" w:type="dxa"/>
            <w:vAlign w:val="bottom"/>
            <w:shd w:val="clear" w:color="auto" w:fill="EAF9E8"/>
          </w:tcPr>
          <w:p>
            <w:pPr>
              <w:spacing w:after="0"/>
              <w:rPr>
                <w:sz w:val="21"/>
                <w:szCs w:val="21"/>
                <w:color w:val="auto"/>
              </w:rPr>
            </w:pPr>
          </w:p>
        </w:tc>
        <w:tc>
          <w:tcPr>
            <w:tcW w:w="250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1340" w:type="dxa"/>
            <w:vAlign w:val="bottom"/>
            <w:shd w:val="clear" w:color="auto" w:fill="EAF9E8"/>
          </w:tcPr>
          <w:p>
            <w:pPr>
              <w:spacing w:after="0"/>
              <w:rPr>
                <w:sz w:val="21"/>
                <w:szCs w:val="21"/>
                <w:color w:val="auto"/>
              </w:rPr>
            </w:pPr>
          </w:p>
        </w:tc>
        <w:tc>
          <w:tcPr>
            <w:tcW w:w="34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32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5520" w:type="dxa"/>
            <w:vAlign w:val="bottom"/>
            <w:gridSpan w:val="2"/>
          </w:tcPr>
          <w:p>
            <w:pPr>
              <w:ind w:left="160"/>
              <w:spacing w:after="0"/>
              <w:rPr>
                <w:sz w:val="20"/>
                <w:szCs w:val="20"/>
                <w:color w:val="auto"/>
              </w:rPr>
            </w:pPr>
            <w:r>
              <w:rPr>
                <w:rFonts w:ascii="Arial" w:cs="Arial" w:eastAsia="Arial" w:hAnsi="Arial"/>
                <w:sz w:val="18"/>
                <w:szCs w:val="18"/>
                <w:color w:val="auto"/>
              </w:rPr>
              <w:t>Principal and interest</w:t>
            </w:r>
          </w:p>
        </w:tc>
        <w:tc>
          <w:tcPr>
            <w:tcW w:w="26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51,368</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36,183</w:t>
            </w:r>
          </w:p>
        </w:tc>
        <w:tc>
          <w:tcPr>
            <w:tcW w:w="0" w:type="dxa"/>
            <w:vAlign w:val="bottom"/>
          </w:tcPr>
          <w:p>
            <w:pPr>
              <w:spacing w:after="0"/>
              <w:rPr>
                <w:sz w:val="1"/>
                <w:szCs w:val="1"/>
                <w:color w:val="auto"/>
              </w:rPr>
            </w:pPr>
          </w:p>
        </w:tc>
      </w:tr>
      <w:tr>
        <w:trPr>
          <w:trHeight w:val="244"/>
        </w:trPr>
        <w:tc>
          <w:tcPr>
            <w:tcW w:w="552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Taxes and insurance</w:t>
            </w:r>
          </w:p>
        </w:tc>
        <w:tc>
          <w:tcPr>
            <w:tcW w:w="250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13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42,377</w:t>
            </w:r>
          </w:p>
        </w:tc>
        <w:tc>
          <w:tcPr>
            <w:tcW w:w="34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4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32,812</w:t>
            </w:r>
          </w:p>
        </w:tc>
        <w:tc>
          <w:tcPr>
            <w:tcW w:w="0" w:type="dxa"/>
            <w:vAlign w:val="bottom"/>
          </w:tcPr>
          <w:p>
            <w:pPr>
              <w:spacing w:after="0"/>
              <w:rPr>
                <w:sz w:val="1"/>
                <w:szCs w:val="1"/>
                <w:color w:val="auto"/>
              </w:rPr>
            </w:pPr>
          </w:p>
        </w:tc>
      </w:tr>
      <w:tr>
        <w:trPr>
          <w:trHeight w:val="242"/>
        </w:trPr>
        <w:tc>
          <w:tcPr>
            <w:tcW w:w="5520" w:type="dxa"/>
            <w:vAlign w:val="bottom"/>
            <w:gridSpan w:val="2"/>
          </w:tcPr>
          <w:p>
            <w:pPr>
              <w:ind w:left="160"/>
              <w:spacing w:after="0"/>
              <w:rPr>
                <w:sz w:val="20"/>
                <w:szCs w:val="20"/>
                <w:color w:val="auto"/>
              </w:rPr>
            </w:pPr>
            <w:r>
              <w:rPr>
                <w:rFonts w:ascii="Arial" w:cs="Arial" w:eastAsia="Arial" w:hAnsi="Arial"/>
                <w:sz w:val="18"/>
                <w:szCs w:val="18"/>
                <w:color w:val="auto"/>
              </w:rPr>
              <w:t>Foreclosure and bankruptcy costs</w:t>
            </w:r>
          </w:p>
        </w:tc>
        <w:tc>
          <w:tcPr>
            <w:tcW w:w="2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25,860</w:t>
            </w: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23,122</w:t>
            </w:r>
          </w:p>
        </w:tc>
        <w:tc>
          <w:tcPr>
            <w:tcW w:w="0" w:type="dxa"/>
            <w:vAlign w:val="bottom"/>
          </w:tcPr>
          <w:p>
            <w:pPr>
              <w:spacing w:after="0"/>
              <w:rPr>
                <w:sz w:val="1"/>
                <w:szCs w:val="1"/>
                <w:color w:val="auto"/>
              </w:rPr>
            </w:pPr>
          </w:p>
        </w:tc>
      </w:tr>
      <w:tr>
        <w:trPr>
          <w:trHeight w:val="244"/>
        </w:trPr>
        <w:tc>
          <w:tcPr>
            <w:tcW w:w="552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Real estate servicing costs</w:t>
            </w:r>
          </w:p>
        </w:tc>
        <w:tc>
          <w:tcPr>
            <w:tcW w:w="250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13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287</w:t>
            </w:r>
          </w:p>
        </w:tc>
        <w:tc>
          <w:tcPr>
            <w:tcW w:w="34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4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50"/>
        </w:trPr>
        <w:tc>
          <w:tcPr>
            <w:tcW w:w="940" w:type="dxa"/>
            <w:vAlign w:val="bottom"/>
          </w:tcPr>
          <w:p>
            <w:pPr>
              <w:ind w:left="160"/>
              <w:spacing w:after="0"/>
              <w:rPr>
                <w:sz w:val="20"/>
                <w:szCs w:val="20"/>
                <w:color w:val="auto"/>
              </w:rPr>
            </w:pPr>
            <w:r>
              <w:rPr>
                <w:rFonts w:ascii="Arial" w:cs="Arial" w:eastAsia="Arial" w:hAnsi="Arial"/>
                <w:sz w:val="18"/>
                <w:szCs w:val="18"/>
                <w:color w:val="auto"/>
              </w:rPr>
              <w:t>Other</w:t>
            </w:r>
          </w:p>
        </w:tc>
        <w:tc>
          <w:tcPr>
            <w:tcW w:w="458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6,894</w:t>
            </w:r>
          </w:p>
        </w:tc>
        <w:tc>
          <w:tcPr>
            <w:tcW w:w="3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40" w:type="dxa"/>
            <w:vAlign w:val="bottom"/>
            <w:shd w:val="clear" w:color="auto" w:fill="EAF9E8"/>
          </w:tcPr>
          <w:p>
            <w:pPr>
              <w:spacing w:after="0"/>
              <w:rPr>
                <w:sz w:val="21"/>
                <w:szCs w:val="21"/>
                <w:color w:val="auto"/>
              </w:rPr>
            </w:pPr>
          </w:p>
        </w:tc>
        <w:tc>
          <w:tcPr>
            <w:tcW w:w="4580" w:type="dxa"/>
            <w:vAlign w:val="bottom"/>
            <w:shd w:val="clear" w:color="auto" w:fill="EAF9E8"/>
          </w:tcPr>
          <w:p>
            <w:pPr>
              <w:spacing w:after="0"/>
              <w:rPr>
                <w:sz w:val="21"/>
                <w:szCs w:val="21"/>
                <w:color w:val="auto"/>
              </w:rPr>
            </w:pPr>
          </w:p>
        </w:tc>
        <w:tc>
          <w:tcPr>
            <w:tcW w:w="250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13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126,786</w:t>
            </w:r>
          </w:p>
        </w:tc>
        <w:tc>
          <w:tcPr>
            <w:tcW w:w="34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4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97,098</w:t>
            </w:r>
          </w:p>
        </w:tc>
        <w:tc>
          <w:tcPr>
            <w:tcW w:w="0" w:type="dxa"/>
            <w:vAlign w:val="bottom"/>
          </w:tcPr>
          <w:p>
            <w:pPr>
              <w:spacing w:after="0"/>
              <w:rPr>
                <w:sz w:val="1"/>
                <w:szCs w:val="1"/>
                <w:color w:val="auto"/>
              </w:rPr>
            </w:pPr>
          </w:p>
        </w:tc>
      </w:tr>
      <w:tr>
        <w:trPr>
          <w:trHeight w:val="242"/>
        </w:trPr>
        <w:tc>
          <w:tcPr>
            <w:tcW w:w="5520" w:type="dxa"/>
            <w:vAlign w:val="bottom"/>
            <w:gridSpan w:val="2"/>
          </w:tcPr>
          <w:p>
            <w:pPr>
              <w:spacing w:after="0"/>
              <w:rPr>
                <w:sz w:val="20"/>
                <w:szCs w:val="20"/>
                <w:color w:val="auto"/>
              </w:rPr>
            </w:pPr>
            <w:r>
              <w:rPr>
                <w:rFonts w:ascii="Arial" w:cs="Arial" w:eastAsia="Arial" w:hAnsi="Arial"/>
                <w:sz w:val="18"/>
                <w:szCs w:val="18"/>
                <w:color w:val="auto"/>
              </w:rPr>
              <w:t>Loans and Residuals</w:t>
            </w:r>
          </w:p>
        </w:tc>
        <w:tc>
          <w:tcPr>
            <w:tcW w:w="2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4,432</w:t>
            </w: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4,867</w:t>
            </w:r>
          </w:p>
        </w:tc>
        <w:tc>
          <w:tcPr>
            <w:tcW w:w="0" w:type="dxa"/>
            <w:vAlign w:val="bottom"/>
          </w:tcPr>
          <w:p>
            <w:pPr>
              <w:spacing w:after="0"/>
              <w:rPr>
                <w:sz w:val="1"/>
                <w:szCs w:val="1"/>
                <w:color w:val="auto"/>
              </w:rPr>
            </w:pPr>
          </w:p>
        </w:tc>
      </w:tr>
      <w:tr>
        <w:trPr>
          <w:trHeight w:val="244"/>
        </w:trPr>
        <w:tc>
          <w:tcPr>
            <w:tcW w:w="552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Corporate Items and Other</w:t>
            </w:r>
          </w:p>
        </w:tc>
        <w:tc>
          <w:tcPr>
            <w:tcW w:w="250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13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142</w:t>
            </w:r>
          </w:p>
        </w:tc>
        <w:tc>
          <w:tcPr>
            <w:tcW w:w="34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4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94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26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131,360</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102,085</w:t>
            </w:r>
          </w:p>
        </w:tc>
        <w:tc>
          <w:tcPr>
            <w:tcW w:w="0" w:type="dxa"/>
            <w:vAlign w:val="bottom"/>
          </w:tcPr>
          <w:p>
            <w:pPr>
              <w:spacing w:after="0"/>
              <w:rPr>
                <w:sz w:val="1"/>
                <w:szCs w:val="1"/>
                <w:color w:val="auto"/>
              </w:rPr>
            </w:pPr>
          </w:p>
        </w:tc>
      </w:tr>
      <w:tr>
        <w:trPr>
          <w:trHeight w:val="20"/>
        </w:trPr>
        <w:tc>
          <w:tcPr>
            <w:tcW w:w="940" w:type="dxa"/>
            <w:vAlign w:val="bottom"/>
            <w:vMerge w:val="restart"/>
          </w:tcPr>
          <w:p>
            <w:pPr>
              <w:spacing w:after="0"/>
              <w:rPr>
                <w:sz w:val="20"/>
                <w:szCs w:val="20"/>
                <w:color w:val="auto"/>
              </w:rPr>
            </w:pPr>
            <w:r>
              <w:rPr>
                <w:rFonts w:ascii="Arial" w:cs="Arial" w:eastAsia="Arial" w:hAnsi="Arial"/>
                <w:sz w:val="18"/>
                <w:szCs w:val="18"/>
                <w:b w:val="1"/>
                <w:bCs w:val="1"/>
                <w:color w:val="auto"/>
              </w:rPr>
              <w:t>Note 8</w:t>
            </w:r>
          </w:p>
        </w:tc>
        <w:tc>
          <w:tcPr>
            <w:tcW w:w="4580" w:type="dxa"/>
            <w:vAlign w:val="bottom"/>
            <w:vMerge w:val="restart"/>
          </w:tcPr>
          <w:p>
            <w:pPr>
              <w:ind w:left="220"/>
              <w:spacing w:after="0"/>
              <w:rPr>
                <w:sz w:val="20"/>
                <w:szCs w:val="20"/>
                <w:color w:val="auto"/>
              </w:rPr>
            </w:pPr>
            <w:r>
              <w:rPr>
                <w:rFonts w:ascii="Arial" w:cs="Arial" w:eastAsia="Arial" w:hAnsi="Arial"/>
                <w:sz w:val="18"/>
                <w:szCs w:val="18"/>
                <w:b w:val="1"/>
                <w:bCs w:val="1"/>
                <w:color w:val="auto"/>
              </w:rPr>
              <w:t>Match Funded Advances</w:t>
            </w:r>
          </w:p>
        </w:tc>
        <w:tc>
          <w:tcPr>
            <w:tcW w:w="2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8"/>
        </w:trPr>
        <w:tc>
          <w:tcPr>
            <w:tcW w:w="940" w:type="dxa"/>
            <w:vAlign w:val="bottom"/>
            <w:vMerge w:val="continue"/>
          </w:tcPr>
          <w:p>
            <w:pPr>
              <w:spacing w:after="0"/>
              <w:rPr>
                <w:sz w:val="24"/>
                <w:szCs w:val="24"/>
                <w:color w:val="auto"/>
              </w:rPr>
            </w:pPr>
          </w:p>
        </w:tc>
        <w:tc>
          <w:tcPr>
            <w:tcW w:w="4580" w:type="dxa"/>
            <w:vAlign w:val="bottom"/>
            <w:vMerge w:val="continue"/>
          </w:tcPr>
          <w:p>
            <w:pPr>
              <w:spacing w:after="0"/>
              <w:rPr>
                <w:sz w:val="24"/>
                <w:szCs w:val="24"/>
                <w:color w:val="auto"/>
              </w:rPr>
            </w:pPr>
          </w:p>
        </w:tc>
        <w:tc>
          <w:tcPr>
            <w:tcW w:w="2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ind w:right="640" w:firstLine="483"/>
        <w:spacing w:after="0" w:line="268" w:lineRule="auto"/>
        <w:rPr>
          <w:sz w:val="20"/>
          <w:szCs w:val="20"/>
          <w:color w:val="auto"/>
        </w:rPr>
      </w:pPr>
      <w:r>
        <w:rPr>
          <w:rFonts w:ascii="Arial" w:cs="Arial" w:eastAsia="Arial" w:hAnsi="Arial"/>
          <w:sz w:val="18"/>
          <w:szCs w:val="18"/>
          <w:color w:val="auto"/>
        </w:rPr>
        <w:t>Match funded advances on residential loans we service for others, as more fully described in Note 1—Mortgage Servicing Fees and Advances, are comprised of the following at the dates indicated: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4"/>
          </w:tcPr>
          <w:p>
            <w:pPr>
              <w:jc w:val="right"/>
              <w:ind w:right="312"/>
              <w:spacing w:after="0"/>
              <w:rPr>
                <w:sz w:val="20"/>
                <w:szCs w:val="20"/>
                <w:color w:val="auto"/>
              </w:rPr>
            </w:pPr>
            <w:r>
              <w:rPr>
                <w:rFonts w:ascii="Arial" w:cs="Arial" w:eastAsia="Arial" w:hAnsi="Arial"/>
                <w:sz w:val="18"/>
                <w:szCs w:val="18"/>
                <w:b w:val="1"/>
                <w:bCs w:val="1"/>
                <w:color w:val="auto"/>
                <w:w w:val="89"/>
              </w:rPr>
              <w:t>September 30,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4"/>
          </w:tcPr>
          <w:p>
            <w:pPr>
              <w:jc w:val="right"/>
              <w:ind w:right="34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37"/>
        </w:trPr>
        <w:tc>
          <w:tcPr>
            <w:tcW w:w="1120" w:type="dxa"/>
            <w:vAlign w:val="bottom"/>
          </w:tcPr>
          <w:p>
            <w:pPr>
              <w:spacing w:after="0"/>
              <w:rPr>
                <w:sz w:val="20"/>
                <w:szCs w:val="20"/>
                <w:color w:val="auto"/>
              </w:rPr>
            </w:pPr>
          </w:p>
        </w:tc>
        <w:tc>
          <w:tcPr>
            <w:tcW w:w="5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72"/>
              <w:spacing w:after="0"/>
              <w:rPr>
                <w:sz w:val="20"/>
                <w:szCs w:val="20"/>
                <w:color w:val="auto"/>
              </w:rPr>
            </w:pPr>
            <w:r>
              <w:rPr>
                <w:rFonts w:ascii="Arial" w:cs="Arial" w:eastAsia="Arial" w:hAnsi="Arial"/>
                <w:sz w:val="18"/>
                <w:szCs w:val="18"/>
                <w:b w:val="1"/>
                <w:bCs w:val="1"/>
                <w:color w:val="auto"/>
                <w:w w:val="94"/>
              </w:rPr>
              <w:t>2009</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8"/>
                <w:szCs w:val="18"/>
                <w:b w:val="1"/>
                <w:bCs w:val="1"/>
                <w:color w:val="auto"/>
              </w:rPr>
              <w:t>2008</w:t>
            </w:r>
          </w:p>
        </w:tc>
        <w:tc>
          <w:tcPr>
            <w:tcW w:w="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82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Principal and interest</w:t>
            </w:r>
          </w:p>
        </w:tc>
        <w:tc>
          <w:tcPr>
            <w:tcW w:w="160" w:type="dxa"/>
            <w:vAlign w:val="bottom"/>
            <w:shd w:val="clear" w:color="auto" w:fill="EAF9E8"/>
          </w:tcPr>
          <w:p>
            <w:pPr>
              <w:spacing w:after="0"/>
              <w:rPr>
                <w:sz w:val="21"/>
                <w:szCs w:val="21"/>
                <w:color w:val="auto"/>
              </w:rPr>
            </w:pPr>
          </w:p>
        </w:tc>
        <w:tc>
          <w:tcPr>
            <w:tcW w:w="1200" w:type="dxa"/>
            <w:vAlign w:val="bottom"/>
            <w:gridSpan w:val="3"/>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24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9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410,641</w:t>
            </w:r>
          </w:p>
        </w:tc>
        <w:tc>
          <w:tcPr>
            <w:tcW w:w="200" w:type="dxa"/>
            <w:vAlign w:val="bottom"/>
            <w:shd w:val="clear" w:color="auto" w:fill="EAF9E8"/>
          </w:tcPr>
          <w:p>
            <w:pPr>
              <w:spacing w:after="0"/>
              <w:rPr>
                <w:sz w:val="21"/>
                <w:szCs w:val="21"/>
                <w:color w:val="auto"/>
              </w:rPr>
            </w:pPr>
          </w:p>
        </w:tc>
        <w:tc>
          <w:tcPr>
            <w:tcW w:w="3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shd w:val="clear" w:color="auto" w:fill="EAF9E8"/>
          </w:tcPr>
          <w:p>
            <w:pPr>
              <w:spacing w:after="0"/>
              <w:rPr>
                <w:sz w:val="21"/>
                <w:szCs w:val="21"/>
                <w:color w:val="auto"/>
              </w:rPr>
            </w:pPr>
          </w:p>
        </w:tc>
        <w:tc>
          <w:tcPr>
            <w:tcW w:w="1160" w:type="dxa"/>
            <w:vAlign w:val="bottom"/>
            <w:gridSpan w:val="3"/>
            <w:shd w:val="clear" w:color="auto" w:fill="EAF9E8"/>
          </w:tcPr>
          <w:p>
            <w:pPr>
              <w:jc w:val="right"/>
              <w:ind w:right="100"/>
              <w:spacing w:after="0"/>
              <w:rPr>
                <w:sz w:val="20"/>
                <w:szCs w:val="20"/>
                <w:color w:val="auto"/>
              </w:rPr>
            </w:pPr>
            <w:r>
              <w:rPr>
                <w:rFonts w:ascii="Arial" w:cs="Arial" w:eastAsia="Arial" w:hAnsi="Arial"/>
                <w:sz w:val="18"/>
                <w:szCs w:val="18"/>
                <w:color w:val="auto"/>
              </w:rPr>
              <w:t>615,344</w:t>
            </w:r>
          </w:p>
        </w:tc>
        <w:tc>
          <w:tcPr>
            <w:tcW w:w="0" w:type="dxa"/>
            <w:vAlign w:val="bottom"/>
          </w:tcPr>
          <w:p>
            <w:pPr>
              <w:spacing w:after="0"/>
              <w:rPr>
                <w:sz w:val="1"/>
                <w:szCs w:val="1"/>
                <w:color w:val="auto"/>
              </w:rPr>
            </w:pPr>
          </w:p>
        </w:tc>
      </w:tr>
      <w:tr>
        <w:trPr>
          <w:trHeight w:val="242"/>
        </w:trPr>
        <w:tc>
          <w:tcPr>
            <w:tcW w:w="6820" w:type="dxa"/>
            <w:vAlign w:val="bottom"/>
            <w:gridSpan w:val="2"/>
          </w:tcPr>
          <w:p>
            <w:pPr>
              <w:ind w:left="160"/>
              <w:spacing w:after="0"/>
              <w:rPr>
                <w:sz w:val="20"/>
                <w:szCs w:val="20"/>
                <w:color w:val="auto"/>
              </w:rPr>
            </w:pPr>
            <w:r>
              <w:rPr>
                <w:rFonts w:ascii="Arial" w:cs="Arial" w:eastAsia="Arial" w:hAnsi="Arial"/>
                <w:sz w:val="18"/>
                <w:szCs w:val="18"/>
                <w:color w:val="auto"/>
              </w:rPr>
              <w:t>Taxes and insurance</w:t>
            </w: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319,855</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324,605</w:t>
            </w:r>
          </w:p>
        </w:tc>
        <w:tc>
          <w:tcPr>
            <w:tcW w:w="0" w:type="dxa"/>
            <w:vAlign w:val="bottom"/>
          </w:tcPr>
          <w:p>
            <w:pPr>
              <w:spacing w:after="0"/>
              <w:rPr>
                <w:sz w:val="1"/>
                <w:szCs w:val="1"/>
                <w:color w:val="auto"/>
              </w:rPr>
            </w:pPr>
          </w:p>
        </w:tc>
      </w:tr>
      <w:tr>
        <w:trPr>
          <w:trHeight w:val="244"/>
        </w:trPr>
        <w:tc>
          <w:tcPr>
            <w:tcW w:w="682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Foreclosure and bankruptcy costs</w:t>
            </w:r>
          </w:p>
        </w:tc>
        <w:tc>
          <w:tcPr>
            <w:tcW w:w="160" w:type="dxa"/>
            <w:vAlign w:val="bottom"/>
            <w:shd w:val="clear" w:color="auto" w:fill="EAF9E8"/>
          </w:tcPr>
          <w:p>
            <w:pPr>
              <w:spacing w:after="0"/>
              <w:rPr>
                <w:sz w:val="21"/>
                <w:szCs w:val="21"/>
                <w:color w:val="auto"/>
              </w:rPr>
            </w:pPr>
          </w:p>
        </w:tc>
        <w:tc>
          <w:tcPr>
            <w:tcW w:w="1040" w:type="dxa"/>
            <w:vAlign w:val="bottom"/>
            <w:shd w:val="clear" w:color="auto" w:fill="EAF9E8"/>
          </w:tcPr>
          <w:p>
            <w:pPr>
              <w:spacing w:after="0"/>
              <w:rPr>
                <w:sz w:val="21"/>
                <w:szCs w:val="21"/>
                <w:color w:val="auto"/>
              </w:rPr>
            </w:pPr>
          </w:p>
        </w:tc>
        <w:tc>
          <w:tcPr>
            <w:tcW w:w="6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24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9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75,525</w:t>
            </w:r>
          </w:p>
        </w:tc>
        <w:tc>
          <w:tcPr>
            <w:tcW w:w="20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180" w:type="dxa"/>
            <w:vAlign w:val="bottom"/>
            <w:shd w:val="clear" w:color="auto" w:fill="EAF9E8"/>
          </w:tcPr>
          <w:p>
            <w:pPr>
              <w:spacing w:after="0"/>
              <w:rPr>
                <w:sz w:val="21"/>
                <w:szCs w:val="21"/>
                <w:color w:val="auto"/>
              </w:rPr>
            </w:pPr>
          </w:p>
        </w:tc>
        <w:tc>
          <w:tcPr>
            <w:tcW w:w="240" w:type="dxa"/>
            <w:vAlign w:val="bottom"/>
            <w:shd w:val="clear" w:color="auto" w:fill="EAF9E8"/>
          </w:tcPr>
          <w:p>
            <w:pPr>
              <w:spacing w:after="0"/>
              <w:rPr>
                <w:sz w:val="21"/>
                <w:szCs w:val="21"/>
                <w:color w:val="auto"/>
              </w:rPr>
            </w:pPr>
          </w:p>
        </w:tc>
        <w:tc>
          <w:tcPr>
            <w:tcW w:w="1160" w:type="dxa"/>
            <w:vAlign w:val="bottom"/>
            <w:gridSpan w:val="3"/>
            <w:shd w:val="clear" w:color="auto" w:fill="EAF9E8"/>
          </w:tcPr>
          <w:p>
            <w:pPr>
              <w:jc w:val="right"/>
              <w:ind w:right="100"/>
              <w:spacing w:after="0"/>
              <w:rPr>
                <w:sz w:val="20"/>
                <w:szCs w:val="20"/>
                <w:color w:val="auto"/>
              </w:rPr>
            </w:pPr>
            <w:r>
              <w:rPr>
                <w:rFonts w:ascii="Arial" w:cs="Arial" w:eastAsia="Arial" w:hAnsi="Arial"/>
                <w:sz w:val="18"/>
                <w:szCs w:val="18"/>
                <w:color w:val="auto"/>
              </w:rPr>
              <w:t>70,142</w:t>
            </w:r>
          </w:p>
        </w:tc>
        <w:tc>
          <w:tcPr>
            <w:tcW w:w="0" w:type="dxa"/>
            <w:vAlign w:val="bottom"/>
          </w:tcPr>
          <w:p>
            <w:pPr>
              <w:spacing w:after="0"/>
              <w:rPr>
                <w:sz w:val="1"/>
                <w:szCs w:val="1"/>
                <w:color w:val="auto"/>
              </w:rPr>
            </w:pPr>
          </w:p>
        </w:tc>
      </w:tr>
      <w:tr>
        <w:trPr>
          <w:trHeight w:val="242"/>
        </w:trPr>
        <w:tc>
          <w:tcPr>
            <w:tcW w:w="6820" w:type="dxa"/>
            <w:vAlign w:val="bottom"/>
            <w:gridSpan w:val="2"/>
          </w:tcPr>
          <w:p>
            <w:pPr>
              <w:ind w:left="160"/>
              <w:spacing w:after="0"/>
              <w:rPr>
                <w:sz w:val="20"/>
                <w:szCs w:val="20"/>
                <w:color w:val="auto"/>
              </w:rPr>
            </w:pPr>
            <w:r>
              <w:rPr>
                <w:rFonts w:ascii="Arial" w:cs="Arial" w:eastAsia="Arial" w:hAnsi="Arial"/>
                <w:sz w:val="18"/>
                <w:szCs w:val="18"/>
                <w:color w:val="auto"/>
              </w:rPr>
              <w:t>Real estate servicing costs</w:t>
            </w: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51,091</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70,658</w:t>
            </w:r>
          </w:p>
        </w:tc>
        <w:tc>
          <w:tcPr>
            <w:tcW w:w="0" w:type="dxa"/>
            <w:vAlign w:val="bottom"/>
          </w:tcPr>
          <w:p>
            <w:pPr>
              <w:spacing w:after="0"/>
              <w:rPr>
                <w:sz w:val="1"/>
                <w:szCs w:val="1"/>
                <w:color w:val="auto"/>
              </w:rPr>
            </w:pPr>
          </w:p>
        </w:tc>
      </w:tr>
      <w:tr>
        <w:trPr>
          <w:trHeight w:val="244"/>
        </w:trPr>
        <w:tc>
          <w:tcPr>
            <w:tcW w:w="11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Other</w:t>
            </w:r>
          </w:p>
        </w:tc>
        <w:tc>
          <w:tcPr>
            <w:tcW w:w="570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040" w:type="dxa"/>
            <w:vAlign w:val="bottom"/>
            <w:shd w:val="clear" w:color="auto" w:fill="EAF9E8"/>
          </w:tcPr>
          <w:p>
            <w:pPr>
              <w:spacing w:after="0"/>
              <w:rPr>
                <w:sz w:val="21"/>
                <w:szCs w:val="21"/>
                <w:color w:val="auto"/>
              </w:rPr>
            </w:pPr>
          </w:p>
        </w:tc>
        <w:tc>
          <w:tcPr>
            <w:tcW w:w="6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24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9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22,332</w:t>
            </w:r>
          </w:p>
        </w:tc>
        <w:tc>
          <w:tcPr>
            <w:tcW w:w="20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180" w:type="dxa"/>
            <w:vAlign w:val="bottom"/>
            <w:shd w:val="clear" w:color="auto" w:fill="EAF9E8"/>
          </w:tcPr>
          <w:p>
            <w:pPr>
              <w:spacing w:after="0"/>
              <w:rPr>
                <w:sz w:val="21"/>
                <w:szCs w:val="21"/>
                <w:color w:val="auto"/>
              </w:rPr>
            </w:pPr>
          </w:p>
        </w:tc>
        <w:tc>
          <w:tcPr>
            <w:tcW w:w="240" w:type="dxa"/>
            <w:vAlign w:val="bottom"/>
            <w:shd w:val="clear" w:color="auto" w:fill="EAF9E8"/>
          </w:tcPr>
          <w:p>
            <w:pPr>
              <w:spacing w:after="0"/>
              <w:rPr>
                <w:sz w:val="21"/>
                <w:szCs w:val="21"/>
                <w:color w:val="auto"/>
              </w:rPr>
            </w:pPr>
          </w:p>
        </w:tc>
        <w:tc>
          <w:tcPr>
            <w:tcW w:w="1160" w:type="dxa"/>
            <w:vAlign w:val="bottom"/>
            <w:gridSpan w:val="3"/>
            <w:shd w:val="clear" w:color="auto" w:fill="EAF9E8"/>
          </w:tcPr>
          <w:p>
            <w:pPr>
              <w:jc w:val="right"/>
              <w:ind w:right="100"/>
              <w:spacing w:after="0"/>
              <w:rPr>
                <w:sz w:val="20"/>
                <w:szCs w:val="20"/>
                <w:color w:val="auto"/>
              </w:rPr>
            </w:pPr>
            <w:r>
              <w:rPr>
                <w:rFonts w:ascii="Arial" w:cs="Arial" w:eastAsia="Arial" w:hAnsi="Arial"/>
                <w:sz w:val="18"/>
                <w:szCs w:val="18"/>
                <w:color w:val="auto"/>
              </w:rPr>
              <w:t>19,806</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120" w:type="dxa"/>
            <w:vAlign w:val="bottom"/>
          </w:tcPr>
          <w:p>
            <w:pPr>
              <w:spacing w:after="0"/>
              <w:rPr>
                <w:sz w:val="20"/>
                <w:szCs w:val="20"/>
                <w:color w:val="auto"/>
              </w:rPr>
            </w:pPr>
          </w:p>
        </w:tc>
        <w:tc>
          <w:tcPr>
            <w:tcW w:w="5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879,444</w:t>
            </w:r>
          </w:p>
        </w:tc>
        <w:tc>
          <w:tcPr>
            <w:tcW w:w="200" w:type="dxa"/>
            <w:vAlign w:val="bottom"/>
          </w:tcPr>
          <w:p>
            <w:pPr>
              <w:spacing w:after="0"/>
              <w:rPr>
                <w:sz w:val="20"/>
                <w:szCs w:val="20"/>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1,100,555</w:t>
            </w:r>
          </w:p>
        </w:tc>
        <w:tc>
          <w:tcPr>
            <w:tcW w:w="0" w:type="dxa"/>
            <w:vAlign w:val="bottom"/>
          </w:tcPr>
          <w:p>
            <w:pPr>
              <w:spacing w:after="0"/>
              <w:rPr>
                <w:sz w:val="1"/>
                <w:szCs w:val="1"/>
                <w:color w:val="auto"/>
              </w:rPr>
            </w:pPr>
          </w:p>
        </w:tc>
      </w:tr>
      <w:tr>
        <w:trPr>
          <w:trHeight w:val="20"/>
        </w:trPr>
        <w:tc>
          <w:tcPr>
            <w:tcW w:w="8020" w:type="dxa"/>
            <w:vAlign w:val="bottom"/>
            <w:gridSpan w:val="4"/>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8180" w:type="dxa"/>
            <w:vAlign w:val="bottom"/>
            <w:gridSpan w:val="6"/>
          </w:tcPr>
          <w:p>
            <w:pPr>
              <w:ind w:left="440"/>
              <w:spacing w:after="0"/>
              <w:rPr>
                <w:sz w:val="20"/>
                <w:szCs w:val="20"/>
                <w:color w:val="auto"/>
              </w:rPr>
            </w:pPr>
            <w:r>
              <w:rPr>
                <w:rFonts w:ascii="Arial" w:cs="Arial" w:eastAsia="Arial" w:hAnsi="Arial"/>
                <w:sz w:val="18"/>
                <w:szCs w:val="18"/>
                <w:color w:val="auto"/>
                <w:w w:val="94"/>
              </w:rPr>
              <w:t>See also Note 1—Principles of Consolidation—Match Funded Advances on Loans Serviced for Others.</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1120" w:type="dxa"/>
            <w:vAlign w:val="bottom"/>
          </w:tcPr>
          <w:p>
            <w:pPr>
              <w:spacing w:after="0"/>
              <w:rPr>
                <w:sz w:val="20"/>
                <w:szCs w:val="20"/>
                <w:color w:val="auto"/>
              </w:rPr>
            </w:pPr>
            <w:r>
              <w:rPr>
                <w:rFonts w:ascii="Arial" w:cs="Arial" w:eastAsia="Arial" w:hAnsi="Arial"/>
                <w:sz w:val="18"/>
                <w:szCs w:val="18"/>
                <w:b w:val="1"/>
                <w:bCs w:val="1"/>
                <w:color w:val="auto"/>
              </w:rPr>
              <w:t>Note 9</w:t>
            </w:r>
          </w:p>
        </w:tc>
        <w:tc>
          <w:tcPr>
            <w:tcW w:w="5700" w:type="dxa"/>
            <w:vAlign w:val="bottom"/>
          </w:tcPr>
          <w:p>
            <w:pPr>
              <w:ind w:left="40"/>
              <w:spacing w:after="0"/>
              <w:rPr>
                <w:sz w:val="20"/>
                <w:szCs w:val="20"/>
                <w:color w:val="auto"/>
              </w:rPr>
            </w:pPr>
            <w:r>
              <w:rPr>
                <w:rFonts w:ascii="Arial" w:cs="Arial" w:eastAsia="Arial" w:hAnsi="Arial"/>
                <w:sz w:val="18"/>
                <w:szCs w:val="18"/>
                <w:b w:val="1"/>
                <w:bCs w:val="1"/>
                <w:color w:val="auto"/>
              </w:rPr>
              <w:t>Mortgage Servicing Rights</w:t>
            </w: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9"/>
        </w:trPr>
        <w:tc>
          <w:tcPr>
            <w:tcW w:w="112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w w:val="91"/>
              </w:rPr>
              <w:t>Residential</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2"/>
          </w:tcPr>
          <w:p>
            <w:pPr>
              <w:jc w:val="right"/>
              <w:ind w:right="92"/>
              <w:spacing w:after="0"/>
              <w:rPr>
                <w:sz w:val="20"/>
                <w:szCs w:val="20"/>
                <w:color w:val="auto"/>
              </w:rPr>
            </w:pPr>
            <w:r>
              <w:rPr>
                <w:rFonts w:ascii="Arial" w:cs="Arial" w:eastAsia="Arial" w:hAnsi="Arial"/>
                <w:sz w:val="18"/>
                <w:szCs w:val="18"/>
                <w:b w:val="1"/>
                <w:bCs w:val="1"/>
                <w:color w:val="auto"/>
                <w:w w:val="93"/>
              </w:rPr>
              <w:t>Commercial</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gridSpan w:val="3"/>
          </w:tcPr>
          <w:p>
            <w:pPr>
              <w:jc w:val="right"/>
              <w:ind w:right="5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43"/>
        </w:trPr>
        <w:tc>
          <w:tcPr>
            <w:tcW w:w="682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Carrying value of MSRs:</w:t>
            </w:r>
          </w:p>
        </w:tc>
        <w:tc>
          <w:tcPr>
            <w:tcW w:w="160" w:type="dxa"/>
            <w:vAlign w:val="bottom"/>
            <w:tcBorders>
              <w:top w:val="single" w:sz="8" w:color="auto"/>
            </w:tcBorders>
            <w:shd w:val="clear" w:color="auto" w:fill="EAF9E8"/>
          </w:tcPr>
          <w:p>
            <w:pPr>
              <w:spacing w:after="0"/>
              <w:rPr>
                <w:sz w:val="21"/>
                <w:szCs w:val="21"/>
                <w:color w:val="auto"/>
              </w:rPr>
            </w:pPr>
          </w:p>
        </w:tc>
        <w:tc>
          <w:tcPr>
            <w:tcW w:w="1040" w:type="dxa"/>
            <w:vAlign w:val="bottom"/>
            <w:tcBorders>
              <w:top w:val="single" w:sz="8" w:color="auto"/>
            </w:tcBorders>
            <w:shd w:val="clear" w:color="auto" w:fill="EAF9E8"/>
          </w:tcPr>
          <w:p>
            <w:pPr>
              <w:spacing w:after="0"/>
              <w:rPr>
                <w:sz w:val="21"/>
                <w:szCs w:val="21"/>
                <w:color w:val="auto"/>
              </w:rPr>
            </w:pPr>
          </w:p>
        </w:tc>
        <w:tc>
          <w:tcPr>
            <w:tcW w:w="60" w:type="dxa"/>
            <w:vAlign w:val="bottom"/>
            <w:tcBorders>
              <w:top w:val="single" w:sz="8" w:color="auto"/>
            </w:tcBorders>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240" w:type="dxa"/>
            <w:vAlign w:val="bottom"/>
            <w:shd w:val="clear" w:color="auto" w:fill="EAF9E8"/>
          </w:tcPr>
          <w:p>
            <w:pPr>
              <w:spacing w:after="0"/>
              <w:rPr>
                <w:sz w:val="21"/>
                <w:szCs w:val="21"/>
                <w:color w:val="auto"/>
              </w:rPr>
            </w:pPr>
          </w:p>
        </w:tc>
        <w:tc>
          <w:tcPr>
            <w:tcW w:w="120" w:type="dxa"/>
            <w:vAlign w:val="bottom"/>
            <w:tcBorders>
              <w:top w:val="single" w:sz="8" w:color="auto"/>
            </w:tcBorders>
            <w:shd w:val="clear" w:color="auto" w:fill="EAF9E8"/>
          </w:tcPr>
          <w:p>
            <w:pPr>
              <w:spacing w:after="0"/>
              <w:rPr>
                <w:sz w:val="21"/>
                <w:szCs w:val="21"/>
                <w:color w:val="auto"/>
              </w:rPr>
            </w:pPr>
          </w:p>
        </w:tc>
        <w:tc>
          <w:tcPr>
            <w:tcW w:w="960" w:type="dxa"/>
            <w:vAlign w:val="bottom"/>
            <w:tcBorders>
              <w:top w:val="single" w:sz="8" w:color="auto"/>
            </w:tcBorders>
            <w:shd w:val="clear" w:color="auto" w:fill="EAF9E8"/>
          </w:tcPr>
          <w:p>
            <w:pPr>
              <w:spacing w:after="0"/>
              <w:rPr>
                <w:sz w:val="21"/>
                <w:szCs w:val="21"/>
                <w:color w:val="auto"/>
              </w:rPr>
            </w:pPr>
          </w:p>
        </w:tc>
        <w:tc>
          <w:tcPr>
            <w:tcW w:w="200" w:type="dxa"/>
            <w:vAlign w:val="bottom"/>
            <w:tcBorders>
              <w:top w:val="single" w:sz="8" w:color="auto"/>
            </w:tcBorders>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180" w:type="dxa"/>
            <w:vAlign w:val="bottom"/>
            <w:shd w:val="clear" w:color="auto" w:fill="EAF9E8"/>
          </w:tcPr>
          <w:p>
            <w:pPr>
              <w:spacing w:after="0"/>
              <w:rPr>
                <w:sz w:val="21"/>
                <w:szCs w:val="21"/>
                <w:color w:val="auto"/>
              </w:rPr>
            </w:pPr>
          </w:p>
        </w:tc>
        <w:tc>
          <w:tcPr>
            <w:tcW w:w="240" w:type="dxa"/>
            <w:vAlign w:val="bottom"/>
            <w:tcBorders>
              <w:top w:val="single" w:sz="8" w:color="auto"/>
            </w:tcBorders>
            <w:shd w:val="clear" w:color="auto" w:fill="EAF9E8"/>
          </w:tcPr>
          <w:p>
            <w:pPr>
              <w:spacing w:after="0"/>
              <w:rPr>
                <w:sz w:val="21"/>
                <w:szCs w:val="21"/>
                <w:color w:val="auto"/>
              </w:rPr>
            </w:pPr>
          </w:p>
        </w:tc>
        <w:tc>
          <w:tcPr>
            <w:tcW w:w="1040" w:type="dxa"/>
            <w:vAlign w:val="bottom"/>
            <w:tcBorders>
              <w:top w:val="single" w:sz="8" w:color="auto"/>
            </w:tcBorders>
            <w:shd w:val="clear" w:color="auto" w:fill="EAF9E8"/>
          </w:tcPr>
          <w:p>
            <w:pPr>
              <w:spacing w:after="0"/>
              <w:rPr>
                <w:sz w:val="21"/>
                <w:szCs w:val="21"/>
                <w:color w:val="auto"/>
              </w:rPr>
            </w:pPr>
          </w:p>
        </w:tc>
        <w:tc>
          <w:tcPr>
            <w:tcW w:w="2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6820" w:type="dxa"/>
            <w:vAlign w:val="bottom"/>
            <w:gridSpan w:val="2"/>
          </w:tcPr>
          <w:p>
            <w:pPr>
              <w:ind w:left="160"/>
              <w:spacing w:after="0"/>
              <w:rPr>
                <w:sz w:val="20"/>
                <w:szCs w:val="20"/>
                <w:color w:val="auto"/>
              </w:rPr>
            </w:pPr>
            <w:r>
              <w:rPr>
                <w:rFonts w:ascii="Arial" w:cs="Arial" w:eastAsia="Arial" w:hAnsi="Arial"/>
                <w:sz w:val="18"/>
                <w:szCs w:val="18"/>
                <w:color w:val="auto"/>
              </w:rPr>
              <w:t>Balance at December 31, 2008</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139,500</w:t>
            </w:r>
          </w:p>
        </w:tc>
        <w:tc>
          <w:tcPr>
            <w:tcW w:w="100" w:type="dxa"/>
            <w:vAlign w:val="bottom"/>
          </w:tcPr>
          <w:p>
            <w:pPr>
              <w:spacing w:after="0"/>
              <w:rPr>
                <w:sz w:val="21"/>
                <w:szCs w:val="21"/>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139,500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11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Purchases</w:t>
            </w:r>
          </w:p>
        </w:tc>
        <w:tc>
          <w:tcPr>
            <w:tcW w:w="570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1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10,241</w:t>
            </w:r>
          </w:p>
        </w:tc>
        <w:tc>
          <w:tcPr>
            <w:tcW w:w="100" w:type="dxa"/>
            <w:vAlign w:val="bottom"/>
            <w:shd w:val="clear" w:color="auto" w:fill="EAF9E8"/>
          </w:tcPr>
          <w:p>
            <w:pPr>
              <w:spacing w:after="0"/>
              <w:rPr>
                <w:sz w:val="21"/>
                <w:szCs w:val="21"/>
                <w:color w:val="auto"/>
              </w:rPr>
            </w:pPr>
          </w:p>
        </w:tc>
        <w:tc>
          <w:tcPr>
            <w:tcW w:w="24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960" w:type="dxa"/>
            <w:vAlign w:val="bottom"/>
            <w:shd w:val="clear" w:color="auto" w:fill="EAF9E8"/>
          </w:tcPr>
          <w:p>
            <w:pPr>
              <w:spacing w:after="0"/>
              <w:rPr>
                <w:sz w:val="21"/>
                <w:szCs w:val="21"/>
                <w:color w:val="auto"/>
              </w:rPr>
            </w:pPr>
          </w:p>
        </w:tc>
        <w:tc>
          <w:tcPr>
            <w:tcW w:w="20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EAF9E8"/>
          </w:tcPr>
          <w:p>
            <w:pPr>
              <w:spacing w:after="0"/>
              <w:rPr>
                <w:sz w:val="21"/>
                <w:szCs w:val="21"/>
                <w:color w:val="auto"/>
              </w:rPr>
            </w:pPr>
          </w:p>
        </w:tc>
        <w:tc>
          <w:tcPr>
            <w:tcW w:w="180" w:type="dxa"/>
            <w:vAlign w:val="bottom"/>
            <w:shd w:val="clear" w:color="auto" w:fill="EAF9E8"/>
          </w:tcPr>
          <w:p>
            <w:pPr>
              <w:spacing w:after="0"/>
              <w:rPr>
                <w:sz w:val="21"/>
                <w:szCs w:val="21"/>
                <w:color w:val="auto"/>
              </w:rPr>
            </w:pPr>
          </w:p>
        </w:tc>
        <w:tc>
          <w:tcPr>
            <w:tcW w:w="240" w:type="dxa"/>
            <w:vAlign w:val="bottom"/>
            <w:shd w:val="clear" w:color="auto" w:fill="EAF9E8"/>
          </w:tcPr>
          <w:p>
            <w:pPr>
              <w:spacing w:after="0"/>
              <w:rPr>
                <w:sz w:val="21"/>
                <w:szCs w:val="21"/>
                <w:color w:val="auto"/>
              </w:rPr>
            </w:pPr>
          </w:p>
        </w:tc>
        <w:tc>
          <w:tcPr>
            <w:tcW w:w="10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10,241</w:t>
            </w:r>
          </w:p>
        </w:tc>
        <w:tc>
          <w:tcPr>
            <w:tcW w:w="2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6820" w:type="dxa"/>
            <w:vAlign w:val="bottom"/>
            <w:gridSpan w:val="2"/>
          </w:tcPr>
          <w:p>
            <w:pPr>
              <w:ind w:left="160"/>
              <w:spacing w:after="0"/>
              <w:rPr>
                <w:sz w:val="20"/>
                <w:szCs w:val="20"/>
                <w:color w:val="auto"/>
              </w:rPr>
            </w:pPr>
            <w:r>
              <w:rPr>
                <w:rFonts w:ascii="Arial" w:cs="Arial" w:eastAsia="Arial" w:hAnsi="Arial"/>
                <w:sz w:val="18"/>
                <w:szCs w:val="18"/>
                <w:color w:val="auto"/>
              </w:rPr>
              <w:t>Servicing transfers and adjustments</w:t>
            </w:r>
          </w:p>
        </w:tc>
        <w:tc>
          <w:tcPr>
            <w:tcW w:w="160" w:type="dxa"/>
            <w:vAlign w:val="bottom"/>
          </w:tcPr>
          <w:p>
            <w:pPr>
              <w:spacing w:after="0"/>
              <w:rPr>
                <w:sz w:val="21"/>
                <w:szCs w:val="21"/>
                <w:color w:val="auto"/>
              </w:rPr>
            </w:pPr>
          </w:p>
        </w:tc>
        <w:tc>
          <w:tcPr>
            <w:tcW w:w="1200" w:type="dxa"/>
            <w:vAlign w:val="bottom"/>
            <w:gridSpan w:val="3"/>
          </w:tcPr>
          <w:p>
            <w:pPr>
              <w:jc w:val="right"/>
              <w:ind w:right="40"/>
              <w:spacing w:after="0"/>
              <w:rPr>
                <w:sz w:val="20"/>
                <w:szCs w:val="20"/>
                <w:color w:val="auto"/>
              </w:rPr>
            </w:pPr>
            <w:r>
              <w:rPr>
                <w:rFonts w:ascii="Arial" w:cs="Arial" w:eastAsia="Arial" w:hAnsi="Arial"/>
                <w:sz w:val="18"/>
                <w:szCs w:val="18"/>
                <w:color w:val="auto"/>
              </w:rPr>
              <w:t>(8)</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gridSpan w:val="3"/>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4"/>
        </w:trPr>
        <w:tc>
          <w:tcPr>
            <w:tcW w:w="682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Reduction in impairment valuation allowance</w:t>
            </w:r>
          </w:p>
        </w:tc>
        <w:tc>
          <w:tcPr>
            <w:tcW w:w="160" w:type="dxa"/>
            <w:vAlign w:val="bottom"/>
            <w:shd w:val="clear" w:color="auto" w:fill="EAF9E8"/>
          </w:tcPr>
          <w:p>
            <w:pPr>
              <w:spacing w:after="0"/>
              <w:rPr>
                <w:sz w:val="21"/>
                <w:szCs w:val="21"/>
                <w:color w:val="auto"/>
              </w:rPr>
            </w:pPr>
          </w:p>
        </w:tc>
        <w:tc>
          <w:tcPr>
            <w:tcW w:w="11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374</w:t>
            </w:r>
          </w:p>
        </w:tc>
        <w:tc>
          <w:tcPr>
            <w:tcW w:w="100" w:type="dxa"/>
            <w:vAlign w:val="bottom"/>
            <w:shd w:val="clear" w:color="auto" w:fill="EAF9E8"/>
          </w:tcPr>
          <w:p>
            <w:pPr>
              <w:spacing w:after="0"/>
              <w:rPr>
                <w:sz w:val="21"/>
                <w:szCs w:val="21"/>
                <w:color w:val="auto"/>
              </w:rPr>
            </w:pPr>
          </w:p>
        </w:tc>
        <w:tc>
          <w:tcPr>
            <w:tcW w:w="24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960" w:type="dxa"/>
            <w:vAlign w:val="bottom"/>
            <w:shd w:val="clear" w:color="auto" w:fill="EAF9E8"/>
          </w:tcPr>
          <w:p>
            <w:pPr>
              <w:spacing w:after="0"/>
              <w:rPr>
                <w:sz w:val="21"/>
                <w:szCs w:val="21"/>
                <w:color w:val="auto"/>
              </w:rPr>
            </w:pPr>
          </w:p>
        </w:tc>
        <w:tc>
          <w:tcPr>
            <w:tcW w:w="20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EAF9E8"/>
          </w:tcPr>
          <w:p>
            <w:pPr>
              <w:spacing w:after="0"/>
              <w:rPr>
                <w:sz w:val="21"/>
                <w:szCs w:val="21"/>
                <w:color w:val="auto"/>
              </w:rPr>
            </w:pPr>
          </w:p>
        </w:tc>
        <w:tc>
          <w:tcPr>
            <w:tcW w:w="180" w:type="dxa"/>
            <w:vAlign w:val="bottom"/>
            <w:shd w:val="clear" w:color="auto" w:fill="EAF9E8"/>
          </w:tcPr>
          <w:p>
            <w:pPr>
              <w:spacing w:after="0"/>
              <w:rPr>
                <w:sz w:val="21"/>
                <w:szCs w:val="21"/>
                <w:color w:val="auto"/>
              </w:rPr>
            </w:pPr>
          </w:p>
        </w:tc>
        <w:tc>
          <w:tcPr>
            <w:tcW w:w="240" w:type="dxa"/>
            <w:vAlign w:val="bottom"/>
            <w:shd w:val="clear" w:color="auto" w:fill="EAF9E8"/>
          </w:tcPr>
          <w:p>
            <w:pPr>
              <w:spacing w:after="0"/>
              <w:rPr>
                <w:sz w:val="21"/>
                <w:szCs w:val="21"/>
                <w:color w:val="auto"/>
              </w:rPr>
            </w:pPr>
          </w:p>
        </w:tc>
        <w:tc>
          <w:tcPr>
            <w:tcW w:w="10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374</w:t>
            </w:r>
          </w:p>
        </w:tc>
        <w:tc>
          <w:tcPr>
            <w:tcW w:w="2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120" w:type="dxa"/>
            <w:vAlign w:val="bottom"/>
          </w:tcPr>
          <w:p>
            <w:pPr>
              <w:ind w:left="160"/>
              <w:spacing w:after="0"/>
              <w:rPr>
                <w:sz w:val="20"/>
                <w:szCs w:val="20"/>
                <w:color w:val="auto"/>
              </w:rPr>
            </w:pPr>
            <w:r>
              <w:rPr>
                <w:rFonts w:ascii="Arial" w:cs="Arial" w:eastAsia="Arial" w:hAnsi="Arial"/>
                <w:sz w:val="18"/>
                <w:szCs w:val="18"/>
                <w:color w:val="auto"/>
                <w:w w:val="93"/>
              </w:rPr>
              <w:t>Amortization</w:t>
            </w:r>
          </w:p>
        </w:tc>
        <w:tc>
          <w:tcPr>
            <w:tcW w:w="5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3"/>
          </w:tcPr>
          <w:p>
            <w:pPr>
              <w:jc w:val="right"/>
              <w:ind w:right="40"/>
              <w:spacing w:after="0"/>
              <w:rPr>
                <w:sz w:val="20"/>
                <w:szCs w:val="20"/>
                <w:color w:val="auto"/>
              </w:rPr>
            </w:pPr>
            <w:r>
              <w:rPr>
                <w:rFonts w:ascii="Arial" w:cs="Arial" w:eastAsia="Arial" w:hAnsi="Arial"/>
                <w:sz w:val="18"/>
                <w:szCs w:val="18"/>
                <w:color w:val="auto"/>
              </w:rPr>
              <w:t>(25,118)</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gridSpan w:val="3"/>
          </w:tcPr>
          <w:p>
            <w:pPr>
              <w:jc w:val="right"/>
              <w:ind w:right="60"/>
              <w:spacing w:after="0"/>
              <w:rPr>
                <w:sz w:val="20"/>
                <w:szCs w:val="20"/>
                <w:color w:val="auto"/>
              </w:rPr>
            </w:pPr>
            <w:r>
              <w:rPr>
                <w:rFonts w:ascii="Arial" w:cs="Arial" w:eastAsia="Arial" w:hAnsi="Arial"/>
                <w:sz w:val="18"/>
                <w:szCs w:val="18"/>
                <w:color w:val="auto"/>
              </w:rPr>
              <w:t>(25,118)</w:t>
            </w:r>
          </w:p>
        </w:tc>
        <w:tc>
          <w:tcPr>
            <w:tcW w:w="0" w:type="dxa"/>
            <w:vAlign w:val="bottom"/>
          </w:tcPr>
          <w:p>
            <w:pPr>
              <w:spacing w:after="0"/>
              <w:rPr>
                <w:sz w:val="1"/>
                <w:szCs w:val="1"/>
                <w:color w:val="auto"/>
              </w:rPr>
            </w:pPr>
          </w:p>
        </w:tc>
      </w:tr>
      <w:tr>
        <w:trPr>
          <w:trHeight w:val="243"/>
        </w:trPr>
        <w:tc>
          <w:tcPr>
            <w:tcW w:w="682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Balance at September 30, 2009</w:t>
            </w:r>
          </w:p>
        </w:tc>
        <w:tc>
          <w:tcPr>
            <w:tcW w:w="16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gridSpan w:val="2"/>
            <w:shd w:val="clear" w:color="auto" w:fill="EAF9E8"/>
          </w:tcPr>
          <w:p>
            <w:pPr>
              <w:jc w:val="right"/>
              <w:spacing w:after="0"/>
              <w:rPr>
                <w:sz w:val="20"/>
                <w:szCs w:val="20"/>
                <w:color w:val="auto"/>
              </w:rPr>
            </w:pPr>
            <w:r>
              <w:rPr>
                <w:rFonts w:ascii="Arial" w:cs="Arial" w:eastAsia="Arial" w:hAnsi="Arial"/>
                <w:sz w:val="18"/>
                <w:szCs w:val="18"/>
                <w:color w:val="auto"/>
              </w:rPr>
              <w:t>124,989</w:t>
            </w:r>
          </w:p>
        </w:tc>
        <w:tc>
          <w:tcPr>
            <w:tcW w:w="100" w:type="dxa"/>
            <w:vAlign w:val="bottom"/>
            <w:shd w:val="clear" w:color="auto" w:fill="EAF9E8"/>
          </w:tcPr>
          <w:p>
            <w:pPr>
              <w:spacing w:after="0"/>
              <w:rPr>
                <w:sz w:val="21"/>
                <w:szCs w:val="21"/>
                <w:color w:val="auto"/>
              </w:rPr>
            </w:pPr>
          </w:p>
        </w:tc>
        <w:tc>
          <w:tcPr>
            <w:tcW w:w="240" w:type="dxa"/>
            <w:vAlign w:val="bottom"/>
            <w:shd w:val="clear" w:color="auto" w:fill="EAF9E8"/>
          </w:tcPr>
          <w:p>
            <w:pPr>
              <w:spacing w:after="0"/>
              <w:rPr>
                <w:sz w:val="21"/>
                <w:szCs w:val="21"/>
                <w:color w:val="auto"/>
              </w:rPr>
            </w:pPr>
          </w:p>
        </w:tc>
        <w:tc>
          <w:tcPr>
            <w:tcW w:w="12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EAF9E8"/>
          </w:tcPr>
          <w:p>
            <w:pPr>
              <w:spacing w:after="0"/>
              <w:rPr>
                <w:sz w:val="21"/>
                <w:szCs w:val="21"/>
                <w:color w:val="auto"/>
              </w:rPr>
            </w:pPr>
          </w:p>
        </w:tc>
        <w:tc>
          <w:tcPr>
            <w:tcW w:w="2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EAF9E8"/>
          </w:tcPr>
          <w:p>
            <w:pPr>
              <w:spacing w:after="0"/>
              <w:rPr>
                <w:sz w:val="21"/>
                <w:szCs w:val="21"/>
                <w:color w:val="auto"/>
              </w:rPr>
            </w:pPr>
          </w:p>
        </w:tc>
        <w:tc>
          <w:tcPr>
            <w:tcW w:w="180" w:type="dxa"/>
            <w:vAlign w:val="bottom"/>
            <w:shd w:val="clear" w:color="auto" w:fill="EAF9E8"/>
          </w:tcPr>
          <w:p>
            <w:pPr>
              <w:spacing w:after="0"/>
              <w:rPr>
                <w:sz w:val="21"/>
                <w:szCs w:val="21"/>
                <w:color w:val="auto"/>
              </w:rPr>
            </w:pPr>
          </w:p>
        </w:tc>
        <w:tc>
          <w:tcPr>
            <w:tcW w:w="240" w:type="dxa"/>
            <w:vAlign w:val="bottom"/>
            <w:tcBorders>
              <w:top w:val="single" w:sz="8" w:color="auto"/>
            </w:tcBorders>
            <w:shd w:val="clear" w:color="auto" w:fill="EAF9E8"/>
          </w:tcPr>
          <w:p>
            <w:pPr>
              <w:jc w:val="right"/>
              <w:ind w:right="52"/>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124,989</w:t>
            </w:r>
          </w:p>
        </w:tc>
        <w:tc>
          <w:tcPr>
            <w:tcW w:w="2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820" w:type="dxa"/>
            <w:vAlign w:val="bottom"/>
            <w:gridSpan w:val="2"/>
            <w:vMerge w:val="restart"/>
          </w:tcPr>
          <w:p>
            <w:pPr>
              <w:spacing w:after="0"/>
              <w:rPr>
                <w:sz w:val="20"/>
                <w:szCs w:val="20"/>
                <w:color w:val="auto"/>
              </w:rPr>
            </w:pPr>
            <w:r>
              <w:rPr>
                <w:rFonts w:ascii="Arial" w:cs="Arial" w:eastAsia="Arial" w:hAnsi="Arial"/>
                <w:sz w:val="18"/>
                <w:szCs w:val="18"/>
                <w:color w:val="auto"/>
              </w:rPr>
              <w:t>Estimated fair value of MSRs:</w:t>
            </w: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820" w:type="dxa"/>
            <w:vAlign w:val="bottom"/>
            <w:gridSpan w:val="2"/>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9"/>
        </w:trPr>
        <w:tc>
          <w:tcPr>
            <w:tcW w:w="682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682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September 30, 2009</w:t>
            </w:r>
          </w:p>
        </w:tc>
        <w:tc>
          <w:tcPr>
            <w:tcW w:w="16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131,327</w:t>
            </w:r>
          </w:p>
        </w:tc>
        <w:tc>
          <w:tcPr>
            <w:tcW w:w="100" w:type="dxa"/>
            <w:vAlign w:val="bottom"/>
            <w:shd w:val="clear" w:color="auto" w:fill="EAF9E8"/>
          </w:tcPr>
          <w:p>
            <w:pPr>
              <w:spacing w:after="0"/>
              <w:rPr>
                <w:sz w:val="21"/>
                <w:szCs w:val="21"/>
                <w:color w:val="auto"/>
              </w:rPr>
            </w:pPr>
          </w:p>
        </w:tc>
        <w:tc>
          <w:tcPr>
            <w:tcW w:w="36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EAF9E8"/>
          </w:tcPr>
          <w:p>
            <w:pPr>
              <w:spacing w:after="0"/>
              <w:rPr>
                <w:sz w:val="21"/>
                <w:szCs w:val="21"/>
                <w:color w:val="auto"/>
              </w:rPr>
            </w:pPr>
          </w:p>
        </w:tc>
        <w:tc>
          <w:tcPr>
            <w:tcW w:w="20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EAF9E8"/>
          </w:tcPr>
          <w:p>
            <w:pPr>
              <w:spacing w:after="0"/>
              <w:rPr>
                <w:sz w:val="21"/>
                <w:szCs w:val="21"/>
                <w:color w:val="auto"/>
              </w:rPr>
            </w:pPr>
          </w:p>
        </w:tc>
        <w:tc>
          <w:tcPr>
            <w:tcW w:w="180" w:type="dxa"/>
            <w:vAlign w:val="bottom"/>
            <w:shd w:val="clear" w:color="auto" w:fill="EAF9E8"/>
          </w:tcPr>
          <w:p>
            <w:pPr>
              <w:spacing w:after="0"/>
              <w:rPr>
                <w:sz w:val="21"/>
                <w:szCs w:val="21"/>
                <w:color w:val="auto"/>
              </w:rPr>
            </w:pPr>
          </w:p>
        </w:tc>
        <w:tc>
          <w:tcPr>
            <w:tcW w:w="240" w:type="dxa"/>
            <w:vAlign w:val="bottom"/>
            <w:shd w:val="clear" w:color="auto" w:fill="EAF9E8"/>
          </w:tcPr>
          <w:p>
            <w:pPr>
              <w:jc w:val="right"/>
              <w:ind w:right="52"/>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131,327</w:t>
            </w:r>
          </w:p>
        </w:tc>
        <w:tc>
          <w:tcPr>
            <w:tcW w:w="2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6820" w:type="dxa"/>
            <w:vAlign w:val="bottom"/>
            <w:gridSpan w:val="2"/>
          </w:tcPr>
          <w:p>
            <w:pPr>
              <w:ind w:left="160"/>
              <w:spacing w:after="0"/>
              <w:rPr>
                <w:sz w:val="20"/>
                <w:szCs w:val="20"/>
                <w:color w:val="auto"/>
              </w:rPr>
            </w:pPr>
            <w:r>
              <w:rPr>
                <w:rFonts w:ascii="Arial" w:cs="Arial" w:eastAsia="Arial" w:hAnsi="Arial"/>
                <w:sz w:val="18"/>
                <w:szCs w:val="18"/>
                <w:color w:val="auto"/>
              </w:rPr>
              <w:t>December 31, 2008</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148,135</w:t>
            </w:r>
          </w:p>
        </w:tc>
        <w:tc>
          <w:tcPr>
            <w:tcW w:w="100" w:type="dxa"/>
            <w:vAlign w:val="bottom"/>
          </w:tcPr>
          <w:p>
            <w:pPr>
              <w:spacing w:after="0"/>
              <w:rPr>
                <w:sz w:val="20"/>
                <w:szCs w:val="20"/>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148,135</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6820" w:type="dxa"/>
            <w:vAlign w:val="bottom"/>
            <w:gridSpan w:val="2"/>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2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Unpaid principal balance of assets serviced:</w:t>
            </w:r>
          </w:p>
        </w:tc>
        <w:tc>
          <w:tcPr>
            <w:tcW w:w="160" w:type="dxa"/>
            <w:vAlign w:val="bottom"/>
            <w:shd w:val="clear" w:color="auto" w:fill="EAF9E8"/>
          </w:tcPr>
          <w:p>
            <w:pPr>
              <w:spacing w:after="0"/>
              <w:rPr>
                <w:sz w:val="21"/>
                <w:szCs w:val="21"/>
                <w:color w:val="auto"/>
              </w:rPr>
            </w:pPr>
          </w:p>
        </w:tc>
        <w:tc>
          <w:tcPr>
            <w:tcW w:w="1040" w:type="dxa"/>
            <w:vAlign w:val="bottom"/>
            <w:shd w:val="clear" w:color="auto" w:fill="EAF9E8"/>
          </w:tcPr>
          <w:p>
            <w:pPr>
              <w:spacing w:after="0"/>
              <w:rPr>
                <w:sz w:val="21"/>
                <w:szCs w:val="21"/>
                <w:color w:val="auto"/>
              </w:rPr>
            </w:pPr>
          </w:p>
        </w:tc>
        <w:tc>
          <w:tcPr>
            <w:tcW w:w="6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24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960" w:type="dxa"/>
            <w:vAlign w:val="bottom"/>
            <w:shd w:val="clear" w:color="auto" w:fill="EAF9E8"/>
          </w:tcPr>
          <w:p>
            <w:pPr>
              <w:spacing w:after="0"/>
              <w:rPr>
                <w:sz w:val="21"/>
                <w:szCs w:val="21"/>
                <w:color w:val="auto"/>
              </w:rPr>
            </w:pPr>
          </w:p>
        </w:tc>
        <w:tc>
          <w:tcPr>
            <w:tcW w:w="20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180" w:type="dxa"/>
            <w:vAlign w:val="bottom"/>
            <w:shd w:val="clear" w:color="auto" w:fill="EAF9E8"/>
          </w:tcPr>
          <w:p>
            <w:pPr>
              <w:spacing w:after="0"/>
              <w:rPr>
                <w:sz w:val="21"/>
                <w:szCs w:val="21"/>
                <w:color w:val="auto"/>
              </w:rPr>
            </w:pPr>
          </w:p>
        </w:tc>
        <w:tc>
          <w:tcPr>
            <w:tcW w:w="240" w:type="dxa"/>
            <w:vAlign w:val="bottom"/>
            <w:shd w:val="clear" w:color="auto" w:fill="EAF9E8"/>
          </w:tcPr>
          <w:p>
            <w:pPr>
              <w:spacing w:after="0"/>
              <w:rPr>
                <w:sz w:val="21"/>
                <w:szCs w:val="21"/>
                <w:color w:val="auto"/>
              </w:rPr>
            </w:pPr>
          </w:p>
        </w:tc>
        <w:tc>
          <w:tcPr>
            <w:tcW w:w="1040" w:type="dxa"/>
            <w:vAlign w:val="bottom"/>
            <w:shd w:val="clear" w:color="auto" w:fill="EAF9E8"/>
          </w:tcPr>
          <w:p>
            <w:pPr>
              <w:spacing w:after="0"/>
              <w:rPr>
                <w:sz w:val="21"/>
                <w:szCs w:val="21"/>
                <w:color w:val="auto"/>
              </w:rPr>
            </w:pPr>
          </w:p>
        </w:tc>
        <w:tc>
          <w:tcPr>
            <w:tcW w:w="2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6820" w:type="dxa"/>
            <w:vAlign w:val="bottom"/>
            <w:gridSpan w:val="2"/>
          </w:tcPr>
          <w:p>
            <w:pPr>
              <w:ind w:left="160"/>
              <w:spacing w:after="0"/>
              <w:rPr>
                <w:sz w:val="20"/>
                <w:szCs w:val="20"/>
                <w:color w:val="auto"/>
              </w:rPr>
            </w:pPr>
            <w:r>
              <w:rPr>
                <w:rFonts w:ascii="Arial" w:cs="Arial" w:eastAsia="Arial" w:hAnsi="Arial"/>
                <w:sz w:val="18"/>
                <w:szCs w:val="18"/>
                <w:color w:val="auto"/>
              </w:rPr>
              <w:t>September 30, 2009:</w:t>
            </w: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1120" w:type="dxa"/>
            <w:vAlign w:val="bottom"/>
            <w:shd w:val="clear" w:color="auto" w:fill="EAF9E8"/>
          </w:tcPr>
          <w:p>
            <w:pPr>
              <w:ind w:left="320"/>
              <w:spacing w:after="0"/>
              <w:rPr>
                <w:sz w:val="20"/>
                <w:szCs w:val="20"/>
                <w:color w:val="auto"/>
              </w:rPr>
            </w:pPr>
            <w:r>
              <w:rPr>
                <w:rFonts w:ascii="Arial" w:cs="Arial" w:eastAsia="Arial" w:hAnsi="Arial"/>
                <w:sz w:val="18"/>
                <w:szCs w:val="18"/>
                <w:color w:val="auto"/>
              </w:rPr>
              <w:t>Servicing</w:t>
            </w:r>
          </w:p>
        </w:tc>
        <w:tc>
          <w:tcPr>
            <w:tcW w:w="5700" w:type="dxa"/>
            <w:vAlign w:val="bottom"/>
            <w:shd w:val="clear" w:color="auto" w:fill="EAF9E8"/>
          </w:tcPr>
          <w:p>
            <w:pPr>
              <w:spacing w:after="0"/>
              <w:rPr>
                <w:sz w:val="21"/>
                <w:szCs w:val="21"/>
                <w:color w:val="auto"/>
              </w:rPr>
            </w:pPr>
          </w:p>
        </w:tc>
        <w:tc>
          <w:tcPr>
            <w:tcW w:w="16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27,039,067</w:t>
            </w:r>
          </w:p>
        </w:tc>
        <w:tc>
          <w:tcPr>
            <w:tcW w:w="100" w:type="dxa"/>
            <w:vAlign w:val="bottom"/>
            <w:shd w:val="clear" w:color="auto" w:fill="EAF9E8"/>
          </w:tcPr>
          <w:p>
            <w:pPr>
              <w:spacing w:after="0"/>
              <w:rPr>
                <w:sz w:val="21"/>
                <w:szCs w:val="21"/>
                <w:color w:val="auto"/>
              </w:rPr>
            </w:pPr>
          </w:p>
        </w:tc>
        <w:tc>
          <w:tcPr>
            <w:tcW w:w="36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EAF9E8"/>
          </w:tcPr>
          <w:p>
            <w:pPr>
              <w:spacing w:after="0"/>
              <w:rPr>
                <w:sz w:val="21"/>
                <w:szCs w:val="21"/>
                <w:color w:val="auto"/>
              </w:rPr>
            </w:pPr>
          </w:p>
        </w:tc>
        <w:tc>
          <w:tcPr>
            <w:tcW w:w="20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EAF9E8"/>
          </w:tcPr>
          <w:p>
            <w:pPr>
              <w:spacing w:after="0"/>
              <w:rPr>
                <w:sz w:val="21"/>
                <w:szCs w:val="21"/>
                <w:color w:val="auto"/>
              </w:rPr>
            </w:pPr>
          </w:p>
        </w:tc>
        <w:tc>
          <w:tcPr>
            <w:tcW w:w="180" w:type="dxa"/>
            <w:vAlign w:val="bottom"/>
            <w:shd w:val="clear" w:color="auto" w:fill="EAF9E8"/>
          </w:tcPr>
          <w:p>
            <w:pPr>
              <w:spacing w:after="0"/>
              <w:rPr>
                <w:sz w:val="21"/>
                <w:szCs w:val="21"/>
                <w:color w:val="auto"/>
              </w:rPr>
            </w:pPr>
          </w:p>
        </w:tc>
        <w:tc>
          <w:tcPr>
            <w:tcW w:w="240" w:type="dxa"/>
            <w:vAlign w:val="bottom"/>
            <w:shd w:val="clear" w:color="auto" w:fill="EAF9E8"/>
          </w:tcPr>
          <w:p>
            <w:pPr>
              <w:jc w:val="right"/>
              <w:ind w:right="52"/>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27,039,067</w:t>
            </w:r>
          </w:p>
        </w:tc>
        <w:tc>
          <w:tcPr>
            <w:tcW w:w="2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820" w:type="dxa"/>
            <w:vAlign w:val="bottom"/>
            <w:gridSpan w:val="2"/>
          </w:tcPr>
          <w:p>
            <w:pPr>
              <w:ind w:left="320"/>
              <w:spacing w:after="0"/>
              <w:rPr>
                <w:sz w:val="20"/>
                <w:szCs w:val="20"/>
                <w:color w:val="auto"/>
              </w:rPr>
            </w:pPr>
            <w:r>
              <w:rPr>
                <w:rFonts w:ascii="Arial" w:cs="Arial" w:eastAsia="Arial" w:hAnsi="Arial"/>
                <w:sz w:val="18"/>
                <w:szCs w:val="18"/>
                <w:color w:val="auto"/>
              </w:rPr>
              <w:t>Subservicing (1)</w:t>
            </w:r>
          </w:p>
        </w:tc>
        <w:tc>
          <w:tcPr>
            <w:tcW w:w="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13,254,631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154,031</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13,408,662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shd w:val="clear" w:color="auto" w:fill="EAF9E8"/>
          </w:tcPr>
          <w:p>
            <w:pPr>
              <w:spacing w:after="0"/>
              <w:rPr>
                <w:sz w:val="21"/>
                <w:szCs w:val="21"/>
                <w:color w:val="auto"/>
              </w:rPr>
            </w:pPr>
          </w:p>
        </w:tc>
        <w:tc>
          <w:tcPr>
            <w:tcW w:w="5700" w:type="dxa"/>
            <w:vAlign w:val="bottom"/>
            <w:shd w:val="clear" w:color="auto" w:fill="EAF9E8"/>
          </w:tcPr>
          <w:p>
            <w:pPr>
              <w:spacing w:after="0"/>
              <w:rPr>
                <w:sz w:val="21"/>
                <w:szCs w:val="21"/>
                <w:color w:val="auto"/>
              </w:rPr>
            </w:pPr>
          </w:p>
        </w:tc>
        <w:tc>
          <w:tcPr>
            <w:tcW w:w="16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40,293,698</w:t>
            </w:r>
          </w:p>
        </w:tc>
        <w:tc>
          <w:tcPr>
            <w:tcW w:w="100" w:type="dxa"/>
            <w:vAlign w:val="bottom"/>
            <w:shd w:val="clear" w:color="auto" w:fill="EAF9E8"/>
          </w:tcPr>
          <w:p>
            <w:pPr>
              <w:spacing w:after="0"/>
              <w:rPr>
                <w:sz w:val="21"/>
                <w:szCs w:val="21"/>
                <w:color w:val="auto"/>
              </w:rPr>
            </w:pPr>
          </w:p>
        </w:tc>
        <w:tc>
          <w:tcPr>
            <w:tcW w:w="36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154,031</w:t>
            </w:r>
          </w:p>
        </w:tc>
        <w:tc>
          <w:tcPr>
            <w:tcW w:w="140" w:type="dxa"/>
            <w:vAlign w:val="bottom"/>
            <w:shd w:val="clear" w:color="auto" w:fill="EAF9E8"/>
          </w:tcPr>
          <w:p>
            <w:pPr>
              <w:spacing w:after="0"/>
              <w:rPr>
                <w:sz w:val="21"/>
                <w:szCs w:val="21"/>
                <w:color w:val="auto"/>
              </w:rPr>
            </w:pPr>
          </w:p>
        </w:tc>
        <w:tc>
          <w:tcPr>
            <w:tcW w:w="180" w:type="dxa"/>
            <w:vAlign w:val="bottom"/>
            <w:shd w:val="clear" w:color="auto" w:fill="EAF9E8"/>
          </w:tcPr>
          <w:p>
            <w:pPr>
              <w:spacing w:after="0"/>
              <w:rPr>
                <w:sz w:val="21"/>
                <w:szCs w:val="21"/>
                <w:color w:val="auto"/>
              </w:rPr>
            </w:pPr>
          </w:p>
        </w:tc>
        <w:tc>
          <w:tcPr>
            <w:tcW w:w="240" w:type="dxa"/>
            <w:vAlign w:val="bottom"/>
            <w:shd w:val="clear" w:color="auto" w:fill="EAF9E8"/>
          </w:tcPr>
          <w:p>
            <w:pPr>
              <w:jc w:val="right"/>
              <w:ind w:right="52"/>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40,447,729</w:t>
            </w:r>
          </w:p>
        </w:tc>
        <w:tc>
          <w:tcPr>
            <w:tcW w:w="2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820" w:type="dxa"/>
            <w:vAlign w:val="bottom"/>
            <w:gridSpan w:val="2"/>
            <w:vMerge w:val="restart"/>
          </w:tcPr>
          <w:p>
            <w:pPr>
              <w:ind w:left="160"/>
              <w:spacing w:after="0"/>
              <w:rPr>
                <w:sz w:val="20"/>
                <w:szCs w:val="20"/>
                <w:color w:val="auto"/>
              </w:rPr>
            </w:pPr>
            <w:r>
              <w:rPr>
                <w:rFonts w:ascii="Arial" w:cs="Arial" w:eastAsia="Arial" w:hAnsi="Arial"/>
                <w:sz w:val="18"/>
                <w:szCs w:val="18"/>
                <w:color w:val="auto"/>
              </w:rPr>
              <w:t>December 31, 2008:</w:t>
            </w: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820" w:type="dxa"/>
            <w:vAlign w:val="bottom"/>
            <w:gridSpan w:val="2"/>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8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120" w:type="dxa"/>
            <w:vAlign w:val="bottom"/>
            <w:shd w:val="clear" w:color="auto" w:fill="EAF9E8"/>
          </w:tcPr>
          <w:p>
            <w:pPr>
              <w:ind w:left="320"/>
              <w:spacing w:after="0"/>
              <w:rPr>
                <w:sz w:val="20"/>
                <w:szCs w:val="20"/>
                <w:color w:val="auto"/>
              </w:rPr>
            </w:pPr>
            <w:r>
              <w:rPr>
                <w:rFonts w:ascii="Arial" w:cs="Arial" w:eastAsia="Arial" w:hAnsi="Arial"/>
                <w:sz w:val="18"/>
                <w:szCs w:val="18"/>
                <w:color w:val="auto"/>
              </w:rPr>
              <w:t>Servicing</w:t>
            </w:r>
          </w:p>
        </w:tc>
        <w:tc>
          <w:tcPr>
            <w:tcW w:w="5700" w:type="dxa"/>
            <w:vAlign w:val="bottom"/>
            <w:shd w:val="clear" w:color="auto" w:fill="EAF9E8"/>
          </w:tcPr>
          <w:p>
            <w:pPr>
              <w:spacing w:after="0"/>
              <w:rPr>
                <w:sz w:val="21"/>
                <w:szCs w:val="21"/>
                <w:color w:val="auto"/>
              </w:rPr>
            </w:pPr>
          </w:p>
        </w:tc>
        <w:tc>
          <w:tcPr>
            <w:tcW w:w="16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29,830,654</w:t>
            </w:r>
          </w:p>
        </w:tc>
        <w:tc>
          <w:tcPr>
            <w:tcW w:w="100" w:type="dxa"/>
            <w:vAlign w:val="bottom"/>
            <w:shd w:val="clear" w:color="auto" w:fill="EAF9E8"/>
          </w:tcPr>
          <w:p>
            <w:pPr>
              <w:spacing w:after="0"/>
              <w:rPr>
                <w:sz w:val="21"/>
                <w:szCs w:val="21"/>
                <w:color w:val="auto"/>
              </w:rPr>
            </w:pPr>
          </w:p>
        </w:tc>
        <w:tc>
          <w:tcPr>
            <w:tcW w:w="36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EAF9E8"/>
          </w:tcPr>
          <w:p>
            <w:pPr>
              <w:spacing w:after="0"/>
              <w:rPr>
                <w:sz w:val="21"/>
                <w:szCs w:val="21"/>
                <w:color w:val="auto"/>
              </w:rPr>
            </w:pPr>
          </w:p>
        </w:tc>
        <w:tc>
          <w:tcPr>
            <w:tcW w:w="20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EAF9E8"/>
          </w:tcPr>
          <w:p>
            <w:pPr>
              <w:spacing w:after="0"/>
              <w:rPr>
                <w:sz w:val="21"/>
                <w:szCs w:val="21"/>
                <w:color w:val="auto"/>
              </w:rPr>
            </w:pPr>
          </w:p>
        </w:tc>
        <w:tc>
          <w:tcPr>
            <w:tcW w:w="180" w:type="dxa"/>
            <w:vAlign w:val="bottom"/>
            <w:shd w:val="clear" w:color="auto" w:fill="EAF9E8"/>
          </w:tcPr>
          <w:p>
            <w:pPr>
              <w:spacing w:after="0"/>
              <w:rPr>
                <w:sz w:val="21"/>
                <w:szCs w:val="21"/>
                <w:color w:val="auto"/>
              </w:rPr>
            </w:pPr>
          </w:p>
        </w:tc>
        <w:tc>
          <w:tcPr>
            <w:tcW w:w="240" w:type="dxa"/>
            <w:vAlign w:val="bottom"/>
            <w:shd w:val="clear" w:color="auto" w:fill="EAF9E8"/>
          </w:tcPr>
          <w:p>
            <w:pPr>
              <w:jc w:val="right"/>
              <w:ind w:right="52"/>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29,830,654</w:t>
            </w:r>
          </w:p>
        </w:tc>
        <w:tc>
          <w:tcPr>
            <w:tcW w:w="2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820" w:type="dxa"/>
            <w:vAlign w:val="bottom"/>
            <w:gridSpan w:val="2"/>
          </w:tcPr>
          <w:p>
            <w:pPr>
              <w:ind w:left="320"/>
              <w:spacing w:after="0"/>
              <w:rPr>
                <w:sz w:val="20"/>
                <w:szCs w:val="20"/>
                <w:color w:val="auto"/>
              </w:rPr>
            </w:pPr>
            <w:r>
              <w:rPr>
                <w:rFonts w:ascii="Arial" w:cs="Arial" w:eastAsia="Arial" w:hAnsi="Arial"/>
                <w:sz w:val="18"/>
                <w:szCs w:val="18"/>
                <w:color w:val="auto"/>
              </w:rPr>
              <w:t>Subservicing</w:t>
            </w:r>
          </w:p>
        </w:tc>
        <w:tc>
          <w:tcPr>
            <w:tcW w:w="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10,340,878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1,319,175</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11,660,053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shd w:val="clear" w:color="auto" w:fill="EAF9E8"/>
          </w:tcPr>
          <w:p>
            <w:pPr>
              <w:spacing w:after="0"/>
              <w:rPr>
                <w:sz w:val="21"/>
                <w:szCs w:val="21"/>
                <w:color w:val="auto"/>
              </w:rPr>
            </w:pPr>
          </w:p>
        </w:tc>
        <w:tc>
          <w:tcPr>
            <w:tcW w:w="5700" w:type="dxa"/>
            <w:vAlign w:val="bottom"/>
            <w:shd w:val="clear" w:color="auto" w:fill="EAF9E8"/>
          </w:tcPr>
          <w:p>
            <w:pPr>
              <w:spacing w:after="0"/>
              <w:rPr>
                <w:sz w:val="21"/>
                <w:szCs w:val="21"/>
                <w:color w:val="auto"/>
              </w:rPr>
            </w:pPr>
          </w:p>
        </w:tc>
        <w:tc>
          <w:tcPr>
            <w:tcW w:w="16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40,171,532</w:t>
            </w:r>
          </w:p>
        </w:tc>
        <w:tc>
          <w:tcPr>
            <w:tcW w:w="100" w:type="dxa"/>
            <w:vAlign w:val="bottom"/>
            <w:shd w:val="clear" w:color="auto" w:fill="EAF9E8"/>
          </w:tcPr>
          <w:p>
            <w:pPr>
              <w:spacing w:after="0"/>
              <w:rPr>
                <w:sz w:val="21"/>
                <w:szCs w:val="21"/>
                <w:color w:val="auto"/>
              </w:rPr>
            </w:pPr>
          </w:p>
        </w:tc>
        <w:tc>
          <w:tcPr>
            <w:tcW w:w="36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1,319,175</w:t>
            </w:r>
          </w:p>
        </w:tc>
        <w:tc>
          <w:tcPr>
            <w:tcW w:w="140" w:type="dxa"/>
            <w:vAlign w:val="bottom"/>
            <w:shd w:val="clear" w:color="auto" w:fill="EAF9E8"/>
          </w:tcPr>
          <w:p>
            <w:pPr>
              <w:spacing w:after="0"/>
              <w:rPr>
                <w:sz w:val="21"/>
                <w:szCs w:val="21"/>
                <w:color w:val="auto"/>
              </w:rPr>
            </w:pPr>
          </w:p>
        </w:tc>
        <w:tc>
          <w:tcPr>
            <w:tcW w:w="180" w:type="dxa"/>
            <w:vAlign w:val="bottom"/>
            <w:shd w:val="clear" w:color="auto" w:fill="EAF9E8"/>
          </w:tcPr>
          <w:p>
            <w:pPr>
              <w:spacing w:after="0"/>
              <w:rPr>
                <w:sz w:val="21"/>
                <w:szCs w:val="21"/>
                <w:color w:val="auto"/>
              </w:rPr>
            </w:pPr>
          </w:p>
        </w:tc>
        <w:tc>
          <w:tcPr>
            <w:tcW w:w="240" w:type="dxa"/>
            <w:vAlign w:val="bottom"/>
            <w:shd w:val="clear" w:color="auto" w:fill="EAF9E8"/>
          </w:tcPr>
          <w:p>
            <w:pPr>
              <w:jc w:val="right"/>
              <w:ind w:right="52"/>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41,490,707</w:t>
            </w:r>
          </w:p>
        </w:tc>
        <w:tc>
          <w:tcPr>
            <w:tcW w:w="2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11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700" w:hanging="450"/>
        <w:spacing w:after="0"/>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non-performing loans serviced for Freddie Mac.</w:t>
      </w:r>
    </w:p>
    <w:p>
      <w:pPr>
        <w:sectPr>
          <w:pgSz w:w="11900" w:h="16838" w:orient="portrait"/>
          <w:cols w:equalWidth="0" w:num="1">
            <w:col w:w="11420"/>
          </w:cols>
          <w:pgMar w:left="240" w:top="382" w:right="239" w:bottom="819"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82" w:right="239" w:bottom="819" w:gutter="0" w:footer="0" w:header="0"/>
          <w:type w:val="continuous"/>
        </w:sectPr>
      </w:pPr>
    </w:p>
    <w:bookmarkStart w:id="22" w:name="page23"/>
    <w:bookmarkEnd w:id="22"/>
    <w:p>
      <w:pPr>
        <w:ind w:right="60" w:firstLine="436"/>
        <w:spacing w:after="0" w:line="312" w:lineRule="auto"/>
        <w:rPr>
          <w:sz w:val="20"/>
          <w:szCs w:val="20"/>
          <w:color w:val="auto"/>
        </w:rPr>
      </w:pPr>
      <w:r>
        <w:rPr>
          <w:rFonts w:ascii="Arial" w:cs="Arial" w:eastAsia="Arial" w:hAnsi="Arial"/>
          <w:sz w:val="15"/>
          <w:szCs w:val="15"/>
          <w:color w:val="auto"/>
        </w:rPr>
        <w:t>We service residential mortgage loans and real estate that we do not own under contractual servicing agreements. We generally obtain MSRs by purchasing them from the owners of the mortgages. We also enter into subservicing agreements with entities that own the servicing rights. Residential assets serviced consist almost entirely of mortgage loans, primarily subprime, but also include real estate. An agreement between the various parties to a mortgage securitization transaction typically specifies the rights and obligations of the holder of the servicing rights which include guidelines and procedures for servicing the loans including remittance and reporting requirements, among other provisions. Assets serviced for others are excluded from our balance sheet. Custodial accounts, which hold funds representing collections of principal and interest that we have received from borrowers, are escrowed with an unaffiliated bank and excluded from our balance sheet. Custodial accounts amounted to approximately $283,600 and $370,200 at September 30, 2009 and December 31, 2008, respectively.</w:t>
      </w:r>
    </w:p>
    <w:p>
      <w:pPr>
        <w:spacing w:after="0" w:line="159" w:lineRule="exact"/>
        <w:rPr>
          <w:sz w:val="20"/>
          <w:szCs w:val="20"/>
          <w:color w:val="auto"/>
        </w:rPr>
      </w:pPr>
    </w:p>
    <w:p>
      <w:pPr>
        <w:ind w:right="20" w:firstLine="439"/>
        <w:spacing w:after="0" w:line="254" w:lineRule="auto"/>
        <w:rPr>
          <w:sz w:val="20"/>
          <w:szCs w:val="20"/>
          <w:color w:val="auto"/>
        </w:rPr>
      </w:pPr>
      <w:r>
        <w:rPr>
          <w:rFonts w:ascii="Arial" w:cs="Arial" w:eastAsia="Arial" w:hAnsi="Arial"/>
          <w:sz w:val="18"/>
          <w:szCs w:val="18"/>
          <w:color w:val="auto"/>
        </w:rPr>
        <w:t>During 2008, we established a valuation allowance for impairment of $3,624 on the high-loan-to-value stratum of our mortgage servicing rights as the external valuation that we consider in our impairment analysis fell below the carrying value due primarily to the declining fair value for rights to service second liens. The external valuation reflects industry averages for delinquencies on loans in the second lien position that are higher than those currently experienced by our servicing portfolio. During the third quarter of 2009, the valuation increased, and we reduced the valuation allowance by $374. Net of the valuation allowance of $3,250, the carrying value of this stratum was $361 at September 30, 2009. For all other strata, the fair value was above the carrying value at September 30, 2009.</w:t>
      </w:r>
    </w:p>
    <w:p>
      <w:pPr>
        <w:spacing w:after="0" w:line="198" w:lineRule="exact"/>
        <w:rPr>
          <w:sz w:val="20"/>
          <w:szCs w:val="20"/>
          <w:color w:val="auto"/>
        </w:rPr>
      </w:pPr>
    </w:p>
    <w:p>
      <w:pPr>
        <w:ind w:right="180" w:firstLine="436"/>
        <w:spacing w:after="0" w:line="298" w:lineRule="auto"/>
        <w:rPr>
          <w:sz w:val="20"/>
          <w:szCs w:val="20"/>
          <w:color w:val="auto"/>
        </w:rPr>
      </w:pPr>
      <w:r>
        <w:rPr>
          <w:rFonts w:ascii="Arial" w:cs="Arial" w:eastAsia="Arial" w:hAnsi="Arial"/>
          <w:sz w:val="16"/>
          <w:szCs w:val="16"/>
          <w:color w:val="auto"/>
        </w:rPr>
        <w:t>We have recognized a servicing liability for those agreements that are not expected to adequately compensate us for performing the servicing. Servicing liabilities were $3,864 and $3,239 at September 30, 2009 and December 31, 2008, respectively, and are included in other liabilities on the balance sheet. During the nine months ended September 30, 2009, the amount of charges we recognized to increase our servicing liability obligations exceeded amortization by $625, and we have reported this net expense as amortization of servicing rights in the statement of operations.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140" w:type="dxa"/>
            <w:vAlign w:val="bottom"/>
          </w:tcPr>
          <w:p>
            <w:pPr>
              <w:spacing w:after="0"/>
              <w:rPr>
                <w:sz w:val="20"/>
                <w:szCs w:val="20"/>
                <w:color w:val="auto"/>
              </w:rPr>
            </w:pPr>
            <w:r>
              <w:rPr>
                <w:rFonts w:ascii="Arial" w:cs="Arial" w:eastAsia="Arial" w:hAnsi="Arial"/>
                <w:sz w:val="18"/>
                <w:szCs w:val="18"/>
                <w:b w:val="1"/>
                <w:bCs w:val="1"/>
                <w:color w:val="auto"/>
              </w:rPr>
              <w:t>Note 10</w:t>
            </w:r>
          </w:p>
        </w:tc>
        <w:tc>
          <w:tcPr>
            <w:tcW w:w="5240" w:type="dxa"/>
            <w:vAlign w:val="bottom"/>
          </w:tcPr>
          <w:p>
            <w:pPr>
              <w:ind w:left="20"/>
              <w:spacing w:after="0"/>
              <w:rPr>
                <w:sz w:val="20"/>
                <w:szCs w:val="20"/>
                <w:color w:val="auto"/>
              </w:rPr>
            </w:pPr>
            <w:r>
              <w:rPr>
                <w:rFonts w:ascii="Arial" w:cs="Arial" w:eastAsia="Arial" w:hAnsi="Arial"/>
                <w:sz w:val="18"/>
                <w:szCs w:val="18"/>
                <w:b w:val="1"/>
                <w:bCs w:val="1"/>
                <w:color w:val="auto"/>
              </w:rPr>
              <w:t>Receivables</w:t>
            </w:r>
          </w:p>
        </w:tc>
        <w:tc>
          <w:tcPr>
            <w:tcW w:w="1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32"/>
        </w:trPr>
        <w:tc>
          <w:tcPr>
            <w:tcW w:w="6380" w:type="dxa"/>
            <w:vAlign w:val="bottom"/>
            <w:gridSpan w:val="2"/>
          </w:tcPr>
          <w:p>
            <w:pPr>
              <w:ind w:left="440"/>
              <w:spacing w:after="0"/>
              <w:rPr>
                <w:sz w:val="20"/>
                <w:szCs w:val="20"/>
                <w:color w:val="auto"/>
              </w:rPr>
            </w:pPr>
            <w:r>
              <w:rPr>
                <w:rFonts w:ascii="Arial" w:cs="Arial" w:eastAsia="Arial" w:hAnsi="Arial"/>
                <w:sz w:val="18"/>
                <w:szCs w:val="18"/>
                <w:color w:val="auto"/>
              </w:rPr>
              <w:t>Receivables consisted of the following at the dates indicated:</w:t>
            </w:r>
          </w:p>
        </w:tc>
        <w:tc>
          <w:tcPr>
            <w:tcW w:w="1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3"/>
        </w:trPr>
        <w:tc>
          <w:tcPr>
            <w:tcW w:w="114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jc w:val="right"/>
              <w:ind w:right="112"/>
              <w:spacing w:after="0"/>
              <w:rPr>
                <w:sz w:val="20"/>
                <w:szCs w:val="20"/>
                <w:color w:val="auto"/>
              </w:rPr>
            </w:pPr>
            <w:r>
              <w:rPr>
                <w:rFonts w:ascii="Arial" w:cs="Arial" w:eastAsia="Arial" w:hAnsi="Arial"/>
                <w:sz w:val="18"/>
                <w:szCs w:val="18"/>
                <w:b w:val="1"/>
                <w:bCs w:val="1"/>
                <w:color w:val="auto"/>
                <w:w w:val="90"/>
              </w:rPr>
              <w:t>September 30,</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w:t>
            </w:r>
          </w:p>
        </w:tc>
      </w:tr>
      <w:tr>
        <w:trPr>
          <w:trHeight w:val="237"/>
        </w:trPr>
        <w:tc>
          <w:tcPr>
            <w:tcW w:w="114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2"/>
              <w:spacing w:after="0"/>
              <w:rPr>
                <w:sz w:val="20"/>
                <w:szCs w:val="20"/>
                <w:color w:val="auto"/>
              </w:rPr>
            </w:pPr>
            <w:r>
              <w:rPr>
                <w:rFonts w:ascii="Arial" w:cs="Arial" w:eastAsia="Arial" w:hAnsi="Arial"/>
                <w:sz w:val="18"/>
                <w:szCs w:val="18"/>
                <w:b w:val="1"/>
                <w:bCs w:val="1"/>
                <w:color w:val="auto"/>
              </w:rPr>
              <w:t>2009</w:t>
            </w:r>
          </w:p>
        </w:tc>
        <w:tc>
          <w:tcPr>
            <w:tcW w:w="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2"/>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20"/>
                <w:szCs w:val="20"/>
                <w:color w:val="auto"/>
              </w:rPr>
            </w:pPr>
          </w:p>
        </w:tc>
      </w:tr>
      <w:tr>
        <w:trPr>
          <w:trHeight w:val="243"/>
        </w:trPr>
        <w:tc>
          <w:tcPr>
            <w:tcW w:w="638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Accounts receivable by segment:</w:t>
            </w:r>
          </w:p>
        </w:tc>
        <w:tc>
          <w:tcPr>
            <w:tcW w:w="164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1340" w:type="dxa"/>
            <w:vAlign w:val="bottom"/>
            <w:shd w:val="clear" w:color="auto" w:fill="EAF9E8"/>
          </w:tcPr>
          <w:p>
            <w:pPr>
              <w:spacing w:after="0"/>
              <w:rPr>
                <w:sz w:val="21"/>
                <w:szCs w:val="21"/>
                <w:color w:val="auto"/>
              </w:rPr>
            </w:pPr>
          </w:p>
        </w:tc>
        <w:tc>
          <w:tcPr>
            <w:tcW w:w="34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32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r>
      <w:tr>
        <w:trPr>
          <w:trHeight w:val="242"/>
        </w:trPr>
        <w:tc>
          <w:tcPr>
            <w:tcW w:w="6380" w:type="dxa"/>
            <w:vAlign w:val="bottom"/>
            <w:gridSpan w:val="2"/>
          </w:tcPr>
          <w:p>
            <w:pPr>
              <w:ind w:left="160"/>
              <w:spacing w:after="0"/>
              <w:rPr>
                <w:sz w:val="20"/>
                <w:szCs w:val="20"/>
                <w:color w:val="auto"/>
              </w:rPr>
            </w:pPr>
            <w:r>
              <w:rPr>
                <w:rFonts w:ascii="Arial" w:cs="Arial" w:eastAsia="Arial" w:hAnsi="Arial"/>
                <w:sz w:val="18"/>
                <w:szCs w:val="18"/>
                <w:color w:val="auto"/>
              </w:rPr>
              <w:t>Servicing, net (1)</w:t>
            </w:r>
          </w:p>
        </w:tc>
        <w:tc>
          <w:tcPr>
            <w:tcW w:w="17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8,140</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6,495</w:t>
            </w:r>
          </w:p>
        </w:tc>
      </w:tr>
      <w:tr>
        <w:trPr>
          <w:trHeight w:val="244"/>
        </w:trPr>
        <w:tc>
          <w:tcPr>
            <w:tcW w:w="638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Loans and Residuals</w:t>
            </w:r>
          </w:p>
        </w:tc>
        <w:tc>
          <w:tcPr>
            <w:tcW w:w="164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13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1,145</w:t>
            </w:r>
          </w:p>
        </w:tc>
        <w:tc>
          <w:tcPr>
            <w:tcW w:w="34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4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1,169</w:t>
            </w:r>
          </w:p>
        </w:tc>
      </w:tr>
      <w:tr>
        <w:trPr>
          <w:trHeight w:val="242"/>
        </w:trPr>
        <w:tc>
          <w:tcPr>
            <w:tcW w:w="6380" w:type="dxa"/>
            <w:vAlign w:val="bottom"/>
            <w:gridSpan w:val="2"/>
          </w:tcPr>
          <w:p>
            <w:pPr>
              <w:ind w:left="160"/>
              <w:spacing w:after="0"/>
              <w:rPr>
                <w:sz w:val="20"/>
                <w:szCs w:val="20"/>
                <w:color w:val="auto"/>
              </w:rPr>
            </w:pPr>
            <w:r>
              <w:rPr>
                <w:rFonts w:ascii="Arial" w:cs="Arial" w:eastAsia="Arial" w:hAnsi="Arial"/>
                <w:sz w:val="18"/>
                <w:szCs w:val="18"/>
                <w:color w:val="auto"/>
              </w:rPr>
              <w:t>Asset Management Vehicles</w:t>
            </w:r>
          </w:p>
        </w:tc>
        <w:tc>
          <w:tcPr>
            <w:tcW w:w="1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464</w:t>
            </w: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1,171</w:t>
            </w:r>
          </w:p>
        </w:tc>
      </w:tr>
      <w:tr>
        <w:trPr>
          <w:trHeight w:val="244"/>
        </w:trPr>
        <w:tc>
          <w:tcPr>
            <w:tcW w:w="638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Mortgage Services</w:t>
            </w:r>
          </w:p>
        </w:tc>
        <w:tc>
          <w:tcPr>
            <w:tcW w:w="164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13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71</w:t>
            </w:r>
          </w:p>
        </w:tc>
        <w:tc>
          <w:tcPr>
            <w:tcW w:w="34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4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2,668</w:t>
            </w:r>
          </w:p>
        </w:tc>
      </w:tr>
      <w:tr>
        <w:trPr>
          <w:trHeight w:val="242"/>
        </w:trPr>
        <w:tc>
          <w:tcPr>
            <w:tcW w:w="6380" w:type="dxa"/>
            <w:vAlign w:val="bottom"/>
            <w:gridSpan w:val="2"/>
          </w:tcPr>
          <w:p>
            <w:pPr>
              <w:ind w:left="160"/>
              <w:spacing w:after="0"/>
              <w:rPr>
                <w:sz w:val="20"/>
                <w:szCs w:val="20"/>
                <w:color w:val="auto"/>
              </w:rPr>
            </w:pPr>
            <w:r>
              <w:rPr>
                <w:rFonts w:ascii="Arial" w:cs="Arial" w:eastAsia="Arial" w:hAnsi="Arial"/>
                <w:sz w:val="18"/>
                <w:szCs w:val="18"/>
                <w:color w:val="auto"/>
              </w:rPr>
              <w:t>Financial Services</w:t>
            </w:r>
          </w:p>
        </w:tc>
        <w:tc>
          <w:tcPr>
            <w:tcW w:w="1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5,747</w:t>
            </w:r>
          </w:p>
        </w:tc>
      </w:tr>
      <w:tr>
        <w:trPr>
          <w:trHeight w:val="244"/>
        </w:trPr>
        <w:tc>
          <w:tcPr>
            <w:tcW w:w="638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Technology Products</w:t>
            </w:r>
          </w:p>
        </w:tc>
        <w:tc>
          <w:tcPr>
            <w:tcW w:w="164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13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4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975</w:t>
            </w:r>
          </w:p>
        </w:tc>
      </w:tr>
      <w:tr>
        <w:trPr>
          <w:trHeight w:val="250"/>
        </w:trPr>
        <w:tc>
          <w:tcPr>
            <w:tcW w:w="6380" w:type="dxa"/>
            <w:vAlign w:val="bottom"/>
            <w:gridSpan w:val="2"/>
          </w:tcPr>
          <w:p>
            <w:pPr>
              <w:ind w:left="160"/>
              <w:spacing w:after="0"/>
              <w:rPr>
                <w:sz w:val="20"/>
                <w:szCs w:val="20"/>
                <w:color w:val="auto"/>
              </w:rPr>
            </w:pPr>
            <w:r>
              <w:rPr>
                <w:rFonts w:ascii="Arial" w:cs="Arial" w:eastAsia="Arial" w:hAnsi="Arial"/>
                <w:sz w:val="18"/>
                <w:szCs w:val="18"/>
                <w:color w:val="auto"/>
              </w:rPr>
              <w:t>Corporate Items and Other, net (2)</w:t>
            </w:r>
          </w:p>
        </w:tc>
        <w:tc>
          <w:tcPr>
            <w:tcW w:w="16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9,715</w:t>
            </w:r>
          </w:p>
        </w:tc>
        <w:tc>
          <w:tcPr>
            <w:tcW w:w="3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13,593</w:t>
            </w:r>
          </w:p>
        </w:tc>
        <w:tc>
          <w:tcPr>
            <w:tcW w:w="100" w:type="dxa"/>
            <w:vAlign w:val="bottom"/>
          </w:tcPr>
          <w:p>
            <w:pPr>
              <w:spacing w:after="0"/>
              <w:rPr>
                <w:sz w:val="21"/>
                <w:szCs w:val="21"/>
                <w:color w:val="auto"/>
              </w:rPr>
            </w:pPr>
          </w:p>
        </w:tc>
      </w:tr>
      <w:tr>
        <w:trPr>
          <w:trHeight w:val="243"/>
        </w:trPr>
        <w:tc>
          <w:tcPr>
            <w:tcW w:w="1140" w:type="dxa"/>
            <w:vAlign w:val="bottom"/>
            <w:shd w:val="clear" w:color="auto" w:fill="EAF9E8"/>
          </w:tcPr>
          <w:p>
            <w:pPr>
              <w:spacing w:after="0"/>
              <w:rPr>
                <w:sz w:val="21"/>
                <w:szCs w:val="21"/>
                <w:color w:val="auto"/>
              </w:rPr>
            </w:pPr>
          </w:p>
        </w:tc>
        <w:tc>
          <w:tcPr>
            <w:tcW w:w="5240" w:type="dxa"/>
            <w:vAlign w:val="bottom"/>
            <w:shd w:val="clear" w:color="auto" w:fill="EAF9E8"/>
          </w:tcPr>
          <w:p>
            <w:pPr>
              <w:spacing w:after="0"/>
              <w:rPr>
                <w:sz w:val="21"/>
                <w:szCs w:val="21"/>
                <w:color w:val="auto"/>
              </w:rPr>
            </w:pPr>
          </w:p>
        </w:tc>
        <w:tc>
          <w:tcPr>
            <w:tcW w:w="164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13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19,535</w:t>
            </w:r>
          </w:p>
        </w:tc>
        <w:tc>
          <w:tcPr>
            <w:tcW w:w="34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4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31,818</w:t>
            </w:r>
          </w:p>
        </w:tc>
      </w:tr>
      <w:tr>
        <w:trPr>
          <w:trHeight w:val="242"/>
        </w:trPr>
        <w:tc>
          <w:tcPr>
            <w:tcW w:w="6380" w:type="dxa"/>
            <w:vAlign w:val="bottom"/>
            <w:gridSpan w:val="2"/>
          </w:tcPr>
          <w:p>
            <w:pPr>
              <w:spacing w:after="0"/>
              <w:rPr>
                <w:sz w:val="20"/>
                <w:szCs w:val="20"/>
                <w:color w:val="auto"/>
              </w:rPr>
            </w:pPr>
            <w:r>
              <w:rPr>
                <w:rFonts w:ascii="Arial" w:cs="Arial" w:eastAsia="Arial" w:hAnsi="Arial"/>
                <w:sz w:val="18"/>
                <w:szCs w:val="18"/>
                <w:color w:val="auto"/>
              </w:rPr>
              <w:t>Other receivables:</w:t>
            </w:r>
          </w:p>
        </w:tc>
        <w:tc>
          <w:tcPr>
            <w:tcW w:w="1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4"/>
        </w:trPr>
        <w:tc>
          <w:tcPr>
            <w:tcW w:w="1140" w:type="dxa"/>
            <w:vAlign w:val="bottom"/>
            <w:shd w:val="clear" w:color="auto" w:fill="EAF9E8"/>
          </w:tcPr>
          <w:p>
            <w:pPr>
              <w:ind w:left="160"/>
              <w:spacing w:after="0"/>
              <w:rPr>
                <w:sz w:val="20"/>
                <w:szCs w:val="20"/>
                <w:color w:val="auto"/>
              </w:rPr>
            </w:pPr>
            <w:r>
              <w:rPr>
                <w:rFonts w:ascii="Arial" w:cs="Arial" w:eastAsia="Arial" w:hAnsi="Arial"/>
                <w:sz w:val="18"/>
                <w:szCs w:val="18"/>
                <w:color w:val="auto"/>
                <w:w w:val="88"/>
              </w:rPr>
              <w:t>Term note (3)</w:t>
            </w:r>
          </w:p>
        </w:tc>
        <w:tc>
          <w:tcPr>
            <w:tcW w:w="5240" w:type="dxa"/>
            <w:vAlign w:val="bottom"/>
            <w:shd w:val="clear" w:color="auto" w:fill="EAF9E8"/>
          </w:tcPr>
          <w:p>
            <w:pPr>
              <w:spacing w:after="0"/>
              <w:rPr>
                <w:sz w:val="21"/>
                <w:szCs w:val="21"/>
                <w:color w:val="auto"/>
              </w:rPr>
            </w:pPr>
          </w:p>
        </w:tc>
        <w:tc>
          <w:tcPr>
            <w:tcW w:w="164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13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7,000</w:t>
            </w:r>
          </w:p>
        </w:tc>
        <w:tc>
          <w:tcPr>
            <w:tcW w:w="34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4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r>
      <w:tr>
        <w:trPr>
          <w:trHeight w:val="242"/>
        </w:trPr>
        <w:tc>
          <w:tcPr>
            <w:tcW w:w="6380" w:type="dxa"/>
            <w:vAlign w:val="bottom"/>
            <w:gridSpan w:val="2"/>
          </w:tcPr>
          <w:p>
            <w:pPr>
              <w:ind w:left="160"/>
              <w:spacing w:after="0"/>
              <w:rPr>
                <w:sz w:val="20"/>
                <w:szCs w:val="20"/>
                <w:color w:val="auto"/>
              </w:rPr>
            </w:pPr>
            <w:r>
              <w:rPr>
                <w:rFonts w:ascii="Arial" w:cs="Arial" w:eastAsia="Arial" w:hAnsi="Arial"/>
                <w:sz w:val="18"/>
                <w:szCs w:val="18"/>
                <w:color w:val="auto"/>
              </w:rPr>
              <w:t>Security deposits</w:t>
            </w:r>
          </w:p>
        </w:tc>
        <w:tc>
          <w:tcPr>
            <w:tcW w:w="1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4,144</w:t>
            </w: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4,645</w:t>
            </w:r>
          </w:p>
        </w:tc>
      </w:tr>
      <w:tr>
        <w:trPr>
          <w:trHeight w:val="244"/>
        </w:trPr>
        <w:tc>
          <w:tcPr>
            <w:tcW w:w="1140" w:type="dxa"/>
            <w:vAlign w:val="bottom"/>
            <w:shd w:val="clear" w:color="auto" w:fill="EAF9E8"/>
          </w:tcPr>
          <w:p>
            <w:pPr>
              <w:ind w:left="160"/>
              <w:spacing w:after="0"/>
              <w:rPr>
                <w:sz w:val="20"/>
                <w:szCs w:val="20"/>
                <w:color w:val="auto"/>
              </w:rPr>
            </w:pPr>
            <w:r>
              <w:rPr>
                <w:rFonts w:ascii="Arial" w:cs="Arial" w:eastAsia="Arial" w:hAnsi="Arial"/>
                <w:sz w:val="18"/>
                <w:szCs w:val="18"/>
                <w:color w:val="auto"/>
                <w:w w:val="89"/>
              </w:rPr>
              <w:t>Income taxes</w:t>
            </w:r>
          </w:p>
        </w:tc>
        <w:tc>
          <w:tcPr>
            <w:tcW w:w="5240" w:type="dxa"/>
            <w:vAlign w:val="bottom"/>
            <w:shd w:val="clear" w:color="auto" w:fill="EAF9E8"/>
          </w:tcPr>
          <w:p>
            <w:pPr>
              <w:spacing w:after="0"/>
              <w:rPr>
                <w:sz w:val="21"/>
                <w:szCs w:val="21"/>
                <w:color w:val="auto"/>
              </w:rPr>
            </w:pPr>
          </w:p>
        </w:tc>
        <w:tc>
          <w:tcPr>
            <w:tcW w:w="164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13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4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5,386</w:t>
            </w:r>
          </w:p>
        </w:tc>
      </w:tr>
      <w:tr>
        <w:trPr>
          <w:trHeight w:val="250"/>
        </w:trPr>
        <w:tc>
          <w:tcPr>
            <w:tcW w:w="1140" w:type="dxa"/>
            <w:vAlign w:val="bottom"/>
          </w:tcPr>
          <w:p>
            <w:pPr>
              <w:ind w:left="160"/>
              <w:spacing w:after="0"/>
              <w:rPr>
                <w:sz w:val="20"/>
                <w:szCs w:val="20"/>
                <w:color w:val="auto"/>
              </w:rPr>
            </w:pPr>
            <w:r>
              <w:rPr>
                <w:rFonts w:ascii="Arial" w:cs="Arial" w:eastAsia="Arial" w:hAnsi="Arial"/>
                <w:sz w:val="18"/>
                <w:szCs w:val="18"/>
                <w:color w:val="auto"/>
              </w:rPr>
              <w:t>Other</w:t>
            </w:r>
          </w:p>
        </w:tc>
        <w:tc>
          <w:tcPr>
            <w:tcW w:w="524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2,456</w:t>
            </w:r>
          </w:p>
        </w:tc>
        <w:tc>
          <w:tcPr>
            <w:tcW w:w="3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949</w:t>
            </w:r>
          </w:p>
        </w:tc>
        <w:tc>
          <w:tcPr>
            <w:tcW w:w="100" w:type="dxa"/>
            <w:vAlign w:val="bottom"/>
          </w:tcPr>
          <w:p>
            <w:pPr>
              <w:spacing w:after="0"/>
              <w:rPr>
                <w:sz w:val="21"/>
                <w:szCs w:val="21"/>
                <w:color w:val="auto"/>
              </w:rPr>
            </w:pPr>
          </w:p>
        </w:tc>
      </w:tr>
      <w:tr>
        <w:trPr>
          <w:trHeight w:val="243"/>
        </w:trPr>
        <w:tc>
          <w:tcPr>
            <w:tcW w:w="1140" w:type="dxa"/>
            <w:vAlign w:val="bottom"/>
            <w:shd w:val="clear" w:color="auto" w:fill="EAF9E8"/>
          </w:tcPr>
          <w:p>
            <w:pPr>
              <w:spacing w:after="0"/>
              <w:rPr>
                <w:sz w:val="21"/>
                <w:szCs w:val="21"/>
                <w:color w:val="auto"/>
              </w:rPr>
            </w:pPr>
          </w:p>
        </w:tc>
        <w:tc>
          <w:tcPr>
            <w:tcW w:w="5240" w:type="dxa"/>
            <w:vAlign w:val="bottom"/>
            <w:shd w:val="clear" w:color="auto" w:fill="EAF9E8"/>
          </w:tcPr>
          <w:p>
            <w:pPr>
              <w:spacing w:after="0"/>
              <w:rPr>
                <w:sz w:val="21"/>
                <w:szCs w:val="21"/>
                <w:color w:val="auto"/>
              </w:rPr>
            </w:pPr>
          </w:p>
        </w:tc>
        <w:tc>
          <w:tcPr>
            <w:tcW w:w="178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w:t>
            </w:r>
          </w:p>
        </w:tc>
        <w:tc>
          <w:tcPr>
            <w:tcW w:w="13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33,135</w:t>
            </w:r>
          </w:p>
        </w:tc>
        <w:tc>
          <w:tcPr>
            <w:tcW w:w="50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42,798</w:t>
            </w:r>
          </w:p>
        </w:tc>
      </w:tr>
      <w:tr>
        <w:trPr>
          <w:trHeight w:val="20"/>
        </w:trPr>
        <w:tc>
          <w:tcPr>
            <w:tcW w:w="114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ind w:left="580" w:right="220" w:hanging="572"/>
        <w:spacing w:after="0" w:line="268" w:lineRule="auto"/>
        <w:tabs>
          <w:tab w:leader="none" w:pos="5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balances primarily include reimbursable expenses due from investors. The total balance of receivables for this segment is net of reserves of $2,398 and $1,604 at September 30, 2009 and December 31, 2008, respectively.</w:t>
      </w:r>
    </w:p>
    <w:p>
      <w:pPr>
        <w:spacing w:after="0" w:line="212" w:lineRule="exact"/>
        <w:rPr>
          <w:rFonts w:ascii="Arial" w:cs="Arial" w:eastAsia="Arial" w:hAnsi="Arial"/>
          <w:sz w:val="18"/>
          <w:szCs w:val="18"/>
          <w:color w:val="auto"/>
        </w:rPr>
      </w:pPr>
    </w:p>
    <w:p>
      <w:pPr>
        <w:ind w:left="580" w:right="60" w:hanging="572"/>
        <w:spacing w:after="0" w:line="255" w:lineRule="auto"/>
        <w:tabs>
          <w:tab w:leader="none" w:pos="5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balances at September 30, 2009 and December 31, 2008 include $5,384 and $8,286, respectively, of mortgage loans originated by BOK. These loans were net of allowances of $197 and $1,392, respectively. The balances at September 30, 2009 and December 31, 2008 also include receivables totaling $1,698 and $3,324, respectively, that primarily represent payments to be received in future years (through June 2014) of proceeds from the sales of investments in affordable housing properties. These affordable housing receivables are net of reserves for doubtful accounts of $6,517 and $6,400, respectively.</w:t>
      </w:r>
    </w:p>
    <w:p>
      <w:pPr>
        <w:spacing w:after="0" w:line="223" w:lineRule="exact"/>
        <w:rPr>
          <w:rFonts w:ascii="Arial" w:cs="Arial" w:eastAsia="Arial" w:hAnsi="Arial"/>
          <w:sz w:val="18"/>
          <w:szCs w:val="18"/>
          <w:color w:val="auto"/>
        </w:rPr>
      </w:pPr>
    </w:p>
    <w:p>
      <w:pPr>
        <w:ind w:left="580" w:right="260" w:hanging="572"/>
        <w:spacing w:after="0" w:line="256" w:lineRule="auto"/>
        <w:tabs>
          <w:tab w:leader="none" w:pos="5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March 2009, we issued a note receivable, maturing on April 1, 2014, in connection with advances funded by the Ocwen Servicer Advance Funding, LLC (OSAF) term note pledged as collateral, as described in Note 14. We receive 1-Month LIBOR plus 300 basis points under the terms of this note receivable. We are obligated to pay 1-Month LIBOR plus 350 basis points under the terms of a five-year note payable to the same counterparty. We do not have a contractual right to offset these payments.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28"/>
        </w:trPr>
        <w:tc>
          <w:tcPr>
            <w:tcW w:w="860" w:type="dxa"/>
            <w:vAlign w:val="bottom"/>
          </w:tcPr>
          <w:p>
            <w:pPr>
              <w:spacing w:after="0"/>
              <w:rPr>
                <w:sz w:val="20"/>
                <w:szCs w:val="20"/>
                <w:color w:val="auto"/>
              </w:rPr>
            </w:pPr>
            <w:r>
              <w:rPr>
                <w:rFonts w:ascii="Arial" w:cs="Arial" w:eastAsia="Arial" w:hAnsi="Arial"/>
                <w:sz w:val="18"/>
                <w:szCs w:val="18"/>
                <w:b w:val="1"/>
                <w:bCs w:val="1"/>
                <w:color w:val="auto"/>
              </w:rPr>
              <w:t>Note 11</w:t>
            </w:r>
          </w:p>
        </w:tc>
        <w:tc>
          <w:tcPr>
            <w:tcW w:w="7160" w:type="dxa"/>
            <w:vAlign w:val="bottom"/>
          </w:tcPr>
          <w:p>
            <w:pPr>
              <w:ind w:left="300"/>
              <w:spacing w:after="0"/>
              <w:rPr>
                <w:sz w:val="20"/>
                <w:szCs w:val="20"/>
                <w:color w:val="auto"/>
              </w:rPr>
            </w:pPr>
            <w:r>
              <w:rPr>
                <w:rFonts w:ascii="Arial" w:cs="Arial" w:eastAsia="Arial" w:hAnsi="Arial"/>
                <w:sz w:val="18"/>
                <w:szCs w:val="18"/>
                <w:b w:val="1"/>
                <w:bCs w:val="1"/>
                <w:color w:val="auto"/>
              </w:rPr>
              <w:t>Investment in Unconsolidated Entities</w:t>
            </w: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60"/>
        </w:trPr>
        <w:tc>
          <w:tcPr>
            <w:tcW w:w="860" w:type="dxa"/>
            <w:vAlign w:val="bottom"/>
          </w:tcPr>
          <w:p>
            <w:pPr>
              <w:spacing w:after="0"/>
              <w:rPr>
                <w:sz w:val="24"/>
                <w:szCs w:val="24"/>
                <w:color w:val="auto"/>
              </w:rPr>
            </w:pPr>
          </w:p>
        </w:tc>
        <w:tc>
          <w:tcPr>
            <w:tcW w:w="7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jc w:val="right"/>
              <w:ind w:right="112"/>
              <w:spacing w:after="0"/>
              <w:rPr>
                <w:sz w:val="20"/>
                <w:szCs w:val="20"/>
                <w:color w:val="auto"/>
              </w:rPr>
            </w:pPr>
            <w:r>
              <w:rPr>
                <w:rFonts w:ascii="Arial" w:cs="Arial" w:eastAsia="Arial" w:hAnsi="Arial"/>
                <w:sz w:val="18"/>
                <w:szCs w:val="18"/>
                <w:b w:val="1"/>
                <w:bCs w:val="1"/>
                <w:color w:val="auto"/>
                <w:w w:val="90"/>
              </w:rPr>
              <w:t>September 30,</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w:t>
            </w:r>
          </w:p>
        </w:tc>
      </w:tr>
      <w:tr>
        <w:trPr>
          <w:trHeight w:val="237"/>
        </w:trPr>
        <w:tc>
          <w:tcPr>
            <w:tcW w:w="860" w:type="dxa"/>
            <w:vAlign w:val="bottom"/>
          </w:tcPr>
          <w:p>
            <w:pPr>
              <w:spacing w:after="0"/>
              <w:rPr>
                <w:sz w:val="20"/>
                <w:szCs w:val="20"/>
                <w:color w:val="auto"/>
              </w:rPr>
            </w:pPr>
          </w:p>
        </w:tc>
        <w:tc>
          <w:tcPr>
            <w:tcW w:w="7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2"/>
              <w:spacing w:after="0"/>
              <w:rPr>
                <w:sz w:val="20"/>
                <w:szCs w:val="20"/>
                <w:color w:val="auto"/>
              </w:rPr>
            </w:pPr>
            <w:r>
              <w:rPr>
                <w:rFonts w:ascii="Arial" w:cs="Arial" w:eastAsia="Arial" w:hAnsi="Arial"/>
                <w:sz w:val="18"/>
                <w:szCs w:val="18"/>
                <w:b w:val="1"/>
                <w:bCs w:val="1"/>
                <w:color w:val="auto"/>
              </w:rPr>
              <w:t>2009</w:t>
            </w:r>
          </w:p>
        </w:tc>
        <w:tc>
          <w:tcPr>
            <w:tcW w:w="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2"/>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20"/>
                <w:szCs w:val="20"/>
                <w:color w:val="auto"/>
              </w:rPr>
            </w:pPr>
          </w:p>
        </w:tc>
      </w:tr>
      <w:tr>
        <w:trPr>
          <w:trHeight w:val="243"/>
        </w:trPr>
        <w:tc>
          <w:tcPr>
            <w:tcW w:w="802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Asset Management Vehicles:</w:t>
            </w:r>
          </w:p>
        </w:tc>
        <w:tc>
          <w:tcPr>
            <w:tcW w:w="140" w:type="dxa"/>
            <w:vAlign w:val="bottom"/>
            <w:shd w:val="clear" w:color="auto" w:fill="EAF9E8"/>
          </w:tcPr>
          <w:p>
            <w:pPr>
              <w:spacing w:after="0"/>
              <w:rPr>
                <w:sz w:val="21"/>
                <w:szCs w:val="21"/>
                <w:color w:val="auto"/>
              </w:rPr>
            </w:pPr>
          </w:p>
        </w:tc>
        <w:tc>
          <w:tcPr>
            <w:tcW w:w="1340" w:type="dxa"/>
            <w:vAlign w:val="bottom"/>
            <w:shd w:val="clear" w:color="auto" w:fill="EAF9E8"/>
          </w:tcPr>
          <w:p>
            <w:pPr>
              <w:spacing w:after="0"/>
              <w:rPr>
                <w:sz w:val="21"/>
                <w:szCs w:val="21"/>
                <w:color w:val="auto"/>
              </w:rPr>
            </w:pPr>
          </w:p>
        </w:tc>
        <w:tc>
          <w:tcPr>
            <w:tcW w:w="34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32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r>
      <w:tr>
        <w:trPr>
          <w:trHeight w:val="242"/>
        </w:trPr>
        <w:tc>
          <w:tcPr>
            <w:tcW w:w="8020" w:type="dxa"/>
            <w:vAlign w:val="bottom"/>
            <w:gridSpan w:val="2"/>
          </w:tcPr>
          <w:p>
            <w:pPr>
              <w:ind w:left="160"/>
              <w:spacing w:after="0"/>
              <w:rPr>
                <w:sz w:val="20"/>
                <w:szCs w:val="20"/>
                <w:color w:val="auto"/>
              </w:rPr>
            </w:pPr>
            <w:r>
              <w:rPr>
                <w:rFonts w:ascii="Arial" w:cs="Arial" w:eastAsia="Arial" w:hAnsi="Arial"/>
                <w:sz w:val="18"/>
                <w:szCs w:val="18"/>
                <w:color w:val="auto"/>
              </w:rPr>
              <w:t>Investment in OSI (1)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10,140</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15,410</w:t>
            </w:r>
          </w:p>
        </w:tc>
      </w:tr>
      <w:tr>
        <w:trPr>
          <w:trHeight w:val="244"/>
        </w:trPr>
        <w:tc>
          <w:tcPr>
            <w:tcW w:w="802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Investment in ONL and affiliates (2)</w:t>
            </w:r>
          </w:p>
        </w:tc>
        <w:tc>
          <w:tcPr>
            <w:tcW w:w="140" w:type="dxa"/>
            <w:vAlign w:val="bottom"/>
            <w:shd w:val="clear" w:color="auto" w:fill="EAF9E8"/>
          </w:tcPr>
          <w:p>
            <w:pPr>
              <w:spacing w:after="0"/>
              <w:rPr>
                <w:sz w:val="21"/>
                <w:szCs w:val="21"/>
                <w:color w:val="auto"/>
              </w:rPr>
            </w:pPr>
          </w:p>
        </w:tc>
        <w:tc>
          <w:tcPr>
            <w:tcW w:w="13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8,545</w:t>
            </w:r>
          </w:p>
        </w:tc>
        <w:tc>
          <w:tcPr>
            <w:tcW w:w="34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4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10,174</w:t>
            </w:r>
          </w:p>
        </w:tc>
      </w:tr>
      <w:tr>
        <w:trPr>
          <w:trHeight w:val="20"/>
        </w:trPr>
        <w:tc>
          <w:tcPr>
            <w:tcW w:w="86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860" w:type="dxa"/>
            <w:vAlign w:val="bottom"/>
          </w:tcPr>
          <w:p>
            <w:pPr>
              <w:spacing w:after="0"/>
              <w:rPr>
                <w:sz w:val="19"/>
                <w:szCs w:val="19"/>
                <w:color w:val="auto"/>
              </w:rPr>
            </w:pPr>
          </w:p>
        </w:tc>
        <w:tc>
          <w:tcPr>
            <w:tcW w:w="7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18,685</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25,584</w:t>
            </w:r>
          </w:p>
        </w:tc>
      </w:tr>
      <w:tr>
        <w:trPr>
          <w:trHeight w:val="244"/>
        </w:trPr>
        <w:tc>
          <w:tcPr>
            <w:tcW w:w="802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Corporate Items and Other</w:t>
            </w:r>
          </w:p>
        </w:tc>
        <w:tc>
          <w:tcPr>
            <w:tcW w:w="140" w:type="dxa"/>
            <w:vAlign w:val="bottom"/>
            <w:shd w:val="clear" w:color="auto" w:fill="EAF9E8"/>
          </w:tcPr>
          <w:p>
            <w:pPr>
              <w:spacing w:after="0"/>
              <w:rPr>
                <w:sz w:val="21"/>
                <w:szCs w:val="21"/>
                <w:color w:val="auto"/>
              </w:rPr>
            </w:pPr>
          </w:p>
        </w:tc>
        <w:tc>
          <w:tcPr>
            <w:tcW w:w="13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79</w:t>
            </w:r>
          </w:p>
        </w:tc>
        <w:tc>
          <w:tcPr>
            <w:tcW w:w="34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4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79</w:t>
            </w:r>
          </w:p>
        </w:tc>
      </w:tr>
      <w:tr>
        <w:trPr>
          <w:trHeight w:val="20"/>
        </w:trPr>
        <w:tc>
          <w:tcPr>
            <w:tcW w:w="86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860" w:type="dxa"/>
            <w:vAlign w:val="bottom"/>
          </w:tcPr>
          <w:p>
            <w:pPr>
              <w:spacing w:after="0"/>
              <w:rPr>
                <w:sz w:val="20"/>
                <w:szCs w:val="20"/>
                <w:color w:val="auto"/>
              </w:rPr>
            </w:pPr>
          </w:p>
        </w:tc>
        <w:tc>
          <w:tcPr>
            <w:tcW w:w="71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18,764</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25,663</w:t>
            </w:r>
          </w:p>
        </w:tc>
      </w:tr>
      <w:tr>
        <w:trPr>
          <w:trHeight w:val="20"/>
        </w:trPr>
        <w:tc>
          <w:tcPr>
            <w:tcW w:w="86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Equity in earnings (losses) of unconsolidated entities was as follows for the periods ended September 30:</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60" w:type="dxa"/>
            <w:vAlign w:val="bottom"/>
            <w:gridSpan w:val="6"/>
          </w:tcPr>
          <w:p>
            <w:pPr>
              <w:jc w:val="right"/>
              <w:ind w:right="860"/>
              <w:spacing w:after="0"/>
              <w:rPr>
                <w:sz w:val="20"/>
                <w:szCs w:val="20"/>
                <w:color w:val="auto"/>
              </w:rPr>
            </w:pPr>
            <w:r>
              <w:rPr>
                <w:rFonts w:ascii="Arial" w:cs="Arial" w:eastAsia="Arial" w:hAnsi="Arial"/>
                <w:sz w:val="18"/>
                <w:szCs w:val="18"/>
                <w:b w:val="1"/>
                <w:bCs w:val="1"/>
                <w:color w:val="auto"/>
              </w:rPr>
              <w:t>Three months</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rPr>
              <w:t>Nine months</w:t>
            </w: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50"/>
        </w:trPr>
        <w:tc>
          <w:tcPr>
            <w:tcW w:w="6140" w:type="dxa"/>
            <w:vAlign w:val="bottom"/>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2009</w:t>
            </w:r>
          </w:p>
        </w:tc>
        <w:tc>
          <w:tcPr>
            <w:tcW w:w="20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2008</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2009</w:t>
            </w:r>
          </w:p>
        </w:tc>
        <w:tc>
          <w:tcPr>
            <w:tcW w:w="20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72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w w:val="84"/>
              </w:rPr>
              <w:t>2008</w:t>
            </w:r>
          </w:p>
        </w:tc>
        <w:tc>
          <w:tcPr>
            <w:tcW w:w="120" w:type="dxa"/>
            <w:vAlign w:val="bottom"/>
          </w:tcPr>
          <w:p>
            <w:pPr>
              <w:spacing w:after="0"/>
              <w:rPr>
                <w:sz w:val="21"/>
                <w:szCs w:val="21"/>
                <w:color w:val="auto"/>
              </w:rPr>
            </w:pPr>
          </w:p>
        </w:tc>
      </w:tr>
      <w:tr>
        <w:trPr>
          <w:trHeight w:val="243"/>
        </w:trPr>
        <w:tc>
          <w:tcPr>
            <w:tcW w:w="61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OSI (1) (3)</w:t>
            </w:r>
          </w:p>
        </w:tc>
        <w:tc>
          <w:tcPr>
            <w:tcW w:w="220" w:type="dxa"/>
            <w:vAlign w:val="bottom"/>
            <w:shd w:val="clear" w:color="auto" w:fill="EAF9E8"/>
          </w:tcPr>
          <w:p>
            <w:pPr>
              <w:jc w:val="right"/>
              <w:ind w:right="63"/>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(956)</w:t>
            </w:r>
          </w:p>
        </w:tc>
        <w:tc>
          <w:tcPr>
            <w:tcW w:w="36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(1,864)</w:t>
            </w:r>
          </w:p>
        </w:tc>
        <w:tc>
          <w:tcPr>
            <w:tcW w:w="36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(599)</w:t>
            </w:r>
          </w:p>
        </w:tc>
        <w:tc>
          <w:tcPr>
            <w:tcW w:w="48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(3,411)</w:t>
            </w:r>
          </w:p>
        </w:tc>
      </w:tr>
      <w:tr>
        <w:trPr>
          <w:trHeight w:val="242"/>
        </w:trPr>
        <w:tc>
          <w:tcPr>
            <w:tcW w:w="6140" w:type="dxa"/>
            <w:vAlign w:val="bottom"/>
          </w:tcPr>
          <w:p>
            <w:pPr>
              <w:ind w:left="160"/>
              <w:spacing w:after="0"/>
              <w:rPr>
                <w:sz w:val="20"/>
                <w:szCs w:val="20"/>
                <w:color w:val="auto"/>
              </w:rPr>
            </w:pPr>
            <w:r>
              <w:rPr>
                <w:rFonts w:ascii="Arial" w:cs="Arial" w:eastAsia="Arial" w:hAnsi="Arial"/>
                <w:sz w:val="18"/>
                <w:szCs w:val="18"/>
                <w:color w:val="auto"/>
              </w:rPr>
              <w:t>ONL and affiliates (2) (3)</w:t>
            </w:r>
          </w:p>
        </w:tc>
        <w:tc>
          <w:tcPr>
            <w:tcW w:w="220" w:type="dxa"/>
            <w:vAlign w:val="bottom"/>
          </w:tcPr>
          <w:p>
            <w:pPr>
              <w:spacing w:after="0"/>
              <w:rPr>
                <w:sz w:val="21"/>
                <w:szCs w:val="21"/>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(103)</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(1,064)</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(1,009)</w:t>
            </w: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(1,551)</w:t>
            </w:r>
          </w:p>
        </w:tc>
      </w:tr>
      <w:tr>
        <w:trPr>
          <w:trHeight w:val="244"/>
        </w:trPr>
        <w:tc>
          <w:tcPr>
            <w:tcW w:w="61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BMS Holdings (4)</w:t>
            </w:r>
          </w:p>
        </w:tc>
        <w:tc>
          <w:tcPr>
            <w:tcW w:w="220" w:type="dxa"/>
            <w:vAlign w:val="bottom"/>
            <w:shd w:val="clear" w:color="auto" w:fill="EAF9E8"/>
          </w:tcPr>
          <w:p>
            <w:pPr>
              <w:spacing w:after="0"/>
              <w:rPr>
                <w:sz w:val="21"/>
                <w:szCs w:val="21"/>
                <w:color w:val="auto"/>
              </w:rPr>
            </w:pPr>
          </w:p>
        </w:tc>
        <w:tc>
          <w:tcPr>
            <w:tcW w:w="100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EAF9E8"/>
          </w:tcPr>
          <w:p>
            <w:pPr>
              <w:spacing w:after="0"/>
              <w:rPr>
                <w:sz w:val="21"/>
                <w:szCs w:val="21"/>
                <w:color w:val="auto"/>
              </w:rPr>
            </w:pPr>
          </w:p>
        </w:tc>
        <w:tc>
          <w:tcPr>
            <w:tcW w:w="220" w:type="dxa"/>
            <w:vAlign w:val="bottom"/>
            <w:shd w:val="clear" w:color="auto" w:fill="EAF9E8"/>
          </w:tcPr>
          <w:p>
            <w:pPr>
              <w:spacing w:after="0"/>
              <w:rPr>
                <w:sz w:val="21"/>
                <w:szCs w:val="21"/>
                <w:color w:val="auto"/>
              </w:rPr>
            </w:pPr>
          </w:p>
        </w:tc>
        <w:tc>
          <w:tcPr>
            <w:tcW w:w="100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EAF9E8"/>
          </w:tcPr>
          <w:p>
            <w:pPr>
              <w:spacing w:after="0"/>
              <w:rPr>
                <w:sz w:val="21"/>
                <w:szCs w:val="21"/>
                <w:color w:val="auto"/>
              </w:rPr>
            </w:pPr>
          </w:p>
        </w:tc>
        <w:tc>
          <w:tcPr>
            <w:tcW w:w="220" w:type="dxa"/>
            <w:vAlign w:val="bottom"/>
            <w:shd w:val="clear" w:color="auto" w:fill="EAF9E8"/>
          </w:tcPr>
          <w:p>
            <w:pPr>
              <w:spacing w:after="0"/>
              <w:rPr>
                <w:sz w:val="21"/>
                <w:szCs w:val="21"/>
                <w:color w:val="auto"/>
              </w:rPr>
            </w:pPr>
          </w:p>
        </w:tc>
        <w:tc>
          <w:tcPr>
            <w:tcW w:w="102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EAF9E8"/>
          </w:tcPr>
          <w:p>
            <w:pPr>
              <w:spacing w:after="0"/>
              <w:rPr>
                <w:sz w:val="21"/>
                <w:szCs w:val="21"/>
                <w:color w:val="auto"/>
              </w:rPr>
            </w:pPr>
          </w:p>
        </w:tc>
        <w:tc>
          <w:tcPr>
            <w:tcW w:w="340" w:type="dxa"/>
            <w:vAlign w:val="bottom"/>
            <w:shd w:val="clear" w:color="auto" w:fill="EAF9E8"/>
          </w:tcPr>
          <w:p>
            <w:pPr>
              <w:spacing w:after="0"/>
              <w:rPr>
                <w:sz w:val="21"/>
                <w:szCs w:val="21"/>
                <w:color w:val="auto"/>
              </w:rPr>
            </w:pPr>
          </w:p>
        </w:tc>
        <w:tc>
          <w:tcPr>
            <w:tcW w:w="84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(5,666)</w:t>
            </w:r>
          </w:p>
        </w:tc>
      </w:tr>
      <w:tr>
        <w:trPr>
          <w:trHeight w:val="20"/>
        </w:trPr>
        <w:tc>
          <w:tcPr>
            <w:tcW w:w="6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7"/>
        </w:trPr>
        <w:tc>
          <w:tcPr>
            <w:tcW w:w="6140" w:type="dxa"/>
            <w:vAlign w:val="bottom"/>
          </w:tcPr>
          <w:p>
            <w:pPr>
              <w:spacing w:after="0"/>
              <w:rPr>
                <w:sz w:val="20"/>
                <w:szCs w:val="20"/>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(1,059)</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(2,928)</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(1,608)</w:t>
            </w:r>
          </w:p>
        </w:tc>
        <w:tc>
          <w:tcPr>
            <w:tcW w:w="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(10,628)</w:t>
            </w:r>
          </w:p>
        </w:tc>
      </w:tr>
      <w:tr>
        <w:trPr>
          <w:trHeight w:val="20"/>
        </w:trPr>
        <w:tc>
          <w:tcPr>
            <w:tcW w:w="6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8" w:lineRule="exact"/>
        <w:rPr>
          <w:sz w:val="20"/>
          <w:szCs w:val="20"/>
          <w:color w:val="auto"/>
        </w:rPr>
      </w:pPr>
    </w:p>
    <w:p>
      <w:pPr>
        <w:ind w:left="580" w:right="180" w:hanging="572"/>
        <w:spacing w:after="0" w:line="259" w:lineRule="auto"/>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investment in OSI represents a 25% equity interest. OSI invests in the lower tranches and residuals of residential mortgage-backed securities, the related mortgage servicing rights and other similar assets. During the first nine months of 2009, we received distributions from OSI totaling $4,000. We have no remaining commitment to invest in OSI.</w:t>
      </w:r>
    </w:p>
    <w:p>
      <w:pPr>
        <w:spacing w:after="0" w:line="221" w:lineRule="exact"/>
        <w:rPr>
          <w:rFonts w:ascii="Arial" w:cs="Arial" w:eastAsia="Arial" w:hAnsi="Arial"/>
          <w:sz w:val="18"/>
          <w:szCs w:val="18"/>
          <w:color w:val="auto"/>
        </w:rPr>
      </w:pPr>
    </w:p>
    <w:p>
      <w:pPr>
        <w:ind w:left="580" w:right="160" w:hanging="572"/>
        <w:spacing w:after="0" w:line="298" w:lineRule="auto"/>
        <w:tabs>
          <w:tab w:leader="none" w:pos="5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Our investment in ONL and affiliates represent equity interests of approximately 25%. ONL resolves non-performing loans purchased at a discount. An affiliate purchases real estate for sale, including real estate that ONL may obtain through foreclosure. During the first nine months of 2009, we received distributions totaling $496 from ONL and affiliates and invested an additional $62 in these entities. We have a remaining commitment that expires in September 2010, to invest up to an additional $33,840 in ONL and affiliates, collectively.</w:t>
      </w:r>
    </w:p>
    <w:p>
      <w:pPr>
        <w:spacing w:after="0" w:line="193" w:lineRule="exact"/>
        <w:rPr>
          <w:rFonts w:ascii="Arial" w:cs="Arial" w:eastAsia="Arial" w:hAnsi="Arial"/>
          <w:sz w:val="16"/>
          <w:szCs w:val="16"/>
          <w:color w:val="auto"/>
        </w:rPr>
      </w:pPr>
    </w:p>
    <w:p>
      <w:pPr>
        <w:ind w:left="580" w:right="40" w:hanging="572"/>
        <w:spacing w:after="0" w:line="256" w:lineRule="auto"/>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earn loan servicing and management fees from OSI and from ONL and affiliates. In determining the amount of consolidated equity in earnings to recognize, we add back our share of the loan servicing and management fee expense recognized by OSI, ONL and affiliates. For the first nine months of 2009 and 2008, OLS earned fees of $3,401 and $5,539, respectively, from OSI and from ONL and affiliates. On a consolidated basis, we have recognized approximately 75% of the loan servicing and management fee revenue.</w:t>
      </w:r>
    </w:p>
    <w:p>
      <w:pPr>
        <w:spacing w:after="0" w:line="224" w:lineRule="exact"/>
        <w:rPr>
          <w:rFonts w:ascii="Arial" w:cs="Arial" w:eastAsia="Arial" w:hAnsi="Arial"/>
          <w:sz w:val="18"/>
          <w:szCs w:val="18"/>
          <w:color w:val="auto"/>
        </w:rPr>
      </w:pPr>
    </w:p>
    <w:p>
      <w:pPr>
        <w:ind w:left="580" w:right="40" w:hanging="572"/>
        <w:spacing w:after="0" w:line="255" w:lineRule="auto"/>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During the second quarter of 2008, our share of the losses of BMS Holdings reduced our investment to zero. Our investment in BMS Holdings represents an equity interest of approximately 45%. Because we are not required to advance funds to BMS Holdings to finance operations and we are not a guarantor of any obligations of BMS Holdings, we suspended the recognition of losses from our investment in BMS Holdings. We will not resume recording income or losses until our share of BMS Holdings’ earnings exceeds our share of their losses that we did not recognize during the period when the equity method was suspended.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60" w:type="dxa"/>
            <w:vAlign w:val="bottom"/>
          </w:tcPr>
          <w:p>
            <w:pPr>
              <w:spacing w:after="0"/>
              <w:rPr>
                <w:sz w:val="20"/>
                <w:szCs w:val="20"/>
                <w:color w:val="auto"/>
              </w:rPr>
            </w:pPr>
            <w:r>
              <w:rPr>
                <w:rFonts w:ascii="Arial" w:cs="Arial" w:eastAsia="Arial" w:hAnsi="Arial"/>
                <w:sz w:val="18"/>
                <w:szCs w:val="18"/>
                <w:b w:val="1"/>
                <w:bCs w:val="1"/>
                <w:color w:val="auto"/>
              </w:rPr>
              <w:t>Note 12</w:t>
            </w:r>
          </w:p>
        </w:tc>
        <w:tc>
          <w:tcPr>
            <w:tcW w:w="7060" w:type="dxa"/>
            <w:vAlign w:val="bottom"/>
          </w:tcPr>
          <w:p>
            <w:pPr>
              <w:ind w:left="200"/>
              <w:spacing w:after="0"/>
              <w:rPr>
                <w:sz w:val="20"/>
                <w:szCs w:val="20"/>
                <w:color w:val="auto"/>
              </w:rPr>
            </w:pPr>
            <w:r>
              <w:rPr>
                <w:rFonts w:ascii="Arial" w:cs="Arial" w:eastAsia="Arial" w:hAnsi="Arial"/>
                <w:sz w:val="18"/>
                <w:szCs w:val="18"/>
                <w:b w:val="1"/>
                <w:bCs w:val="1"/>
                <w:color w:val="auto"/>
              </w:rPr>
              <w:t>Other Assets</w:t>
            </w: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32"/>
        </w:trPr>
        <w:tc>
          <w:tcPr>
            <w:tcW w:w="8020" w:type="dxa"/>
            <w:vAlign w:val="bottom"/>
            <w:gridSpan w:val="2"/>
          </w:tcPr>
          <w:p>
            <w:pPr>
              <w:ind w:left="440"/>
              <w:spacing w:after="0"/>
              <w:rPr>
                <w:sz w:val="20"/>
                <w:szCs w:val="20"/>
                <w:color w:val="auto"/>
              </w:rPr>
            </w:pPr>
            <w:r>
              <w:rPr>
                <w:rFonts w:ascii="Arial" w:cs="Arial" w:eastAsia="Arial" w:hAnsi="Arial"/>
                <w:sz w:val="18"/>
                <w:szCs w:val="18"/>
                <w:color w:val="auto"/>
              </w:rPr>
              <w:t>Other assets consisted of the following at the dates indicated:</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3"/>
        </w:trPr>
        <w:tc>
          <w:tcPr>
            <w:tcW w:w="960" w:type="dxa"/>
            <w:vAlign w:val="bottom"/>
          </w:tcPr>
          <w:p>
            <w:pPr>
              <w:spacing w:after="0"/>
              <w:rPr>
                <w:sz w:val="24"/>
                <w:szCs w:val="24"/>
                <w:color w:val="auto"/>
              </w:rPr>
            </w:pPr>
          </w:p>
        </w:tc>
        <w:tc>
          <w:tcPr>
            <w:tcW w:w="7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jc w:val="right"/>
              <w:ind w:right="112"/>
              <w:spacing w:after="0"/>
              <w:rPr>
                <w:sz w:val="20"/>
                <w:szCs w:val="20"/>
                <w:color w:val="auto"/>
              </w:rPr>
            </w:pPr>
            <w:r>
              <w:rPr>
                <w:rFonts w:ascii="Arial" w:cs="Arial" w:eastAsia="Arial" w:hAnsi="Arial"/>
                <w:sz w:val="18"/>
                <w:szCs w:val="18"/>
                <w:b w:val="1"/>
                <w:bCs w:val="1"/>
                <w:color w:val="auto"/>
                <w:w w:val="90"/>
              </w:rPr>
              <w:t>September 30,</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w:t>
            </w:r>
          </w:p>
        </w:tc>
      </w:tr>
      <w:tr>
        <w:trPr>
          <w:trHeight w:val="237"/>
        </w:trPr>
        <w:tc>
          <w:tcPr>
            <w:tcW w:w="960" w:type="dxa"/>
            <w:vAlign w:val="bottom"/>
          </w:tcPr>
          <w:p>
            <w:pPr>
              <w:spacing w:after="0"/>
              <w:rPr>
                <w:sz w:val="20"/>
                <w:szCs w:val="20"/>
                <w:color w:val="auto"/>
              </w:rPr>
            </w:pPr>
          </w:p>
        </w:tc>
        <w:tc>
          <w:tcPr>
            <w:tcW w:w="70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2"/>
              <w:spacing w:after="0"/>
              <w:rPr>
                <w:sz w:val="20"/>
                <w:szCs w:val="20"/>
                <w:color w:val="auto"/>
              </w:rPr>
            </w:pPr>
            <w:r>
              <w:rPr>
                <w:rFonts w:ascii="Arial" w:cs="Arial" w:eastAsia="Arial" w:hAnsi="Arial"/>
                <w:sz w:val="18"/>
                <w:szCs w:val="18"/>
                <w:b w:val="1"/>
                <w:bCs w:val="1"/>
                <w:color w:val="auto"/>
              </w:rPr>
              <w:t>2009</w:t>
            </w:r>
          </w:p>
        </w:tc>
        <w:tc>
          <w:tcPr>
            <w:tcW w:w="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2"/>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20"/>
                <w:szCs w:val="20"/>
                <w:color w:val="auto"/>
              </w:rPr>
            </w:pPr>
          </w:p>
        </w:tc>
      </w:tr>
      <w:tr>
        <w:trPr>
          <w:trHeight w:val="243"/>
        </w:trPr>
        <w:tc>
          <w:tcPr>
            <w:tcW w:w="802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Debt service accounts (1)</w:t>
            </w:r>
          </w:p>
        </w:tc>
        <w:tc>
          <w:tcPr>
            <w:tcW w:w="14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39,738</w:t>
            </w:r>
          </w:p>
        </w:tc>
        <w:tc>
          <w:tcPr>
            <w:tcW w:w="50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58,468</w:t>
            </w:r>
          </w:p>
        </w:tc>
      </w:tr>
      <w:tr>
        <w:trPr>
          <w:trHeight w:val="242"/>
        </w:trPr>
        <w:tc>
          <w:tcPr>
            <w:tcW w:w="8020" w:type="dxa"/>
            <w:vAlign w:val="bottom"/>
            <w:gridSpan w:val="2"/>
          </w:tcPr>
          <w:p>
            <w:pPr>
              <w:spacing w:after="0"/>
              <w:rPr>
                <w:sz w:val="20"/>
                <w:szCs w:val="20"/>
                <w:color w:val="auto"/>
              </w:rPr>
            </w:pPr>
            <w:r>
              <w:rPr>
                <w:rFonts w:ascii="Arial" w:cs="Arial" w:eastAsia="Arial" w:hAnsi="Arial"/>
                <w:sz w:val="18"/>
                <w:szCs w:val="18"/>
                <w:color w:val="auto"/>
              </w:rPr>
              <w:t>Deferred debt related costs, net</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9,122</w:t>
            </w: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14,758</w:t>
            </w:r>
          </w:p>
        </w:tc>
      </w:tr>
      <w:tr>
        <w:trPr>
          <w:trHeight w:val="244"/>
        </w:trPr>
        <w:tc>
          <w:tcPr>
            <w:tcW w:w="960" w:type="dxa"/>
            <w:vAlign w:val="bottom"/>
            <w:shd w:val="clear" w:color="auto" w:fill="EAF9E8"/>
          </w:tcPr>
          <w:p>
            <w:pPr>
              <w:spacing w:after="0"/>
              <w:rPr>
                <w:sz w:val="20"/>
                <w:szCs w:val="20"/>
                <w:color w:val="auto"/>
              </w:rPr>
            </w:pPr>
            <w:r>
              <w:rPr>
                <w:rFonts w:ascii="Arial" w:cs="Arial" w:eastAsia="Arial" w:hAnsi="Arial"/>
                <w:sz w:val="18"/>
                <w:szCs w:val="18"/>
                <w:color w:val="auto"/>
              </w:rPr>
              <w:t>Real estate</w:t>
            </w:r>
          </w:p>
        </w:tc>
        <w:tc>
          <w:tcPr>
            <w:tcW w:w="706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13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8,556</w:t>
            </w:r>
          </w:p>
        </w:tc>
        <w:tc>
          <w:tcPr>
            <w:tcW w:w="34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4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7,771</w:t>
            </w:r>
          </w:p>
        </w:tc>
      </w:tr>
      <w:tr>
        <w:trPr>
          <w:trHeight w:val="242"/>
        </w:trPr>
        <w:tc>
          <w:tcPr>
            <w:tcW w:w="8020" w:type="dxa"/>
            <w:vAlign w:val="bottom"/>
            <w:gridSpan w:val="2"/>
          </w:tcPr>
          <w:p>
            <w:pPr>
              <w:spacing w:after="0"/>
              <w:rPr>
                <w:sz w:val="20"/>
                <w:szCs w:val="20"/>
                <w:color w:val="auto"/>
              </w:rPr>
            </w:pPr>
            <w:r>
              <w:rPr>
                <w:rFonts w:ascii="Arial" w:cs="Arial" w:eastAsia="Arial" w:hAnsi="Arial"/>
                <w:sz w:val="18"/>
                <w:szCs w:val="18"/>
                <w:color w:val="auto"/>
              </w:rPr>
              <w:t>Interest earning collateral deposits</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7,612</w:t>
            </w: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9,684</w:t>
            </w:r>
          </w:p>
        </w:tc>
      </w:tr>
      <w:tr>
        <w:trPr>
          <w:trHeight w:val="244"/>
        </w:trPr>
        <w:tc>
          <w:tcPr>
            <w:tcW w:w="802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Prepaid expenses and other</w:t>
            </w:r>
          </w:p>
        </w:tc>
        <w:tc>
          <w:tcPr>
            <w:tcW w:w="140" w:type="dxa"/>
            <w:vAlign w:val="bottom"/>
            <w:shd w:val="clear" w:color="auto" w:fill="EAF9E8"/>
          </w:tcPr>
          <w:p>
            <w:pPr>
              <w:spacing w:after="0"/>
              <w:rPr>
                <w:sz w:val="21"/>
                <w:szCs w:val="21"/>
                <w:color w:val="auto"/>
              </w:rPr>
            </w:pPr>
          </w:p>
        </w:tc>
        <w:tc>
          <w:tcPr>
            <w:tcW w:w="13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2,275</w:t>
            </w:r>
          </w:p>
        </w:tc>
        <w:tc>
          <w:tcPr>
            <w:tcW w:w="34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4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6,907</w:t>
            </w:r>
          </w:p>
        </w:tc>
      </w:tr>
      <w:tr>
        <w:trPr>
          <w:trHeight w:val="20"/>
        </w:trPr>
        <w:tc>
          <w:tcPr>
            <w:tcW w:w="96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960" w:type="dxa"/>
            <w:vAlign w:val="bottom"/>
          </w:tcPr>
          <w:p>
            <w:pPr>
              <w:spacing w:after="0"/>
              <w:rPr>
                <w:sz w:val="20"/>
                <w:szCs w:val="20"/>
                <w:color w:val="auto"/>
              </w:rPr>
            </w:pPr>
          </w:p>
        </w:tc>
        <w:tc>
          <w:tcPr>
            <w:tcW w:w="70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67,303</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97,588</w:t>
            </w:r>
          </w:p>
        </w:tc>
      </w:tr>
      <w:tr>
        <w:trPr>
          <w:trHeight w:val="20"/>
        </w:trPr>
        <w:tc>
          <w:tcPr>
            <w:tcW w:w="96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ind w:left="580" w:hanging="572"/>
        <w:spacing w:after="0" w:line="298" w:lineRule="auto"/>
        <w:tabs>
          <w:tab w:leader="none" w:pos="5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Under our four advance funding facilities, we are contractually required to remit collections on pledged advances to the trustee within two days of receipt. The collected funds are not applied to reduce the related match funded debt until the payment dates specified in the indenture. The balance also includes amounts that have been set aside from the proceeds of our four match funded advance facilities to provide for possible shortfalls in the funds available to pay certain expenses and interest. These funds are held in interest earning accounts.</w:t>
      </w:r>
    </w:p>
    <w:p>
      <w:pPr>
        <w:sectPr>
          <w:pgSz w:w="11900" w:h="16838" w:orient="portrait"/>
          <w:cols w:equalWidth="0" w:num="1">
            <w:col w:w="11420"/>
          </w:cols>
          <w:pgMar w:left="240" w:top="382" w:right="239" w:bottom="1440" w:gutter="0" w:footer="0" w:header="0"/>
        </w:sectPr>
      </w:pP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type w:val="continuous"/>
        </w:sectPr>
      </w:pPr>
    </w:p>
    <w:bookmarkStart w:id="24" w:name="page25"/>
    <w:bookmarkEnd w:id="24"/>
    <w:p>
      <w:pPr>
        <w:spacing w:after="0"/>
        <w:tabs>
          <w:tab w:leader="none" w:pos="1140" w:val="left"/>
        </w:tabs>
        <w:rPr>
          <w:sz w:val="20"/>
          <w:szCs w:val="20"/>
          <w:color w:val="auto"/>
        </w:rPr>
      </w:pPr>
      <w:r>
        <w:rPr>
          <w:rFonts w:ascii="Arial" w:cs="Arial" w:eastAsia="Arial" w:hAnsi="Arial"/>
          <w:sz w:val="18"/>
          <w:szCs w:val="18"/>
          <w:b w:val="1"/>
          <w:bCs w:val="1"/>
          <w:color w:val="auto"/>
        </w:rPr>
        <w:t>Note 13</w:t>
      </w:r>
      <w:r>
        <w:rPr>
          <w:sz w:val="20"/>
          <w:szCs w:val="20"/>
          <w:color w:val="auto"/>
        </w:rPr>
        <w:tab/>
      </w:r>
      <w:r>
        <w:rPr>
          <w:rFonts w:ascii="Arial" w:cs="Arial" w:eastAsia="Arial" w:hAnsi="Arial"/>
          <w:sz w:val="16"/>
          <w:szCs w:val="16"/>
          <w:b w:val="1"/>
          <w:bCs w:val="1"/>
          <w:color w:val="auto"/>
        </w:rPr>
        <w:t>Match Funded Liabilities</w:t>
      </w:r>
    </w:p>
    <w:p>
      <w:pPr>
        <w:spacing w:after="0" w:line="231" w:lineRule="exact"/>
        <w:rPr>
          <w:sz w:val="20"/>
          <w:szCs w:val="20"/>
          <w:color w:val="auto"/>
        </w:rPr>
      </w:pPr>
    </w:p>
    <w:p>
      <w:pPr>
        <w:ind w:right="40" w:firstLine="439"/>
        <w:spacing w:after="0" w:line="332" w:lineRule="auto"/>
        <w:rPr>
          <w:sz w:val="20"/>
          <w:szCs w:val="20"/>
          <w:color w:val="auto"/>
        </w:rPr>
      </w:pPr>
      <w:r>
        <w:rPr>
          <w:rFonts w:ascii="Arial" w:cs="Arial" w:eastAsia="Arial" w:hAnsi="Arial"/>
          <w:sz w:val="16"/>
          <w:szCs w:val="16"/>
          <w:color w:val="auto"/>
        </w:rPr>
        <w:t>Match funded liabilities, representing obligations secured by related match funded advances and repaid through the cash proceeds arising from those assets, as more fully described in Note 1—Mortgage Servicing Fees and Advances, consisted of the following at the dates indicated: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center"/>
              <w:ind w:right="32"/>
              <w:spacing w:after="0"/>
              <w:rPr>
                <w:sz w:val="20"/>
                <w:szCs w:val="20"/>
                <w:color w:val="auto"/>
              </w:rPr>
            </w:pPr>
            <w:r>
              <w:rPr>
                <w:rFonts w:ascii="Arial" w:cs="Arial" w:eastAsia="Arial" w:hAnsi="Arial"/>
                <w:sz w:val="14"/>
                <w:szCs w:val="14"/>
                <w:b w:val="1"/>
                <w:bCs w:val="1"/>
                <w:color w:val="auto"/>
                <w:w w:val="85"/>
              </w:rPr>
              <w:t>Unused</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0" w:type="dxa"/>
            <w:vAlign w:val="bottom"/>
            <w:gridSpan w:val="5"/>
          </w:tcPr>
          <w:p>
            <w:pPr>
              <w:ind w:left="580"/>
              <w:spacing w:after="0"/>
              <w:rPr>
                <w:sz w:val="20"/>
                <w:szCs w:val="20"/>
                <w:color w:val="auto"/>
              </w:rPr>
            </w:pPr>
            <w:r>
              <w:rPr>
                <w:rFonts w:ascii="Arial" w:cs="Arial" w:eastAsia="Arial" w:hAnsi="Arial"/>
                <w:sz w:val="14"/>
                <w:szCs w:val="14"/>
                <w:b w:val="1"/>
                <w:bCs w:val="1"/>
                <w:color w:val="auto"/>
              </w:rPr>
              <w:t>Balance Outstanding</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700" w:type="dxa"/>
            <w:vAlign w:val="bottom"/>
            <w:gridSpan w:val="3"/>
          </w:tcPr>
          <w:p>
            <w:pPr>
              <w:jc w:val="center"/>
              <w:ind w:right="440"/>
              <w:spacing w:after="0" w:line="129" w:lineRule="exact"/>
              <w:rPr>
                <w:sz w:val="20"/>
                <w:szCs w:val="20"/>
                <w:color w:val="auto"/>
              </w:rPr>
            </w:pPr>
            <w:r>
              <w:rPr>
                <w:rFonts w:ascii="Arial" w:cs="Arial" w:eastAsia="Arial" w:hAnsi="Arial"/>
                <w:sz w:val="14"/>
                <w:szCs w:val="14"/>
                <w:b w:val="1"/>
                <w:bCs w:val="1"/>
                <w:color w:val="auto"/>
                <w:w w:val="91"/>
              </w:rPr>
              <w:t>Amortization</w:t>
            </w:r>
          </w:p>
        </w:tc>
        <w:tc>
          <w:tcPr>
            <w:tcW w:w="900" w:type="dxa"/>
            <w:vAlign w:val="bottom"/>
          </w:tcPr>
          <w:p>
            <w:pPr>
              <w:jc w:val="center"/>
              <w:ind w:right="12"/>
              <w:spacing w:after="0" w:line="129" w:lineRule="exact"/>
              <w:rPr>
                <w:sz w:val="20"/>
                <w:szCs w:val="20"/>
                <w:color w:val="auto"/>
              </w:rPr>
            </w:pPr>
            <w:r>
              <w:rPr>
                <w:rFonts w:ascii="Arial" w:cs="Arial" w:eastAsia="Arial" w:hAnsi="Arial"/>
                <w:sz w:val="14"/>
                <w:szCs w:val="14"/>
                <w:b w:val="1"/>
                <w:bCs w:val="1"/>
                <w:color w:val="auto"/>
                <w:w w:val="88"/>
              </w:rPr>
              <w:t>Borrowing</w:t>
            </w:r>
          </w:p>
        </w:tc>
        <w:tc>
          <w:tcPr>
            <w:tcW w:w="3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right"/>
              <w:ind w:right="92"/>
              <w:spacing w:after="0" w:line="129" w:lineRule="exact"/>
              <w:rPr>
                <w:sz w:val="20"/>
                <w:szCs w:val="20"/>
                <w:color w:val="auto"/>
              </w:rPr>
            </w:pPr>
            <w:r>
              <w:rPr>
                <w:rFonts w:ascii="Arial" w:cs="Arial" w:eastAsia="Arial" w:hAnsi="Arial"/>
                <w:sz w:val="14"/>
                <w:szCs w:val="14"/>
                <w:b w:val="1"/>
                <w:bCs w:val="1"/>
                <w:color w:val="auto"/>
                <w:w w:val="87"/>
              </w:rPr>
              <w:t>September 30,</w:t>
            </w:r>
          </w:p>
        </w:tc>
        <w:tc>
          <w:tcPr>
            <w:tcW w:w="3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right"/>
              <w:ind w:right="112"/>
              <w:spacing w:after="0" w:line="129" w:lineRule="exact"/>
              <w:rPr>
                <w:sz w:val="20"/>
                <w:szCs w:val="20"/>
                <w:color w:val="auto"/>
              </w:rPr>
            </w:pPr>
            <w:r>
              <w:rPr>
                <w:rFonts w:ascii="Arial" w:cs="Arial" w:eastAsia="Arial" w:hAnsi="Arial"/>
                <w:sz w:val="14"/>
                <w:szCs w:val="14"/>
                <w:b w:val="1"/>
                <w:bCs w:val="1"/>
                <w:color w:val="auto"/>
                <w:w w:val="90"/>
              </w:rPr>
              <w:t>December 31,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940" w:type="dxa"/>
            <w:vAlign w:val="bottom"/>
          </w:tcPr>
          <w:p>
            <w:pPr>
              <w:jc w:val="right"/>
              <w:ind w:right="452"/>
              <w:spacing w:after="0"/>
              <w:rPr>
                <w:sz w:val="20"/>
                <w:szCs w:val="20"/>
                <w:color w:val="auto"/>
              </w:rPr>
            </w:pPr>
            <w:r>
              <w:rPr>
                <w:rFonts w:ascii="Arial" w:cs="Arial" w:eastAsia="Arial" w:hAnsi="Arial"/>
                <w:sz w:val="14"/>
                <w:szCs w:val="14"/>
                <w:b w:val="1"/>
                <w:bCs w:val="1"/>
                <w:color w:val="auto"/>
              </w:rPr>
              <w:t>Borrowing Type</w:t>
            </w:r>
          </w:p>
        </w:tc>
        <w:tc>
          <w:tcPr>
            <w:tcW w:w="340" w:type="dxa"/>
            <w:vAlign w:val="bottom"/>
          </w:tcPr>
          <w:p>
            <w:pPr>
              <w:spacing w:after="0"/>
              <w:rPr>
                <w:sz w:val="15"/>
                <w:szCs w:val="15"/>
                <w:color w:val="auto"/>
              </w:rPr>
            </w:pPr>
          </w:p>
        </w:tc>
        <w:tc>
          <w:tcPr>
            <w:tcW w:w="1380" w:type="dxa"/>
            <w:vAlign w:val="bottom"/>
          </w:tcPr>
          <w:p>
            <w:pPr>
              <w:ind w:left="220"/>
              <w:spacing w:after="0"/>
              <w:rPr>
                <w:sz w:val="20"/>
                <w:szCs w:val="20"/>
                <w:color w:val="auto"/>
              </w:rPr>
            </w:pPr>
            <w:r>
              <w:rPr>
                <w:rFonts w:ascii="Arial" w:cs="Arial" w:eastAsia="Arial" w:hAnsi="Arial"/>
                <w:sz w:val="14"/>
                <w:szCs w:val="14"/>
                <w:b w:val="1"/>
                <w:bCs w:val="1"/>
                <w:color w:val="auto"/>
              </w:rPr>
              <w:t>Interest Rate (1)</w:t>
            </w:r>
          </w:p>
        </w:tc>
        <w:tc>
          <w:tcPr>
            <w:tcW w:w="360" w:type="dxa"/>
            <w:vAlign w:val="bottom"/>
          </w:tcPr>
          <w:p>
            <w:pPr>
              <w:spacing w:after="0"/>
              <w:rPr>
                <w:sz w:val="15"/>
                <w:szCs w:val="15"/>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5"/>
              </w:rPr>
              <w:t>Maturity</w:t>
            </w:r>
          </w:p>
        </w:tc>
        <w:tc>
          <w:tcPr>
            <w:tcW w:w="340" w:type="dxa"/>
            <w:vAlign w:val="bottom"/>
          </w:tcPr>
          <w:p>
            <w:pPr>
              <w:spacing w:after="0"/>
              <w:rPr>
                <w:sz w:val="15"/>
                <w:szCs w:val="15"/>
                <w:color w:val="auto"/>
              </w:rPr>
            </w:pPr>
          </w:p>
        </w:tc>
        <w:tc>
          <w:tcPr>
            <w:tcW w:w="170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85"/>
              </w:rPr>
              <w:t>Date</w:t>
            </w:r>
          </w:p>
        </w:tc>
        <w:tc>
          <w:tcPr>
            <w:tcW w:w="900" w:type="dxa"/>
            <w:vAlign w:val="bottom"/>
          </w:tcPr>
          <w:p>
            <w:pPr>
              <w:jc w:val="center"/>
              <w:ind w:right="32"/>
              <w:spacing w:after="0"/>
              <w:rPr>
                <w:sz w:val="20"/>
                <w:szCs w:val="20"/>
                <w:color w:val="auto"/>
              </w:rPr>
            </w:pPr>
            <w:r>
              <w:rPr>
                <w:rFonts w:ascii="Arial" w:cs="Arial" w:eastAsia="Arial" w:hAnsi="Arial"/>
                <w:sz w:val="14"/>
                <w:szCs w:val="14"/>
                <w:b w:val="1"/>
                <w:bCs w:val="1"/>
                <w:color w:val="auto"/>
                <w:w w:val="90"/>
              </w:rPr>
              <w:t>Capacity (2)</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ind w:right="372"/>
              <w:spacing w:after="0"/>
              <w:rPr>
                <w:sz w:val="20"/>
                <w:szCs w:val="20"/>
                <w:color w:val="auto"/>
              </w:rPr>
            </w:pPr>
            <w:r>
              <w:rPr>
                <w:rFonts w:ascii="Arial" w:cs="Arial" w:eastAsia="Arial" w:hAnsi="Arial"/>
                <w:sz w:val="14"/>
                <w:szCs w:val="14"/>
                <w:b w:val="1"/>
                <w:bCs w:val="1"/>
                <w:color w:val="auto"/>
              </w:rPr>
              <w:t>2009</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ind w:right="372"/>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940" w:type="dxa"/>
            <w:vAlign w:val="bottom"/>
            <w:tcBorders>
              <w:top w:val="single" w:sz="8" w:color="auto"/>
            </w:tcBorders>
            <w:shd w:val="clear" w:color="auto" w:fill="EAF9E8"/>
          </w:tcPr>
          <w:p>
            <w:pPr>
              <w:spacing w:after="0" w:line="132" w:lineRule="exact"/>
              <w:rPr>
                <w:sz w:val="20"/>
                <w:szCs w:val="20"/>
                <w:color w:val="auto"/>
              </w:rPr>
            </w:pPr>
            <w:r>
              <w:rPr>
                <w:rFonts w:ascii="Arial" w:cs="Arial" w:eastAsia="Arial" w:hAnsi="Arial"/>
                <w:sz w:val="14"/>
                <w:szCs w:val="14"/>
                <w:color w:val="auto"/>
                <w:w w:val="86"/>
              </w:rPr>
              <w:t>Variable Funding Note Series 2007-</w:t>
            </w:r>
          </w:p>
        </w:tc>
        <w:tc>
          <w:tcPr>
            <w:tcW w:w="340" w:type="dxa"/>
            <w:vAlign w:val="bottom"/>
            <w:shd w:val="clear" w:color="auto" w:fill="EAF9E8"/>
          </w:tcPr>
          <w:p>
            <w:pPr>
              <w:spacing w:after="0"/>
              <w:rPr>
                <w:sz w:val="11"/>
                <w:szCs w:val="11"/>
                <w:color w:val="auto"/>
              </w:rPr>
            </w:pPr>
          </w:p>
        </w:tc>
        <w:tc>
          <w:tcPr>
            <w:tcW w:w="1380" w:type="dxa"/>
            <w:vAlign w:val="bottom"/>
            <w:tcBorders>
              <w:top w:val="single" w:sz="8" w:color="auto"/>
            </w:tcBorders>
            <w:shd w:val="clear" w:color="auto" w:fill="EAF9E8"/>
          </w:tcPr>
          <w:p>
            <w:pPr>
              <w:spacing w:after="0" w:line="132" w:lineRule="exact"/>
              <w:rPr>
                <w:sz w:val="20"/>
                <w:szCs w:val="20"/>
                <w:color w:val="auto"/>
              </w:rPr>
            </w:pPr>
            <w:r>
              <w:rPr>
                <w:rFonts w:ascii="Arial" w:cs="Arial" w:eastAsia="Arial" w:hAnsi="Arial"/>
                <w:sz w:val="14"/>
                <w:szCs w:val="14"/>
                <w:color w:val="auto"/>
                <w:w w:val="88"/>
              </w:rPr>
              <w:t>Commercial paper rate +</w:t>
            </w:r>
          </w:p>
        </w:tc>
        <w:tc>
          <w:tcPr>
            <w:tcW w:w="360" w:type="dxa"/>
            <w:vAlign w:val="bottom"/>
            <w:shd w:val="clear" w:color="auto" w:fill="EAF9E8"/>
          </w:tcPr>
          <w:p>
            <w:pPr>
              <w:spacing w:after="0"/>
              <w:rPr>
                <w:sz w:val="11"/>
                <w:szCs w:val="11"/>
                <w:color w:val="auto"/>
              </w:rPr>
            </w:pPr>
          </w:p>
        </w:tc>
        <w:tc>
          <w:tcPr>
            <w:tcW w:w="1380" w:type="dxa"/>
            <w:vAlign w:val="bottom"/>
            <w:tcBorders>
              <w:top w:val="single" w:sz="8" w:color="auto"/>
            </w:tcBorders>
            <w:shd w:val="clear" w:color="auto" w:fill="EAF9E8"/>
          </w:tcPr>
          <w:p>
            <w:pPr>
              <w:jc w:val="center"/>
              <w:spacing w:after="0" w:line="132" w:lineRule="exact"/>
              <w:rPr>
                <w:sz w:val="20"/>
                <w:szCs w:val="20"/>
                <w:color w:val="auto"/>
              </w:rPr>
            </w:pPr>
            <w:r>
              <w:rPr>
                <w:rFonts w:ascii="Arial" w:cs="Arial" w:eastAsia="Arial" w:hAnsi="Arial"/>
                <w:sz w:val="14"/>
                <w:szCs w:val="14"/>
                <w:color w:val="auto"/>
                <w:w w:val="86"/>
              </w:rPr>
              <w:t>December 2014</w:t>
            </w:r>
          </w:p>
        </w:tc>
        <w:tc>
          <w:tcPr>
            <w:tcW w:w="340" w:type="dxa"/>
            <w:vAlign w:val="bottom"/>
            <w:shd w:val="clear" w:color="auto" w:fill="EAF9E8"/>
          </w:tcPr>
          <w:p>
            <w:pPr>
              <w:spacing w:after="0"/>
              <w:rPr>
                <w:sz w:val="11"/>
                <w:szCs w:val="11"/>
                <w:color w:val="auto"/>
              </w:rPr>
            </w:pPr>
          </w:p>
        </w:tc>
        <w:tc>
          <w:tcPr>
            <w:tcW w:w="1260" w:type="dxa"/>
            <w:vAlign w:val="bottom"/>
            <w:tcBorders>
              <w:top w:val="single" w:sz="8" w:color="auto"/>
            </w:tcBorders>
            <w:shd w:val="clear" w:color="auto" w:fill="EAF9E8"/>
          </w:tcPr>
          <w:p>
            <w:pPr>
              <w:jc w:val="center"/>
              <w:spacing w:after="0" w:line="132" w:lineRule="exact"/>
              <w:rPr>
                <w:sz w:val="20"/>
                <w:szCs w:val="20"/>
                <w:color w:val="auto"/>
              </w:rPr>
            </w:pPr>
            <w:r>
              <w:rPr>
                <w:rFonts w:ascii="Arial" w:cs="Arial" w:eastAsia="Arial" w:hAnsi="Arial"/>
                <w:sz w:val="14"/>
                <w:szCs w:val="14"/>
                <w:color w:val="auto"/>
                <w:w w:val="86"/>
              </w:rPr>
              <w:t>December 2009</w:t>
            </w:r>
          </w:p>
        </w:tc>
        <w:tc>
          <w:tcPr>
            <w:tcW w:w="340" w:type="dxa"/>
            <w:vAlign w:val="bottom"/>
            <w:shd w:val="clear" w:color="auto" w:fill="EAF9E8"/>
          </w:tcPr>
          <w:p>
            <w:pPr>
              <w:spacing w:after="0"/>
              <w:rPr>
                <w:sz w:val="11"/>
                <w:szCs w:val="11"/>
                <w:color w:val="auto"/>
              </w:rPr>
            </w:pPr>
          </w:p>
        </w:tc>
        <w:tc>
          <w:tcPr>
            <w:tcW w:w="100" w:type="dxa"/>
            <w:vAlign w:val="bottom"/>
            <w:tcBorders>
              <w:top w:val="single" w:sz="8" w:color="auto"/>
            </w:tcBorders>
            <w:shd w:val="clear" w:color="auto" w:fill="EAF9E8"/>
          </w:tcPr>
          <w:p>
            <w:pPr>
              <w:spacing w:after="0"/>
              <w:rPr>
                <w:sz w:val="11"/>
                <w:szCs w:val="11"/>
                <w:color w:val="auto"/>
              </w:rPr>
            </w:pPr>
          </w:p>
        </w:tc>
        <w:tc>
          <w:tcPr>
            <w:tcW w:w="900" w:type="dxa"/>
            <w:vAlign w:val="bottom"/>
            <w:tcBorders>
              <w:top w:val="single" w:sz="8" w:color="auto"/>
            </w:tcBorders>
            <w:shd w:val="clear" w:color="auto" w:fill="EAF9E8"/>
          </w:tcPr>
          <w:p>
            <w:pPr>
              <w:spacing w:after="0"/>
              <w:rPr>
                <w:sz w:val="11"/>
                <w:szCs w:val="11"/>
                <w:color w:val="auto"/>
              </w:rPr>
            </w:pPr>
          </w:p>
        </w:tc>
        <w:tc>
          <w:tcPr>
            <w:tcW w:w="340" w:type="dxa"/>
            <w:vAlign w:val="bottom"/>
            <w:shd w:val="clear" w:color="auto" w:fill="EAF9E8"/>
          </w:tcPr>
          <w:p>
            <w:pPr>
              <w:spacing w:after="0"/>
              <w:rPr>
                <w:sz w:val="11"/>
                <w:szCs w:val="11"/>
                <w:color w:val="auto"/>
              </w:rPr>
            </w:pPr>
          </w:p>
        </w:tc>
        <w:tc>
          <w:tcPr>
            <w:tcW w:w="120" w:type="dxa"/>
            <w:vAlign w:val="bottom"/>
            <w:tcBorders>
              <w:top w:val="single" w:sz="8" w:color="auto"/>
            </w:tcBorders>
            <w:shd w:val="clear" w:color="auto" w:fill="EAF9E8"/>
          </w:tcPr>
          <w:p>
            <w:pPr>
              <w:spacing w:after="0"/>
              <w:rPr>
                <w:sz w:val="11"/>
                <w:szCs w:val="11"/>
                <w:color w:val="auto"/>
              </w:rPr>
            </w:pPr>
          </w:p>
        </w:tc>
        <w:tc>
          <w:tcPr>
            <w:tcW w:w="1020" w:type="dxa"/>
            <w:vAlign w:val="bottom"/>
            <w:tcBorders>
              <w:top w:val="single" w:sz="8" w:color="auto"/>
            </w:tcBorders>
            <w:shd w:val="clear" w:color="auto" w:fill="EAF9E8"/>
          </w:tcPr>
          <w:p>
            <w:pPr>
              <w:spacing w:after="0"/>
              <w:rPr>
                <w:sz w:val="11"/>
                <w:szCs w:val="11"/>
                <w:color w:val="auto"/>
              </w:rPr>
            </w:pPr>
          </w:p>
        </w:tc>
        <w:tc>
          <w:tcPr>
            <w:tcW w:w="340" w:type="dxa"/>
            <w:vAlign w:val="bottom"/>
            <w:shd w:val="clear" w:color="auto" w:fill="EAF9E8"/>
          </w:tcPr>
          <w:p>
            <w:pPr>
              <w:spacing w:after="0"/>
              <w:rPr>
                <w:sz w:val="11"/>
                <w:szCs w:val="11"/>
                <w:color w:val="auto"/>
              </w:rPr>
            </w:pPr>
          </w:p>
        </w:tc>
        <w:tc>
          <w:tcPr>
            <w:tcW w:w="120" w:type="dxa"/>
            <w:vAlign w:val="bottom"/>
            <w:tcBorders>
              <w:top w:val="single" w:sz="8" w:color="auto"/>
            </w:tcBorders>
            <w:shd w:val="clear" w:color="auto" w:fill="EAF9E8"/>
          </w:tcPr>
          <w:p>
            <w:pPr>
              <w:spacing w:after="0"/>
              <w:rPr>
                <w:sz w:val="11"/>
                <w:szCs w:val="11"/>
                <w:color w:val="auto"/>
              </w:rPr>
            </w:pPr>
          </w:p>
        </w:tc>
        <w:tc>
          <w:tcPr>
            <w:tcW w:w="1020" w:type="dxa"/>
            <w:vAlign w:val="bottom"/>
            <w:tcBorders>
              <w:top w:val="single" w:sz="8" w:color="auto"/>
            </w:tcBorders>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40" w:type="dxa"/>
            <w:vAlign w:val="bottom"/>
            <w:shd w:val="clear" w:color="auto" w:fill="EAF9E8"/>
          </w:tcPr>
          <w:p>
            <w:pPr>
              <w:jc w:val="right"/>
              <w:ind w:right="1652"/>
              <w:spacing w:after="0" w:line="159" w:lineRule="exact"/>
              <w:rPr>
                <w:sz w:val="20"/>
                <w:szCs w:val="20"/>
                <w:color w:val="auto"/>
              </w:rPr>
            </w:pPr>
            <w:r>
              <w:rPr>
                <w:rFonts w:ascii="Arial" w:cs="Arial" w:eastAsia="Arial" w:hAnsi="Arial"/>
                <w:sz w:val="14"/>
                <w:szCs w:val="14"/>
                <w:color w:val="auto"/>
              </w:rPr>
              <w:t>1</w:t>
            </w:r>
          </w:p>
        </w:tc>
        <w:tc>
          <w:tcPr>
            <w:tcW w:w="340" w:type="dxa"/>
            <w:vAlign w:val="bottom"/>
            <w:shd w:val="clear" w:color="auto" w:fill="EAF9E8"/>
          </w:tcPr>
          <w:p>
            <w:pPr>
              <w:spacing w:after="0"/>
              <w:rPr>
                <w:sz w:val="13"/>
                <w:szCs w:val="13"/>
                <w:color w:val="auto"/>
              </w:rPr>
            </w:pPr>
          </w:p>
        </w:tc>
        <w:tc>
          <w:tcPr>
            <w:tcW w:w="1380" w:type="dxa"/>
            <w:vAlign w:val="bottom"/>
            <w:shd w:val="clear" w:color="auto" w:fill="EAF9E8"/>
          </w:tcPr>
          <w:p>
            <w:pPr>
              <w:spacing w:after="0" w:line="159" w:lineRule="exact"/>
              <w:rPr>
                <w:sz w:val="20"/>
                <w:szCs w:val="20"/>
                <w:color w:val="auto"/>
              </w:rPr>
            </w:pPr>
            <w:r>
              <w:rPr>
                <w:rFonts w:ascii="Arial" w:cs="Arial" w:eastAsia="Arial" w:hAnsi="Arial"/>
                <w:sz w:val="14"/>
                <w:szCs w:val="14"/>
                <w:color w:val="auto"/>
              </w:rPr>
              <w:t>200 basis points (3)</w:t>
            </w:r>
          </w:p>
        </w:tc>
        <w:tc>
          <w:tcPr>
            <w:tcW w:w="360" w:type="dxa"/>
            <w:vAlign w:val="bottom"/>
            <w:shd w:val="clear" w:color="auto" w:fill="EAF9E8"/>
          </w:tcPr>
          <w:p>
            <w:pPr>
              <w:spacing w:after="0"/>
              <w:rPr>
                <w:sz w:val="13"/>
                <w:szCs w:val="13"/>
                <w:color w:val="auto"/>
              </w:rPr>
            </w:pPr>
          </w:p>
        </w:tc>
        <w:tc>
          <w:tcPr>
            <w:tcW w:w="1380" w:type="dxa"/>
            <w:vAlign w:val="bottom"/>
            <w:shd w:val="clear" w:color="auto" w:fill="EAF9E8"/>
          </w:tcPr>
          <w:p>
            <w:pPr>
              <w:spacing w:after="0"/>
              <w:rPr>
                <w:sz w:val="13"/>
                <w:szCs w:val="13"/>
                <w:color w:val="auto"/>
              </w:rPr>
            </w:pPr>
          </w:p>
        </w:tc>
        <w:tc>
          <w:tcPr>
            <w:tcW w:w="2040" w:type="dxa"/>
            <w:vAlign w:val="bottom"/>
            <w:gridSpan w:val="4"/>
            <w:shd w:val="clear" w:color="auto" w:fill="EAF9E8"/>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900" w:type="dxa"/>
            <w:vAlign w:val="bottom"/>
            <w:shd w:val="clear" w:color="auto" w:fill="EAF9E8"/>
          </w:tcPr>
          <w:p>
            <w:pPr>
              <w:jc w:val="right"/>
              <w:spacing w:after="0" w:line="159" w:lineRule="exact"/>
              <w:rPr>
                <w:sz w:val="20"/>
                <w:szCs w:val="20"/>
                <w:color w:val="auto"/>
              </w:rPr>
            </w:pPr>
            <w:r>
              <w:rPr>
                <w:rFonts w:ascii="Arial" w:cs="Arial" w:eastAsia="Arial" w:hAnsi="Arial"/>
                <w:sz w:val="14"/>
                <w:szCs w:val="14"/>
                <w:color w:val="auto"/>
              </w:rPr>
              <w:t>75,514</w:t>
            </w:r>
          </w:p>
        </w:tc>
        <w:tc>
          <w:tcPr>
            <w:tcW w:w="460" w:type="dxa"/>
            <w:vAlign w:val="bottom"/>
            <w:gridSpan w:val="2"/>
            <w:shd w:val="clear" w:color="auto" w:fill="EAF9E8"/>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1020" w:type="dxa"/>
            <w:vAlign w:val="bottom"/>
            <w:shd w:val="clear" w:color="auto" w:fill="EAF9E8"/>
          </w:tcPr>
          <w:p>
            <w:pPr>
              <w:jc w:val="right"/>
              <w:spacing w:after="0" w:line="159" w:lineRule="exact"/>
              <w:rPr>
                <w:sz w:val="20"/>
                <w:szCs w:val="20"/>
                <w:color w:val="auto"/>
              </w:rPr>
            </w:pPr>
            <w:r>
              <w:rPr>
                <w:rFonts w:ascii="Arial" w:cs="Arial" w:eastAsia="Arial" w:hAnsi="Arial"/>
                <w:sz w:val="14"/>
                <w:szCs w:val="14"/>
                <w:color w:val="auto"/>
              </w:rPr>
              <w:t>224,486</w:t>
            </w:r>
          </w:p>
        </w:tc>
        <w:tc>
          <w:tcPr>
            <w:tcW w:w="460" w:type="dxa"/>
            <w:vAlign w:val="bottom"/>
            <w:gridSpan w:val="2"/>
            <w:shd w:val="clear" w:color="auto" w:fill="EAF9E8"/>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EAF9E8"/>
          </w:tcPr>
          <w:p>
            <w:pPr>
              <w:jc w:val="right"/>
              <w:ind w:right="100"/>
              <w:spacing w:after="0" w:line="159" w:lineRule="exact"/>
              <w:rPr>
                <w:sz w:val="20"/>
                <w:szCs w:val="20"/>
                <w:color w:val="auto"/>
              </w:rPr>
            </w:pPr>
            <w:r>
              <w:rPr>
                <w:rFonts w:ascii="Arial" w:cs="Arial" w:eastAsia="Arial" w:hAnsi="Arial"/>
                <w:sz w:val="14"/>
                <w:szCs w:val="14"/>
                <w:color w:val="auto"/>
              </w:rPr>
              <w:t>219,722</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940" w:type="dxa"/>
            <w:vAlign w:val="bottom"/>
          </w:tcPr>
          <w:p>
            <w:pPr>
              <w:spacing w:after="0"/>
              <w:rPr>
                <w:sz w:val="20"/>
                <w:szCs w:val="20"/>
                <w:color w:val="auto"/>
              </w:rPr>
            </w:pPr>
            <w:r>
              <w:rPr>
                <w:rFonts w:ascii="Arial" w:cs="Arial" w:eastAsia="Arial" w:hAnsi="Arial"/>
                <w:sz w:val="14"/>
                <w:szCs w:val="14"/>
                <w:color w:val="auto"/>
              </w:rPr>
              <w:t>Term Note Series 2006 -1</w:t>
            </w:r>
          </w:p>
        </w:tc>
        <w:tc>
          <w:tcPr>
            <w:tcW w:w="1720" w:type="dxa"/>
            <w:vAlign w:val="bottom"/>
            <w:gridSpan w:val="2"/>
          </w:tcPr>
          <w:p>
            <w:pPr>
              <w:ind w:left="340"/>
              <w:spacing w:after="0"/>
              <w:rPr>
                <w:sz w:val="20"/>
                <w:szCs w:val="20"/>
                <w:color w:val="auto"/>
              </w:rPr>
            </w:pPr>
            <w:r>
              <w:rPr>
                <w:rFonts w:ascii="Arial" w:cs="Arial" w:eastAsia="Arial" w:hAnsi="Arial"/>
                <w:sz w:val="14"/>
                <w:szCs w:val="14"/>
                <w:color w:val="auto"/>
              </w:rPr>
              <w:t>5.335%</w:t>
            </w:r>
          </w:p>
        </w:tc>
        <w:tc>
          <w:tcPr>
            <w:tcW w:w="36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color w:val="auto"/>
                <w:w w:val="89"/>
              </w:rPr>
              <w:t>November 2015 (4)</w:t>
            </w:r>
          </w:p>
        </w:tc>
        <w:tc>
          <w:tcPr>
            <w:tcW w:w="340" w:type="dxa"/>
            <w:vAlign w:val="bottom"/>
          </w:tcPr>
          <w:p>
            <w:pPr>
              <w:spacing w:after="0"/>
              <w:rPr>
                <w:sz w:val="14"/>
                <w:szCs w:val="14"/>
                <w:color w:val="auto"/>
              </w:rPr>
            </w:pPr>
          </w:p>
        </w:tc>
        <w:tc>
          <w:tcPr>
            <w:tcW w:w="1700" w:type="dxa"/>
            <w:vAlign w:val="bottom"/>
            <w:gridSpan w:val="3"/>
          </w:tcPr>
          <w:p>
            <w:pPr>
              <w:jc w:val="center"/>
              <w:ind w:right="440"/>
              <w:spacing w:after="0"/>
              <w:rPr>
                <w:sz w:val="20"/>
                <w:szCs w:val="20"/>
                <w:color w:val="auto"/>
              </w:rPr>
            </w:pPr>
            <w:r>
              <w:rPr>
                <w:rFonts w:ascii="Arial" w:cs="Arial" w:eastAsia="Arial" w:hAnsi="Arial"/>
                <w:sz w:val="14"/>
                <w:szCs w:val="14"/>
                <w:color w:val="auto"/>
                <w:w w:val="86"/>
              </w:rPr>
              <w:t>December 2009</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165,000</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19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3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3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40" w:type="dxa"/>
            <w:vAlign w:val="bottom"/>
            <w:shd w:val="clear" w:color="auto" w:fill="EAF9E8"/>
          </w:tcPr>
          <w:p>
            <w:pPr>
              <w:spacing w:after="0" w:line="138" w:lineRule="exact"/>
              <w:rPr>
                <w:sz w:val="20"/>
                <w:szCs w:val="20"/>
                <w:color w:val="auto"/>
              </w:rPr>
            </w:pPr>
            <w:r>
              <w:rPr>
                <w:rFonts w:ascii="Arial" w:cs="Arial" w:eastAsia="Arial" w:hAnsi="Arial"/>
                <w:sz w:val="14"/>
                <w:szCs w:val="14"/>
                <w:color w:val="auto"/>
              </w:rPr>
              <w:t>Variable Funding Note (5)</w:t>
            </w:r>
          </w:p>
        </w:tc>
        <w:tc>
          <w:tcPr>
            <w:tcW w:w="340" w:type="dxa"/>
            <w:vAlign w:val="bottom"/>
            <w:shd w:val="clear" w:color="auto" w:fill="EAF9E8"/>
          </w:tcPr>
          <w:p>
            <w:pPr>
              <w:spacing w:after="0"/>
              <w:rPr>
                <w:sz w:val="11"/>
                <w:szCs w:val="11"/>
                <w:color w:val="auto"/>
              </w:rPr>
            </w:pPr>
          </w:p>
        </w:tc>
        <w:tc>
          <w:tcPr>
            <w:tcW w:w="1380" w:type="dxa"/>
            <w:vAlign w:val="bottom"/>
            <w:shd w:val="clear" w:color="auto" w:fill="EAF9E8"/>
          </w:tcPr>
          <w:p>
            <w:pPr>
              <w:spacing w:after="0" w:line="138" w:lineRule="exact"/>
              <w:rPr>
                <w:sz w:val="20"/>
                <w:szCs w:val="20"/>
                <w:color w:val="auto"/>
              </w:rPr>
            </w:pPr>
            <w:r>
              <w:rPr>
                <w:rFonts w:ascii="Arial" w:cs="Arial" w:eastAsia="Arial" w:hAnsi="Arial"/>
                <w:sz w:val="14"/>
                <w:szCs w:val="14"/>
                <w:color w:val="auto"/>
                <w:w w:val="88"/>
              </w:rPr>
              <w:t>Commercial paper rate +</w:t>
            </w:r>
          </w:p>
        </w:tc>
        <w:tc>
          <w:tcPr>
            <w:tcW w:w="360" w:type="dxa"/>
            <w:vAlign w:val="bottom"/>
            <w:shd w:val="clear" w:color="auto" w:fill="EAF9E8"/>
          </w:tcPr>
          <w:p>
            <w:pPr>
              <w:spacing w:after="0"/>
              <w:rPr>
                <w:sz w:val="11"/>
                <w:szCs w:val="11"/>
                <w:color w:val="auto"/>
              </w:rPr>
            </w:pPr>
          </w:p>
        </w:tc>
        <w:tc>
          <w:tcPr>
            <w:tcW w:w="1380" w:type="dxa"/>
            <w:vAlign w:val="bottom"/>
            <w:shd w:val="clear" w:color="auto" w:fill="EAF9E8"/>
          </w:tcPr>
          <w:p>
            <w:pPr>
              <w:jc w:val="center"/>
              <w:spacing w:after="0" w:line="138" w:lineRule="exact"/>
              <w:rPr>
                <w:sz w:val="20"/>
                <w:szCs w:val="20"/>
                <w:color w:val="auto"/>
              </w:rPr>
            </w:pPr>
            <w:r>
              <w:rPr>
                <w:rFonts w:ascii="Arial" w:cs="Arial" w:eastAsia="Arial" w:hAnsi="Arial"/>
                <w:sz w:val="14"/>
                <w:szCs w:val="14"/>
                <w:color w:val="auto"/>
                <w:w w:val="86"/>
              </w:rPr>
              <w:t>December 2013</w:t>
            </w:r>
          </w:p>
        </w:tc>
        <w:tc>
          <w:tcPr>
            <w:tcW w:w="340" w:type="dxa"/>
            <w:vAlign w:val="bottom"/>
            <w:shd w:val="clear" w:color="auto" w:fill="EAF9E8"/>
          </w:tcPr>
          <w:p>
            <w:pPr>
              <w:spacing w:after="0"/>
              <w:rPr>
                <w:sz w:val="11"/>
                <w:szCs w:val="11"/>
                <w:color w:val="auto"/>
              </w:rPr>
            </w:pPr>
          </w:p>
        </w:tc>
        <w:tc>
          <w:tcPr>
            <w:tcW w:w="1700" w:type="dxa"/>
            <w:vAlign w:val="bottom"/>
            <w:gridSpan w:val="3"/>
            <w:shd w:val="clear" w:color="auto" w:fill="EAF9E8"/>
          </w:tcPr>
          <w:p>
            <w:pPr>
              <w:jc w:val="center"/>
              <w:ind w:right="440"/>
              <w:spacing w:after="0" w:line="138" w:lineRule="exact"/>
              <w:rPr>
                <w:sz w:val="20"/>
                <w:szCs w:val="20"/>
                <w:color w:val="auto"/>
              </w:rPr>
            </w:pPr>
            <w:r>
              <w:rPr>
                <w:rFonts w:ascii="Arial" w:cs="Arial" w:eastAsia="Arial" w:hAnsi="Arial"/>
                <w:sz w:val="14"/>
                <w:szCs w:val="14"/>
                <w:color w:val="auto"/>
                <w:w w:val="86"/>
              </w:rPr>
              <w:t>December 2010</w:t>
            </w:r>
          </w:p>
        </w:tc>
        <w:tc>
          <w:tcPr>
            <w:tcW w:w="900" w:type="dxa"/>
            <w:vAlign w:val="bottom"/>
            <w:shd w:val="clear" w:color="auto" w:fill="EAF9E8"/>
          </w:tcPr>
          <w:p>
            <w:pPr>
              <w:spacing w:after="0"/>
              <w:rPr>
                <w:sz w:val="11"/>
                <w:szCs w:val="11"/>
                <w:color w:val="auto"/>
              </w:rPr>
            </w:pPr>
          </w:p>
        </w:tc>
        <w:tc>
          <w:tcPr>
            <w:tcW w:w="340" w:type="dxa"/>
            <w:vAlign w:val="bottom"/>
            <w:shd w:val="clear" w:color="auto" w:fill="EAF9E8"/>
          </w:tcPr>
          <w:p>
            <w:pPr>
              <w:spacing w:after="0"/>
              <w:rPr>
                <w:sz w:val="11"/>
                <w:szCs w:val="11"/>
                <w:color w:val="auto"/>
              </w:rPr>
            </w:pPr>
          </w:p>
        </w:tc>
        <w:tc>
          <w:tcPr>
            <w:tcW w:w="120" w:type="dxa"/>
            <w:vAlign w:val="bottom"/>
            <w:shd w:val="clear" w:color="auto" w:fill="EAF9E8"/>
          </w:tcPr>
          <w:p>
            <w:pPr>
              <w:spacing w:after="0"/>
              <w:rPr>
                <w:sz w:val="11"/>
                <w:szCs w:val="11"/>
                <w:color w:val="auto"/>
              </w:rPr>
            </w:pPr>
          </w:p>
        </w:tc>
        <w:tc>
          <w:tcPr>
            <w:tcW w:w="1020" w:type="dxa"/>
            <w:vAlign w:val="bottom"/>
            <w:shd w:val="clear" w:color="auto" w:fill="EAF9E8"/>
          </w:tcPr>
          <w:p>
            <w:pPr>
              <w:spacing w:after="0"/>
              <w:rPr>
                <w:sz w:val="11"/>
                <w:szCs w:val="11"/>
                <w:color w:val="auto"/>
              </w:rPr>
            </w:pPr>
          </w:p>
        </w:tc>
        <w:tc>
          <w:tcPr>
            <w:tcW w:w="340" w:type="dxa"/>
            <w:vAlign w:val="bottom"/>
            <w:shd w:val="clear" w:color="auto" w:fill="EAF9E8"/>
          </w:tcPr>
          <w:p>
            <w:pPr>
              <w:spacing w:after="0"/>
              <w:rPr>
                <w:sz w:val="11"/>
                <w:szCs w:val="11"/>
                <w:color w:val="auto"/>
              </w:rPr>
            </w:pPr>
          </w:p>
        </w:tc>
        <w:tc>
          <w:tcPr>
            <w:tcW w:w="120" w:type="dxa"/>
            <w:vAlign w:val="bottom"/>
            <w:shd w:val="clear" w:color="auto" w:fill="EAF9E8"/>
          </w:tcPr>
          <w:p>
            <w:pPr>
              <w:spacing w:after="0"/>
              <w:rPr>
                <w:sz w:val="11"/>
                <w:szCs w:val="11"/>
                <w:color w:val="auto"/>
              </w:rPr>
            </w:pPr>
          </w:p>
        </w:tc>
        <w:tc>
          <w:tcPr>
            <w:tcW w:w="102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40" w:type="dxa"/>
            <w:vAlign w:val="bottom"/>
            <w:shd w:val="clear" w:color="auto" w:fill="EAF9E8"/>
          </w:tcPr>
          <w:p>
            <w:pPr>
              <w:spacing w:after="0"/>
              <w:rPr>
                <w:sz w:val="13"/>
                <w:szCs w:val="13"/>
                <w:color w:val="auto"/>
              </w:rPr>
            </w:pPr>
          </w:p>
        </w:tc>
        <w:tc>
          <w:tcPr>
            <w:tcW w:w="340" w:type="dxa"/>
            <w:vAlign w:val="bottom"/>
            <w:shd w:val="clear" w:color="auto" w:fill="EAF9E8"/>
          </w:tcPr>
          <w:p>
            <w:pPr>
              <w:spacing w:after="0"/>
              <w:rPr>
                <w:sz w:val="13"/>
                <w:szCs w:val="13"/>
                <w:color w:val="auto"/>
              </w:rPr>
            </w:pPr>
          </w:p>
        </w:tc>
        <w:tc>
          <w:tcPr>
            <w:tcW w:w="1380" w:type="dxa"/>
            <w:vAlign w:val="bottom"/>
            <w:shd w:val="clear" w:color="auto" w:fill="EAF9E8"/>
          </w:tcPr>
          <w:p>
            <w:pPr>
              <w:spacing w:after="0" w:line="159" w:lineRule="exact"/>
              <w:rPr>
                <w:sz w:val="20"/>
                <w:szCs w:val="20"/>
                <w:color w:val="auto"/>
              </w:rPr>
            </w:pPr>
            <w:r>
              <w:rPr>
                <w:rFonts w:ascii="Arial" w:cs="Arial" w:eastAsia="Arial" w:hAnsi="Arial"/>
                <w:sz w:val="14"/>
                <w:szCs w:val="14"/>
                <w:color w:val="auto"/>
              </w:rPr>
              <w:t>150 basis points (5)</w:t>
            </w:r>
          </w:p>
        </w:tc>
        <w:tc>
          <w:tcPr>
            <w:tcW w:w="360" w:type="dxa"/>
            <w:vAlign w:val="bottom"/>
            <w:shd w:val="clear" w:color="auto" w:fill="EAF9E8"/>
          </w:tcPr>
          <w:p>
            <w:pPr>
              <w:spacing w:after="0"/>
              <w:rPr>
                <w:sz w:val="13"/>
                <w:szCs w:val="13"/>
                <w:color w:val="auto"/>
              </w:rPr>
            </w:pPr>
          </w:p>
        </w:tc>
        <w:tc>
          <w:tcPr>
            <w:tcW w:w="1380" w:type="dxa"/>
            <w:vAlign w:val="bottom"/>
            <w:shd w:val="clear" w:color="auto" w:fill="EAF9E8"/>
          </w:tcPr>
          <w:p>
            <w:pPr>
              <w:spacing w:after="0"/>
              <w:rPr>
                <w:sz w:val="13"/>
                <w:szCs w:val="13"/>
                <w:color w:val="auto"/>
              </w:rPr>
            </w:pPr>
          </w:p>
        </w:tc>
        <w:tc>
          <w:tcPr>
            <w:tcW w:w="340" w:type="dxa"/>
            <w:vAlign w:val="bottom"/>
            <w:shd w:val="clear" w:color="auto" w:fill="EAF9E8"/>
          </w:tcPr>
          <w:p>
            <w:pPr>
              <w:spacing w:after="0"/>
              <w:rPr>
                <w:sz w:val="13"/>
                <w:szCs w:val="13"/>
                <w:color w:val="auto"/>
              </w:rPr>
            </w:pPr>
          </w:p>
        </w:tc>
        <w:tc>
          <w:tcPr>
            <w:tcW w:w="1260" w:type="dxa"/>
            <w:vAlign w:val="bottom"/>
            <w:shd w:val="clear" w:color="auto" w:fill="EAF9E8"/>
          </w:tcPr>
          <w:p>
            <w:pPr>
              <w:spacing w:after="0"/>
              <w:rPr>
                <w:sz w:val="13"/>
                <w:szCs w:val="13"/>
                <w:color w:val="auto"/>
              </w:rPr>
            </w:pPr>
          </w:p>
        </w:tc>
        <w:tc>
          <w:tcPr>
            <w:tcW w:w="340" w:type="dxa"/>
            <w:vAlign w:val="bottom"/>
            <w:shd w:val="clear" w:color="auto" w:fill="EAF9E8"/>
          </w:tcPr>
          <w:p>
            <w:pPr>
              <w:spacing w:after="0"/>
              <w:rPr>
                <w:sz w:val="13"/>
                <w:szCs w:val="13"/>
                <w:color w:val="auto"/>
              </w:rPr>
            </w:pPr>
          </w:p>
        </w:tc>
        <w:tc>
          <w:tcPr>
            <w:tcW w:w="100" w:type="dxa"/>
            <w:vAlign w:val="bottom"/>
            <w:shd w:val="clear" w:color="auto" w:fill="EAF9E8"/>
          </w:tcPr>
          <w:p>
            <w:pPr>
              <w:spacing w:after="0"/>
              <w:rPr>
                <w:sz w:val="13"/>
                <w:szCs w:val="13"/>
                <w:color w:val="auto"/>
              </w:rPr>
            </w:pPr>
          </w:p>
        </w:tc>
        <w:tc>
          <w:tcPr>
            <w:tcW w:w="900" w:type="dxa"/>
            <w:vAlign w:val="bottom"/>
            <w:shd w:val="clear" w:color="auto" w:fill="EAF9E8"/>
          </w:tcPr>
          <w:p>
            <w:pPr>
              <w:jc w:val="right"/>
              <w:spacing w:after="0" w:line="159" w:lineRule="exact"/>
              <w:rPr>
                <w:sz w:val="20"/>
                <w:szCs w:val="20"/>
                <w:color w:val="auto"/>
              </w:rPr>
            </w:pPr>
            <w:r>
              <w:rPr>
                <w:rFonts w:ascii="Arial" w:cs="Arial" w:eastAsia="Arial" w:hAnsi="Arial"/>
                <w:sz w:val="14"/>
                <w:szCs w:val="14"/>
                <w:color w:val="auto"/>
              </w:rPr>
              <w:t>133,595</w:t>
            </w:r>
          </w:p>
        </w:tc>
        <w:tc>
          <w:tcPr>
            <w:tcW w:w="340" w:type="dxa"/>
            <w:vAlign w:val="bottom"/>
            <w:shd w:val="clear" w:color="auto" w:fill="EAF9E8"/>
          </w:tcPr>
          <w:p>
            <w:pPr>
              <w:spacing w:after="0"/>
              <w:rPr>
                <w:sz w:val="13"/>
                <w:szCs w:val="13"/>
                <w:color w:val="auto"/>
              </w:rPr>
            </w:pPr>
          </w:p>
        </w:tc>
        <w:tc>
          <w:tcPr>
            <w:tcW w:w="120" w:type="dxa"/>
            <w:vAlign w:val="bottom"/>
            <w:shd w:val="clear" w:color="auto" w:fill="EAF9E8"/>
          </w:tcPr>
          <w:p>
            <w:pPr>
              <w:spacing w:after="0"/>
              <w:rPr>
                <w:sz w:val="13"/>
                <w:szCs w:val="13"/>
                <w:color w:val="auto"/>
              </w:rPr>
            </w:pPr>
          </w:p>
        </w:tc>
        <w:tc>
          <w:tcPr>
            <w:tcW w:w="1020" w:type="dxa"/>
            <w:vAlign w:val="bottom"/>
            <w:shd w:val="clear" w:color="auto" w:fill="EAF9E8"/>
          </w:tcPr>
          <w:p>
            <w:pPr>
              <w:jc w:val="right"/>
              <w:spacing w:after="0" w:line="159" w:lineRule="exact"/>
              <w:rPr>
                <w:sz w:val="20"/>
                <w:szCs w:val="20"/>
                <w:color w:val="auto"/>
              </w:rPr>
            </w:pPr>
            <w:r>
              <w:rPr>
                <w:rFonts w:ascii="Arial" w:cs="Arial" w:eastAsia="Arial" w:hAnsi="Arial"/>
                <w:sz w:val="14"/>
                <w:szCs w:val="14"/>
                <w:color w:val="auto"/>
              </w:rPr>
              <w:t>116,405</w:t>
            </w:r>
          </w:p>
        </w:tc>
        <w:tc>
          <w:tcPr>
            <w:tcW w:w="340" w:type="dxa"/>
            <w:vAlign w:val="bottom"/>
            <w:shd w:val="clear" w:color="auto" w:fill="EAF9E8"/>
          </w:tcPr>
          <w:p>
            <w:pPr>
              <w:spacing w:after="0"/>
              <w:rPr>
                <w:sz w:val="13"/>
                <w:szCs w:val="13"/>
                <w:color w:val="auto"/>
              </w:rPr>
            </w:pPr>
          </w:p>
        </w:tc>
        <w:tc>
          <w:tcPr>
            <w:tcW w:w="120" w:type="dxa"/>
            <w:vAlign w:val="bottom"/>
            <w:shd w:val="clear" w:color="auto" w:fill="EAF9E8"/>
          </w:tcPr>
          <w:p>
            <w:pPr>
              <w:spacing w:after="0"/>
              <w:rPr>
                <w:sz w:val="13"/>
                <w:szCs w:val="13"/>
                <w:color w:val="auto"/>
              </w:rPr>
            </w:pPr>
          </w:p>
        </w:tc>
        <w:tc>
          <w:tcPr>
            <w:tcW w:w="1120" w:type="dxa"/>
            <w:vAlign w:val="bottom"/>
            <w:gridSpan w:val="2"/>
            <w:shd w:val="clear" w:color="auto" w:fill="EAF9E8"/>
          </w:tcPr>
          <w:p>
            <w:pPr>
              <w:jc w:val="right"/>
              <w:ind w:right="100"/>
              <w:spacing w:after="0" w:line="159" w:lineRule="exact"/>
              <w:rPr>
                <w:sz w:val="20"/>
                <w:szCs w:val="20"/>
                <w:color w:val="auto"/>
              </w:rPr>
            </w:pPr>
            <w:r>
              <w:rPr>
                <w:rFonts w:ascii="Arial" w:cs="Arial" w:eastAsia="Arial" w:hAnsi="Arial"/>
                <w:sz w:val="14"/>
                <w:szCs w:val="14"/>
                <w:color w:val="auto"/>
              </w:rPr>
              <w:t>192,520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40" w:type="dxa"/>
            <w:vAlign w:val="bottom"/>
          </w:tcPr>
          <w:p>
            <w:pPr>
              <w:spacing w:after="0" w:line="138" w:lineRule="exact"/>
              <w:rPr>
                <w:sz w:val="20"/>
                <w:szCs w:val="20"/>
                <w:color w:val="auto"/>
              </w:rPr>
            </w:pPr>
            <w:r>
              <w:rPr>
                <w:rFonts w:ascii="Arial" w:cs="Arial" w:eastAsia="Arial" w:hAnsi="Arial"/>
                <w:sz w:val="14"/>
                <w:szCs w:val="14"/>
                <w:color w:val="auto"/>
                <w:w w:val="87"/>
              </w:rPr>
              <w:t>Advance Receivable Backed Notes</w:t>
            </w:r>
          </w:p>
        </w:tc>
        <w:tc>
          <w:tcPr>
            <w:tcW w:w="340" w:type="dxa"/>
            <w:vAlign w:val="bottom"/>
          </w:tcPr>
          <w:p>
            <w:pPr>
              <w:spacing w:after="0"/>
              <w:rPr>
                <w:sz w:val="11"/>
                <w:szCs w:val="11"/>
                <w:color w:val="auto"/>
              </w:rPr>
            </w:pPr>
          </w:p>
        </w:tc>
        <w:tc>
          <w:tcPr>
            <w:tcW w:w="1380" w:type="dxa"/>
            <w:vAlign w:val="bottom"/>
          </w:tcPr>
          <w:p>
            <w:pPr>
              <w:spacing w:after="0" w:line="138" w:lineRule="exact"/>
              <w:rPr>
                <w:sz w:val="20"/>
                <w:szCs w:val="20"/>
                <w:color w:val="auto"/>
              </w:rPr>
            </w:pPr>
            <w:r>
              <w:rPr>
                <w:rFonts w:ascii="Arial" w:cs="Arial" w:eastAsia="Arial" w:hAnsi="Arial"/>
                <w:sz w:val="14"/>
                <w:szCs w:val="14"/>
                <w:color w:val="auto"/>
                <w:w w:val="99"/>
              </w:rPr>
              <w:t>1-Month LIBOR + 400</w:t>
            </w:r>
          </w:p>
        </w:tc>
        <w:tc>
          <w:tcPr>
            <w:tcW w:w="360" w:type="dxa"/>
            <w:vAlign w:val="bottom"/>
          </w:tcPr>
          <w:p>
            <w:pPr>
              <w:spacing w:after="0"/>
              <w:rPr>
                <w:sz w:val="11"/>
                <w:szCs w:val="11"/>
                <w:color w:val="auto"/>
              </w:rPr>
            </w:pPr>
          </w:p>
        </w:tc>
        <w:tc>
          <w:tcPr>
            <w:tcW w:w="1380" w:type="dxa"/>
            <w:vAlign w:val="bottom"/>
          </w:tcPr>
          <w:p>
            <w:pPr>
              <w:jc w:val="center"/>
              <w:spacing w:after="0" w:line="138" w:lineRule="exact"/>
              <w:rPr>
                <w:sz w:val="20"/>
                <w:szCs w:val="20"/>
                <w:color w:val="auto"/>
              </w:rPr>
            </w:pPr>
            <w:r>
              <w:rPr>
                <w:rFonts w:ascii="Arial" w:cs="Arial" w:eastAsia="Arial" w:hAnsi="Arial"/>
                <w:sz w:val="14"/>
                <w:szCs w:val="14"/>
                <w:color w:val="auto"/>
                <w:w w:val="86"/>
              </w:rPr>
              <w:t>January 2019 (6)</w:t>
            </w:r>
          </w:p>
        </w:tc>
        <w:tc>
          <w:tcPr>
            <w:tcW w:w="340" w:type="dxa"/>
            <w:vAlign w:val="bottom"/>
          </w:tcPr>
          <w:p>
            <w:pPr>
              <w:spacing w:after="0"/>
              <w:rPr>
                <w:sz w:val="11"/>
                <w:szCs w:val="11"/>
                <w:color w:val="auto"/>
              </w:rPr>
            </w:pPr>
          </w:p>
        </w:tc>
        <w:tc>
          <w:tcPr>
            <w:tcW w:w="1700" w:type="dxa"/>
            <w:vAlign w:val="bottom"/>
            <w:gridSpan w:val="3"/>
          </w:tcPr>
          <w:p>
            <w:pPr>
              <w:jc w:val="center"/>
              <w:ind w:right="440"/>
              <w:spacing w:after="0" w:line="138" w:lineRule="exact"/>
              <w:rPr>
                <w:sz w:val="20"/>
                <w:szCs w:val="20"/>
                <w:color w:val="auto"/>
              </w:rPr>
            </w:pPr>
            <w:r>
              <w:rPr>
                <w:rFonts w:ascii="Arial" w:cs="Arial" w:eastAsia="Arial" w:hAnsi="Arial"/>
                <w:sz w:val="14"/>
                <w:szCs w:val="14"/>
                <w:color w:val="auto"/>
                <w:w w:val="85"/>
              </w:rPr>
              <w:t>January 2010 (6)</w:t>
            </w:r>
          </w:p>
        </w:tc>
        <w:tc>
          <w:tcPr>
            <w:tcW w:w="9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80" w:type="dxa"/>
            <w:vAlign w:val="bottom"/>
          </w:tcPr>
          <w:p>
            <w:pPr>
              <w:spacing w:after="0" w:line="159" w:lineRule="exact"/>
              <w:rPr>
                <w:sz w:val="20"/>
                <w:szCs w:val="20"/>
                <w:color w:val="auto"/>
              </w:rPr>
            </w:pPr>
            <w:r>
              <w:rPr>
                <w:rFonts w:ascii="Arial" w:cs="Arial" w:eastAsia="Arial" w:hAnsi="Arial"/>
                <w:sz w:val="14"/>
                <w:szCs w:val="14"/>
                <w:color w:val="auto"/>
              </w:rPr>
              <w:t>basis points (6)</w:t>
            </w:r>
          </w:p>
        </w:tc>
        <w:tc>
          <w:tcPr>
            <w:tcW w:w="3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jc w:val="right"/>
              <w:spacing w:after="0" w:line="159" w:lineRule="exact"/>
              <w:rPr>
                <w:sz w:val="20"/>
                <w:szCs w:val="20"/>
                <w:color w:val="auto"/>
              </w:rPr>
            </w:pPr>
            <w:r>
              <w:rPr>
                <w:rFonts w:ascii="Arial" w:cs="Arial" w:eastAsia="Arial" w:hAnsi="Arial"/>
                <w:sz w:val="14"/>
                <w:szCs w:val="14"/>
                <w:color w:val="auto"/>
              </w:rPr>
              <w:t>120,780</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jc w:val="right"/>
              <w:spacing w:after="0" w:line="159" w:lineRule="exact"/>
              <w:rPr>
                <w:sz w:val="20"/>
                <w:szCs w:val="20"/>
                <w:color w:val="auto"/>
              </w:rPr>
            </w:pPr>
            <w:r>
              <w:rPr>
                <w:rFonts w:ascii="Arial" w:cs="Arial" w:eastAsia="Arial" w:hAnsi="Arial"/>
                <w:sz w:val="14"/>
                <w:szCs w:val="14"/>
                <w:color w:val="auto"/>
              </w:rPr>
              <w:t>79,220</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142,361</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40" w:type="dxa"/>
            <w:vAlign w:val="bottom"/>
            <w:shd w:val="clear" w:color="auto" w:fill="EAF9E8"/>
          </w:tcPr>
          <w:p>
            <w:pPr>
              <w:spacing w:after="0" w:line="138" w:lineRule="exact"/>
              <w:rPr>
                <w:sz w:val="20"/>
                <w:szCs w:val="20"/>
                <w:color w:val="auto"/>
              </w:rPr>
            </w:pPr>
            <w:r>
              <w:rPr>
                <w:rFonts w:ascii="Arial" w:cs="Arial" w:eastAsia="Arial" w:hAnsi="Arial"/>
                <w:sz w:val="14"/>
                <w:szCs w:val="14"/>
                <w:color w:val="auto"/>
                <w:w w:val="87"/>
              </w:rPr>
              <w:t>Advance Receivable Backed Notes</w:t>
            </w:r>
          </w:p>
        </w:tc>
        <w:tc>
          <w:tcPr>
            <w:tcW w:w="340" w:type="dxa"/>
            <w:vAlign w:val="bottom"/>
            <w:shd w:val="clear" w:color="auto" w:fill="EAF9E8"/>
          </w:tcPr>
          <w:p>
            <w:pPr>
              <w:spacing w:after="0"/>
              <w:rPr>
                <w:sz w:val="11"/>
                <w:szCs w:val="11"/>
                <w:color w:val="auto"/>
              </w:rPr>
            </w:pPr>
          </w:p>
        </w:tc>
        <w:tc>
          <w:tcPr>
            <w:tcW w:w="1380" w:type="dxa"/>
            <w:vAlign w:val="bottom"/>
            <w:shd w:val="clear" w:color="auto" w:fill="EAF9E8"/>
          </w:tcPr>
          <w:p>
            <w:pPr>
              <w:spacing w:after="0" w:line="138" w:lineRule="exact"/>
              <w:rPr>
                <w:sz w:val="20"/>
                <w:szCs w:val="20"/>
                <w:color w:val="auto"/>
              </w:rPr>
            </w:pPr>
            <w:r>
              <w:rPr>
                <w:rFonts w:ascii="Arial" w:cs="Arial" w:eastAsia="Arial" w:hAnsi="Arial"/>
                <w:sz w:val="14"/>
                <w:szCs w:val="14"/>
                <w:color w:val="auto"/>
                <w:w w:val="99"/>
              </w:rPr>
              <w:t>1-Month LIBOR + 275</w:t>
            </w:r>
          </w:p>
        </w:tc>
        <w:tc>
          <w:tcPr>
            <w:tcW w:w="360" w:type="dxa"/>
            <w:vAlign w:val="bottom"/>
            <w:shd w:val="clear" w:color="auto" w:fill="EAF9E8"/>
          </w:tcPr>
          <w:p>
            <w:pPr>
              <w:spacing w:after="0"/>
              <w:rPr>
                <w:sz w:val="11"/>
                <w:szCs w:val="11"/>
                <w:color w:val="auto"/>
              </w:rPr>
            </w:pPr>
          </w:p>
        </w:tc>
        <w:tc>
          <w:tcPr>
            <w:tcW w:w="1380" w:type="dxa"/>
            <w:vAlign w:val="bottom"/>
            <w:shd w:val="clear" w:color="auto" w:fill="EAF9E8"/>
          </w:tcPr>
          <w:p>
            <w:pPr>
              <w:jc w:val="center"/>
              <w:spacing w:after="0" w:line="138" w:lineRule="exact"/>
              <w:rPr>
                <w:sz w:val="20"/>
                <w:szCs w:val="20"/>
                <w:color w:val="auto"/>
              </w:rPr>
            </w:pPr>
            <w:r>
              <w:rPr>
                <w:rFonts w:ascii="Arial" w:cs="Arial" w:eastAsia="Arial" w:hAnsi="Arial"/>
                <w:sz w:val="14"/>
                <w:szCs w:val="14"/>
                <w:color w:val="auto"/>
                <w:w w:val="89"/>
              </w:rPr>
              <w:t>May 2011 (7)</w:t>
            </w:r>
          </w:p>
        </w:tc>
        <w:tc>
          <w:tcPr>
            <w:tcW w:w="340" w:type="dxa"/>
            <w:vAlign w:val="bottom"/>
            <w:shd w:val="clear" w:color="auto" w:fill="EAF9E8"/>
          </w:tcPr>
          <w:p>
            <w:pPr>
              <w:spacing w:after="0"/>
              <w:rPr>
                <w:sz w:val="11"/>
                <w:szCs w:val="11"/>
                <w:color w:val="auto"/>
              </w:rPr>
            </w:pPr>
          </w:p>
        </w:tc>
        <w:tc>
          <w:tcPr>
            <w:tcW w:w="1700" w:type="dxa"/>
            <w:vAlign w:val="bottom"/>
            <w:gridSpan w:val="3"/>
            <w:shd w:val="clear" w:color="auto" w:fill="EAF9E8"/>
          </w:tcPr>
          <w:p>
            <w:pPr>
              <w:jc w:val="center"/>
              <w:ind w:right="440"/>
              <w:spacing w:after="0" w:line="138" w:lineRule="exact"/>
              <w:rPr>
                <w:sz w:val="20"/>
                <w:szCs w:val="20"/>
                <w:color w:val="auto"/>
              </w:rPr>
            </w:pPr>
            <w:r>
              <w:rPr>
                <w:rFonts w:ascii="Arial" w:cs="Arial" w:eastAsia="Arial" w:hAnsi="Arial"/>
                <w:sz w:val="14"/>
                <w:szCs w:val="14"/>
                <w:color w:val="auto"/>
                <w:w w:val="89"/>
              </w:rPr>
              <w:t>May 2010 (7)</w:t>
            </w:r>
          </w:p>
        </w:tc>
        <w:tc>
          <w:tcPr>
            <w:tcW w:w="900" w:type="dxa"/>
            <w:vAlign w:val="bottom"/>
            <w:shd w:val="clear" w:color="auto" w:fill="EAF9E8"/>
          </w:tcPr>
          <w:p>
            <w:pPr>
              <w:spacing w:after="0"/>
              <w:rPr>
                <w:sz w:val="11"/>
                <w:szCs w:val="11"/>
                <w:color w:val="auto"/>
              </w:rPr>
            </w:pPr>
          </w:p>
        </w:tc>
        <w:tc>
          <w:tcPr>
            <w:tcW w:w="340" w:type="dxa"/>
            <w:vAlign w:val="bottom"/>
            <w:shd w:val="clear" w:color="auto" w:fill="EAF9E8"/>
          </w:tcPr>
          <w:p>
            <w:pPr>
              <w:spacing w:after="0"/>
              <w:rPr>
                <w:sz w:val="11"/>
                <w:szCs w:val="11"/>
                <w:color w:val="auto"/>
              </w:rPr>
            </w:pPr>
          </w:p>
        </w:tc>
        <w:tc>
          <w:tcPr>
            <w:tcW w:w="120" w:type="dxa"/>
            <w:vAlign w:val="bottom"/>
            <w:shd w:val="clear" w:color="auto" w:fill="EAF9E8"/>
          </w:tcPr>
          <w:p>
            <w:pPr>
              <w:spacing w:after="0"/>
              <w:rPr>
                <w:sz w:val="11"/>
                <w:szCs w:val="11"/>
                <w:color w:val="auto"/>
              </w:rPr>
            </w:pPr>
          </w:p>
        </w:tc>
        <w:tc>
          <w:tcPr>
            <w:tcW w:w="1020" w:type="dxa"/>
            <w:vAlign w:val="bottom"/>
            <w:shd w:val="clear" w:color="auto" w:fill="EAF9E8"/>
          </w:tcPr>
          <w:p>
            <w:pPr>
              <w:spacing w:after="0"/>
              <w:rPr>
                <w:sz w:val="11"/>
                <w:szCs w:val="11"/>
                <w:color w:val="auto"/>
              </w:rPr>
            </w:pPr>
          </w:p>
        </w:tc>
        <w:tc>
          <w:tcPr>
            <w:tcW w:w="340" w:type="dxa"/>
            <w:vAlign w:val="bottom"/>
            <w:shd w:val="clear" w:color="auto" w:fill="EAF9E8"/>
          </w:tcPr>
          <w:p>
            <w:pPr>
              <w:spacing w:after="0"/>
              <w:rPr>
                <w:sz w:val="11"/>
                <w:szCs w:val="11"/>
                <w:color w:val="auto"/>
              </w:rPr>
            </w:pPr>
          </w:p>
        </w:tc>
        <w:tc>
          <w:tcPr>
            <w:tcW w:w="120" w:type="dxa"/>
            <w:vAlign w:val="bottom"/>
            <w:shd w:val="clear" w:color="auto" w:fill="EAF9E8"/>
          </w:tcPr>
          <w:p>
            <w:pPr>
              <w:spacing w:after="0"/>
              <w:rPr>
                <w:sz w:val="11"/>
                <w:szCs w:val="11"/>
                <w:color w:val="auto"/>
              </w:rPr>
            </w:pPr>
          </w:p>
        </w:tc>
        <w:tc>
          <w:tcPr>
            <w:tcW w:w="102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40" w:type="dxa"/>
            <w:vAlign w:val="bottom"/>
            <w:shd w:val="clear" w:color="auto" w:fill="EAF9E8"/>
          </w:tcPr>
          <w:p>
            <w:pPr>
              <w:spacing w:after="0"/>
              <w:rPr>
                <w:sz w:val="13"/>
                <w:szCs w:val="13"/>
                <w:color w:val="auto"/>
              </w:rPr>
            </w:pPr>
          </w:p>
        </w:tc>
        <w:tc>
          <w:tcPr>
            <w:tcW w:w="340" w:type="dxa"/>
            <w:vAlign w:val="bottom"/>
            <w:shd w:val="clear" w:color="auto" w:fill="EAF9E8"/>
          </w:tcPr>
          <w:p>
            <w:pPr>
              <w:spacing w:after="0"/>
              <w:rPr>
                <w:sz w:val="13"/>
                <w:szCs w:val="13"/>
                <w:color w:val="auto"/>
              </w:rPr>
            </w:pPr>
          </w:p>
        </w:tc>
        <w:tc>
          <w:tcPr>
            <w:tcW w:w="1380" w:type="dxa"/>
            <w:vAlign w:val="bottom"/>
            <w:shd w:val="clear" w:color="auto" w:fill="EAF9E8"/>
          </w:tcPr>
          <w:p>
            <w:pPr>
              <w:spacing w:after="0" w:line="159" w:lineRule="exact"/>
              <w:rPr>
                <w:sz w:val="20"/>
                <w:szCs w:val="20"/>
                <w:color w:val="auto"/>
              </w:rPr>
            </w:pPr>
            <w:r>
              <w:rPr>
                <w:rFonts w:ascii="Arial" w:cs="Arial" w:eastAsia="Arial" w:hAnsi="Arial"/>
                <w:sz w:val="14"/>
                <w:szCs w:val="14"/>
                <w:color w:val="auto"/>
              </w:rPr>
              <w:t>basis points (7)</w:t>
            </w:r>
          </w:p>
        </w:tc>
        <w:tc>
          <w:tcPr>
            <w:tcW w:w="360" w:type="dxa"/>
            <w:vAlign w:val="bottom"/>
            <w:shd w:val="clear" w:color="auto" w:fill="EAF9E8"/>
          </w:tcPr>
          <w:p>
            <w:pPr>
              <w:spacing w:after="0"/>
              <w:rPr>
                <w:sz w:val="13"/>
                <w:szCs w:val="13"/>
                <w:color w:val="auto"/>
              </w:rPr>
            </w:pPr>
          </w:p>
        </w:tc>
        <w:tc>
          <w:tcPr>
            <w:tcW w:w="1380" w:type="dxa"/>
            <w:vAlign w:val="bottom"/>
            <w:shd w:val="clear" w:color="auto" w:fill="EAF9E8"/>
          </w:tcPr>
          <w:p>
            <w:pPr>
              <w:spacing w:after="0"/>
              <w:rPr>
                <w:sz w:val="13"/>
                <w:szCs w:val="13"/>
                <w:color w:val="auto"/>
              </w:rPr>
            </w:pPr>
          </w:p>
        </w:tc>
        <w:tc>
          <w:tcPr>
            <w:tcW w:w="340" w:type="dxa"/>
            <w:vAlign w:val="bottom"/>
            <w:shd w:val="clear" w:color="auto" w:fill="EAF9E8"/>
          </w:tcPr>
          <w:p>
            <w:pPr>
              <w:spacing w:after="0"/>
              <w:rPr>
                <w:sz w:val="13"/>
                <w:szCs w:val="13"/>
                <w:color w:val="auto"/>
              </w:rPr>
            </w:pPr>
          </w:p>
        </w:tc>
        <w:tc>
          <w:tcPr>
            <w:tcW w:w="1260" w:type="dxa"/>
            <w:vAlign w:val="bottom"/>
            <w:shd w:val="clear" w:color="auto" w:fill="EAF9E8"/>
          </w:tcPr>
          <w:p>
            <w:pPr>
              <w:spacing w:after="0"/>
              <w:rPr>
                <w:sz w:val="13"/>
                <w:szCs w:val="13"/>
                <w:color w:val="auto"/>
              </w:rPr>
            </w:pPr>
          </w:p>
        </w:tc>
        <w:tc>
          <w:tcPr>
            <w:tcW w:w="340" w:type="dxa"/>
            <w:vAlign w:val="bottom"/>
            <w:shd w:val="clear" w:color="auto" w:fill="EAF9E8"/>
          </w:tcPr>
          <w:p>
            <w:pPr>
              <w:spacing w:after="0"/>
              <w:rPr>
                <w:sz w:val="13"/>
                <w:szCs w:val="13"/>
                <w:color w:val="auto"/>
              </w:rPr>
            </w:pPr>
          </w:p>
        </w:tc>
        <w:tc>
          <w:tcPr>
            <w:tcW w:w="100" w:type="dxa"/>
            <w:vAlign w:val="bottom"/>
            <w:shd w:val="clear" w:color="auto" w:fill="EAF9E8"/>
          </w:tcPr>
          <w:p>
            <w:pPr>
              <w:spacing w:after="0"/>
              <w:rPr>
                <w:sz w:val="13"/>
                <w:szCs w:val="13"/>
                <w:color w:val="auto"/>
              </w:rPr>
            </w:pPr>
          </w:p>
        </w:tc>
        <w:tc>
          <w:tcPr>
            <w:tcW w:w="900" w:type="dxa"/>
            <w:vAlign w:val="bottom"/>
            <w:shd w:val="clear" w:color="auto" w:fill="EAF9E8"/>
          </w:tcPr>
          <w:p>
            <w:pPr>
              <w:jc w:val="right"/>
              <w:spacing w:after="0" w:line="159" w:lineRule="exact"/>
              <w:rPr>
                <w:sz w:val="20"/>
                <w:szCs w:val="20"/>
                <w:color w:val="auto"/>
              </w:rPr>
            </w:pPr>
            <w:r>
              <w:rPr>
                <w:rFonts w:ascii="Arial" w:cs="Arial" w:eastAsia="Arial" w:hAnsi="Arial"/>
                <w:sz w:val="14"/>
                <w:szCs w:val="14"/>
                <w:color w:val="auto"/>
              </w:rPr>
              <w:t>390,332</w:t>
            </w:r>
          </w:p>
        </w:tc>
        <w:tc>
          <w:tcPr>
            <w:tcW w:w="340" w:type="dxa"/>
            <w:vAlign w:val="bottom"/>
            <w:shd w:val="clear" w:color="auto" w:fill="EAF9E8"/>
          </w:tcPr>
          <w:p>
            <w:pPr>
              <w:spacing w:after="0"/>
              <w:rPr>
                <w:sz w:val="13"/>
                <w:szCs w:val="13"/>
                <w:color w:val="auto"/>
              </w:rPr>
            </w:pPr>
          </w:p>
        </w:tc>
        <w:tc>
          <w:tcPr>
            <w:tcW w:w="120" w:type="dxa"/>
            <w:vAlign w:val="bottom"/>
            <w:shd w:val="clear" w:color="auto" w:fill="EAF9E8"/>
          </w:tcPr>
          <w:p>
            <w:pPr>
              <w:spacing w:after="0"/>
              <w:rPr>
                <w:sz w:val="13"/>
                <w:szCs w:val="13"/>
                <w:color w:val="auto"/>
              </w:rPr>
            </w:pPr>
          </w:p>
        </w:tc>
        <w:tc>
          <w:tcPr>
            <w:tcW w:w="1020" w:type="dxa"/>
            <w:vAlign w:val="bottom"/>
            <w:shd w:val="clear" w:color="auto" w:fill="EAF9E8"/>
          </w:tcPr>
          <w:p>
            <w:pPr>
              <w:jc w:val="right"/>
              <w:spacing w:after="0" w:line="159" w:lineRule="exact"/>
              <w:rPr>
                <w:sz w:val="20"/>
                <w:szCs w:val="20"/>
                <w:color w:val="auto"/>
              </w:rPr>
            </w:pPr>
            <w:r>
              <w:rPr>
                <w:rFonts w:ascii="Arial" w:cs="Arial" w:eastAsia="Arial" w:hAnsi="Arial"/>
                <w:sz w:val="14"/>
                <w:szCs w:val="14"/>
                <w:color w:val="auto"/>
              </w:rPr>
              <w:t>109,668</w:t>
            </w:r>
          </w:p>
        </w:tc>
        <w:tc>
          <w:tcPr>
            <w:tcW w:w="340" w:type="dxa"/>
            <w:vAlign w:val="bottom"/>
            <w:shd w:val="clear" w:color="auto" w:fill="EAF9E8"/>
          </w:tcPr>
          <w:p>
            <w:pPr>
              <w:spacing w:after="0"/>
              <w:rPr>
                <w:sz w:val="13"/>
                <w:szCs w:val="13"/>
                <w:color w:val="auto"/>
              </w:rPr>
            </w:pPr>
          </w:p>
        </w:tc>
        <w:tc>
          <w:tcPr>
            <w:tcW w:w="120" w:type="dxa"/>
            <w:vAlign w:val="bottom"/>
            <w:shd w:val="clear" w:color="auto" w:fill="EAF9E8"/>
          </w:tcPr>
          <w:p>
            <w:pPr>
              <w:spacing w:after="0"/>
              <w:rPr>
                <w:sz w:val="13"/>
                <w:szCs w:val="13"/>
                <w:color w:val="auto"/>
              </w:rPr>
            </w:pPr>
          </w:p>
        </w:tc>
        <w:tc>
          <w:tcPr>
            <w:tcW w:w="1120" w:type="dxa"/>
            <w:vAlign w:val="bottom"/>
            <w:gridSpan w:val="2"/>
            <w:shd w:val="clear" w:color="auto" w:fill="EAF9E8"/>
          </w:tcPr>
          <w:p>
            <w:pPr>
              <w:jc w:val="right"/>
              <w:ind w:right="100"/>
              <w:spacing w:after="0" w:line="159" w:lineRule="exact"/>
              <w:rPr>
                <w:sz w:val="20"/>
                <w:szCs w:val="20"/>
                <w:color w:val="auto"/>
              </w:rPr>
            </w:pPr>
            <w:r>
              <w:rPr>
                <w:rFonts w:ascii="Arial" w:cs="Arial" w:eastAsia="Arial" w:hAnsi="Arial"/>
                <w:sz w:val="14"/>
                <w:szCs w:val="14"/>
                <w:color w:val="auto"/>
              </w:rPr>
              <w:t>237,504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720,221</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529,779</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957,107</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940" w:type="dxa"/>
            <w:vAlign w:val="bottom"/>
            <w:shd w:val="clear" w:color="auto" w:fill="EAF9E8"/>
          </w:tcPr>
          <w:p>
            <w:pPr>
              <w:spacing w:after="0"/>
              <w:rPr>
                <w:sz w:val="20"/>
                <w:szCs w:val="20"/>
                <w:color w:val="auto"/>
              </w:rPr>
            </w:pPr>
            <w:r>
              <w:rPr>
                <w:rFonts w:ascii="Arial" w:cs="Arial" w:eastAsia="Arial" w:hAnsi="Arial"/>
                <w:sz w:val="14"/>
                <w:szCs w:val="14"/>
                <w:color w:val="auto"/>
              </w:rPr>
              <w:t>Basis adjustment (4)</w:t>
            </w:r>
          </w:p>
        </w:tc>
        <w:tc>
          <w:tcPr>
            <w:tcW w:w="340" w:type="dxa"/>
            <w:vAlign w:val="bottom"/>
            <w:shd w:val="clear" w:color="auto" w:fill="EAF9E8"/>
          </w:tcPr>
          <w:p>
            <w:pPr>
              <w:spacing w:after="0"/>
              <w:rPr>
                <w:sz w:val="14"/>
                <w:szCs w:val="14"/>
                <w:color w:val="auto"/>
              </w:rPr>
            </w:pPr>
          </w:p>
        </w:tc>
        <w:tc>
          <w:tcPr>
            <w:tcW w:w="1380" w:type="dxa"/>
            <w:vAlign w:val="bottom"/>
            <w:shd w:val="clear" w:color="auto" w:fill="EAF9E8"/>
          </w:tcPr>
          <w:p>
            <w:pPr>
              <w:spacing w:after="0"/>
              <w:rPr>
                <w:sz w:val="14"/>
                <w:szCs w:val="14"/>
                <w:color w:val="auto"/>
              </w:rPr>
            </w:pPr>
          </w:p>
        </w:tc>
        <w:tc>
          <w:tcPr>
            <w:tcW w:w="360" w:type="dxa"/>
            <w:vAlign w:val="bottom"/>
            <w:shd w:val="clear" w:color="auto" w:fill="EAF9E8"/>
          </w:tcPr>
          <w:p>
            <w:pPr>
              <w:spacing w:after="0"/>
              <w:rPr>
                <w:sz w:val="14"/>
                <w:szCs w:val="14"/>
                <w:color w:val="auto"/>
              </w:rPr>
            </w:pPr>
          </w:p>
        </w:tc>
        <w:tc>
          <w:tcPr>
            <w:tcW w:w="1380" w:type="dxa"/>
            <w:vAlign w:val="bottom"/>
            <w:shd w:val="clear" w:color="auto" w:fill="EAF9E8"/>
          </w:tcPr>
          <w:p>
            <w:pPr>
              <w:spacing w:after="0"/>
              <w:rPr>
                <w:sz w:val="14"/>
                <w:szCs w:val="14"/>
                <w:color w:val="auto"/>
              </w:rPr>
            </w:pPr>
          </w:p>
        </w:tc>
        <w:tc>
          <w:tcPr>
            <w:tcW w:w="340" w:type="dxa"/>
            <w:vAlign w:val="bottom"/>
            <w:shd w:val="clear" w:color="auto" w:fill="EAF9E8"/>
          </w:tcPr>
          <w:p>
            <w:pPr>
              <w:spacing w:after="0"/>
              <w:rPr>
                <w:sz w:val="14"/>
                <w:szCs w:val="14"/>
                <w:color w:val="auto"/>
              </w:rPr>
            </w:pPr>
          </w:p>
        </w:tc>
        <w:tc>
          <w:tcPr>
            <w:tcW w:w="1260" w:type="dxa"/>
            <w:vAlign w:val="bottom"/>
            <w:shd w:val="clear" w:color="auto" w:fill="EAF9E8"/>
          </w:tcPr>
          <w:p>
            <w:pPr>
              <w:spacing w:after="0"/>
              <w:rPr>
                <w:sz w:val="14"/>
                <w:szCs w:val="14"/>
                <w:color w:val="auto"/>
              </w:rPr>
            </w:pPr>
          </w:p>
        </w:tc>
        <w:tc>
          <w:tcPr>
            <w:tcW w:w="340" w:type="dxa"/>
            <w:vAlign w:val="bottom"/>
            <w:shd w:val="clear" w:color="auto" w:fill="EAF9E8"/>
          </w:tcPr>
          <w:p>
            <w:pPr>
              <w:spacing w:after="0"/>
              <w:rPr>
                <w:sz w:val="14"/>
                <w:szCs w:val="14"/>
                <w:color w:val="auto"/>
              </w:rPr>
            </w:pPr>
          </w:p>
        </w:tc>
        <w:tc>
          <w:tcPr>
            <w:tcW w:w="100" w:type="dxa"/>
            <w:vAlign w:val="bottom"/>
            <w:shd w:val="clear" w:color="auto" w:fill="EAF9E8"/>
          </w:tcPr>
          <w:p>
            <w:pPr>
              <w:spacing w:after="0"/>
              <w:rPr>
                <w:sz w:val="14"/>
                <w:szCs w:val="14"/>
                <w:color w:val="auto"/>
              </w:rPr>
            </w:pPr>
          </w:p>
        </w:tc>
        <w:tc>
          <w:tcPr>
            <w:tcW w:w="900" w:type="dxa"/>
            <w:vAlign w:val="bottom"/>
            <w:vMerge w:val="restart"/>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EAF9E8"/>
          </w:tcPr>
          <w:p>
            <w:pPr>
              <w:spacing w:after="0"/>
              <w:rPr>
                <w:sz w:val="14"/>
                <w:szCs w:val="14"/>
                <w:color w:val="auto"/>
              </w:rPr>
            </w:pPr>
          </w:p>
        </w:tc>
        <w:tc>
          <w:tcPr>
            <w:tcW w:w="120" w:type="dxa"/>
            <w:vAlign w:val="bottom"/>
            <w:shd w:val="clear" w:color="auto" w:fill="EAF9E8"/>
          </w:tcPr>
          <w:p>
            <w:pPr>
              <w:spacing w:after="0"/>
              <w:rPr>
                <w:sz w:val="14"/>
                <w:szCs w:val="14"/>
                <w:color w:val="auto"/>
              </w:rPr>
            </w:pPr>
          </w:p>
        </w:tc>
        <w:tc>
          <w:tcPr>
            <w:tcW w:w="1020" w:type="dxa"/>
            <w:vAlign w:val="bottom"/>
            <w:vMerge w:val="restart"/>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EAF9E8"/>
          </w:tcPr>
          <w:p>
            <w:pPr>
              <w:spacing w:after="0"/>
              <w:rPr>
                <w:sz w:val="14"/>
                <w:szCs w:val="14"/>
                <w:color w:val="auto"/>
              </w:rPr>
            </w:pPr>
          </w:p>
        </w:tc>
        <w:tc>
          <w:tcPr>
            <w:tcW w:w="120" w:type="dxa"/>
            <w:vAlign w:val="bottom"/>
            <w:shd w:val="clear" w:color="auto" w:fill="EAF9E8"/>
          </w:tcPr>
          <w:p>
            <w:pPr>
              <w:spacing w:after="0"/>
              <w:rPr>
                <w:sz w:val="14"/>
                <w:szCs w:val="14"/>
                <w:color w:val="auto"/>
              </w:rPr>
            </w:pPr>
          </w:p>
        </w:tc>
        <w:tc>
          <w:tcPr>
            <w:tcW w:w="1120" w:type="dxa"/>
            <w:vAlign w:val="bottom"/>
            <w:gridSpan w:val="2"/>
            <w:vMerge w:val="restart"/>
            <w:shd w:val="clear" w:color="auto" w:fill="EAF9E8"/>
          </w:tcPr>
          <w:p>
            <w:pPr>
              <w:jc w:val="right"/>
              <w:ind w:right="100"/>
              <w:spacing w:after="0"/>
              <w:rPr>
                <w:sz w:val="20"/>
                <w:szCs w:val="20"/>
                <w:color w:val="auto"/>
              </w:rPr>
            </w:pPr>
            <w:r>
              <w:rPr>
                <w:rFonts w:ascii="Arial" w:cs="Arial" w:eastAsia="Arial" w:hAnsi="Arial"/>
                <w:sz w:val="14"/>
                <w:szCs w:val="14"/>
                <w:color w:val="auto"/>
              </w:rPr>
              <w:t>4,832</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1940" w:type="dxa"/>
            <w:vAlign w:val="bottom"/>
            <w:shd w:val="clear" w:color="auto" w:fill="EAF9E8"/>
          </w:tcPr>
          <w:p>
            <w:pPr>
              <w:spacing w:after="0"/>
              <w:rPr>
                <w:sz w:val="6"/>
                <w:szCs w:val="6"/>
                <w:color w:val="auto"/>
              </w:rPr>
            </w:pPr>
          </w:p>
        </w:tc>
        <w:tc>
          <w:tcPr>
            <w:tcW w:w="340" w:type="dxa"/>
            <w:vAlign w:val="bottom"/>
            <w:shd w:val="clear" w:color="auto" w:fill="EAF9E8"/>
          </w:tcPr>
          <w:p>
            <w:pPr>
              <w:spacing w:after="0"/>
              <w:rPr>
                <w:sz w:val="6"/>
                <w:szCs w:val="6"/>
                <w:color w:val="auto"/>
              </w:rPr>
            </w:pPr>
          </w:p>
        </w:tc>
        <w:tc>
          <w:tcPr>
            <w:tcW w:w="1380" w:type="dxa"/>
            <w:vAlign w:val="bottom"/>
            <w:shd w:val="clear" w:color="auto" w:fill="EAF9E8"/>
          </w:tcPr>
          <w:p>
            <w:pPr>
              <w:spacing w:after="0"/>
              <w:rPr>
                <w:sz w:val="6"/>
                <w:szCs w:val="6"/>
                <w:color w:val="auto"/>
              </w:rPr>
            </w:pPr>
          </w:p>
        </w:tc>
        <w:tc>
          <w:tcPr>
            <w:tcW w:w="360" w:type="dxa"/>
            <w:vAlign w:val="bottom"/>
            <w:shd w:val="clear" w:color="auto" w:fill="EAF9E8"/>
          </w:tcPr>
          <w:p>
            <w:pPr>
              <w:spacing w:after="0"/>
              <w:rPr>
                <w:sz w:val="6"/>
                <w:szCs w:val="6"/>
                <w:color w:val="auto"/>
              </w:rPr>
            </w:pPr>
          </w:p>
        </w:tc>
        <w:tc>
          <w:tcPr>
            <w:tcW w:w="1380" w:type="dxa"/>
            <w:vAlign w:val="bottom"/>
            <w:shd w:val="clear" w:color="auto" w:fill="EAF9E8"/>
          </w:tcPr>
          <w:p>
            <w:pPr>
              <w:spacing w:after="0"/>
              <w:rPr>
                <w:sz w:val="6"/>
                <w:szCs w:val="6"/>
                <w:color w:val="auto"/>
              </w:rPr>
            </w:pPr>
          </w:p>
        </w:tc>
        <w:tc>
          <w:tcPr>
            <w:tcW w:w="340" w:type="dxa"/>
            <w:vAlign w:val="bottom"/>
            <w:shd w:val="clear" w:color="auto" w:fill="EAF9E8"/>
          </w:tcPr>
          <w:p>
            <w:pPr>
              <w:spacing w:after="0"/>
              <w:rPr>
                <w:sz w:val="6"/>
                <w:szCs w:val="6"/>
                <w:color w:val="auto"/>
              </w:rPr>
            </w:pPr>
          </w:p>
        </w:tc>
        <w:tc>
          <w:tcPr>
            <w:tcW w:w="1260" w:type="dxa"/>
            <w:vAlign w:val="bottom"/>
            <w:shd w:val="clear" w:color="auto" w:fill="EAF9E8"/>
          </w:tcPr>
          <w:p>
            <w:pPr>
              <w:spacing w:after="0"/>
              <w:rPr>
                <w:sz w:val="6"/>
                <w:szCs w:val="6"/>
                <w:color w:val="auto"/>
              </w:rPr>
            </w:pPr>
          </w:p>
        </w:tc>
        <w:tc>
          <w:tcPr>
            <w:tcW w:w="340" w:type="dxa"/>
            <w:vAlign w:val="bottom"/>
            <w:shd w:val="clear" w:color="auto" w:fill="EAF9E8"/>
          </w:tcPr>
          <w:p>
            <w:pPr>
              <w:spacing w:after="0"/>
              <w:rPr>
                <w:sz w:val="6"/>
                <w:szCs w:val="6"/>
                <w:color w:val="auto"/>
              </w:rPr>
            </w:pPr>
          </w:p>
        </w:tc>
        <w:tc>
          <w:tcPr>
            <w:tcW w:w="100" w:type="dxa"/>
            <w:vAlign w:val="bottom"/>
            <w:shd w:val="clear" w:color="auto" w:fill="EAF9E8"/>
          </w:tcPr>
          <w:p>
            <w:pPr>
              <w:spacing w:after="0"/>
              <w:rPr>
                <w:sz w:val="6"/>
                <w:szCs w:val="6"/>
                <w:color w:val="auto"/>
              </w:rPr>
            </w:pPr>
          </w:p>
        </w:tc>
        <w:tc>
          <w:tcPr>
            <w:tcW w:w="900" w:type="dxa"/>
            <w:vAlign w:val="bottom"/>
            <w:vMerge w:val="continue"/>
            <w:shd w:val="clear" w:color="auto" w:fill="EAF9E8"/>
          </w:tcPr>
          <w:p>
            <w:pPr>
              <w:spacing w:after="0"/>
              <w:rPr>
                <w:sz w:val="6"/>
                <w:szCs w:val="6"/>
                <w:color w:val="auto"/>
              </w:rPr>
            </w:pPr>
          </w:p>
        </w:tc>
        <w:tc>
          <w:tcPr>
            <w:tcW w:w="340" w:type="dxa"/>
            <w:vAlign w:val="bottom"/>
            <w:shd w:val="clear" w:color="auto" w:fill="EAF9E8"/>
          </w:tcPr>
          <w:p>
            <w:pPr>
              <w:spacing w:after="0"/>
              <w:rPr>
                <w:sz w:val="6"/>
                <w:szCs w:val="6"/>
                <w:color w:val="auto"/>
              </w:rPr>
            </w:pPr>
          </w:p>
        </w:tc>
        <w:tc>
          <w:tcPr>
            <w:tcW w:w="120" w:type="dxa"/>
            <w:vAlign w:val="bottom"/>
            <w:shd w:val="clear" w:color="auto" w:fill="EAF9E8"/>
          </w:tcPr>
          <w:p>
            <w:pPr>
              <w:spacing w:after="0"/>
              <w:rPr>
                <w:sz w:val="6"/>
                <w:szCs w:val="6"/>
                <w:color w:val="auto"/>
              </w:rPr>
            </w:pPr>
          </w:p>
        </w:tc>
        <w:tc>
          <w:tcPr>
            <w:tcW w:w="1020" w:type="dxa"/>
            <w:vAlign w:val="bottom"/>
            <w:vMerge w:val="continue"/>
            <w:shd w:val="clear" w:color="auto" w:fill="EAF9E8"/>
          </w:tcPr>
          <w:p>
            <w:pPr>
              <w:spacing w:after="0"/>
              <w:rPr>
                <w:sz w:val="6"/>
                <w:szCs w:val="6"/>
                <w:color w:val="auto"/>
              </w:rPr>
            </w:pPr>
          </w:p>
        </w:tc>
        <w:tc>
          <w:tcPr>
            <w:tcW w:w="340" w:type="dxa"/>
            <w:vAlign w:val="bottom"/>
            <w:shd w:val="clear" w:color="auto" w:fill="EAF9E8"/>
          </w:tcPr>
          <w:p>
            <w:pPr>
              <w:spacing w:after="0"/>
              <w:rPr>
                <w:sz w:val="6"/>
                <w:szCs w:val="6"/>
                <w:color w:val="auto"/>
              </w:rPr>
            </w:pPr>
          </w:p>
        </w:tc>
        <w:tc>
          <w:tcPr>
            <w:tcW w:w="120" w:type="dxa"/>
            <w:vAlign w:val="bottom"/>
            <w:shd w:val="clear" w:color="auto" w:fill="EAF9E8"/>
          </w:tcPr>
          <w:p>
            <w:pPr>
              <w:spacing w:after="0"/>
              <w:rPr>
                <w:sz w:val="6"/>
                <w:szCs w:val="6"/>
                <w:color w:val="auto"/>
              </w:rPr>
            </w:pPr>
          </w:p>
        </w:tc>
        <w:tc>
          <w:tcPr>
            <w:tcW w:w="1120" w:type="dxa"/>
            <w:vAlign w:val="bottom"/>
            <w:gridSpan w:val="2"/>
            <w:vMerge w:val="continue"/>
            <w:shd w:val="clear" w:color="auto" w:fill="EAF9E8"/>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040" w:type="dxa"/>
            <w:vAlign w:val="bottom"/>
            <w:gridSpan w:val="4"/>
          </w:tcPr>
          <w:p>
            <w:pPr>
              <w:jc w:val="right"/>
              <w:ind w:right="4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720,221</w:t>
            </w:r>
          </w:p>
        </w:tc>
        <w:tc>
          <w:tcPr>
            <w:tcW w:w="4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529,779</w:t>
            </w:r>
          </w:p>
        </w:tc>
        <w:tc>
          <w:tcPr>
            <w:tcW w:w="4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961,939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580" w:hanging="572"/>
        <w:spacing w:after="0"/>
        <w:tabs>
          <w:tab w:leader="none" w:pos="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1-Month LIBOR was 0.25% and 0.44% at September 30, 2009 and December 31, 2008, respectively.</w:t>
      </w:r>
    </w:p>
    <w:p>
      <w:pPr>
        <w:spacing w:after="0" w:line="252" w:lineRule="exact"/>
        <w:rPr>
          <w:rFonts w:ascii="Arial" w:cs="Arial" w:eastAsia="Arial" w:hAnsi="Arial"/>
          <w:sz w:val="18"/>
          <w:szCs w:val="18"/>
          <w:color w:val="auto"/>
        </w:rPr>
      </w:pPr>
    </w:p>
    <w:p>
      <w:pPr>
        <w:ind w:left="580" w:right="360" w:hanging="572"/>
        <w:spacing w:after="0" w:line="268" w:lineRule="auto"/>
        <w:tabs>
          <w:tab w:leader="none" w:pos="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At September 30, 2009, all eligible advances are pledged as collateral to a facility. Our unused borrowing capacity is available to us provided that we have additional eligible collateral to pledge. Collateral may only be pledged to one facility.</w:t>
      </w:r>
    </w:p>
    <w:p>
      <w:pPr>
        <w:spacing w:after="0" w:line="212" w:lineRule="exact"/>
        <w:rPr>
          <w:rFonts w:ascii="Arial" w:cs="Arial" w:eastAsia="Arial" w:hAnsi="Arial"/>
          <w:sz w:val="18"/>
          <w:szCs w:val="18"/>
          <w:color w:val="auto"/>
        </w:rPr>
      </w:pPr>
    </w:p>
    <w:p>
      <w:pPr>
        <w:ind w:left="580" w:right="60" w:hanging="572"/>
        <w:spacing w:after="0" w:line="268" w:lineRule="auto"/>
        <w:tabs>
          <w:tab w:leader="none" w:pos="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interest rate for this note is determined using a commercial paper rate that reflects the borrowing costs of the lender plus a margin of 200 basis points that has generally approximated 1-Month LIBOR plus 200 basis points.</w:t>
      </w:r>
    </w:p>
    <w:p>
      <w:pPr>
        <w:spacing w:after="0" w:line="212" w:lineRule="exact"/>
        <w:rPr>
          <w:rFonts w:ascii="Arial" w:cs="Arial" w:eastAsia="Arial" w:hAnsi="Arial"/>
          <w:sz w:val="18"/>
          <w:szCs w:val="18"/>
          <w:color w:val="auto"/>
        </w:rPr>
      </w:pPr>
    </w:p>
    <w:p>
      <w:pPr>
        <w:ind w:left="580" w:right="40" w:hanging="572"/>
        <w:spacing w:after="0" w:line="294" w:lineRule="auto"/>
        <w:tabs>
          <w:tab w:leader="none" w:pos="5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On August 11, 2009, we repaid this note and transferred the majority of the borrowing to the Variable Funding Note Series 2007-1. We previously carried this note on the balance sheet at fair value as the result of a designated fair value hedging relationship that we established in December 2006 using an interest rate swap. We terminated the swap agreement in February 2008 and began amortizing the basis adjustment to earnings over the expected remaining term of the note. In connection with the repayment of this note, we recognized a gain on debt redemption of $1,600, representing the reversal of the fair value hedging basis adjustment less early termination fees and the write-off of unamortized debt issue costs.</w:t>
      </w:r>
    </w:p>
    <w:p>
      <w:pPr>
        <w:spacing w:after="0" w:line="196" w:lineRule="exact"/>
        <w:rPr>
          <w:rFonts w:ascii="Arial" w:cs="Arial" w:eastAsia="Arial" w:hAnsi="Arial"/>
          <w:sz w:val="16"/>
          <w:szCs w:val="16"/>
          <w:color w:val="auto"/>
        </w:rPr>
      </w:pPr>
    </w:p>
    <w:p>
      <w:pPr>
        <w:ind w:left="580" w:right="60" w:hanging="572"/>
        <w:spacing w:after="0" w:line="268" w:lineRule="auto"/>
        <w:tabs>
          <w:tab w:leader="none" w:pos="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interest rate for this note is determined using a commercial paper rate that reflects the borrowing costs of the lender plus a margin of 150 basis points that has generally approximated 1-Month LIBOR plus 150 basis points.</w:t>
      </w:r>
    </w:p>
    <w:p>
      <w:pPr>
        <w:spacing w:after="0" w:line="212" w:lineRule="exact"/>
        <w:rPr>
          <w:rFonts w:ascii="Arial" w:cs="Arial" w:eastAsia="Arial" w:hAnsi="Arial"/>
          <w:sz w:val="18"/>
          <w:szCs w:val="18"/>
          <w:color w:val="auto"/>
        </w:rPr>
      </w:pPr>
    </w:p>
    <w:p>
      <w:pPr>
        <w:ind w:left="580" w:right="220" w:hanging="572"/>
        <w:spacing w:after="0" w:line="268" w:lineRule="auto"/>
        <w:tabs>
          <w:tab w:leader="none" w:pos="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January 2009, the lender agreed to renew this facility and to extend the amortization date from February 2009 to January 2010. The interest rate was increased from 1-Month LIBOR plus 200 basis points to 1-Month LIBOR plus 400 basis points.</w:t>
      </w:r>
    </w:p>
    <w:p>
      <w:pPr>
        <w:spacing w:after="0" w:line="212" w:lineRule="exact"/>
        <w:rPr>
          <w:rFonts w:ascii="Arial" w:cs="Arial" w:eastAsia="Arial" w:hAnsi="Arial"/>
          <w:sz w:val="18"/>
          <w:szCs w:val="18"/>
          <w:color w:val="auto"/>
        </w:rPr>
      </w:pPr>
    </w:p>
    <w:p>
      <w:pPr>
        <w:ind w:left="580" w:right="20" w:hanging="572"/>
        <w:spacing w:after="0" w:line="256" w:lineRule="auto"/>
        <w:tabs>
          <w:tab w:leader="none" w:pos="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May 2009, we negotiated an increase in the maximum borrowing capacity from $300,000 to $500,000 and extended the amortization date from April 2009 to May 2010. Under the terms of the new facility, we pay interest on drawn balances at 1-Month LIBOR plus 275 basis points. The previous interest rate was 1-Month LIBOR plus 250 basis points. In addition, we pay, in twelve monthly installments, a facility fee of 2.25% of the maximum borrowing capacity of $500,000.</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25" w:name="page26"/>
    <w:bookmarkEnd w:id="25"/>
    <w:p>
      <w:pPr>
        <w:spacing w:after="0"/>
        <w:tabs>
          <w:tab w:leader="none" w:pos="1140" w:val="left"/>
        </w:tabs>
        <w:rPr>
          <w:sz w:val="20"/>
          <w:szCs w:val="20"/>
          <w:color w:val="auto"/>
        </w:rPr>
      </w:pPr>
      <w:r>
        <w:rPr>
          <w:rFonts w:ascii="Arial" w:cs="Arial" w:eastAsia="Arial" w:hAnsi="Arial"/>
          <w:sz w:val="18"/>
          <w:szCs w:val="18"/>
          <w:b w:val="1"/>
          <w:bCs w:val="1"/>
          <w:color w:val="auto"/>
        </w:rPr>
        <w:t>Note 14</w:t>
      </w:r>
      <w:r>
        <w:rPr>
          <w:sz w:val="20"/>
          <w:szCs w:val="20"/>
          <w:color w:val="auto"/>
        </w:rPr>
        <w:tab/>
      </w:r>
      <w:r>
        <w:rPr>
          <w:rFonts w:ascii="Arial" w:cs="Arial" w:eastAsia="Arial" w:hAnsi="Arial"/>
          <w:sz w:val="15"/>
          <w:szCs w:val="15"/>
          <w:b w:val="1"/>
          <w:bCs w:val="1"/>
          <w:color w:val="auto"/>
        </w:rPr>
        <w:t>Lines of Credit and Other Secured Borrowings</w:t>
      </w:r>
    </w:p>
    <w:p>
      <w:pPr>
        <w:spacing w:after="0" w:line="2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Secured lines of credit from various unaffiliated financial institutions are as follows: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960" w:type="dxa"/>
            <w:vAlign w:val="bottom"/>
            <w:gridSpan w:val="5"/>
          </w:tcPr>
          <w:p>
            <w:pPr>
              <w:ind w:left="720"/>
              <w:spacing w:after="0"/>
              <w:rPr>
                <w:sz w:val="20"/>
                <w:szCs w:val="20"/>
                <w:color w:val="auto"/>
              </w:rPr>
            </w:pPr>
            <w:r>
              <w:rPr>
                <w:rFonts w:ascii="Arial" w:cs="Arial" w:eastAsia="Arial" w:hAnsi="Arial"/>
                <w:sz w:val="14"/>
                <w:szCs w:val="14"/>
                <w:b w:val="1"/>
                <w:bCs w:val="1"/>
                <w:color w:val="auto"/>
              </w:rPr>
              <w:t>Balance Outstanding</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center"/>
              <w:ind w:right="52"/>
              <w:spacing w:after="0"/>
              <w:rPr>
                <w:sz w:val="20"/>
                <w:szCs w:val="20"/>
                <w:color w:val="auto"/>
              </w:rPr>
            </w:pPr>
            <w:r>
              <w:rPr>
                <w:rFonts w:ascii="Arial" w:cs="Arial" w:eastAsia="Arial" w:hAnsi="Arial"/>
                <w:sz w:val="14"/>
                <w:szCs w:val="14"/>
                <w:b w:val="1"/>
                <w:bCs w:val="1"/>
                <w:color w:val="auto"/>
                <w:w w:val="81"/>
              </w:rPr>
              <w:t>Unused</w:t>
            </w:r>
          </w:p>
        </w:tc>
        <w:tc>
          <w:tcPr>
            <w:tcW w:w="2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ind w:right="52"/>
              <w:spacing w:after="0" w:line="149" w:lineRule="exact"/>
              <w:rPr>
                <w:sz w:val="20"/>
                <w:szCs w:val="20"/>
                <w:color w:val="auto"/>
              </w:rPr>
            </w:pPr>
            <w:r>
              <w:rPr>
                <w:rFonts w:ascii="Arial" w:cs="Arial" w:eastAsia="Arial" w:hAnsi="Arial"/>
                <w:sz w:val="14"/>
                <w:szCs w:val="14"/>
                <w:b w:val="1"/>
                <w:bCs w:val="1"/>
                <w:color w:val="auto"/>
                <w:w w:val="88"/>
              </w:rPr>
              <w:t>Borrowing</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180" w:type="dxa"/>
            <w:vAlign w:val="bottom"/>
          </w:tcPr>
          <w:p>
            <w:pPr>
              <w:spacing w:after="0"/>
              <w:rPr>
                <w:sz w:val="12"/>
                <w:szCs w:val="12"/>
                <w:color w:val="auto"/>
              </w:rPr>
            </w:pPr>
          </w:p>
        </w:tc>
        <w:tc>
          <w:tcPr>
            <w:tcW w:w="128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5"/>
        </w:trPr>
        <w:tc>
          <w:tcPr>
            <w:tcW w:w="208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rPr>
              <w:t>Borrowings</w:t>
            </w:r>
          </w:p>
        </w:tc>
        <w:tc>
          <w:tcPr>
            <w:tcW w:w="220" w:type="dxa"/>
            <w:vAlign w:val="bottom"/>
          </w:tcPr>
          <w:p>
            <w:pPr>
              <w:spacing w:after="0"/>
              <w:rPr>
                <w:sz w:val="15"/>
                <w:szCs w:val="15"/>
                <w:color w:val="auto"/>
              </w:rPr>
            </w:pPr>
          </w:p>
        </w:tc>
        <w:tc>
          <w:tcPr>
            <w:tcW w:w="138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Collateral</w:t>
            </w:r>
          </w:p>
        </w:tc>
        <w:tc>
          <w:tcPr>
            <w:tcW w:w="240" w:type="dxa"/>
            <w:vAlign w:val="bottom"/>
          </w:tcPr>
          <w:p>
            <w:pPr>
              <w:spacing w:after="0"/>
              <w:rPr>
                <w:sz w:val="15"/>
                <w:szCs w:val="15"/>
                <w:color w:val="auto"/>
              </w:rPr>
            </w:pPr>
          </w:p>
        </w:tc>
        <w:tc>
          <w:tcPr>
            <w:tcW w:w="160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Interest Rate (1)</w:t>
            </w:r>
          </w:p>
        </w:tc>
        <w:tc>
          <w:tcPr>
            <w:tcW w:w="220" w:type="dxa"/>
            <w:vAlign w:val="bottom"/>
          </w:tcPr>
          <w:p>
            <w:pPr>
              <w:spacing w:after="0"/>
              <w:rPr>
                <w:sz w:val="15"/>
                <w:szCs w:val="15"/>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Maturity</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89"/>
              </w:rPr>
              <w:t>Capacity</w:t>
            </w:r>
          </w:p>
        </w:tc>
        <w:tc>
          <w:tcPr>
            <w:tcW w:w="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2009</w:t>
            </w:r>
          </w:p>
        </w:tc>
        <w:tc>
          <w:tcPr>
            <w:tcW w:w="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5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060" w:type="dxa"/>
            <w:vAlign w:val="bottom"/>
            <w:gridSpan w:val="4"/>
            <w:shd w:val="clear" w:color="auto" w:fill="EAF9E8"/>
          </w:tcPr>
          <w:p>
            <w:pPr>
              <w:spacing w:after="0" w:line="135" w:lineRule="exact"/>
              <w:rPr>
                <w:sz w:val="20"/>
                <w:szCs w:val="20"/>
                <w:color w:val="auto"/>
              </w:rPr>
            </w:pPr>
            <w:r>
              <w:rPr>
                <w:rFonts w:ascii="Arial" w:cs="Arial" w:eastAsia="Arial" w:hAnsi="Arial"/>
                <w:sz w:val="14"/>
                <w:szCs w:val="14"/>
                <w:color w:val="auto"/>
              </w:rPr>
              <w:t>Servicing:</w:t>
            </w:r>
          </w:p>
        </w:tc>
        <w:tc>
          <w:tcPr>
            <w:tcW w:w="220" w:type="dxa"/>
            <w:vAlign w:val="bottom"/>
            <w:shd w:val="clear" w:color="auto" w:fill="EAF9E8"/>
          </w:tcPr>
          <w:p>
            <w:pPr>
              <w:spacing w:after="0"/>
              <w:rPr>
                <w:sz w:val="11"/>
                <w:szCs w:val="11"/>
                <w:color w:val="auto"/>
              </w:rPr>
            </w:pPr>
          </w:p>
        </w:tc>
        <w:tc>
          <w:tcPr>
            <w:tcW w:w="1380" w:type="dxa"/>
            <w:vAlign w:val="bottom"/>
            <w:shd w:val="clear" w:color="auto" w:fill="EAF9E8"/>
          </w:tcPr>
          <w:p>
            <w:pPr>
              <w:spacing w:after="0"/>
              <w:rPr>
                <w:sz w:val="11"/>
                <w:szCs w:val="11"/>
                <w:color w:val="auto"/>
              </w:rPr>
            </w:pPr>
          </w:p>
        </w:tc>
        <w:tc>
          <w:tcPr>
            <w:tcW w:w="240" w:type="dxa"/>
            <w:vAlign w:val="bottom"/>
            <w:shd w:val="clear" w:color="auto" w:fill="EAF9E8"/>
          </w:tcPr>
          <w:p>
            <w:pPr>
              <w:spacing w:after="0"/>
              <w:rPr>
                <w:sz w:val="11"/>
                <w:szCs w:val="11"/>
                <w:color w:val="auto"/>
              </w:rPr>
            </w:pPr>
          </w:p>
        </w:tc>
        <w:tc>
          <w:tcPr>
            <w:tcW w:w="1600" w:type="dxa"/>
            <w:vAlign w:val="bottom"/>
            <w:shd w:val="clear" w:color="auto" w:fill="EAF9E8"/>
          </w:tcPr>
          <w:p>
            <w:pPr>
              <w:spacing w:after="0"/>
              <w:rPr>
                <w:sz w:val="11"/>
                <w:szCs w:val="11"/>
                <w:color w:val="auto"/>
              </w:rPr>
            </w:pPr>
          </w:p>
        </w:tc>
        <w:tc>
          <w:tcPr>
            <w:tcW w:w="220" w:type="dxa"/>
            <w:vAlign w:val="bottom"/>
            <w:shd w:val="clear" w:color="auto" w:fill="EAF9E8"/>
          </w:tcPr>
          <w:p>
            <w:pPr>
              <w:spacing w:after="0"/>
              <w:rPr>
                <w:sz w:val="11"/>
                <w:szCs w:val="11"/>
                <w:color w:val="auto"/>
              </w:rPr>
            </w:pPr>
          </w:p>
        </w:tc>
        <w:tc>
          <w:tcPr>
            <w:tcW w:w="1160" w:type="dxa"/>
            <w:vAlign w:val="bottom"/>
            <w:shd w:val="clear" w:color="auto" w:fill="EAF9E8"/>
          </w:tcPr>
          <w:p>
            <w:pPr>
              <w:spacing w:after="0"/>
              <w:rPr>
                <w:sz w:val="11"/>
                <w:szCs w:val="11"/>
                <w:color w:val="auto"/>
              </w:rPr>
            </w:pPr>
          </w:p>
        </w:tc>
        <w:tc>
          <w:tcPr>
            <w:tcW w:w="220" w:type="dxa"/>
            <w:vAlign w:val="bottom"/>
            <w:shd w:val="clear" w:color="auto" w:fill="EAF9E8"/>
          </w:tcPr>
          <w:p>
            <w:pPr>
              <w:spacing w:after="0"/>
              <w:rPr>
                <w:sz w:val="11"/>
                <w:szCs w:val="11"/>
                <w:color w:val="auto"/>
              </w:rPr>
            </w:pPr>
          </w:p>
        </w:tc>
        <w:tc>
          <w:tcPr>
            <w:tcW w:w="120" w:type="dxa"/>
            <w:vAlign w:val="bottom"/>
            <w:shd w:val="clear" w:color="auto" w:fill="EAF9E8"/>
          </w:tcPr>
          <w:p>
            <w:pPr>
              <w:spacing w:after="0"/>
              <w:rPr>
                <w:sz w:val="11"/>
                <w:szCs w:val="11"/>
                <w:color w:val="auto"/>
              </w:rPr>
            </w:pPr>
          </w:p>
        </w:tc>
        <w:tc>
          <w:tcPr>
            <w:tcW w:w="820" w:type="dxa"/>
            <w:vAlign w:val="bottom"/>
            <w:shd w:val="clear" w:color="auto" w:fill="EAF9E8"/>
          </w:tcPr>
          <w:p>
            <w:pPr>
              <w:spacing w:after="0"/>
              <w:rPr>
                <w:sz w:val="11"/>
                <w:szCs w:val="11"/>
                <w:color w:val="auto"/>
              </w:rPr>
            </w:pPr>
          </w:p>
        </w:tc>
        <w:tc>
          <w:tcPr>
            <w:tcW w:w="220" w:type="dxa"/>
            <w:vAlign w:val="bottom"/>
            <w:shd w:val="clear" w:color="auto" w:fill="EAF9E8"/>
          </w:tcPr>
          <w:p>
            <w:pPr>
              <w:spacing w:after="0"/>
              <w:rPr>
                <w:sz w:val="11"/>
                <w:szCs w:val="11"/>
                <w:color w:val="auto"/>
              </w:rPr>
            </w:pPr>
          </w:p>
        </w:tc>
        <w:tc>
          <w:tcPr>
            <w:tcW w:w="180" w:type="dxa"/>
            <w:vAlign w:val="bottom"/>
            <w:shd w:val="clear" w:color="auto" w:fill="EAF9E8"/>
          </w:tcPr>
          <w:p>
            <w:pPr>
              <w:spacing w:after="0"/>
              <w:rPr>
                <w:sz w:val="11"/>
                <w:szCs w:val="11"/>
                <w:color w:val="auto"/>
              </w:rPr>
            </w:pPr>
          </w:p>
        </w:tc>
        <w:tc>
          <w:tcPr>
            <w:tcW w:w="1280" w:type="dxa"/>
            <w:vAlign w:val="bottom"/>
            <w:shd w:val="clear" w:color="auto" w:fill="EAF9E8"/>
          </w:tcPr>
          <w:p>
            <w:pPr>
              <w:spacing w:after="0"/>
              <w:rPr>
                <w:sz w:val="11"/>
                <w:szCs w:val="11"/>
                <w:color w:val="auto"/>
              </w:rPr>
            </w:pPr>
          </w:p>
        </w:tc>
        <w:tc>
          <w:tcPr>
            <w:tcW w:w="220" w:type="dxa"/>
            <w:vAlign w:val="bottom"/>
            <w:shd w:val="clear" w:color="auto" w:fill="EAF9E8"/>
          </w:tcPr>
          <w:p>
            <w:pPr>
              <w:spacing w:after="0"/>
              <w:rPr>
                <w:sz w:val="11"/>
                <w:szCs w:val="11"/>
                <w:color w:val="auto"/>
              </w:rPr>
            </w:pPr>
          </w:p>
        </w:tc>
        <w:tc>
          <w:tcPr>
            <w:tcW w:w="180" w:type="dxa"/>
            <w:vAlign w:val="bottom"/>
            <w:shd w:val="clear" w:color="auto" w:fill="EAF9E8"/>
          </w:tcPr>
          <w:p>
            <w:pPr>
              <w:spacing w:after="0"/>
              <w:rPr>
                <w:sz w:val="11"/>
                <w:szCs w:val="11"/>
                <w:color w:val="auto"/>
              </w:rPr>
            </w:pPr>
          </w:p>
        </w:tc>
        <w:tc>
          <w:tcPr>
            <w:tcW w:w="118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540" w:type="dxa"/>
            <w:vAlign w:val="bottom"/>
            <w:tcBorders>
              <w:top w:val="single" w:sz="8" w:color="auto"/>
            </w:tcBorders>
            <w:shd w:val="clear" w:color="auto" w:fill="EAF9E8"/>
          </w:tcPr>
          <w:p>
            <w:pPr>
              <w:spacing w:after="0"/>
              <w:rPr>
                <w:sz w:val="7"/>
                <w:szCs w:val="7"/>
                <w:color w:val="auto"/>
              </w:rPr>
            </w:pPr>
          </w:p>
        </w:tc>
        <w:tc>
          <w:tcPr>
            <w:tcW w:w="480" w:type="dxa"/>
            <w:vAlign w:val="bottom"/>
            <w:tcBorders>
              <w:top w:val="single" w:sz="8" w:color="EAF9E8"/>
            </w:tcBorders>
            <w:shd w:val="clear" w:color="auto" w:fill="EAF9E8"/>
          </w:tcPr>
          <w:p>
            <w:pPr>
              <w:spacing w:after="0"/>
              <w:rPr>
                <w:sz w:val="7"/>
                <w:szCs w:val="7"/>
                <w:color w:val="auto"/>
              </w:rPr>
            </w:pPr>
          </w:p>
        </w:tc>
        <w:tc>
          <w:tcPr>
            <w:tcW w:w="120" w:type="dxa"/>
            <w:vAlign w:val="bottom"/>
            <w:tcBorders>
              <w:top w:val="single" w:sz="8" w:color="EAF9E8"/>
            </w:tcBorders>
            <w:shd w:val="clear" w:color="auto" w:fill="EAF9E8"/>
          </w:tcPr>
          <w:p>
            <w:pPr>
              <w:spacing w:after="0"/>
              <w:rPr>
                <w:sz w:val="7"/>
                <w:szCs w:val="7"/>
                <w:color w:val="auto"/>
              </w:rPr>
            </w:pPr>
          </w:p>
        </w:tc>
        <w:tc>
          <w:tcPr>
            <w:tcW w:w="920" w:type="dxa"/>
            <w:vAlign w:val="bottom"/>
            <w:tcBorders>
              <w:top w:val="single" w:sz="8" w:color="EAF9E8"/>
            </w:tcBorders>
            <w:shd w:val="clear" w:color="auto" w:fill="EAF9E8"/>
          </w:tcPr>
          <w:p>
            <w:pPr>
              <w:spacing w:after="0"/>
              <w:rPr>
                <w:sz w:val="7"/>
                <w:szCs w:val="7"/>
                <w:color w:val="auto"/>
              </w:rPr>
            </w:pPr>
          </w:p>
        </w:tc>
        <w:tc>
          <w:tcPr>
            <w:tcW w:w="220" w:type="dxa"/>
            <w:vAlign w:val="bottom"/>
            <w:tcBorders>
              <w:top w:val="single" w:sz="8" w:color="EAF9E8"/>
            </w:tcBorders>
            <w:shd w:val="clear" w:color="auto" w:fill="EAF9E8"/>
          </w:tcPr>
          <w:p>
            <w:pPr>
              <w:spacing w:after="0"/>
              <w:rPr>
                <w:sz w:val="7"/>
                <w:szCs w:val="7"/>
                <w:color w:val="auto"/>
              </w:rPr>
            </w:pPr>
          </w:p>
        </w:tc>
        <w:tc>
          <w:tcPr>
            <w:tcW w:w="1380" w:type="dxa"/>
            <w:vAlign w:val="bottom"/>
            <w:tcBorders>
              <w:top w:val="single" w:sz="8" w:color="EAF9E8"/>
            </w:tcBorders>
            <w:shd w:val="clear" w:color="auto" w:fill="EAF9E8"/>
          </w:tcPr>
          <w:p>
            <w:pPr>
              <w:spacing w:after="0"/>
              <w:rPr>
                <w:sz w:val="7"/>
                <w:szCs w:val="7"/>
                <w:color w:val="auto"/>
              </w:rPr>
            </w:pPr>
          </w:p>
        </w:tc>
        <w:tc>
          <w:tcPr>
            <w:tcW w:w="240" w:type="dxa"/>
            <w:vAlign w:val="bottom"/>
            <w:tcBorders>
              <w:top w:val="single" w:sz="8" w:color="EAF9E8"/>
            </w:tcBorders>
            <w:shd w:val="clear" w:color="auto" w:fill="EAF9E8"/>
          </w:tcPr>
          <w:p>
            <w:pPr>
              <w:spacing w:after="0"/>
              <w:rPr>
                <w:sz w:val="7"/>
                <w:szCs w:val="7"/>
                <w:color w:val="auto"/>
              </w:rPr>
            </w:pPr>
          </w:p>
        </w:tc>
        <w:tc>
          <w:tcPr>
            <w:tcW w:w="1600" w:type="dxa"/>
            <w:vAlign w:val="bottom"/>
            <w:tcBorders>
              <w:top w:val="single" w:sz="8" w:color="EAF9E8"/>
            </w:tcBorders>
            <w:shd w:val="clear" w:color="auto" w:fill="EAF9E8"/>
          </w:tcPr>
          <w:p>
            <w:pPr>
              <w:spacing w:after="0"/>
              <w:rPr>
                <w:sz w:val="7"/>
                <w:szCs w:val="7"/>
                <w:color w:val="auto"/>
              </w:rPr>
            </w:pPr>
          </w:p>
        </w:tc>
        <w:tc>
          <w:tcPr>
            <w:tcW w:w="220" w:type="dxa"/>
            <w:vAlign w:val="bottom"/>
            <w:tcBorders>
              <w:top w:val="single" w:sz="8" w:color="EAF9E8"/>
            </w:tcBorders>
            <w:shd w:val="clear" w:color="auto" w:fill="EAF9E8"/>
          </w:tcPr>
          <w:p>
            <w:pPr>
              <w:spacing w:after="0"/>
              <w:rPr>
                <w:sz w:val="7"/>
                <w:szCs w:val="7"/>
                <w:color w:val="auto"/>
              </w:rPr>
            </w:pPr>
          </w:p>
        </w:tc>
        <w:tc>
          <w:tcPr>
            <w:tcW w:w="1160" w:type="dxa"/>
            <w:vAlign w:val="bottom"/>
            <w:tcBorders>
              <w:top w:val="single" w:sz="8" w:color="EAF9E8"/>
            </w:tcBorders>
            <w:shd w:val="clear" w:color="auto" w:fill="EAF9E8"/>
          </w:tcPr>
          <w:p>
            <w:pPr>
              <w:spacing w:after="0"/>
              <w:rPr>
                <w:sz w:val="7"/>
                <w:szCs w:val="7"/>
                <w:color w:val="auto"/>
              </w:rPr>
            </w:pPr>
          </w:p>
        </w:tc>
        <w:tc>
          <w:tcPr>
            <w:tcW w:w="220" w:type="dxa"/>
            <w:vAlign w:val="bottom"/>
            <w:tcBorders>
              <w:top w:val="single" w:sz="8" w:color="EAF9E8"/>
            </w:tcBorders>
            <w:shd w:val="clear" w:color="auto" w:fill="EAF9E8"/>
          </w:tcPr>
          <w:p>
            <w:pPr>
              <w:spacing w:after="0"/>
              <w:rPr>
                <w:sz w:val="7"/>
                <w:szCs w:val="7"/>
                <w:color w:val="auto"/>
              </w:rPr>
            </w:pPr>
          </w:p>
        </w:tc>
        <w:tc>
          <w:tcPr>
            <w:tcW w:w="120" w:type="dxa"/>
            <w:vAlign w:val="bottom"/>
            <w:tcBorders>
              <w:top w:val="single" w:sz="8" w:color="EAF9E8"/>
            </w:tcBorders>
            <w:shd w:val="clear" w:color="auto" w:fill="EAF9E8"/>
          </w:tcPr>
          <w:p>
            <w:pPr>
              <w:spacing w:after="0"/>
              <w:rPr>
                <w:sz w:val="7"/>
                <w:szCs w:val="7"/>
                <w:color w:val="auto"/>
              </w:rPr>
            </w:pPr>
          </w:p>
        </w:tc>
        <w:tc>
          <w:tcPr>
            <w:tcW w:w="820" w:type="dxa"/>
            <w:vAlign w:val="bottom"/>
            <w:tcBorders>
              <w:top w:val="single" w:sz="8" w:color="EAF9E8"/>
            </w:tcBorders>
            <w:shd w:val="clear" w:color="auto" w:fill="EAF9E8"/>
          </w:tcPr>
          <w:p>
            <w:pPr>
              <w:spacing w:after="0"/>
              <w:rPr>
                <w:sz w:val="7"/>
                <w:szCs w:val="7"/>
                <w:color w:val="auto"/>
              </w:rPr>
            </w:pPr>
          </w:p>
        </w:tc>
        <w:tc>
          <w:tcPr>
            <w:tcW w:w="220" w:type="dxa"/>
            <w:vAlign w:val="bottom"/>
            <w:tcBorders>
              <w:top w:val="single" w:sz="8" w:color="EAF9E8"/>
            </w:tcBorders>
            <w:shd w:val="clear" w:color="auto" w:fill="EAF9E8"/>
          </w:tcPr>
          <w:p>
            <w:pPr>
              <w:spacing w:after="0"/>
              <w:rPr>
                <w:sz w:val="7"/>
                <w:szCs w:val="7"/>
                <w:color w:val="auto"/>
              </w:rPr>
            </w:pPr>
          </w:p>
        </w:tc>
        <w:tc>
          <w:tcPr>
            <w:tcW w:w="180" w:type="dxa"/>
            <w:vAlign w:val="bottom"/>
            <w:tcBorders>
              <w:top w:val="single" w:sz="8" w:color="EAF9E8"/>
            </w:tcBorders>
            <w:shd w:val="clear" w:color="auto" w:fill="EAF9E8"/>
          </w:tcPr>
          <w:p>
            <w:pPr>
              <w:spacing w:after="0"/>
              <w:rPr>
                <w:sz w:val="7"/>
                <w:szCs w:val="7"/>
                <w:color w:val="auto"/>
              </w:rPr>
            </w:pPr>
          </w:p>
        </w:tc>
        <w:tc>
          <w:tcPr>
            <w:tcW w:w="1280" w:type="dxa"/>
            <w:vAlign w:val="bottom"/>
            <w:tcBorders>
              <w:top w:val="single" w:sz="8" w:color="EAF9E8"/>
            </w:tcBorders>
            <w:shd w:val="clear" w:color="auto" w:fill="EAF9E8"/>
          </w:tcPr>
          <w:p>
            <w:pPr>
              <w:spacing w:after="0"/>
              <w:rPr>
                <w:sz w:val="7"/>
                <w:szCs w:val="7"/>
                <w:color w:val="auto"/>
              </w:rPr>
            </w:pPr>
          </w:p>
        </w:tc>
        <w:tc>
          <w:tcPr>
            <w:tcW w:w="220" w:type="dxa"/>
            <w:vAlign w:val="bottom"/>
            <w:tcBorders>
              <w:top w:val="single" w:sz="8" w:color="EAF9E8"/>
            </w:tcBorders>
            <w:shd w:val="clear" w:color="auto" w:fill="EAF9E8"/>
          </w:tcPr>
          <w:p>
            <w:pPr>
              <w:spacing w:after="0"/>
              <w:rPr>
                <w:sz w:val="7"/>
                <w:szCs w:val="7"/>
                <w:color w:val="auto"/>
              </w:rPr>
            </w:pPr>
          </w:p>
        </w:tc>
        <w:tc>
          <w:tcPr>
            <w:tcW w:w="180" w:type="dxa"/>
            <w:vAlign w:val="bottom"/>
            <w:tcBorders>
              <w:top w:val="single" w:sz="8" w:color="EAF9E8"/>
            </w:tcBorders>
            <w:shd w:val="clear" w:color="auto" w:fill="EAF9E8"/>
          </w:tcPr>
          <w:p>
            <w:pPr>
              <w:spacing w:after="0"/>
              <w:rPr>
                <w:sz w:val="7"/>
                <w:szCs w:val="7"/>
                <w:color w:val="auto"/>
              </w:rPr>
            </w:pPr>
          </w:p>
        </w:tc>
        <w:tc>
          <w:tcPr>
            <w:tcW w:w="1180" w:type="dxa"/>
            <w:vAlign w:val="bottom"/>
            <w:tcBorders>
              <w:top w:val="single" w:sz="8" w:color="EAF9E8"/>
            </w:tcBorders>
            <w:shd w:val="clear" w:color="auto" w:fill="EAF9E8"/>
          </w:tcPr>
          <w:p>
            <w:pPr>
              <w:spacing w:after="0"/>
              <w:rPr>
                <w:sz w:val="7"/>
                <w:szCs w:val="7"/>
                <w:color w:val="auto"/>
              </w:rPr>
            </w:pPr>
          </w:p>
        </w:tc>
        <w:tc>
          <w:tcPr>
            <w:tcW w:w="100" w:type="dxa"/>
            <w:vAlign w:val="bottom"/>
            <w:tcBorders>
              <w:top w:val="single" w:sz="8" w:color="EAF9E8"/>
            </w:tcBorders>
            <w:shd w:val="clear" w:color="auto" w:fill="EAF9E8"/>
          </w:tcPr>
          <w:p>
            <w:pPr>
              <w:spacing w:after="0"/>
              <w:rPr>
                <w:sz w:val="7"/>
                <w:szCs w:val="7"/>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2060" w:type="dxa"/>
            <w:vAlign w:val="bottom"/>
            <w:gridSpan w:val="4"/>
          </w:tcPr>
          <w:p>
            <w:pPr>
              <w:spacing w:after="0"/>
              <w:rPr>
                <w:sz w:val="20"/>
                <w:szCs w:val="20"/>
                <w:color w:val="auto"/>
              </w:rPr>
            </w:pPr>
            <w:r>
              <w:rPr>
                <w:rFonts w:ascii="Arial" w:cs="Arial" w:eastAsia="Arial" w:hAnsi="Arial"/>
                <w:sz w:val="14"/>
                <w:szCs w:val="14"/>
                <w:color w:val="auto"/>
              </w:rPr>
              <w:t>Fee reimbursement advance</w:t>
            </w:r>
          </w:p>
        </w:tc>
        <w:tc>
          <w:tcPr>
            <w:tcW w:w="220" w:type="dxa"/>
            <w:vAlign w:val="bottom"/>
          </w:tcPr>
          <w:p>
            <w:pPr>
              <w:spacing w:after="0"/>
              <w:rPr>
                <w:sz w:val="14"/>
                <w:szCs w:val="14"/>
                <w:color w:val="auto"/>
              </w:rPr>
            </w:pPr>
          </w:p>
        </w:tc>
        <w:tc>
          <w:tcPr>
            <w:tcW w:w="1380" w:type="dxa"/>
            <w:vAlign w:val="bottom"/>
          </w:tcPr>
          <w:p>
            <w:pPr>
              <w:spacing w:after="0"/>
              <w:rPr>
                <w:sz w:val="20"/>
                <w:szCs w:val="20"/>
                <w:color w:val="auto"/>
              </w:rPr>
            </w:pPr>
            <w:r>
              <w:rPr>
                <w:rFonts w:ascii="Arial" w:cs="Arial" w:eastAsia="Arial" w:hAnsi="Arial"/>
                <w:sz w:val="14"/>
                <w:szCs w:val="14"/>
                <w:color w:val="auto"/>
              </w:rPr>
              <w:t>Term note (2)</w:t>
            </w:r>
          </w:p>
        </w:tc>
        <w:tc>
          <w:tcPr>
            <w:tcW w:w="1840" w:type="dxa"/>
            <w:vAlign w:val="bottom"/>
            <w:gridSpan w:val="2"/>
          </w:tcPr>
          <w:p>
            <w:pPr>
              <w:ind w:left="240"/>
              <w:spacing w:after="0"/>
              <w:rPr>
                <w:sz w:val="20"/>
                <w:szCs w:val="20"/>
                <w:color w:val="auto"/>
              </w:rPr>
            </w:pPr>
            <w:r>
              <w:rPr>
                <w:rFonts w:ascii="Arial" w:cs="Arial" w:eastAsia="Arial" w:hAnsi="Arial"/>
                <w:sz w:val="14"/>
                <w:szCs w:val="14"/>
                <w:color w:val="auto"/>
              </w:rPr>
              <w:t>See (2) below</w:t>
            </w:r>
          </w:p>
        </w:tc>
        <w:tc>
          <w:tcPr>
            <w:tcW w:w="22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color w:val="auto"/>
                <w:w w:val="89"/>
              </w:rPr>
              <w:t>March 2014</w:t>
            </w:r>
          </w:p>
        </w:tc>
        <w:tc>
          <w:tcPr>
            <w:tcW w:w="34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ind w:left="680"/>
              <w:spacing w:after="0"/>
              <w:rPr>
                <w:sz w:val="20"/>
                <w:szCs w:val="20"/>
                <w:color w:val="auto"/>
              </w:rPr>
            </w:pPr>
            <w:r>
              <w:rPr>
                <w:rFonts w:ascii="Arial" w:cs="Arial" w:eastAsia="Arial" w:hAnsi="Arial"/>
                <w:sz w:val="14"/>
                <w:szCs w:val="14"/>
                <w:color w:val="auto"/>
                <w:w w:val="85"/>
              </w:rPr>
              <w:t>—</w:t>
            </w:r>
          </w:p>
        </w:tc>
        <w:tc>
          <w:tcPr>
            <w:tcW w:w="40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w:t>
            </w:r>
          </w:p>
        </w:tc>
        <w:tc>
          <w:tcPr>
            <w:tcW w:w="15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60,000</w:t>
            </w:r>
          </w:p>
        </w:tc>
        <w:tc>
          <w:tcPr>
            <w:tcW w:w="180" w:type="dxa"/>
            <w:vAlign w:val="bottom"/>
            <w:vMerge w:val="restart"/>
          </w:tcPr>
          <w:p>
            <w:pPr>
              <w:jc w:val="right"/>
              <w:ind w:right="69"/>
              <w:spacing w:after="0"/>
              <w:rPr>
                <w:sz w:val="20"/>
                <w:szCs w:val="20"/>
                <w:color w:val="auto"/>
              </w:rPr>
            </w:pPr>
            <w:r>
              <w:rPr>
                <w:rFonts w:ascii="Arial" w:cs="Arial" w:eastAsia="Arial" w:hAnsi="Arial"/>
                <w:sz w:val="10"/>
                <w:szCs w:val="10"/>
                <w:color w:val="auto"/>
                <w:w w:val="71"/>
              </w:rPr>
              <w:t>$</w:t>
            </w:r>
          </w:p>
        </w:tc>
        <w:tc>
          <w:tcPr>
            <w:tcW w:w="128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540" w:type="dxa"/>
            <w:vAlign w:val="bottom"/>
          </w:tcPr>
          <w:p>
            <w:pPr>
              <w:spacing w:after="0"/>
              <w:rPr>
                <w:sz w:val="6"/>
                <w:szCs w:val="6"/>
                <w:color w:val="auto"/>
              </w:rPr>
            </w:pPr>
          </w:p>
        </w:tc>
        <w:tc>
          <w:tcPr>
            <w:tcW w:w="480" w:type="dxa"/>
            <w:vAlign w:val="bottom"/>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3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340" w:type="dxa"/>
            <w:vAlign w:val="bottom"/>
            <w:gridSpan w:val="2"/>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400" w:type="dxa"/>
            <w:vAlign w:val="bottom"/>
            <w:gridSpan w:val="2"/>
            <w:vMerge w:val="continue"/>
          </w:tcPr>
          <w:p>
            <w:pPr>
              <w:spacing w:after="0"/>
              <w:rPr>
                <w:sz w:val="6"/>
                <w:szCs w:val="6"/>
                <w:color w:val="auto"/>
              </w:rPr>
            </w:pPr>
          </w:p>
        </w:tc>
        <w:tc>
          <w:tcPr>
            <w:tcW w:w="1500" w:type="dxa"/>
            <w:vAlign w:val="bottom"/>
            <w:gridSpan w:val="2"/>
            <w:vMerge w:val="continue"/>
          </w:tcPr>
          <w:p>
            <w:pPr>
              <w:spacing w:after="0"/>
              <w:rPr>
                <w:sz w:val="6"/>
                <w:szCs w:val="6"/>
                <w:color w:val="auto"/>
              </w:rPr>
            </w:pPr>
          </w:p>
        </w:tc>
        <w:tc>
          <w:tcPr>
            <w:tcW w:w="180" w:type="dxa"/>
            <w:vAlign w:val="bottom"/>
            <w:vMerge w:val="continue"/>
          </w:tcPr>
          <w:p>
            <w:pPr>
              <w:spacing w:after="0"/>
              <w:rPr>
                <w:sz w:val="6"/>
                <w:szCs w:val="6"/>
                <w:color w:val="auto"/>
              </w:rPr>
            </w:pPr>
          </w:p>
        </w:tc>
        <w:tc>
          <w:tcPr>
            <w:tcW w:w="12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60" w:type="dxa"/>
            <w:vAlign w:val="bottom"/>
            <w:gridSpan w:val="4"/>
            <w:shd w:val="clear" w:color="auto" w:fill="EAF9E8"/>
          </w:tcPr>
          <w:p>
            <w:pPr>
              <w:spacing w:after="0" w:line="138" w:lineRule="exact"/>
              <w:rPr>
                <w:sz w:val="20"/>
                <w:szCs w:val="20"/>
                <w:color w:val="auto"/>
              </w:rPr>
            </w:pPr>
            <w:r>
              <w:rPr>
                <w:rFonts w:ascii="Arial" w:cs="Arial" w:eastAsia="Arial" w:hAnsi="Arial"/>
                <w:sz w:val="14"/>
                <w:szCs w:val="14"/>
                <w:color w:val="auto"/>
              </w:rPr>
              <w:t>Term note (3)</w:t>
            </w:r>
          </w:p>
        </w:tc>
        <w:tc>
          <w:tcPr>
            <w:tcW w:w="220" w:type="dxa"/>
            <w:vAlign w:val="bottom"/>
            <w:shd w:val="clear" w:color="auto" w:fill="EAF9E8"/>
          </w:tcPr>
          <w:p>
            <w:pPr>
              <w:spacing w:after="0"/>
              <w:rPr>
                <w:sz w:val="11"/>
                <w:szCs w:val="11"/>
                <w:color w:val="auto"/>
              </w:rPr>
            </w:pPr>
          </w:p>
        </w:tc>
        <w:tc>
          <w:tcPr>
            <w:tcW w:w="1380" w:type="dxa"/>
            <w:vAlign w:val="bottom"/>
            <w:shd w:val="clear" w:color="auto" w:fill="EAF9E8"/>
          </w:tcPr>
          <w:p>
            <w:pPr>
              <w:spacing w:after="0" w:line="138" w:lineRule="exact"/>
              <w:rPr>
                <w:sz w:val="20"/>
                <w:szCs w:val="20"/>
                <w:color w:val="auto"/>
              </w:rPr>
            </w:pPr>
            <w:r>
              <w:rPr>
                <w:rFonts w:ascii="Arial" w:cs="Arial" w:eastAsia="Arial" w:hAnsi="Arial"/>
                <w:sz w:val="14"/>
                <w:szCs w:val="14"/>
                <w:color w:val="auto"/>
              </w:rPr>
              <w:t>Advances</w:t>
            </w:r>
          </w:p>
        </w:tc>
        <w:tc>
          <w:tcPr>
            <w:tcW w:w="1840" w:type="dxa"/>
            <w:vAlign w:val="bottom"/>
            <w:gridSpan w:val="2"/>
            <w:shd w:val="clear" w:color="auto" w:fill="EAF9E8"/>
          </w:tcPr>
          <w:p>
            <w:pPr>
              <w:ind w:left="240"/>
              <w:spacing w:after="0" w:line="138" w:lineRule="exact"/>
              <w:rPr>
                <w:sz w:val="20"/>
                <w:szCs w:val="20"/>
                <w:color w:val="auto"/>
              </w:rPr>
            </w:pPr>
            <w:r>
              <w:rPr>
                <w:rFonts w:ascii="Arial" w:cs="Arial" w:eastAsia="Arial" w:hAnsi="Arial"/>
                <w:sz w:val="14"/>
                <w:szCs w:val="14"/>
                <w:color w:val="auto"/>
                <w:w w:val="91"/>
              </w:rPr>
              <w:t>1-Month LIBOR + 350 basis</w:t>
            </w:r>
          </w:p>
        </w:tc>
        <w:tc>
          <w:tcPr>
            <w:tcW w:w="220" w:type="dxa"/>
            <w:vAlign w:val="bottom"/>
            <w:shd w:val="clear" w:color="auto" w:fill="EAF9E8"/>
          </w:tcPr>
          <w:p>
            <w:pPr>
              <w:spacing w:after="0"/>
              <w:rPr>
                <w:sz w:val="11"/>
                <w:szCs w:val="11"/>
                <w:color w:val="auto"/>
              </w:rPr>
            </w:pPr>
          </w:p>
        </w:tc>
        <w:tc>
          <w:tcPr>
            <w:tcW w:w="1160" w:type="dxa"/>
            <w:vAlign w:val="bottom"/>
            <w:shd w:val="clear" w:color="auto" w:fill="EAF9E8"/>
          </w:tcPr>
          <w:p>
            <w:pPr>
              <w:jc w:val="center"/>
              <w:spacing w:after="0" w:line="138" w:lineRule="exact"/>
              <w:rPr>
                <w:sz w:val="20"/>
                <w:szCs w:val="20"/>
                <w:color w:val="auto"/>
              </w:rPr>
            </w:pPr>
            <w:r>
              <w:rPr>
                <w:rFonts w:ascii="Arial" w:cs="Arial" w:eastAsia="Arial" w:hAnsi="Arial"/>
                <w:sz w:val="14"/>
                <w:szCs w:val="14"/>
                <w:color w:val="auto"/>
                <w:w w:val="89"/>
              </w:rPr>
              <w:t>March 2014</w:t>
            </w:r>
          </w:p>
        </w:tc>
        <w:tc>
          <w:tcPr>
            <w:tcW w:w="220" w:type="dxa"/>
            <w:vAlign w:val="bottom"/>
            <w:shd w:val="clear" w:color="auto" w:fill="EAF9E8"/>
          </w:tcPr>
          <w:p>
            <w:pPr>
              <w:spacing w:after="0"/>
              <w:rPr>
                <w:sz w:val="11"/>
                <w:szCs w:val="11"/>
                <w:color w:val="auto"/>
              </w:rPr>
            </w:pPr>
          </w:p>
        </w:tc>
        <w:tc>
          <w:tcPr>
            <w:tcW w:w="120" w:type="dxa"/>
            <w:vAlign w:val="bottom"/>
            <w:shd w:val="clear" w:color="auto" w:fill="EAF9E8"/>
          </w:tcPr>
          <w:p>
            <w:pPr>
              <w:spacing w:after="0"/>
              <w:rPr>
                <w:sz w:val="11"/>
                <w:szCs w:val="11"/>
                <w:color w:val="auto"/>
              </w:rPr>
            </w:pPr>
          </w:p>
        </w:tc>
        <w:tc>
          <w:tcPr>
            <w:tcW w:w="820" w:type="dxa"/>
            <w:vAlign w:val="bottom"/>
            <w:shd w:val="clear" w:color="auto" w:fill="EAF9E8"/>
          </w:tcPr>
          <w:p>
            <w:pPr>
              <w:spacing w:after="0"/>
              <w:rPr>
                <w:sz w:val="11"/>
                <w:szCs w:val="11"/>
                <w:color w:val="auto"/>
              </w:rPr>
            </w:pPr>
          </w:p>
        </w:tc>
        <w:tc>
          <w:tcPr>
            <w:tcW w:w="220" w:type="dxa"/>
            <w:vAlign w:val="bottom"/>
            <w:shd w:val="clear" w:color="auto" w:fill="EAF9E8"/>
          </w:tcPr>
          <w:p>
            <w:pPr>
              <w:spacing w:after="0"/>
              <w:rPr>
                <w:sz w:val="11"/>
                <w:szCs w:val="11"/>
                <w:color w:val="auto"/>
              </w:rPr>
            </w:pPr>
          </w:p>
        </w:tc>
        <w:tc>
          <w:tcPr>
            <w:tcW w:w="180" w:type="dxa"/>
            <w:vAlign w:val="bottom"/>
            <w:shd w:val="clear" w:color="auto" w:fill="EAF9E8"/>
          </w:tcPr>
          <w:p>
            <w:pPr>
              <w:spacing w:after="0"/>
              <w:rPr>
                <w:sz w:val="11"/>
                <w:szCs w:val="11"/>
                <w:color w:val="auto"/>
              </w:rPr>
            </w:pPr>
          </w:p>
        </w:tc>
        <w:tc>
          <w:tcPr>
            <w:tcW w:w="1280" w:type="dxa"/>
            <w:vAlign w:val="bottom"/>
            <w:shd w:val="clear" w:color="auto" w:fill="EAF9E8"/>
          </w:tcPr>
          <w:p>
            <w:pPr>
              <w:spacing w:after="0"/>
              <w:rPr>
                <w:sz w:val="11"/>
                <w:szCs w:val="11"/>
                <w:color w:val="auto"/>
              </w:rPr>
            </w:pPr>
          </w:p>
        </w:tc>
        <w:tc>
          <w:tcPr>
            <w:tcW w:w="220" w:type="dxa"/>
            <w:vAlign w:val="bottom"/>
            <w:shd w:val="clear" w:color="auto" w:fill="EAF9E8"/>
          </w:tcPr>
          <w:p>
            <w:pPr>
              <w:spacing w:after="0"/>
              <w:rPr>
                <w:sz w:val="11"/>
                <w:szCs w:val="11"/>
                <w:color w:val="auto"/>
              </w:rPr>
            </w:pPr>
          </w:p>
        </w:tc>
        <w:tc>
          <w:tcPr>
            <w:tcW w:w="180" w:type="dxa"/>
            <w:vAlign w:val="bottom"/>
            <w:shd w:val="clear" w:color="auto" w:fill="EAF9E8"/>
          </w:tcPr>
          <w:p>
            <w:pPr>
              <w:spacing w:after="0"/>
              <w:rPr>
                <w:sz w:val="11"/>
                <w:szCs w:val="11"/>
                <w:color w:val="auto"/>
              </w:rPr>
            </w:pPr>
          </w:p>
        </w:tc>
        <w:tc>
          <w:tcPr>
            <w:tcW w:w="118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40" w:type="dxa"/>
            <w:vAlign w:val="bottom"/>
            <w:shd w:val="clear" w:color="auto" w:fill="EAF9E8"/>
          </w:tcPr>
          <w:p>
            <w:pPr>
              <w:spacing w:after="0"/>
              <w:rPr>
                <w:sz w:val="13"/>
                <w:szCs w:val="13"/>
                <w:color w:val="auto"/>
              </w:rPr>
            </w:pPr>
          </w:p>
        </w:tc>
        <w:tc>
          <w:tcPr>
            <w:tcW w:w="480" w:type="dxa"/>
            <w:vAlign w:val="bottom"/>
            <w:shd w:val="clear" w:color="auto" w:fill="EAF9E8"/>
          </w:tcPr>
          <w:p>
            <w:pPr>
              <w:spacing w:after="0"/>
              <w:rPr>
                <w:sz w:val="13"/>
                <w:szCs w:val="13"/>
                <w:color w:val="auto"/>
              </w:rPr>
            </w:pPr>
          </w:p>
        </w:tc>
        <w:tc>
          <w:tcPr>
            <w:tcW w:w="120" w:type="dxa"/>
            <w:vAlign w:val="bottom"/>
            <w:shd w:val="clear" w:color="auto" w:fill="EAF9E8"/>
          </w:tcPr>
          <w:p>
            <w:pPr>
              <w:spacing w:after="0"/>
              <w:rPr>
                <w:sz w:val="13"/>
                <w:szCs w:val="13"/>
                <w:color w:val="auto"/>
              </w:rPr>
            </w:pPr>
          </w:p>
        </w:tc>
        <w:tc>
          <w:tcPr>
            <w:tcW w:w="920" w:type="dxa"/>
            <w:vAlign w:val="bottom"/>
            <w:shd w:val="clear" w:color="auto" w:fill="EAF9E8"/>
          </w:tcPr>
          <w:p>
            <w:pPr>
              <w:spacing w:after="0"/>
              <w:rPr>
                <w:sz w:val="13"/>
                <w:szCs w:val="13"/>
                <w:color w:val="auto"/>
              </w:rPr>
            </w:pPr>
          </w:p>
        </w:tc>
        <w:tc>
          <w:tcPr>
            <w:tcW w:w="220" w:type="dxa"/>
            <w:vAlign w:val="bottom"/>
            <w:shd w:val="clear" w:color="auto" w:fill="EAF9E8"/>
          </w:tcPr>
          <w:p>
            <w:pPr>
              <w:spacing w:after="0"/>
              <w:rPr>
                <w:sz w:val="13"/>
                <w:szCs w:val="13"/>
                <w:color w:val="auto"/>
              </w:rPr>
            </w:pPr>
          </w:p>
        </w:tc>
        <w:tc>
          <w:tcPr>
            <w:tcW w:w="1380" w:type="dxa"/>
            <w:vAlign w:val="bottom"/>
            <w:shd w:val="clear" w:color="auto" w:fill="EAF9E8"/>
          </w:tcPr>
          <w:p>
            <w:pPr>
              <w:spacing w:after="0"/>
              <w:rPr>
                <w:sz w:val="13"/>
                <w:szCs w:val="13"/>
                <w:color w:val="auto"/>
              </w:rPr>
            </w:pPr>
          </w:p>
        </w:tc>
        <w:tc>
          <w:tcPr>
            <w:tcW w:w="1840" w:type="dxa"/>
            <w:vAlign w:val="bottom"/>
            <w:gridSpan w:val="2"/>
            <w:shd w:val="clear" w:color="auto" w:fill="EAF9E8"/>
          </w:tcPr>
          <w:p>
            <w:pPr>
              <w:ind w:left="240"/>
              <w:spacing w:after="0" w:line="159" w:lineRule="exact"/>
              <w:rPr>
                <w:sz w:val="20"/>
                <w:szCs w:val="20"/>
                <w:color w:val="auto"/>
              </w:rPr>
            </w:pPr>
            <w:r>
              <w:rPr>
                <w:rFonts w:ascii="Arial" w:cs="Arial" w:eastAsia="Arial" w:hAnsi="Arial"/>
                <w:sz w:val="14"/>
                <w:szCs w:val="14"/>
                <w:color w:val="auto"/>
              </w:rPr>
              <w:t>points</w:t>
            </w:r>
          </w:p>
        </w:tc>
        <w:tc>
          <w:tcPr>
            <w:tcW w:w="220" w:type="dxa"/>
            <w:vAlign w:val="bottom"/>
            <w:shd w:val="clear" w:color="auto" w:fill="EAF9E8"/>
          </w:tcPr>
          <w:p>
            <w:pPr>
              <w:spacing w:after="0"/>
              <w:rPr>
                <w:sz w:val="13"/>
                <w:szCs w:val="13"/>
                <w:color w:val="auto"/>
              </w:rPr>
            </w:pPr>
          </w:p>
        </w:tc>
        <w:tc>
          <w:tcPr>
            <w:tcW w:w="1160" w:type="dxa"/>
            <w:vAlign w:val="bottom"/>
            <w:shd w:val="clear" w:color="auto" w:fill="EAF9E8"/>
          </w:tcPr>
          <w:p>
            <w:pPr>
              <w:spacing w:after="0"/>
              <w:rPr>
                <w:sz w:val="13"/>
                <w:szCs w:val="13"/>
                <w:color w:val="auto"/>
              </w:rPr>
            </w:pPr>
          </w:p>
        </w:tc>
        <w:tc>
          <w:tcPr>
            <w:tcW w:w="220" w:type="dxa"/>
            <w:vAlign w:val="bottom"/>
            <w:shd w:val="clear" w:color="auto" w:fill="EAF9E8"/>
          </w:tcPr>
          <w:p>
            <w:pPr>
              <w:spacing w:after="0"/>
              <w:rPr>
                <w:sz w:val="13"/>
                <w:szCs w:val="13"/>
                <w:color w:val="auto"/>
              </w:rPr>
            </w:pPr>
          </w:p>
        </w:tc>
        <w:tc>
          <w:tcPr>
            <w:tcW w:w="120" w:type="dxa"/>
            <w:vAlign w:val="bottom"/>
            <w:shd w:val="clear" w:color="auto" w:fill="EAF9E8"/>
          </w:tcPr>
          <w:p>
            <w:pPr>
              <w:spacing w:after="0"/>
              <w:rPr>
                <w:sz w:val="13"/>
                <w:szCs w:val="13"/>
                <w:color w:val="auto"/>
              </w:rPr>
            </w:pPr>
          </w:p>
        </w:tc>
        <w:tc>
          <w:tcPr>
            <w:tcW w:w="820" w:type="dxa"/>
            <w:vAlign w:val="bottom"/>
            <w:shd w:val="clear" w:color="auto" w:fill="EAF9E8"/>
          </w:tcPr>
          <w:p>
            <w:pPr>
              <w:ind w:left="680"/>
              <w:spacing w:after="0" w:line="159" w:lineRule="exact"/>
              <w:rPr>
                <w:sz w:val="20"/>
                <w:szCs w:val="20"/>
                <w:color w:val="auto"/>
              </w:rPr>
            </w:pPr>
            <w:r>
              <w:rPr>
                <w:rFonts w:ascii="Arial" w:cs="Arial" w:eastAsia="Arial" w:hAnsi="Arial"/>
                <w:sz w:val="14"/>
                <w:szCs w:val="14"/>
                <w:color w:val="auto"/>
                <w:w w:val="85"/>
              </w:rPr>
              <w:t>—</w:t>
            </w:r>
          </w:p>
        </w:tc>
        <w:tc>
          <w:tcPr>
            <w:tcW w:w="220" w:type="dxa"/>
            <w:vAlign w:val="bottom"/>
            <w:shd w:val="clear" w:color="auto" w:fill="EAF9E8"/>
          </w:tcPr>
          <w:p>
            <w:pPr>
              <w:spacing w:after="0"/>
              <w:rPr>
                <w:sz w:val="13"/>
                <w:szCs w:val="13"/>
                <w:color w:val="auto"/>
              </w:rPr>
            </w:pPr>
          </w:p>
        </w:tc>
        <w:tc>
          <w:tcPr>
            <w:tcW w:w="180" w:type="dxa"/>
            <w:vAlign w:val="bottom"/>
            <w:shd w:val="clear" w:color="auto" w:fill="EAF9E8"/>
          </w:tcPr>
          <w:p>
            <w:pPr>
              <w:spacing w:after="0"/>
              <w:rPr>
                <w:sz w:val="13"/>
                <w:szCs w:val="13"/>
                <w:color w:val="auto"/>
              </w:rPr>
            </w:pPr>
          </w:p>
        </w:tc>
        <w:tc>
          <w:tcPr>
            <w:tcW w:w="1500" w:type="dxa"/>
            <w:vAlign w:val="bottom"/>
            <w:gridSpan w:val="2"/>
            <w:shd w:val="clear" w:color="auto" w:fill="EAF9E8"/>
          </w:tcPr>
          <w:p>
            <w:pPr>
              <w:jc w:val="right"/>
              <w:ind w:right="220"/>
              <w:spacing w:after="0" w:line="159" w:lineRule="exact"/>
              <w:rPr>
                <w:sz w:val="20"/>
                <w:szCs w:val="20"/>
                <w:color w:val="auto"/>
              </w:rPr>
            </w:pPr>
            <w:r>
              <w:rPr>
                <w:rFonts w:ascii="Arial" w:cs="Arial" w:eastAsia="Arial" w:hAnsi="Arial"/>
                <w:sz w:val="14"/>
                <w:szCs w:val="14"/>
                <w:color w:val="auto"/>
              </w:rPr>
              <w:t>7,000</w:t>
            </w:r>
          </w:p>
        </w:tc>
        <w:tc>
          <w:tcPr>
            <w:tcW w:w="180" w:type="dxa"/>
            <w:vAlign w:val="bottom"/>
            <w:shd w:val="clear" w:color="auto" w:fill="EAF9E8"/>
          </w:tcPr>
          <w:p>
            <w:pPr>
              <w:spacing w:after="0"/>
              <w:rPr>
                <w:sz w:val="13"/>
                <w:szCs w:val="13"/>
                <w:color w:val="auto"/>
              </w:rPr>
            </w:pPr>
          </w:p>
        </w:tc>
        <w:tc>
          <w:tcPr>
            <w:tcW w:w="1280" w:type="dxa"/>
            <w:vAlign w:val="bottom"/>
            <w:gridSpan w:val="2"/>
            <w:shd w:val="clear" w:color="auto" w:fill="EAF9E8"/>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60" w:type="dxa"/>
            <w:vAlign w:val="bottom"/>
            <w:gridSpan w:val="4"/>
          </w:tcPr>
          <w:p>
            <w:pPr>
              <w:spacing w:after="0" w:line="138" w:lineRule="exact"/>
              <w:rPr>
                <w:sz w:val="20"/>
                <w:szCs w:val="20"/>
                <w:color w:val="auto"/>
              </w:rPr>
            </w:pPr>
            <w:r>
              <w:rPr>
                <w:rFonts w:ascii="Arial" w:cs="Arial" w:eastAsia="Arial" w:hAnsi="Arial"/>
                <w:sz w:val="14"/>
                <w:szCs w:val="14"/>
                <w:color w:val="auto"/>
                <w:w w:val="96"/>
              </w:rPr>
              <w:t>Senior secured credit agreement -</w:t>
            </w:r>
          </w:p>
        </w:tc>
        <w:tc>
          <w:tcPr>
            <w:tcW w:w="220" w:type="dxa"/>
            <w:vAlign w:val="bottom"/>
          </w:tcPr>
          <w:p>
            <w:pPr>
              <w:spacing w:after="0"/>
              <w:rPr>
                <w:sz w:val="11"/>
                <w:szCs w:val="11"/>
                <w:color w:val="auto"/>
              </w:rPr>
            </w:pPr>
          </w:p>
        </w:tc>
        <w:tc>
          <w:tcPr>
            <w:tcW w:w="1380" w:type="dxa"/>
            <w:vAlign w:val="bottom"/>
          </w:tcPr>
          <w:p>
            <w:pPr>
              <w:spacing w:after="0" w:line="138" w:lineRule="exact"/>
              <w:rPr>
                <w:sz w:val="20"/>
                <w:szCs w:val="20"/>
                <w:color w:val="auto"/>
              </w:rPr>
            </w:pPr>
            <w:r>
              <w:rPr>
                <w:rFonts w:ascii="Arial" w:cs="Arial" w:eastAsia="Arial" w:hAnsi="Arial"/>
                <w:sz w:val="14"/>
                <w:szCs w:val="14"/>
                <w:color w:val="auto"/>
              </w:rPr>
              <w:t>MSRs</w:t>
            </w:r>
          </w:p>
        </w:tc>
        <w:tc>
          <w:tcPr>
            <w:tcW w:w="1840" w:type="dxa"/>
            <w:vAlign w:val="bottom"/>
            <w:gridSpan w:val="2"/>
          </w:tcPr>
          <w:p>
            <w:pPr>
              <w:ind w:left="240"/>
              <w:spacing w:after="0" w:line="138" w:lineRule="exact"/>
              <w:rPr>
                <w:sz w:val="20"/>
                <w:szCs w:val="20"/>
                <w:color w:val="auto"/>
              </w:rPr>
            </w:pPr>
            <w:r>
              <w:rPr>
                <w:rFonts w:ascii="Arial" w:cs="Arial" w:eastAsia="Arial" w:hAnsi="Arial"/>
                <w:sz w:val="14"/>
                <w:szCs w:val="14"/>
                <w:color w:val="auto"/>
              </w:rPr>
              <w:t>1-Month LIBOR +187.5</w:t>
            </w:r>
          </w:p>
        </w:tc>
        <w:tc>
          <w:tcPr>
            <w:tcW w:w="220" w:type="dxa"/>
            <w:vAlign w:val="bottom"/>
          </w:tcPr>
          <w:p>
            <w:pPr>
              <w:spacing w:after="0"/>
              <w:rPr>
                <w:sz w:val="11"/>
                <w:szCs w:val="11"/>
                <w:color w:val="auto"/>
              </w:rPr>
            </w:pPr>
          </w:p>
        </w:tc>
        <w:tc>
          <w:tcPr>
            <w:tcW w:w="1160" w:type="dxa"/>
            <w:vAlign w:val="bottom"/>
          </w:tcPr>
          <w:p>
            <w:pPr>
              <w:jc w:val="center"/>
              <w:spacing w:after="0" w:line="138" w:lineRule="exact"/>
              <w:rPr>
                <w:sz w:val="20"/>
                <w:szCs w:val="20"/>
                <w:color w:val="auto"/>
              </w:rPr>
            </w:pPr>
            <w:r>
              <w:rPr>
                <w:rFonts w:ascii="Arial" w:cs="Arial" w:eastAsia="Arial" w:hAnsi="Arial"/>
                <w:sz w:val="14"/>
                <w:szCs w:val="14"/>
                <w:color w:val="auto"/>
                <w:w w:val="87"/>
              </w:rPr>
              <w:t>February 2010</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060" w:type="dxa"/>
            <w:vAlign w:val="bottom"/>
            <w:gridSpan w:val="4"/>
          </w:tcPr>
          <w:p>
            <w:pPr>
              <w:ind w:left="140"/>
              <w:spacing w:after="0"/>
              <w:rPr>
                <w:sz w:val="20"/>
                <w:szCs w:val="20"/>
                <w:color w:val="auto"/>
              </w:rPr>
            </w:pPr>
            <w:r>
              <w:rPr>
                <w:rFonts w:ascii="Arial" w:cs="Arial" w:eastAsia="Arial" w:hAnsi="Arial"/>
                <w:sz w:val="14"/>
                <w:szCs w:val="14"/>
                <w:color w:val="auto"/>
              </w:rPr>
              <w:t>Term note</w:t>
            </w:r>
          </w:p>
        </w:tc>
        <w:tc>
          <w:tcPr>
            <w:tcW w:w="2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840" w:type="dxa"/>
            <w:vAlign w:val="bottom"/>
            <w:gridSpan w:val="2"/>
          </w:tcPr>
          <w:p>
            <w:pPr>
              <w:ind w:left="240"/>
              <w:spacing w:after="0"/>
              <w:rPr>
                <w:sz w:val="20"/>
                <w:szCs w:val="20"/>
                <w:color w:val="auto"/>
              </w:rPr>
            </w:pPr>
            <w:r>
              <w:rPr>
                <w:rFonts w:ascii="Arial" w:cs="Arial" w:eastAsia="Arial" w:hAnsi="Arial"/>
                <w:sz w:val="14"/>
                <w:szCs w:val="14"/>
                <w:color w:val="auto"/>
              </w:rPr>
              <w:t>basis points (4)</w:t>
            </w: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ind w:left="680"/>
              <w:spacing w:after="0"/>
              <w:rPr>
                <w:sz w:val="20"/>
                <w:szCs w:val="20"/>
                <w:color w:val="auto"/>
              </w:rPr>
            </w:pPr>
            <w:r>
              <w:rPr>
                <w:rFonts w:ascii="Arial" w:cs="Arial" w:eastAsia="Arial" w:hAnsi="Arial"/>
                <w:sz w:val="14"/>
                <w:szCs w:val="14"/>
                <w:color w:val="auto"/>
                <w:w w:val="85"/>
              </w:rPr>
              <w:t>—</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4"/>
                <w:szCs w:val="14"/>
                <w:color w:val="auto"/>
              </w:rPr>
              <w:t>97,987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40" w:type="dxa"/>
            <w:vAlign w:val="bottom"/>
            <w:shd w:val="clear" w:color="auto" w:fill="EAF9E8"/>
          </w:tcPr>
          <w:p>
            <w:pPr>
              <w:spacing w:after="0"/>
              <w:rPr>
                <w:sz w:val="20"/>
                <w:szCs w:val="20"/>
                <w:color w:val="auto"/>
              </w:rPr>
            </w:pPr>
          </w:p>
        </w:tc>
        <w:tc>
          <w:tcPr>
            <w:tcW w:w="480" w:type="dxa"/>
            <w:vAlign w:val="bottom"/>
            <w:shd w:val="clear" w:color="auto" w:fill="EAF9E8"/>
          </w:tcPr>
          <w:p>
            <w:pPr>
              <w:spacing w:after="0"/>
              <w:rPr>
                <w:sz w:val="20"/>
                <w:szCs w:val="20"/>
                <w:color w:val="auto"/>
              </w:rPr>
            </w:pPr>
          </w:p>
        </w:tc>
        <w:tc>
          <w:tcPr>
            <w:tcW w:w="120" w:type="dxa"/>
            <w:vAlign w:val="bottom"/>
            <w:shd w:val="clear" w:color="auto" w:fill="EAF9E8"/>
          </w:tcPr>
          <w:p>
            <w:pPr>
              <w:spacing w:after="0"/>
              <w:rPr>
                <w:sz w:val="20"/>
                <w:szCs w:val="20"/>
                <w:color w:val="auto"/>
              </w:rPr>
            </w:pPr>
          </w:p>
        </w:tc>
        <w:tc>
          <w:tcPr>
            <w:tcW w:w="920" w:type="dxa"/>
            <w:vAlign w:val="bottom"/>
            <w:shd w:val="clear" w:color="auto" w:fill="EAF9E8"/>
          </w:tcPr>
          <w:p>
            <w:pPr>
              <w:spacing w:after="0"/>
              <w:rPr>
                <w:sz w:val="20"/>
                <w:szCs w:val="20"/>
                <w:color w:val="auto"/>
              </w:rPr>
            </w:pPr>
          </w:p>
        </w:tc>
        <w:tc>
          <w:tcPr>
            <w:tcW w:w="220" w:type="dxa"/>
            <w:vAlign w:val="bottom"/>
            <w:shd w:val="clear" w:color="auto" w:fill="EAF9E8"/>
          </w:tcPr>
          <w:p>
            <w:pPr>
              <w:spacing w:after="0"/>
              <w:rPr>
                <w:sz w:val="20"/>
                <w:szCs w:val="20"/>
                <w:color w:val="auto"/>
              </w:rPr>
            </w:pPr>
          </w:p>
        </w:tc>
        <w:tc>
          <w:tcPr>
            <w:tcW w:w="1380" w:type="dxa"/>
            <w:vAlign w:val="bottom"/>
            <w:shd w:val="clear" w:color="auto" w:fill="EAF9E8"/>
          </w:tcPr>
          <w:p>
            <w:pPr>
              <w:spacing w:after="0"/>
              <w:rPr>
                <w:sz w:val="20"/>
                <w:szCs w:val="20"/>
                <w:color w:val="auto"/>
              </w:rPr>
            </w:pPr>
          </w:p>
        </w:tc>
        <w:tc>
          <w:tcPr>
            <w:tcW w:w="240" w:type="dxa"/>
            <w:vAlign w:val="bottom"/>
            <w:shd w:val="clear" w:color="auto" w:fill="EAF9E8"/>
          </w:tcPr>
          <w:p>
            <w:pPr>
              <w:spacing w:after="0"/>
              <w:rPr>
                <w:sz w:val="20"/>
                <w:szCs w:val="20"/>
                <w:color w:val="auto"/>
              </w:rPr>
            </w:pPr>
          </w:p>
        </w:tc>
        <w:tc>
          <w:tcPr>
            <w:tcW w:w="1600" w:type="dxa"/>
            <w:vAlign w:val="bottom"/>
            <w:shd w:val="clear" w:color="auto" w:fill="EAF9E8"/>
          </w:tcPr>
          <w:p>
            <w:pPr>
              <w:spacing w:after="0"/>
              <w:rPr>
                <w:sz w:val="20"/>
                <w:szCs w:val="20"/>
                <w:color w:val="auto"/>
              </w:rPr>
            </w:pPr>
          </w:p>
        </w:tc>
        <w:tc>
          <w:tcPr>
            <w:tcW w:w="220" w:type="dxa"/>
            <w:vAlign w:val="bottom"/>
            <w:shd w:val="clear" w:color="auto" w:fill="EAF9E8"/>
          </w:tcPr>
          <w:p>
            <w:pPr>
              <w:spacing w:after="0"/>
              <w:rPr>
                <w:sz w:val="20"/>
                <w:szCs w:val="20"/>
                <w:color w:val="auto"/>
              </w:rPr>
            </w:pPr>
          </w:p>
        </w:tc>
        <w:tc>
          <w:tcPr>
            <w:tcW w:w="1160" w:type="dxa"/>
            <w:vAlign w:val="bottom"/>
            <w:shd w:val="clear" w:color="auto" w:fill="EAF9E8"/>
          </w:tcPr>
          <w:p>
            <w:pPr>
              <w:spacing w:after="0"/>
              <w:rPr>
                <w:sz w:val="20"/>
                <w:szCs w:val="20"/>
                <w:color w:val="auto"/>
              </w:rPr>
            </w:pPr>
          </w:p>
        </w:tc>
        <w:tc>
          <w:tcPr>
            <w:tcW w:w="220" w:type="dxa"/>
            <w:vAlign w:val="bottom"/>
            <w:shd w:val="clear" w:color="auto" w:fill="EAF9E8"/>
          </w:tcPr>
          <w:p>
            <w:pPr>
              <w:spacing w:after="0"/>
              <w:rPr>
                <w:sz w:val="20"/>
                <w:szCs w:val="20"/>
                <w:color w:val="auto"/>
              </w:rPr>
            </w:pPr>
          </w:p>
        </w:tc>
        <w:tc>
          <w:tcPr>
            <w:tcW w:w="120" w:type="dxa"/>
            <w:vAlign w:val="bottom"/>
            <w:shd w:val="clear" w:color="auto" w:fill="EAF9E8"/>
          </w:tcPr>
          <w:p>
            <w:pPr>
              <w:spacing w:after="0"/>
              <w:rPr>
                <w:sz w:val="20"/>
                <w:szCs w:val="20"/>
                <w:color w:val="auto"/>
              </w:rPr>
            </w:pPr>
          </w:p>
        </w:tc>
        <w:tc>
          <w:tcPr>
            <w:tcW w:w="820" w:type="dxa"/>
            <w:vAlign w:val="bottom"/>
            <w:shd w:val="clear" w:color="auto" w:fill="EAF9E8"/>
          </w:tcPr>
          <w:p>
            <w:pPr>
              <w:ind w:left="680"/>
              <w:spacing w:after="0"/>
              <w:rPr>
                <w:sz w:val="20"/>
                <w:szCs w:val="20"/>
                <w:color w:val="auto"/>
              </w:rPr>
            </w:pPr>
            <w:r>
              <w:rPr>
                <w:rFonts w:ascii="Arial" w:cs="Arial" w:eastAsia="Arial" w:hAnsi="Arial"/>
                <w:sz w:val="14"/>
                <w:szCs w:val="14"/>
                <w:color w:val="auto"/>
                <w:w w:val="85"/>
              </w:rPr>
              <w:t>—</w:t>
            </w:r>
          </w:p>
        </w:tc>
        <w:tc>
          <w:tcPr>
            <w:tcW w:w="220" w:type="dxa"/>
            <w:vAlign w:val="bottom"/>
            <w:shd w:val="clear" w:color="auto" w:fill="EAF9E8"/>
          </w:tcPr>
          <w:p>
            <w:pPr>
              <w:spacing w:after="0"/>
              <w:rPr>
                <w:sz w:val="20"/>
                <w:szCs w:val="20"/>
                <w:color w:val="auto"/>
              </w:rPr>
            </w:pPr>
          </w:p>
        </w:tc>
        <w:tc>
          <w:tcPr>
            <w:tcW w:w="180" w:type="dxa"/>
            <w:vAlign w:val="bottom"/>
            <w:shd w:val="clear" w:color="auto" w:fill="EAF9E8"/>
          </w:tcPr>
          <w:p>
            <w:pPr>
              <w:spacing w:after="0"/>
              <w:rPr>
                <w:sz w:val="20"/>
                <w:szCs w:val="20"/>
                <w:color w:val="auto"/>
              </w:rPr>
            </w:pPr>
          </w:p>
        </w:tc>
        <w:tc>
          <w:tcPr>
            <w:tcW w:w="150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67,000</w:t>
            </w:r>
          </w:p>
        </w:tc>
        <w:tc>
          <w:tcPr>
            <w:tcW w:w="180" w:type="dxa"/>
            <w:vAlign w:val="bottom"/>
            <w:shd w:val="clear" w:color="auto" w:fill="EAF9E8"/>
          </w:tcPr>
          <w:p>
            <w:pPr>
              <w:spacing w:after="0"/>
              <w:rPr>
                <w:sz w:val="20"/>
                <w:szCs w:val="20"/>
                <w:color w:val="auto"/>
              </w:rPr>
            </w:pPr>
          </w:p>
        </w:tc>
        <w:tc>
          <w:tcPr>
            <w:tcW w:w="1280" w:type="dxa"/>
            <w:vAlign w:val="bottom"/>
            <w:gridSpan w:val="2"/>
            <w:shd w:val="clear" w:color="auto" w:fill="EAF9E8"/>
          </w:tcPr>
          <w:p>
            <w:pPr>
              <w:jc w:val="right"/>
              <w:ind w:right="100"/>
              <w:spacing w:after="0"/>
              <w:rPr>
                <w:sz w:val="20"/>
                <w:szCs w:val="20"/>
                <w:color w:val="auto"/>
              </w:rPr>
            </w:pPr>
            <w:r>
              <w:rPr>
                <w:rFonts w:ascii="Arial" w:cs="Arial" w:eastAsia="Arial" w:hAnsi="Arial"/>
                <w:sz w:val="14"/>
                <w:szCs w:val="14"/>
                <w:color w:val="auto"/>
              </w:rPr>
              <w:t>97,987</w:t>
            </w:r>
          </w:p>
        </w:tc>
        <w:tc>
          <w:tcPr>
            <w:tcW w:w="0" w:type="dxa"/>
            <w:vAlign w:val="bottom"/>
          </w:tcPr>
          <w:p>
            <w:pPr>
              <w:spacing w:after="0"/>
              <w:rPr>
                <w:sz w:val="1"/>
                <w:szCs w:val="1"/>
                <w:color w:val="auto"/>
              </w:rPr>
            </w:pPr>
          </w:p>
        </w:tc>
      </w:tr>
      <w:tr>
        <w:trPr>
          <w:trHeight w:val="20"/>
        </w:trPr>
        <w:tc>
          <w:tcPr>
            <w:tcW w:w="2080" w:type="dxa"/>
            <w:vAlign w:val="bottom"/>
            <w:gridSpan w:val="5"/>
            <w:vMerge w:val="restart"/>
          </w:tcPr>
          <w:p>
            <w:pPr>
              <w:spacing w:after="0"/>
              <w:rPr>
                <w:sz w:val="20"/>
                <w:szCs w:val="20"/>
                <w:color w:val="auto"/>
              </w:rPr>
            </w:pPr>
            <w:r>
              <w:rPr>
                <w:rFonts w:ascii="Arial" w:cs="Arial" w:eastAsia="Arial" w:hAnsi="Arial"/>
                <w:sz w:val="14"/>
                <w:szCs w:val="14"/>
                <w:color w:val="auto"/>
              </w:rPr>
              <w:t>Loans and Residuals:</w:t>
            </w:r>
          </w:p>
        </w:tc>
        <w:tc>
          <w:tcPr>
            <w:tcW w:w="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080" w:type="dxa"/>
            <w:vAlign w:val="bottom"/>
            <w:gridSpan w:val="5"/>
            <w:vMerge w:val="continue"/>
          </w:tcPr>
          <w:p>
            <w:pPr>
              <w:spacing w:after="0"/>
              <w:rPr>
                <w:sz w:val="10"/>
                <w:szCs w:val="10"/>
                <w:color w:val="auto"/>
              </w:rPr>
            </w:pPr>
          </w:p>
        </w:tc>
        <w:tc>
          <w:tcPr>
            <w:tcW w:w="2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9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3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060" w:type="dxa"/>
            <w:vAlign w:val="bottom"/>
            <w:gridSpan w:val="4"/>
            <w:shd w:val="clear" w:color="auto" w:fill="EAF9E8"/>
          </w:tcPr>
          <w:p>
            <w:pPr>
              <w:spacing w:after="0" w:line="138" w:lineRule="exact"/>
              <w:rPr>
                <w:sz w:val="20"/>
                <w:szCs w:val="20"/>
                <w:color w:val="auto"/>
              </w:rPr>
            </w:pPr>
            <w:r>
              <w:rPr>
                <w:rFonts w:ascii="Arial" w:cs="Arial" w:eastAsia="Arial" w:hAnsi="Arial"/>
                <w:sz w:val="14"/>
                <w:szCs w:val="14"/>
                <w:color w:val="auto"/>
              </w:rPr>
              <w:t>Class A-1 notes (5)</w:t>
            </w:r>
          </w:p>
        </w:tc>
        <w:tc>
          <w:tcPr>
            <w:tcW w:w="220" w:type="dxa"/>
            <w:vAlign w:val="bottom"/>
            <w:shd w:val="clear" w:color="auto" w:fill="EAF9E8"/>
          </w:tcPr>
          <w:p>
            <w:pPr>
              <w:spacing w:after="0"/>
              <w:rPr>
                <w:sz w:val="11"/>
                <w:szCs w:val="11"/>
                <w:color w:val="auto"/>
              </w:rPr>
            </w:pPr>
          </w:p>
        </w:tc>
        <w:tc>
          <w:tcPr>
            <w:tcW w:w="1380" w:type="dxa"/>
            <w:vAlign w:val="bottom"/>
            <w:shd w:val="clear" w:color="auto" w:fill="EAF9E8"/>
          </w:tcPr>
          <w:p>
            <w:pPr>
              <w:spacing w:after="0" w:line="138" w:lineRule="exact"/>
              <w:rPr>
                <w:sz w:val="20"/>
                <w:szCs w:val="20"/>
                <w:color w:val="auto"/>
              </w:rPr>
            </w:pPr>
            <w:r>
              <w:rPr>
                <w:rFonts w:ascii="Arial" w:cs="Arial" w:eastAsia="Arial" w:hAnsi="Arial"/>
                <w:sz w:val="14"/>
                <w:szCs w:val="14"/>
                <w:color w:val="auto"/>
                <w:w w:val="86"/>
              </w:rPr>
              <w:t>Loans held for resale and</w:t>
            </w:r>
          </w:p>
        </w:tc>
        <w:tc>
          <w:tcPr>
            <w:tcW w:w="1840" w:type="dxa"/>
            <w:vAlign w:val="bottom"/>
            <w:gridSpan w:val="2"/>
            <w:shd w:val="clear" w:color="auto" w:fill="EAF9E8"/>
          </w:tcPr>
          <w:p>
            <w:pPr>
              <w:ind w:left="240"/>
              <w:spacing w:after="0" w:line="138" w:lineRule="exact"/>
              <w:rPr>
                <w:sz w:val="20"/>
                <w:szCs w:val="20"/>
                <w:color w:val="auto"/>
              </w:rPr>
            </w:pPr>
            <w:r>
              <w:rPr>
                <w:rFonts w:ascii="Arial" w:cs="Arial" w:eastAsia="Arial" w:hAnsi="Arial"/>
                <w:sz w:val="14"/>
                <w:szCs w:val="14"/>
                <w:color w:val="auto"/>
                <w:w w:val="91"/>
              </w:rPr>
              <w:t>1-Month LIBOR + 600 basis</w:t>
            </w:r>
          </w:p>
        </w:tc>
        <w:tc>
          <w:tcPr>
            <w:tcW w:w="220" w:type="dxa"/>
            <w:vAlign w:val="bottom"/>
            <w:shd w:val="clear" w:color="auto" w:fill="EAF9E8"/>
          </w:tcPr>
          <w:p>
            <w:pPr>
              <w:spacing w:after="0"/>
              <w:rPr>
                <w:sz w:val="11"/>
                <w:szCs w:val="11"/>
                <w:color w:val="auto"/>
              </w:rPr>
            </w:pPr>
          </w:p>
        </w:tc>
        <w:tc>
          <w:tcPr>
            <w:tcW w:w="1160" w:type="dxa"/>
            <w:vAlign w:val="bottom"/>
            <w:shd w:val="clear" w:color="auto" w:fill="EAF9E8"/>
          </w:tcPr>
          <w:p>
            <w:pPr>
              <w:jc w:val="center"/>
              <w:spacing w:after="0" w:line="138" w:lineRule="exact"/>
              <w:rPr>
                <w:sz w:val="20"/>
                <w:szCs w:val="20"/>
                <w:color w:val="auto"/>
              </w:rPr>
            </w:pPr>
            <w:r>
              <w:rPr>
                <w:rFonts w:ascii="Arial" w:cs="Arial" w:eastAsia="Arial" w:hAnsi="Arial"/>
                <w:sz w:val="14"/>
                <w:szCs w:val="14"/>
                <w:color w:val="auto"/>
                <w:w w:val="95"/>
              </w:rPr>
              <w:t>April 2037</w:t>
            </w:r>
          </w:p>
        </w:tc>
        <w:tc>
          <w:tcPr>
            <w:tcW w:w="220" w:type="dxa"/>
            <w:vAlign w:val="bottom"/>
            <w:shd w:val="clear" w:color="auto" w:fill="EAF9E8"/>
          </w:tcPr>
          <w:p>
            <w:pPr>
              <w:spacing w:after="0"/>
              <w:rPr>
                <w:sz w:val="11"/>
                <w:szCs w:val="11"/>
                <w:color w:val="auto"/>
              </w:rPr>
            </w:pPr>
          </w:p>
        </w:tc>
        <w:tc>
          <w:tcPr>
            <w:tcW w:w="120" w:type="dxa"/>
            <w:vAlign w:val="bottom"/>
            <w:shd w:val="clear" w:color="auto" w:fill="EAF9E8"/>
          </w:tcPr>
          <w:p>
            <w:pPr>
              <w:spacing w:after="0"/>
              <w:rPr>
                <w:sz w:val="11"/>
                <w:szCs w:val="11"/>
                <w:color w:val="auto"/>
              </w:rPr>
            </w:pPr>
          </w:p>
        </w:tc>
        <w:tc>
          <w:tcPr>
            <w:tcW w:w="820" w:type="dxa"/>
            <w:vAlign w:val="bottom"/>
            <w:shd w:val="clear" w:color="auto" w:fill="EAF9E8"/>
          </w:tcPr>
          <w:p>
            <w:pPr>
              <w:spacing w:after="0"/>
              <w:rPr>
                <w:sz w:val="11"/>
                <w:szCs w:val="11"/>
                <w:color w:val="auto"/>
              </w:rPr>
            </w:pPr>
          </w:p>
        </w:tc>
        <w:tc>
          <w:tcPr>
            <w:tcW w:w="220" w:type="dxa"/>
            <w:vAlign w:val="bottom"/>
            <w:shd w:val="clear" w:color="auto" w:fill="EAF9E8"/>
          </w:tcPr>
          <w:p>
            <w:pPr>
              <w:spacing w:after="0"/>
              <w:rPr>
                <w:sz w:val="11"/>
                <w:szCs w:val="11"/>
                <w:color w:val="auto"/>
              </w:rPr>
            </w:pPr>
          </w:p>
        </w:tc>
        <w:tc>
          <w:tcPr>
            <w:tcW w:w="180" w:type="dxa"/>
            <w:vAlign w:val="bottom"/>
            <w:shd w:val="clear" w:color="auto" w:fill="EAF9E8"/>
          </w:tcPr>
          <w:p>
            <w:pPr>
              <w:spacing w:after="0"/>
              <w:rPr>
                <w:sz w:val="11"/>
                <w:szCs w:val="11"/>
                <w:color w:val="auto"/>
              </w:rPr>
            </w:pPr>
          </w:p>
        </w:tc>
        <w:tc>
          <w:tcPr>
            <w:tcW w:w="1280" w:type="dxa"/>
            <w:vAlign w:val="bottom"/>
            <w:shd w:val="clear" w:color="auto" w:fill="EAF9E8"/>
          </w:tcPr>
          <w:p>
            <w:pPr>
              <w:spacing w:after="0"/>
              <w:rPr>
                <w:sz w:val="11"/>
                <w:szCs w:val="11"/>
                <w:color w:val="auto"/>
              </w:rPr>
            </w:pPr>
          </w:p>
        </w:tc>
        <w:tc>
          <w:tcPr>
            <w:tcW w:w="220" w:type="dxa"/>
            <w:vAlign w:val="bottom"/>
            <w:shd w:val="clear" w:color="auto" w:fill="EAF9E8"/>
          </w:tcPr>
          <w:p>
            <w:pPr>
              <w:spacing w:after="0"/>
              <w:rPr>
                <w:sz w:val="11"/>
                <w:szCs w:val="11"/>
                <w:color w:val="auto"/>
              </w:rPr>
            </w:pPr>
          </w:p>
        </w:tc>
        <w:tc>
          <w:tcPr>
            <w:tcW w:w="180" w:type="dxa"/>
            <w:vAlign w:val="bottom"/>
            <w:shd w:val="clear" w:color="auto" w:fill="EAF9E8"/>
          </w:tcPr>
          <w:p>
            <w:pPr>
              <w:spacing w:after="0"/>
              <w:rPr>
                <w:sz w:val="11"/>
                <w:szCs w:val="11"/>
                <w:color w:val="auto"/>
              </w:rPr>
            </w:pPr>
          </w:p>
        </w:tc>
        <w:tc>
          <w:tcPr>
            <w:tcW w:w="118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40" w:type="dxa"/>
            <w:vAlign w:val="bottom"/>
            <w:shd w:val="clear" w:color="auto" w:fill="EAF9E8"/>
          </w:tcPr>
          <w:p>
            <w:pPr>
              <w:spacing w:after="0"/>
              <w:rPr>
                <w:sz w:val="13"/>
                <w:szCs w:val="13"/>
                <w:color w:val="auto"/>
              </w:rPr>
            </w:pPr>
          </w:p>
        </w:tc>
        <w:tc>
          <w:tcPr>
            <w:tcW w:w="480" w:type="dxa"/>
            <w:vAlign w:val="bottom"/>
            <w:shd w:val="clear" w:color="auto" w:fill="EAF9E8"/>
          </w:tcPr>
          <w:p>
            <w:pPr>
              <w:spacing w:after="0"/>
              <w:rPr>
                <w:sz w:val="13"/>
                <w:szCs w:val="13"/>
                <w:color w:val="auto"/>
              </w:rPr>
            </w:pPr>
          </w:p>
        </w:tc>
        <w:tc>
          <w:tcPr>
            <w:tcW w:w="120" w:type="dxa"/>
            <w:vAlign w:val="bottom"/>
            <w:shd w:val="clear" w:color="auto" w:fill="EAF9E8"/>
          </w:tcPr>
          <w:p>
            <w:pPr>
              <w:spacing w:after="0"/>
              <w:rPr>
                <w:sz w:val="13"/>
                <w:szCs w:val="13"/>
                <w:color w:val="auto"/>
              </w:rPr>
            </w:pPr>
          </w:p>
        </w:tc>
        <w:tc>
          <w:tcPr>
            <w:tcW w:w="920" w:type="dxa"/>
            <w:vAlign w:val="bottom"/>
            <w:shd w:val="clear" w:color="auto" w:fill="EAF9E8"/>
          </w:tcPr>
          <w:p>
            <w:pPr>
              <w:spacing w:after="0"/>
              <w:rPr>
                <w:sz w:val="13"/>
                <w:szCs w:val="13"/>
                <w:color w:val="auto"/>
              </w:rPr>
            </w:pPr>
          </w:p>
        </w:tc>
        <w:tc>
          <w:tcPr>
            <w:tcW w:w="220" w:type="dxa"/>
            <w:vAlign w:val="bottom"/>
            <w:shd w:val="clear" w:color="auto" w:fill="EAF9E8"/>
          </w:tcPr>
          <w:p>
            <w:pPr>
              <w:spacing w:after="0"/>
              <w:rPr>
                <w:sz w:val="13"/>
                <w:szCs w:val="13"/>
                <w:color w:val="auto"/>
              </w:rPr>
            </w:pPr>
          </w:p>
        </w:tc>
        <w:tc>
          <w:tcPr>
            <w:tcW w:w="1380" w:type="dxa"/>
            <w:vAlign w:val="bottom"/>
            <w:shd w:val="clear" w:color="auto" w:fill="EAF9E8"/>
          </w:tcPr>
          <w:p>
            <w:pPr>
              <w:spacing w:after="0" w:line="159" w:lineRule="exact"/>
              <w:rPr>
                <w:sz w:val="20"/>
                <w:szCs w:val="20"/>
                <w:color w:val="auto"/>
              </w:rPr>
            </w:pPr>
            <w:r>
              <w:rPr>
                <w:rFonts w:ascii="Arial" w:cs="Arial" w:eastAsia="Arial" w:hAnsi="Arial"/>
                <w:sz w:val="14"/>
                <w:szCs w:val="14"/>
                <w:color w:val="auto"/>
              </w:rPr>
              <w:t>real estate</w:t>
            </w:r>
          </w:p>
        </w:tc>
        <w:tc>
          <w:tcPr>
            <w:tcW w:w="1840" w:type="dxa"/>
            <w:vAlign w:val="bottom"/>
            <w:gridSpan w:val="2"/>
            <w:shd w:val="clear" w:color="auto" w:fill="EAF9E8"/>
          </w:tcPr>
          <w:p>
            <w:pPr>
              <w:ind w:left="240"/>
              <w:spacing w:after="0" w:line="159" w:lineRule="exact"/>
              <w:rPr>
                <w:sz w:val="20"/>
                <w:szCs w:val="20"/>
                <w:color w:val="auto"/>
              </w:rPr>
            </w:pPr>
            <w:r>
              <w:rPr>
                <w:rFonts w:ascii="Arial" w:cs="Arial" w:eastAsia="Arial" w:hAnsi="Arial"/>
                <w:sz w:val="14"/>
                <w:szCs w:val="14"/>
                <w:color w:val="auto"/>
              </w:rPr>
              <w:t>points</w:t>
            </w:r>
          </w:p>
        </w:tc>
        <w:tc>
          <w:tcPr>
            <w:tcW w:w="220" w:type="dxa"/>
            <w:vAlign w:val="bottom"/>
            <w:shd w:val="clear" w:color="auto" w:fill="EAF9E8"/>
          </w:tcPr>
          <w:p>
            <w:pPr>
              <w:spacing w:after="0"/>
              <w:rPr>
                <w:sz w:val="13"/>
                <w:szCs w:val="13"/>
                <w:color w:val="auto"/>
              </w:rPr>
            </w:pPr>
          </w:p>
        </w:tc>
        <w:tc>
          <w:tcPr>
            <w:tcW w:w="1160" w:type="dxa"/>
            <w:vAlign w:val="bottom"/>
            <w:shd w:val="clear" w:color="auto" w:fill="EAF9E8"/>
          </w:tcPr>
          <w:p>
            <w:pPr>
              <w:spacing w:after="0"/>
              <w:rPr>
                <w:sz w:val="13"/>
                <w:szCs w:val="13"/>
                <w:color w:val="auto"/>
              </w:rPr>
            </w:pPr>
          </w:p>
        </w:tc>
        <w:tc>
          <w:tcPr>
            <w:tcW w:w="220" w:type="dxa"/>
            <w:vAlign w:val="bottom"/>
            <w:shd w:val="clear" w:color="auto" w:fill="EAF9E8"/>
          </w:tcPr>
          <w:p>
            <w:pPr>
              <w:spacing w:after="0"/>
              <w:rPr>
                <w:sz w:val="13"/>
                <w:szCs w:val="13"/>
                <w:color w:val="auto"/>
              </w:rPr>
            </w:pPr>
          </w:p>
        </w:tc>
        <w:tc>
          <w:tcPr>
            <w:tcW w:w="120" w:type="dxa"/>
            <w:vAlign w:val="bottom"/>
            <w:shd w:val="clear" w:color="auto" w:fill="EAF9E8"/>
          </w:tcPr>
          <w:p>
            <w:pPr>
              <w:spacing w:after="0"/>
              <w:rPr>
                <w:sz w:val="13"/>
                <w:szCs w:val="13"/>
                <w:color w:val="auto"/>
              </w:rPr>
            </w:pPr>
          </w:p>
        </w:tc>
        <w:tc>
          <w:tcPr>
            <w:tcW w:w="820" w:type="dxa"/>
            <w:vAlign w:val="bottom"/>
            <w:shd w:val="clear" w:color="auto" w:fill="EAF9E8"/>
          </w:tcPr>
          <w:p>
            <w:pPr>
              <w:ind w:left="680"/>
              <w:spacing w:after="0" w:line="159" w:lineRule="exact"/>
              <w:rPr>
                <w:sz w:val="20"/>
                <w:szCs w:val="20"/>
                <w:color w:val="auto"/>
              </w:rPr>
            </w:pPr>
            <w:r>
              <w:rPr>
                <w:rFonts w:ascii="Arial" w:cs="Arial" w:eastAsia="Arial" w:hAnsi="Arial"/>
                <w:sz w:val="14"/>
                <w:szCs w:val="14"/>
                <w:color w:val="auto"/>
                <w:w w:val="85"/>
              </w:rPr>
              <w:t>—</w:t>
            </w:r>
          </w:p>
        </w:tc>
        <w:tc>
          <w:tcPr>
            <w:tcW w:w="220" w:type="dxa"/>
            <w:vAlign w:val="bottom"/>
            <w:shd w:val="clear" w:color="auto" w:fill="EAF9E8"/>
          </w:tcPr>
          <w:p>
            <w:pPr>
              <w:spacing w:after="0"/>
              <w:rPr>
                <w:sz w:val="13"/>
                <w:szCs w:val="13"/>
                <w:color w:val="auto"/>
              </w:rPr>
            </w:pPr>
          </w:p>
        </w:tc>
        <w:tc>
          <w:tcPr>
            <w:tcW w:w="180" w:type="dxa"/>
            <w:vAlign w:val="bottom"/>
            <w:shd w:val="clear" w:color="auto" w:fill="EAF9E8"/>
          </w:tcPr>
          <w:p>
            <w:pPr>
              <w:spacing w:after="0"/>
              <w:rPr>
                <w:sz w:val="13"/>
                <w:szCs w:val="13"/>
                <w:color w:val="auto"/>
              </w:rPr>
            </w:pPr>
          </w:p>
        </w:tc>
        <w:tc>
          <w:tcPr>
            <w:tcW w:w="1500" w:type="dxa"/>
            <w:vAlign w:val="bottom"/>
            <w:gridSpan w:val="2"/>
            <w:shd w:val="clear" w:color="auto" w:fill="EAF9E8"/>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80" w:type="dxa"/>
            <w:vAlign w:val="bottom"/>
            <w:shd w:val="clear" w:color="auto" w:fill="EAF9E8"/>
          </w:tcPr>
          <w:p>
            <w:pPr>
              <w:spacing w:after="0"/>
              <w:rPr>
                <w:sz w:val="13"/>
                <w:szCs w:val="13"/>
                <w:color w:val="auto"/>
              </w:rPr>
            </w:pPr>
          </w:p>
        </w:tc>
        <w:tc>
          <w:tcPr>
            <w:tcW w:w="1280" w:type="dxa"/>
            <w:vAlign w:val="bottom"/>
            <w:gridSpan w:val="2"/>
            <w:shd w:val="clear" w:color="auto" w:fill="EAF9E8"/>
          </w:tcPr>
          <w:p>
            <w:pPr>
              <w:jc w:val="right"/>
              <w:ind w:right="100"/>
              <w:spacing w:after="0" w:line="159" w:lineRule="exact"/>
              <w:rPr>
                <w:sz w:val="20"/>
                <w:szCs w:val="20"/>
                <w:color w:val="auto"/>
              </w:rPr>
            </w:pPr>
            <w:r>
              <w:rPr>
                <w:rFonts w:ascii="Arial" w:cs="Arial" w:eastAsia="Arial" w:hAnsi="Arial"/>
                <w:sz w:val="14"/>
                <w:szCs w:val="14"/>
                <w:color w:val="auto"/>
              </w:rPr>
              <w:t>17,760</w:t>
            </w:r>
          </w:p>
        </w:tc>
        <w:tc>
          <w:tcPr>
            <w:tcW w:w="0" w:type="dxa"/>
            <w:vAlign w:val="bottom"/>
          </w:tcPr>
          <w:p>
            <w:pPr>
              <w:spacing w:after="0"/>
              <w:rPr>
                <w:sz w:val="1"/>
                <w:szCs w:val="1"/>
                <w:color w:val="auto"/>
              </w:rPr>
            </w:pPr>
          </w:p>
        </w:tc>
      </w:tr>
      <w:tr>
        <w:trPr>
          <w:trHeight w:val="20"/>
        </w:trPr>
        <w:tc>
          <w:tcPr>
            <w:tcW w:w="2080" w:type="dxa"/>
            <w:vAlign w:val="bottom"/>
            <w:gridSpan w:val="5"/>
            <w:vMerge w:val="restart"/>
          </w:tcPr>
          <w:p>
            <w:pPr>
              <w:spacing w:after="0"/>
              <w:rPr>
                <w:sz w:val="20"/>
                <w:szCs w:val="20"/>
                <w:color w:val="auto"/>
              </w:rPr>
            </w:pPr>
            <w:r>
              <w:rPr>
                <w:rFonts w:ascii="Arial" w:cs="Arial" w:eastAsia="Arial" w:hAnsi="Arial"/>
                <w:sz w:val="14"/>
                <w:szCs w:val="14"/>
                <w:color w:val="auto"/>
              </w:rPr>
              <w:t>Financial Services:</w:t>
            </w:r>
          </w:p>
        </w:tc>
        <w:tc>
          <w:tcPr>
            <w:tcW w:w="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080" w:type="dxa"/>
            <w:vAlign w:val="bottom"/>
            <w:gridSpan w:val="5"/>
            <w:vMerge w:val="continue"/>
          </w:tcPr>
          <w:p>
            <w:pPr>
              <w:spacing w:after="0"/>
              <w:rPr>
                <w:sz w:val="10"/>
                <w:szCs w:val="10"/>
                <w:color w:val="auto"/>
              </w:rPr>
            </w:pPr>
          </w:p>
        </w:tc>
        <w:tc>
          <w:tcPr>
            <w:tcW w:w="2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3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060" w:type="dxa"/>
            <w:vAlign w:val="bottom"/>
            <w:gridSpan w:val="4"/>
            <w:shd w:val="clear" w:color="auto" w:fill="EAF9E8"/>
          </w:tcPr>
          <w:p>
            <w:pPr>
              <w:spacing w:after="0" w:line="138" w:lineRule="exact"/>
              <w:rPr>
                <w:sz w:val="20"/>
                <w:szCs w:val="20"/>
                <w:color w:val="auto"/>
              </w:rPr>
            </w:pPr>
            <w:r>
              <w:rPr>
                <w:rFonts w:ascii="Arial" w:cs="Arial" w:eastAsia="Arial" w:hAnsi="Arial"/>
                <w:sz w:val="14"/>
                <w:szCs w:val="14"/>
                <w:color w:val="auto"/>
              </w:rPr>
              <w:t>Revolving note (6)</w:t>
            </w:r>
          </w:p>
        </w:tc>
        <w:tc>
          <w:tcPr>
            <w:tcW w:w="220" w:type="dxa"/>
            <w:vAlign w:val="bottom"/>
            <w:shd w:val="clear" w:color="auto" w:fill="EAF9E8"/>
          </w:tcPr>
          <w:p>
            <w:pPr>
              <w:spacing w:after="0"/>
              <w:rPr>
                <w:sz w:val="11"/>
                <w:szCs w:val="11"/>
                <w:color w:val="auto"/>
              </w:rPr>
            </w:pPr>
          </w:p>
        </w:tc>
        <w:tc>
          <w:tcPr>
            <w:tcW w:w="1380" w:type="dxa"/>
            <w:vAlign w:val="bottom"/>
            <w:shd w:val="clear" w:color="auto" w:fill="EAF9E8"/>
          </w:tcPr>
          <w:p>
            <w:pPr>
              <w:spacing w:after="0" w:line="138" w:lineRule="exact"/>
              <w:rPr>
                <w:sz w:val="20"/>
                <w:szCs w:val="20"/>
                <w:color w:val="auto"/>
              </w:rPr>
            </w:pPr>
            <w:r>
              <w:rPr>
                <w:rFonts w:ascii="Arial" w:cs="Arial" w:eastAsia="Arial" w:hAnsi="Arial"/>
                <w:sz w:val="14"/>
                <w:szCs w:val="14"/>
                <w:color w:val="auto"/>
              </w:rPr>
              <w:t>Receivables</w:t>
            </w:r>
          </w:p>
        </w:tc>
        <w:tc>
          <w:tcPr>
            <w:tcW w:w="1840" w:type="dxa"/>
            <w:vAlign w:val="bottom"/>
            <w:gridSpan w:val="2"/>
            <w:shd w:val="clear" w:color="auto" w:fill="EAF9E8"/>
          </w:tcPr>
          <w:p>
            <w:pPr>
              <w:ind w:left="240"/>
              <w:spacing w:after="0" w:line="138" w:lineRule="exact"/>
              <w:rPr>
                <w:sz w:val="20"/>
                <w:szCs w:val="20"/>
                <w:color w:val="auto"/>
              </w:rPr>
            </w:pPr>
            <w:r>
              <w:rPr>
                <w:rFonts w:ascii="Arial" w:cs="Arial" w:eastAsia="Arial" w:hAnsi="Arial"/>
                <w:sz w:val="14"/>
                <w:szCs w:val="14"/>
                <w:color w:val="auto"/>
                <w:w w:val="89"/>
              </w:rPr>
              <w:t>1, 3, 6 or 12-Month LIBOR +</w:t>
            </w:r>
          </w:p>
        </w:tc>
        <w:tc>
          <w:tcPr>
            <w:tcW w:w="1380" w:type="dxa"/>
            <w:vAlign w:val="bottom"/>
            <w:gridSpan w:val="2"/>
            <w:shd w:val="clear" w:color="auto" w:fill="EAF9E8"/>
          </w:tcPr>
          <w:p>
            <w:pPr>
              <w:jc w:val="center"/>
              <w:ind w:left="152"/>
              <w:spacing w:after="0" w:line="138" w:lineRule="exact"/>
              <w:rPr>
                <w:sz w:val="20"/>
                <w:szCs w:val="20"/>
                <w:color w:val="auto"/>
              </w:rPr>
            </w:pPr>
            <w:r>
              <w:rPr>
                <w:rFonts w:ascii="Arial" w:cs="Arial" w:eastAsia="Arial" w:hAnsi="Arial"/>
                <w:sz w:val="14"/>
                <w:szCs w:val="14"/>
                <w:color w:val="auto"/>
                <w:w w:val="93"/>
              </w:rPr>
              <w:t>(6)</w:t>
            </w:r>
          </w:p>
        </w:tc>
        <w:tc>
          <w:tcPr>
            <w:tcW w:w="220" w:type="dxa"/>
            <w:vAlign w:val="bottom"/>
            <w:shd w:val="clear" w:color="auto" w:fill="EAF9E8"/>
          </w:tcPr>
          <w:p>
            <w:pPr>
              <w:spacing w:after="0"/>
              <w:rPr>
                <w:sz w:val="11"/>
                <w:szCs w:val="11"/>
                <w:color w:val="auto"/>
              </w:rPr>
            </w:pPr>
          </w:p>
        </w:tc>
        <w:tc>
          <w:tcPr>
            <w:tcW w:w="120" w:type="dxa"/>
            <w:vAlign w:val="bottom"/>
            <w:shd w:val="clear" w:color="auto" w:fill="EAF9E8"/>
          </w:tcPr>
          <w:p>
            <w:pPr>
              <w:spacing w:after="0"/>
              <w:rPr>
                <w:sz w:val="11"/>
                <w:szCs w:val="11"/>
                <w:color w:val="auto"/>
              </w:rPr>
            </w:pPr>
          </w:p>
        </w:tc>
        <w:tc>
          <w:tcPr>
            <w:tcW w:w="820" w:type="dxa"/>
            <w:vAlign w:val="bottom"/>
            <w:shd w:val="clear" w:color="auto" w:fill="EAF9E8"/>
          </w:tcPr>
          <w:p>
            <w:pPr>
              <w:spacing w:after="0"/>
              <w:rPr>
                <w:sz w:val="11"/>
                <w:szCs w:val="11"/>
                <w:color w:val="auto"/>
              </w:rPr>
            </w:pPr>
          </w:p>
        </w:tc>
        <w:tc>
          <w:tcPr>
            <w:tcW w:w="220" w:type="dxa"/>
            <w:vAlign w:val="bottom"/>
            <w:shd w:val="clear" w:color="auto" w:fill="EAF9E8"/>
          </w:tcPr>
          <w:p>
            <w:pPr>
              <w:spacing w:after="0"/>
              <w:rPr>
                <w:sz w:val="11"/>
                <w:szCs w:val="11"/>
                <w:color w:val="auto"/>
              </w:rPr>
            </w:pPr>
          </w:p>
        </w:tc>
        <w:tc>
          <w:tcPr>
            <w:tcW w:w="180" w:type="dxa"/>
            <w:vAlign w:val="bottom"/>
            <w:shd w:val="clear" w:color="auto" w:fill="EAF9E8"/>
          </w:tcPr>
          <w:p>
            <w:pPr>
              <w:spacing w:after="0"/>
              <w:rPr>
                <w:sz w:val="11"/>
                <w:szCs w:val="11"/>
                <w:color w:val="auto"/>
              </w:rPr>
            </w:pPr>
          </w:p>
        </w:tc>
        <w:tc>
          <w:tcPr>
            <w:tcW w:w="1280" w:type="dxa"/>
            <w:vAlign w:val="bottom"/>
            <w:shd w:val="clear" w:color="auto" w:fill="EAF9E8"/>
          </w:tcPr>
          <w:p>
            <w:pPr>
              <w:spacing w:after="0"/>
              <w:rPr>
                <w:sz w:val="11"/>
                <w:szCs w:val="11"/>
                <w:color w:val="auto"/>
              </w:rPr>
            </w:pPr>
          </w:p>
        </w:tc>
        <w:tc>
          <w:tcPr>
            <w:tcW w:w="220" w:type="dxa"/>
            <w:vAlign w:val="bottom"/>
            <w:shd w:val="clear" w:color="auto" w:fill="EAF9E8"/>
          </w:tcPr>
          <w:p>
            <w:pPr>
              <w:spacing w:after="0"/>
              <w:rPr>
                <w:sz w:val="11"/>
                <w:szCs w:val="11"/>
                <w:color w:val="auto"/>
              </w:rPr>
            </w:pPr>
          </w:p>
        </w:tc>
        <w:tc>
          <w:tcPr>
            <w:tcW w:w="180" w:type="dxa"/>
            <w:vAlign w:val="bottom"/>
            <w:shd w:val="clear" w:color="auto" w:fill="EAF9E8"/>
          </w:tcPr>
          <w:p>
            <w:pPr>
              <w:spacing w:after="0"/>
              <w:rPr>
                <w:sz w:val="11"/>
                <w:szCs w:val="11"/>
                <w:color w:val="auto"/>
              </w:rPr>
            </w:pPr>
          </w:p>
        </w:tc>
        <w:tc>
          <w:tcPr>
            <w:tcW w:w="118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0" w:type="dxa"/>
            <w:vAlign w:val="bottom"/>
            <w:shd w:val="clear" w:color="auto" w:fill="EAF9E8"/>
          </w:tcPr>
          <w:p>
            <w:pPr>
              <w:spacing w:after="0"/>
              <w:rPr>
                <w:sz w:val="12"/>
                <w:szCs w:val="12"/>
                <w:color w:val="auto"/>
              </w:rPr>
            </w:pPr>
          </w:p>
        </w:tc>
        <w:tc>
          <w:tcPr>
            <w:tcW w:w="48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920" w:type="dxa"/>
            <w:vAlign w:val="bottom"/>
            <w:shd w:val="clear" w:color="auto" w:fill="EAF9E8"/>
          </w:tcPr>
          <w:p>
            <w:pPr>
              <w:spacing w:after="0"/>
              <w:rPr>
                <w:sz w:val="12"/>
                <w:szCs w:val="12"/>
                <w:color w:val="auto"/>
              </w:rPr>
            </w:pPr>
          </w:p>
        </w:tc>
        <w:tc>
          <w:tcPr>
            <w:tcW w:w="220" w:type="dxa"/>
            <w:vAlign w:val="bottom"/>
            <w:shd w:val="clear" w:color="auto" w:fill="EAF9E8"/>
          </w:tcPr>
          <w:p>
            <w:pPr>
              <w:spacing w:after="0"/>
              <w:rPr>
                <w:sz w:val="12"/>
                <w:szCs w:val="12"/>
                <w:color w:val="auto"/>
              </w:rPr>
            </w:pPr>
          </w:p>
        </w:tc>
        <w:tc>
          <w:tcPr>
            <w:tcW w:w="1380" w:type="dxa"/>
            <w:vAlign w:val="bottom"/>
            <w:shd w:val="clear" w:color="auto" w:fill="EAF9E8"/>
          </w:tcPr>
          <w:p>
            <w:pPr>
              <w:spacing w:after="0"/>
              <w:rPr>
                <w:sz w:val="12"/>
                <w:szCs w:val="12"/>
                <w:color w:val="auto"/>
              </w:rPr>
            </w:pPr>
          </w:p>
        </w:tc>
        <w:tc>
          <w:tcPr>
            <w:tcW w:w="1840" w:type="dxa"/>
            <w:vAlign w:val="bottom"/>
            <w:gridSpan w:val="2"/>
            <w:shd w:val="clear" w:color="auto" w:fill="EAF9E8"/>
          </w:tcPr>
          <w:p>
            <w:pPr>
              <w:ind w:left="240"/>
              <w:spacing w:after="0" w:line="149" w:lineRule="exact"/>
              <w:rPr>
                <w:sz w:val="20"/>
                <w:szCs w:val="20"/>
                <w:color w:val="auto"/>
              </w:rPr>
            </w:pPr>
            <w:r>
              <w:rPr>
                <w:rFonts w:ascii="Arial" w:cs="Arial" w:eastAsia="Arial" w:hAnsi="Arial"/>
                <w:sz w:val="14"/>
                <w:szCs w:val="14"/>
                <w:color w:val="auto"/>
              </w:rPr>
              <w:t>200 basis points or Prime</w:t>
            </w:r>
          </w:p>
        </w:tc>
        <w:tc>
          <w:tcPr>
            <w:tcW w:w="220" w:type="dxa"/>
            <w:vAlign w:val="bottom"/>
            <w:shd w:val="clear" w:color="auto" w:fill="EAF9E8"/>
          </w:tcPr>
          <w:p>
            <w:pPr>
              <w:spacing w:after="0"/>
              <w:rPr>
                <w:sz w:val="12"/>
                <w:szCs w:val="12"/>
                <w:color w:val="auto"/>
              </w:rPr>
            </w:pPr>
          </w:p>
        </w:tc>
        <w:tc>
          <w:tcPr>
            <w:tcW w:w="1160" w:type="dxa"/>
            <w:vAlign w:val="bottom"/>
            <w:shd w:val="clear" w:color="auto" w:fill="EAF9E8"/>
          </w:tcPr>
          <w:p>
            <w:pPr>
              <w:spacing w:after="0"/>
              <w:rPr>
                <w:sz w:val="12"/>
                <w:szCs w:val="12"/>
                <w:color w:val="auto"/>
              </w:rPr>
            </w:pPr>
          </w:p>
        </w:tc>
        <w:tc>
          <w:tcPr>
            <w:tcW w:w="22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820" w:type="dxa"/>
            <w:vAlign w:val="bottom"/>
            <w:shd w:val="clear" w:color="auto" w:fill="EAF9E8"/>
          </w:tcPr>
          <w:p>
            <w:pPr>
              <w:spacing w:after="0"/>
              <w:rPr>
                <w:sz w:val="12"/>
                <w:szCs w:val="12"/>
                <w:color w:val="auto"/>
              </w:rPr>
            </w:pPr>
          </w:p>
        </w:tc>
        <w:tc>
          <w:tcPr>
            <w:tcW w:w="220" w:type="dxa"/>
            <w:vAlign w:val="bottom"/>
            <w:shd w:val="clear" w:color="auto" w:fill="EAF9E8"/>
          </w:tcPr>
          <w:p>
            <w:pPr>
              <w:spacing w:after="0"/>
              <w:rPr>
                <w:sz w:val="12"/>
                <w:szCs w:val="12"/>
                <w:color w:val="auto"/>
              </w:rPr>
            </w:pPr>
          </w:p>
        </w:tc>
        <w:tc>
          <w:tcPr>
            <w:tcW w:w="180" w:type="dxa"/>
            <w:vAlign w:val="bottom"/>
            <w:shd w:val="clear" w:color="auto" w:fill="EAF9E8"/>
          </w:tcPr>
          <w:p>
            <w:pPr>
              <w:spacing w:after="0"/>
              <w:rPr>
                <w:sz w:val="12"/>
                <w:szCs w:val="12"/>
                <w:color w:val="auto"/>
              </w:rPr>
            </w:pPr>
          </w:p>
        </w:tc>
        <w:tc>
          <w:tcPr>
            <w:tcW w:w="1280" w:type="dxa"/>
            <w:vAlign w:val="bottom"/>
            <w:shd w:val="clear" w:color="auto" w:fill="EAF9E8"/>
          </w:tcPr>
          <w:p>
            <w:pPr>
              <w:spacing w:after="0"/>
              <w:rPr>
                <w:sz w:val="12"/>
                <w:szCs w:val="12"/>
                <w:color w:val="auto"/>
              </w:rPr>
            </w:pPr>
          </w:p>
        </w:tc>
        <w:tc>
          <w:tcPr>
            <w:tcW w:w="220" w:type="dxa"/>
            <w:vAlign w:val="bottom"/>
            <w:shd w:val="clear" w:color="auto" w:fill="EAF9E8"/>
          </w:tcPr>
          <w:p>
            <w:pPr>
              <w:spacing w:after="0"/>
              <w:rPr>
                <w:sz w:val="12"/>
                <w:szCs w:val="12"/>
                <w:color w:val="auto"/>
              </w:rPr>
            </w:pPr>
          </w:p>
        </w:tc>
        <w:tc>
          <w:tcPr>
            <w:tcW w:w="180" w:type="dxa"/>
            <w:vAlign w:val="bottom"/>
            <w:shd w:val="clear" w:color="auto" w:fill="EAF9E8"/>
          </w:tcPr>
          <w:p>
            <w:pPr>
              <w:spacing w:after="0"/>
              <w:rPr>
                <w:sz w:val="12"/>
                <w:szCs w:val="12"/>
                <w:color w:val="auto"/>
              </w:rPr>
            </w:pPr>
          </w:p>
        </w:tc>
        <w:tc>
          <w:tcPr>
            <w:tcW w:w="118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40" w:type="dxa"/>
            <w:vAlign w:val="bottom"/>
            <w:shd w:val="clear" w:color="auto" w:fill="EAF9E8"/>
          </w:tcPr>
          <w:p>
            <w:pPr>
              <w:spacing w:after="0"/>
              <w:rPr>
                <w:sz w:val="13"/>
                <w:szCs w:val="13"/>
                <w:color w:val="auto"/>
              </w:rPr>
            </w:pPr>
          </w:p>
        </w:tc>
        <w:tc>
          <w:tcPr>
            <w:tcW w:w="480" w:type="dxa"/>
            <w:vAlign w:val="bottom"/>
            <w:shd w:val="clear" w:color="auto" w:fill="EAF9E8"/>
          </w:tcPr>
          <w:p>
            <w:pPr>
              <w:spacing w:after="0"/>
              <w:rPr>
                <w:sz w:val="13"/>
                <w:szCs w:val="13"/>
                <w:color w:val="auto"/>
              </w:rPr>
            </w:pPr>
          </w:p>
        </w:tc>
        <w:tc>
          <w:tcPr>
            <w:tcW w:w="120" w:type="dxa"/>
            <w:vAlign w:val="bottom"/>
            <w:shd w:val="clear" w:color="auto" w:fill="EAF9E8"/>
          </w:tcPr>
          <w:p>
            <w:pPr>
              <w:spacing w:after="0"/>
              <w:rPr>
                <w:sz w:val="13"/>
                <w:szCs w:val="13"/>
                <w:color w:val="auto"/>
              </w:rPr>
            </w:pPr>
          </w:p>
        </w:tc>
        <w:tc>
          <w:tcPr>
            <w:tcW w:w="920" w:type="dxa"/>
            <w:vAlign w:val="bottom"/>
            <w:shd w:val="clear" w:color="auto" w:fill="EAF9E8"/>
          </w:tcPr>
          <w:p>
            <w:pPr>
              <w:spacing w:after="0"/>
              <w:rPr>
                <w:sz w:val="13"/>
                <w:szCs w:val="13"/>
                <w:color w:val="auto"/>
              </w:rPr>
            </w:pPr>
          </w:p>
        </w:tc>
        <w:tc>
          <w:tcPr>
            <w:tcW w:w="220" w:type="dxa"/>
            <w:vAlign w:val="bottom"/>
            <w:shd w:val="clear" w:color="auto" w:fill="EAF9E8"/>
          </w:tcPr>
          <w:p>
            <w:pPr>
              <w:spacing w:after="0"/>
              <w:rPr>
                <w:sz w:val="13"/>
                <w:szCs w:val="13"/>
                <w:color w:val="auto"/>
              </w:rPr>
            </w:pPr>
          </w:p>
        </w:tc>
        <w:tc>
          <w:tcPr>
            <w:tcW w:w="1380" w:type="dxa"/>
            <w:vAlign w:val="bottom"/>
            <w:shd w:val="clear" w:color="auto" w:fill="EAF9E8"/>
          </w:tcPr>
          <w:p>
            <w:pPr>
              <w:spacing w:after="0"/>
              <w:rPr>
                <w:sz w:val="13"/>
                <w:szCs w:val="13"/>
                <w:color w:val="auto"/>
              </w:rPr>
            </w:pPr>
          </w:p>
        </w:tc>
        <w:tc>
          <w:tcPr>
            <w:tcW w:w="1840" w:type="dxa"/>
            <w:vAlign w:val="bottom"/>
            <w:gridSpan w:val="2"/>
            <w:shd w:val="clear" w:color="auto" w:fill="EAF9E8"/>
          </w:tcPr>
          <w:p>
            <w:pPr>
              <w:ind w:left="240"/>
              <w:spacing w:after="0" w:line="159" w:lineRule="exact"/>
              <w:rPr>
                <w:sz w:val="20"/>
                <w:szCs w:val="20"/>
                <w:color w:val="auto"/>
              </w:rPr>
            </w:pPr>
            <w:r>
              <w:rPr>
                <w:rFonts w:ascii="Arial" w:cs="Arial" w:eastAsia="Arial" w:hAnsi="Arial"/>
                <w:sz w:val="14"/>
                <w:szCs w:val="14"/>
                <w:color w:val="auto"/>
              </w:rPr>
              <w:t>plus 125 basis points</w:t>
            </w:r>
          </w:p>
        </w:tc>
        <w:tc>
          <w:tcPr>
            <w:tcW w:w="220" w:type="dxa"/>
            <w:vAlign w:val="bottom"/>
            <w:shd w:val="clear" w:color="auto" w:fill="EAF9E8"/>
          </w:tcPr>
          <w:p>
            <w:pPr>
              <w:spacing w:after="0"/>
              <w:rPr>
                <w:sz w:val="13"/>
                <w:szCs w:val="13"/>
                <w:color w:val="auto"/>
              </w:rPr>
            </w:pPr>
          </w:p>
        </w:tc>
        <w:tc>
          <w:tcPr>
            <w:tcW w:w="1160" w:type="dxa"/>
            <w:vAlign w:val="bottom"/>
            <w:shd w:val="clear" w:color="auto" w:fill="EAF9E8"/>
          </w:tcPr>
          <w:p>
            <w:pPr>
              <w:spacing w:after="0"/>
              <w:rPr>
                <w:sz w:val="13"/>
                <w:szCs w:val="13"/>
                <w:color w:val="auto"/>
              </w:rPr>
            </w:pPr>
          </w:p>
        </w:tc>
        <w:tc>
          <w:tcPr>
            <w:tcW w:w="220" w:type="dxa"/>
            <w:vAlign w:val="bottom"/>
            <w:shd w:val="clear" w:color="auto" w:fill="EAF9E8"/>
          </w:tcPr>
          <w:p>
            <w:pPr>
              <w:spacing w:after="0"/>
              <w:rPr>
                <w:sz w:val="13"/>
                <w:szCs w:val="13"/>
                <w:color w:val="auto"/>
              </w:rPr>
            </w:pPr>
          </w:p>
        </w:tc>
        <w:tc>
          <w:tcPr>
            <w:tcW w:w="120" w:type="dxa"/>
            <w:vAlign w:val="bottom"/>
            <w:shd w:val="clear" w:color="auto" w:fill="EAF9E8"/>
          </w:tcPr>
          <w:p>
            <w:pPr>
              <w:spacing w:after="0"/>
              <w:rPr>
                <w:sz w:val="13"/>
                <w:szCs w:val="13"/>
                <w:color w:val="auto"/>
              </w:rPr>
            </w:pPr>
          </w:p>
        </w:tc>
        <w:tc>
          <w:tcPr>
            <w:tcW w:w="820" w:type="dxa"/>
            <w:vAlign w:val="bottom"/>
            <w:shd w:val="clear" w:color="auto" w:fill="EAF9E8"/>
          </w:tcPr>
          <w:p>
            <w:pPr>
              <w:ind w:left="680"/>
              <w:spacing w:after="0" w:line="159" w:lineRule="exact"/>
              <w:rPr>
                <w:sz w:val="20"/>
                <w:szCs w:val="20"/>
                <w:color w:val="auto"/>
              </w:rPr>
            </w:pPr>
            <w:r>
              <w:rPr>
                <w:rFonts w:ascii="Arial" w:cs="Arial" w:eastAsia="Arial" w:hAnsi="Arial"/>
                <w:sz w:val="14"/>
                <w:szCs w:val="14"/>
                <w:color w:val="auto"/>
                <w:w w:val="85"/>
              </w:rPr>
              <w:t>—</w:t>
            </w:r>
          </w:p>
        </w:tc>
        <w:tc>
          <w:tcPr>
            <w:tcW w:w="220" w:type="dxa"/>
            <w:vAlign w:val="bottom"/>
            <w:shd w:val="clear" w:color="auto" w:fill="EAF9E8"/>
          </w:tcPr>
          <w:p>
            <w:pPr>
              <w:spacing w:after="0"/>
              <w:rPr>
                <w:sz w:val="13"/>
                <w:szCs w:val="13"/>
                <w:color w:val="auto"/>
              </w:rPr>
            </w:pPr>
          </w:p>
        </w:tc>
        <w:tc>
          <w:tcPr>
            <w:tcW w:w="180" w:type="dxa"/>
            <w:vAlign w:val="bottom"/>
            <w:shd w:val="clear" w:color="auto" w:fill="EAF9E8"/>
          </w:tcPr>
          <w:p>
            <w:pPr>
              <w:spacing w:after="0"/>
              <w:rPr>
                <w:sz w:val="13"/>
                <w:szCs w:val="13"/>
                <w:color w:val="auto"/>
              </w:rPr>
            </w:pPr>
          </w:p>
        </w:tc>
        <w:tc>
          <w:tcPr>
            <w:tcW w:w="1500" w:type="dxa"/>
            <w:vAlign w:val="bottom"/>
            <w:gridSpan w:val="2"/>
            <w:shd w:val="clear" w:color="auto" w:fill="EAF9E8"/>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80" w:type="dxa"/>
            <w:vAlign w:val="bottom"/>
            <w:shd w:val="clear" w:color="auto" w:fill="EAF9E8"/>
          </w:tcPr>
          <w:p>
            <w:pPr>
              <w:spacing w:after="0"/>
              <w:rPr>
                <w:sz w:val="13"/>
                <w:szCs w:val="13"/>
                <w:color w:val="auto"/>
              </w:rPr>
            </w:pPr>
          </w:p>
        </w:tc>
        <w:tc>
          <w:tcPr>
            <w:tcW w:w="1280" w:type="dxa"/>
            <w:vAlign w:val="bottom"/>
            <w:gridSpan w:val="2"/>
            <w:shd w:val="clear" w:color="auto" w:fill="EAF9E8"/>
          </w:tcPr>
          <w:p>
            <w:pPr>
              <w:jc w:val="right"/>
              <w:ind w:right="100"/>
              <w:spacing w:after="0" w:line="159" w:lineRule="exact"/>
              <w:rPr>
                <w:sz w:val="20"/>
                <w:szCs w:val="20"/>
                <w:color w:val="auto"/>
              </w:rPr>
            </w:pPr>
            <w:r>
              <w:rPr>
                <w:rFonts w:ascii="Arial" w:cs="Arial" w:eastAsia="Arial" w:hAnsi="Arial"/>
                <w:sz w:val="14"/>
                <w:szCs w:val="14"/>
                <w:color w:val="auto"/>
              </w:rPr>
              <w:t>1,123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ind w:left="680"/>
              <w:spacing w:after="0"/>
              <w:rPr>
                <w:sz w:val="20"/>
                <w:szCs w:val="20"/>
                <w:color w:val="auto"/>
              </w:rPr>
            </w:pPr>
            <w:r>
              <w:rPr>
                <w:rFonts w:ascii="Arial" w:cs="Arial" w:eastAsia="Arial" w:hAnsi="Arial"/>
                <w:sz w:val="14"/>
                <w:szCs w:val="14"/>
                <w:color w:val="auto"/>
                <w:w w:val="85"/>
              </w:rPr>
              <w: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4"/>
                <w:szCs w:val="14"/>
                <w:color w:val="auto"/>
              </w:rPr>
              <w:t>67,000</w:t>
            </w:r>
          </w:p>
        </w:tc>
        <w:tc>
          <w:tcPr>
            <w:tcW w:w="180" w:type="dxa"/>
            <w:vAlign w:val="bottom"/>
          </w:tcPr>
          <w:p>
            <w:pPr>
              <w:spacing w:after="0"/>
              <w:rPr>
                <w:sz w:val="20"/>
                <w:szCs w:val="20"/>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4"/>
                <w:szCs w:val="14"/>
                <w:color w:val="auto"/>
              </w:rPr>
              <w:t>116,870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060" w:type="dxa"/>
            <w:vAlign w:val="bottom"/>
            <w:gridSpan w:val="4"/>
            <w:shd w:val="clear" w:color="auto" w:fill="EAF9E8"/>
          </w:tcPr>
          <w:p>
            <w:pPr>
              <w:spacing w:after="0"/>
              <w:rPr>
                <w:sz w:val="20"/>
                <w:szCs w:val="20"/>
                <w:color w:val="auto"/>
              </w:rPr>
            </w:pPr>
            <w:r>
              <w:rPr>
                <w:rFonts w:ascii="Arial" w:cs="Arial" w:eastAsia="Arial" w:hAnsi="Arial"/>
                <w:sz w:val="14"/>
                <w:szCs w:val="14"/>
                <w:color w:val="auto"/>
              </w:rPr>
              <w:t>Discount (2)</w:t>
            </w:r>
          </w:p>
        </w:tc>
        <w:tc>
          <w:tcPr>
            <w:tcW w:w="220" w:type="dxa"/>
            <w:vAlign w:val="bottom"/>
            <w:shd w:val="clear" w:color="auto" w:fill="EAF9E8"/>
          </w:tcPr>
          <w:p>
            <w:pPr>
              <w:spacing w:after="0"/>
              <w:rPr>
                <w:sz w:val="14"/>
                <w:szCs w:val="14"/>
                <w:color w:val="auto"/>
              </w:rPr>
            </w:pPr>
          </w:p>
        </w:tc>
        <w:tc>
          <w:tcPr>
            <w:tcW w:w="1380" w:type="dxa"/>
            <w:vAlign w:val="bottom"/>
            <w:shd w:val="clear" w:color="auto" w:fill="EAF9E8"/>
          </w:tcPr>
          <w:p>
            <w:pPr>
              <w:spacing w:after="0"/>
              <w:rPr>
                <w:sz w:val="14"/>
                <w:szCs w:val="14"/>
                <w:color w:val="auto"/>
              </w:rPr>
            </w:pPr>
          </w:p>
        </w:tc>
        <w:tc>
          <w:tcPr>
            <w:tcW w:w="240" w:type="dxa"/>
            <w:vAlign w:val="bottom"/>
            <w:shd w:val="clear" w:color="auto" w:fill="EAF9E8"/>
          </w:tcPr>
          <w:p>
            <w:pPr>
              <w:spacing w:after="0"/>
              <w:rPr>
                <w:sz w:val="14"/>
                <w:szCs w:val="14"/>
                <w:color w:val="auto"/>
              </w:rPr>
            </w:pPr>
          </w:p>
        </w:tc>
        <w:tc>
          <w:tcPr>
            <w:tcW w:w="1600" w:type="dxa"/>
            <w:vAlign w:val="bottom"/>
            <w:shd w:val="clear" w:color="auto" w:fill="EAF9E8"/>
          </w:tcPr>
          <w:p>
            <w:pPr>
              <w:spacing w:after="0"/>
              <w:rPr>
                <w:sz w:val="14"/>
                <w:szCs w:val="14"/>
                <w:color w:val="auto"/>
              </w:rPr>
            </w:pPr>
          </w:p>
        </w:tc>
        <w:tc>
          <w:tcPr>
            <w:tcW w:w="220" w:type="dxa"/>
            <w:vAlign w:val="bottom"/>
            <w:shd w:val="clear" w:color="auto" w:fill="EAF9E8"/>
          </w:tcPr>
          <w:p>
            <w:pPr>
              <w:spacing w:after="0"/>
              <w:rPr>
                <w:sz w:val="14"/>
                <w:szCs w:val="14"/>
                <w:color w:val="auto"/>
              </w:rPr>
            </w:pPr>
          </w:p>
        </w:tc>
        <w:tc>
          <w:tcPr>
            <w:tcW w:w="1160" w:type="dxa"/>
            <w:vAlign w:val="bottom"/>
            <w:shd w:val="clear" w:color="auto" w:fill="EAF9E8"/>
          </w:tcPr>
          <w:p>
            <w:pPr>
              <w:spacing w:after="0"/>
              <w:rPr>
                <w:sz w:val="14"/>
                <w:szCs w:val="14"/>
                <w:color w:val="auto"/>
              </w:rPr>
            </w:pPr>
          </w:p>
        </w:tc>
        <w:tc>
          <w:tcPr>
            <w:tcW w:w="220" w:type="dxa"/>
            <w:vAlign w:val="bottom"/>
            <w:shd w:val="clear" w:color="auto" w:fill="EAF9E8"/>
          </w:tcPr>
          <w:p>
            <w:pPr>
              <w:spacing w:after="0"/>
              <w:rPr>
                <w:sz w:val="14"/>
                <w:szCs w:val="14"/>
                <w:color w:val="auto"/>
              </w:rPr>
            </w:pPr>
          </w:p>
        </w:tc>
        <w:tc>
          <w:tcPr>
            <w:tcW w:w="120" w:type="dxa"/>
            <w:vAlign w:val="bottom"/>
            <w:shd w:val="clear" w:color="auto" w:fill="EAF9E8"/>
          </w:tcPr>
          <w:p>
            <w:pPr>
              <w:spacing w:after="0"/>
              <w:rPr>
                <w:sz w:val="14"/>
                <w:szCs w:val="14"/>
                <w:color w:val="auto"/>
              </w:rPr>
            </w:pPr>
          </w:p>
        </w:tc>
        <w:tc>
          <w:tcPr>
            <w:tcW w:w="820" w:type="dxa"/>
            <w:vAlign w:val="bottom"/>
            <w:vMerge w:val="restart"/>
            <w:shd w:val="clear" w:color="auto" w:fill="EAF9E8"/>
          </w:tcPr>
          <w:p>
            <w:pPr>
              <w:ind w:left="680"/>
              <w:spacing w:after="0"/>
              <w:rPr>
                <w:sz w:val="20"/>
                <w:szCs w:val="20"/>
                <w:color w:val="auto"/>
              </w:rPr>
            </w:pPr>
            <w:r>
              <w:rPr>
                <w:rFonts w:ascii="Arial" w:cs="Arial" w:eastAsia="Arial" w:hAnsi="Arial"/>
                <w:sz w:val="14"/>
                <w:szCs w:val="14"/>
                <w:color w:val="auto"/>
                <w:w w:val="85"/>
              </w:rPr>
              <w:t>—</w:t>
            </w:r>
          </w:p>
        </w:tc>
        <w:tc>
          <w:tcPr>
            <w:tcW w:w="220" w:type="dxa"/>
            <w:vAlign w:val="bottom"/>
            <w:shd w:val="clear" w:color="auto" w:fill="EAF9E8"/>
          </w:tcPr>
          <w:p>
            <w:pPr>
              <w:spacing w:after="0"/>
              <w:rPr>
                <w:sz w:val="14"/>
                <w:szCs w:val="14"/>
                <w:color w:val="auto"/>
              </w:rPr>
            </w:pPr>
          </w:p>
        </w:tc>
        <w:tc>
          <w:tcPr>
            <w:tcW w:w="180" w:type="dxa"/>
            <w:vAlign w:val="bottom"/>
            <w:shd w:val="clear" w:color="auto" w:fill="EAF9E8"/>
          </w:tcPr>
          <w:p>
            <w:pPr>
              <w:spacing w:after="0"/>
              <w:rPr>
                <w:sz w:val="14"/>
                <w:szCs w:val="14"/>
                <w:color w:val="auto"/>
              </w:rPr>
            </w:pPr>
          </w:p>
        </w:tc>
        <w:tc>
          <w:tcPr>
            <w:tcW w:w="1500" w:type="dxa"/>
            <w:vAlign w:val="bottom"/>
            <w:gridSpan w:val="2"/>
            <w:vMerge w:val="restart"/>
            <w:shd w:val="clear" w:color="auto" w:fill="EAF9E8"/>
          </w:tcPr>
          <w:p>
            <w:pPr>
              <w:jc w:val="right"/>
              <w:ind w:right="160"/>
              <w:spacing w:after="0"/>
              <w:rPr>
                <w:sz w:val="20"/>
                <w:szCs w:val="20"/>
                <w:color w:val="auto"/>
              </w:rPr>
            </w:pPr>
            <w:r>
              <w:rPr>
                <w:rFonts w:ascii="Arial" w:cs="Arial" w:eastAsia="Arial" w:hAnsi="Arial"/>
                <w:sz w:val="14"/>
                <w:szCs w:val="14"/>
                <w:color w:val="auto"/>
              </w:rPr>
              <w:t>(12,335)</w:t>
            </w:r>
          </w:p>
        </w:tc>
        <w:tc>
          <w:tcPr>
            <w:tcW w:w="180" w:type="dxa"/>
            <w:vAlign w:val="bottom"/>
            <w:shd w:val="clear" w:color="auto" w:fill="EAF9E8"/>
          </w:tcPr>
          <w:p>
            <w:pPr>
              <w:spacing w:after="0"/>
              <w:rPr>
                <w:sz w:val="14"/>
                <w:szCs w:val="14"/>
                <w:color w:val="auto"/>
              </w:rPr>
            </w:pPr>
          </w:p>
        </w:tc>
        <w:tc>
          <w:tcPr>
            <w:tcW w:w="1280" w:type="dxa"/>
            <w:vAlign w:val="bottom"/>
            <w:gridSpan w:val="2"/>
            <w:vMerge w:val="restart"/>
            <w:shd w:val="clear" w:color="auto" w:fill="EAF9E8"/>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540" w:type="dxa"/>
            <w:vAlign w:val="bottom"/>
            <w:shd w:val="clear" w:color="auto" w:fill="EAF9E8"/>
          </w:tcPr>
          <w:p>
            <w:pPr>
              <w:spacing w:after="0"/>
              <w:rPr>
                <w:sz w:val="6"/>
                <w:szCs w:val="6"/>
                <w:color w:val="auto"/>
              </w:rPr>
            </w:pPr>
          </w:p>
        </w:tc>
        <w:tc>
          <w:tcPr>
            <w:tcW w:w="480" w:type="dxa"/>
            <w:vAlign w:val="bottom"/>
            <w:shd w:val="clear" w:color="auto" w:fill="EAF9E8"/>
          </w:tcPr>
          <w:p>
            <w:pPr>
              <w:spacing w:after="0"/>
              <w:rPr>
                <w:sz w:val="6"/>
                <w:szCs w:val="6"/>
                <w:color w:val="auto"/>
              </w:rPr>
            </w:pPr>
          </w:p>
        </w:tc>
        <w:tc>
          <w:tcPr>
            <w:tcW w:w="120" w:type="dxa"/>
            <w:vAlign w:val="bottom"/>
            <w:shd w:val="clear" w:color="auto" w:fill="EAF9E8"/>
          </w:tcPr>
          <w:p>
            <w:pPr>
              <w:spacing w:after="0"/>
              <w:rPr>
                <w:sz w:val="6"/>
                <w:szCs w:val="6"/>
                <w:color w:val="auto"/>
              </w:rPr>
            </w:pPr>
          </w:p>
        </w:tc>
        <w:tc>
          <w:tcPr>
            <w:tcW w:w="920" w:type="dxa"/>
            <w:vAlign w:val="bottom"/>
            <w:shd w:val="clear" w:color="auto" w:fill="EAF9E8"/>
          </w:tcPr>
          <w:p>
            <w:pPr>
              <w:spacing w:after="0"/>
              <w:rPr>
                <w:sz w:val="6"/>
                <w:szCs w:val="6"/>
                <w:color w:val="auto"/>
              </w:rPr>
            </w:pPr>
          </w:p>
        </w:tc>
        <w:tc>
          <w:tcPr>
            <w:tcW w:w="220" w:type="dxa"/>
            <w:vAlign w:val="bottom"/>
            <w:shd w:val="clear" w:color="auto" w:fill="EAF9E8"/>
          </w:tcPr>
          <w:p>
            <w:pPr>
              <w:spacing w:after="0"/>
              <w:rPr>
                <w:sz w:val="6"/>
                <w:szCs w:val="6"/>
                <w:color w:val="auto"/>
              </w:rPr>
            </w:pPr>
          </w:p>
        </w:tc>
        <w:tc>
          <w:tcPr>
            <w:tcW w:w="1380" w:type="dxa"/>
            <w:vAlign w:val="bottom"/>
            <w:shd w:val="clear" w:color="auto" w:fill="EAF9E8"/>
          </w:tcPr>
          <w:p>
            <w:pPr>
              <w:spacing w:after="0"/>
              <w:rPr>
                <w:sz w:val="6"/>
                <w:szCs w:val="6"/>
                <w:color w:val="auto"/>
              </w:rPr>
            </w:pPr>
          </w:p>
        </w:tc>
        <w:tc>
          <w:tcPr>
            <w:tcW w:w="240" w:type="dxa"/>
            <w:vAlign w:val="bottom"/>
            <w:shd w:val="clear" w:color="auto" w:fill="EAF9E8"/>
          </w:tcPr>
          <w:p>
            <w:pPr>
              <w:spacing w:after="0"/>
              <w:rPr>
                <w:sz w:val="6"/>
                <w:szCs w:val="6"/>
                <w:color w:val="auto"/>
              </w:rPr>
            </w:pPr>
          </w:p>
        </w:tc>
        <w:tc>
          <w:tcPr>
            <w:tcW w:w="1600" w:type="dxa"/>
            <w:vAlign w:val="bottom"/>
            <w:shd w:val="clear" w:color="auto" w:fill="EAF9E8"/>
          </w:tcPr>
          <w:p>
            <w:pPr>
              <w:spacing w:after="0"/>
              <w:rPr>
                <w:sz w:val="6"/>
                <w:szCs w:val="6"/>
                <w:color w:val="auto"/>
              </w:rPr>
            </w:pPr>
          </w:p>
        </w:tc>
        <w:tc>
          <w:tcPr>
            <w:tcW w:w="220" w:type="dxa"/>
            <w:vAlign w:val="bottom"/>
            <w:shd w:val="clear" w:color="auto" w:fill="EAF9E8"/>
          </w:tcPr>
          <w:p>
            <w:pPr>
              <w:spacing w:after="0"/>
              <w:rPr>
                <w:sz w:val="6"/>
                <w:szCs w:val="6"/>
                <w:color w:val="auto"/>
              </w:rPr>
            </w:pPr>
          </w:p>
        </w:tc>
        <w:tc>
          <w:tcPr>
            <w:tcW w:w="1160" w:type="dxa"/>
            <w:vAlign w:val="bottom"/>
            <w:shd w:val="clear" w:color="auto" w:fill="EAF9E8"/>
          </w:tcPr>
          <w:p>
            <w:pPr>
              <w:spacing w:after="0"/>
              <w:rPr>
                <w:sz w:val="6"/>
                <w:szCs w:val="6"/>
                <w:color w:val="auto"/>
              </w:rPr>
            </w:pPr>
          </w:p>
        </w:tc>
        <w:tc>
          <w:tcPr>
            <w:tcW w:w="220" w:type="dxa"/>
            <w:vAlign w:val="bottom"/>
            <w:shd w:val="clear" w:color="auto" w:fill="EAF9E8"/>
          </w:tcPr>
          <w:p>
            <w:pPr>
              <w:spacing w:after="0"/>
              <w:rPr>
                <w:sz w:val="6"/>
                <w:szCs w:val="6"/>
                <w:color w:val="auto"/>
              </w:rPr>
            </w:pPr>
          </w:p>
        </w:tc>
        <w:tc>
          <w:tcPr>
            <w:tcW w:w="120" w:type="dxa"/>
            <w:vAlign w:val="bottom"/>
            <w:shd w:val="clear" w:color="auto" w:fill="EAF9E8"/>
          </w:tcPr>
          <w:p>
            <w:pPr>
              <w:spacing w:after="0"/>
              <w:rPr>
                <w:sz w:val="6"/>
                <w:szCs w:val="6"/>
                <w:color w:val="auto"/>
              </w:rPr>
            </w:pPr>
          </w:p>
        </w:tc>
        <w:tc>
          <w:tcPr>
            <w:tcW w:w="820" w:type="dxa"/>
            <w:vAlign w:val="bottom"/>
            <w:vMerge w:val="continue"/>
            <w:shd w:val="clear" w:color="auto" w:fill="EAF9E8"/>
          </w:tcPr>
          <w:p>
            <w:pPr>
              <w:spacing w:after="0"/>
              <w:rPr>
                <w:sz w:val="6"/>
                <w:szCs w:val="6"/>
                <w:color w:val="auto"/>
              </w:rPr>
            </w:pPr>
          </w:p>
        </w:tc>
        <w:tc>
          <w:tcPr>
            <w:tcW w:w="220" w:type="dxa"/>
            <w:vAlign w:val="bottom"/>
            <w:shd w:val="clear" w:color="auto" w:fill="EAF9E8"/>
          </w:tcPr>
          <w:p>
            <w:pPr>
              <w:spacing w:after="0"/>
              <w:rPr>
                <w:sz w:val="6"/>
                <w:szCs w:val="6"/>
                <w:color w:val="auto"/>
              </w:rPr>
            </w:pPr>
          </w:p>
        </w:tc>
        <w:tc>
          <w:tcPr>
            <w:tcW w:w="180" w:type="dxa"/>
            <w:vAlign w:val="bottom"/>
            <w:shd w:val="clear" w:color="auto" w:fill="EAF9E8"/>
          </w:tcPr>
          <w:p>
            <w:pPr>
              <w:spacing w:after="0"/>
              <w:rPr>
                <w:sz w:val="6"/>
                <w:szCs w:val="6"/>
                <w:color w:val="auto"/>
              </w:rPr>
            </w:pPr>
          </w:p>
        </w:tc>
        <w:tc>
          <w:tcPr>
            <w:tcW w:w="1500" w:type="dxa"/>
            <w:vAlign w:val="bottom"/>
            <w:gridSpan w:val="2"/>
            <w:vMerge w:val="continue"/>
            <w:shd w:val="clear" w:color="auto" w:fill="EAF9E8"/>
          </w:tcPr>
          <w:p>
            <w:pPr>
              <w:spacing w:after="0"/>
              <w:rPr>
                <w:sz w:val="6"/>
                <w:szCs w:val="6"/>
                <w:color w:val="auto"/>
              </w:rPr>
            </w:pPr>
          </w:p>
        </w:tc>
        <w:tc>
          <w:tcPr>
            <w:tcW w:w="180" w:type="dxa"/>
            <w:vAlign w:val="bottom"/>
            <w:shd w:val="clear" w:color="auto" w:fill="EAF9E8"/>
          </w:tcPr>
          <w:p>
            <w:pPr>
              <w:spacing w:after="0"/>
              <w:rPr>
                <w:sz w:val="6"/>
                <w:szCs w:val="6"/>
                <w:color w:val="auto"/>
              </w:rPr>
            </w:pPr>
          </w:p>
        </w:tc>
        <w:tc>
          <w:tcPr>
            <w:tcW w:w="1280" w:type="dxa"/>
            <w:vAlign w:val="bottom"/>
            <w:gridSpan w:val="2"/>
            <w:vMerge w:val="continue"/>
            <w:shd w:val="clear" w:color="auto" w:fill="EAF9E8"/>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20" w:type="dxa"/>
            <w:vAlign w:val="bottom"/>
          </w:tcPr>
          <w:p>
            <w:pPr>
              <w:ind w:left="680"/>
              <w:spacing w:after="0"/>
              <w:rPr>
                <w:sz w:val="20"/>
                <w:szCs w:val="20"/>
                <w:color w:val="auto"/>
              </w:rPr>
            </w:pPr>
            <w:r>
              <w:rPr>
                <w:rFonts w:ascii="Arial" w:cs="Arial" w:eastAsia="Arial" w:hAnsi="Arial"/>
                <w:sz w:val="14"/>
                <w:szCs w:val="14"/>
                <w:color w:val="auto"/>
                <w:w w:val="85"/>
              </w:rPr>
              <w:t>—</w:t>
            </w:r>
          </w:p>
        </w:tc>
        <w:tc>
          <w:tcPr>
            <w:tcW w:w="4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500" w:type="dxa"/>
            <w:vAlign w:val="bottom"/>
            <w:gridSpan w:val="2"/>
          </w:tcPr>
          <w:p>
            <w:pPr>
              <w:jc w:val="right"/>
              <w:ind w:right="220"/>
              <w:spacing w:after="0"/>
              <w:rPr>
                <w:sz w:val="20"/>
                <w:szCs w:val="20"/>
                <w:color w:val="auto"/>
              </w:rPr>
            </w:pPr>
            <w:r>
              <w:rPr>
                <w:rFonts w:ascii="Arial" w:cs="Arial" w:eastAsia="Arial" w:hAnsi="Arial"/>
                <w:sz w:val="14"/>
                <w:szCs w:val="14"/>
                <w:color w:val="auto"/>
              </w:rPr>
              <w:t>54,665</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1280" w:type="dxa"/>
            <w:vAlign w:val="bottom"/>
            <w:gridSpan w:val="2"/>
          </w:tcPr>
          <w:p>
            <w:pPr>
              <w:jc w:val="right"/>
              <w:ind w:right="100"/>
              <w:spacing w:after="0"/>
              <w:rPr>
                <w:sz w:val="20"/>
                <w:szCs w:val="20"/>
                <w:color w:val="auto"/>
              </w:rPr>
            </w:pPr>
            <w:r>
              <w:rPr>
                <w:rFonts w:ascii="Arial" w:cs="Arial" w:eastAsia="Arial" w:hAnsi="Arial"/>
                <w:sz w:val="14"/>
                <w:szCs w:val="14"/>
                <w:color w:val="auto"/>
              </w:rPr>
              <w:t>116,870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580" w:hanging="572"/>
        <w:spacing w:after="0"/>
        <w:tabs>
          <w:tab w:leader="none" w:pos="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1-Month LIBOR was 0.25% and 0.44% at September 30, 2009 and December 31, 2008, respectively.</w:t>
      </w:r>
    </w:p>
    <w:p>
      <w:pPr>
        <w:spacing w:after="0" w:line="252" w:lineRule="exact"/>
        <w:rPr>
          <w:rFonts w:ascii="Arial" w:cs="Arial" w:eastAsia="Arial" w:hAnsi="Arial"/>
          <w:sz w:val="18"/>
          <w:szCs w:val="18"/>
          <w:color w:val="auto"/>
        </w:rPr>
      </w:pPr>
    </w:p>
    <w:p>
      <w:pPr>
        <w:ind w:left="580" w:right="40" w:hanging="572"/>
        <w:spacing w:after="0" w:line="291" w:lineRule="auto"/>
        <w:tabs>
          <w:tab w:leader="none" w:pos="5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This advance is secured by the pledge to the lender of our interest in a $60,000 term note issued by OSAF on March 31, 2009. The OSAF note, in turn, is secured by advances on loans serviced for others, similar to match funded advances and liabilities. The fee reimbursement advance is payable annually in five installments of $12,000. The advance does not carry a stated rate of interest. However, we are compensating the lender for the advance of funds by forgoing the receipt of fees due from the lender over the five-year term of the advance. Accordingly, we recorded the advance as a zero-coupon bond issued at an initial implied discount of $14,627. We used an implicit market rate to compute the discount that we are amortizing to interest expense over the five-year term of the advance.</w:t>
      </w:r>
    </w:p>
    <w:p>
      <w:pPr>
        <w:spacing w:after="0" w:line="201" w:lineRule="exact"/>
        <w:rPr>
          <w:rFonts w:ascii="Arial" w:cs="Arial" w:eastAsia="Arial" w:hAnsi="Arial"/>
          <w:sz w:val="16"/>
          <w:szCs w:val="16"/>
          <w:color w:val="auto"/>
        </w:rPr>
      </w:pPr>
    </w:p>
    <w:p>
      <w:pPr>
        <w:ind w:left="580" w:right="160" w:hanging="572"/>
        <w:spacing w:after="0" w:line="332" w:lineRule="auto"/>
        <w:tabs>
          <w:tab w:leader="none" w:pos="5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This note was issued by OSAF and is secured by advances on loans serviced for others, similar to match funded advances and liabilities. The lender has pledged its interest in this note to us as collateral against the $7,000 term note receivable due on April 1, 2014.</w:t>
      </w:r>
    </w:p>
    <w:p>
      <w:pPr>
        <w:spacing w:after="0" w:line="166" w:lineRule="exact"/>
        <w:rPr>
          <w:rFonts w:ascii="Arial" w:cs="Arial" w:eastAsia="Arial" w:hAnsi="Arial"/>
          <w:sz w:val="16"/>
          <w:szCs w:val="16"/>
          <w:color w:val="auto"/>
        </w:rPr>
      </w:pPr>
    </w:p>
    <w:p>
      <w:pPr>
        <w:ind w:left="580" w:right="260" w:hanging="572"/>
        <w:spacing w:after="0" w:line="268" w:lineRule="auto"/>
        <w:tabs>
          <w:tab w:leader="none" w:pos="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interest incurred on this facility is based on 1-Month LIBOR plus 187.5 basis points but could be reduced to as low as 0.10% to the extent that we have available balances on deposit with the lender. We repaid this note in full on August 21, 2009.</w:t>
      </w:r>
    </w:p>
    <w:p>
      <w:pPr>
        <w:spacing w:after="0" w:line="212" w:lineRule="exact"/>
        <w:rPr>
          <w:rFonts w:ascii="Arial" w:cs="Arial" w:eastAsia="Arial" w:hAnsi="Arial"/>
          <w:sz w:val="18"/>
          <w:szCs w:val="18"/>
          <w:color w:val="auto"/>
        </w:rPr>
      </w:pPr>
    </w:p>
    <w:p>
      <w:pPr>
        <w:ind w:left="580" w:right="320" w:hanging="572"/>
        <w:spacing w:after="0" w:line="256" w:lineRule="auto"/>
        <w:tabs>
          <w:tab w:leader="none" w:pos="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 2007, we issued A-rated securities in connection with the transfer of loan and real estate collateral to OREALT, a bankruptcy remote VIE that we consolidate. In August 2008, we sold a portion of these A-rated securities with a face value of $23,200 to a third party. The notes were sold net of an original discount of $928 that was amortized to interest expense over the estimated life of the notes. On September 23, 2009, we repaid the remaining principal balance of the notes held by a third party and retired the notes.</w:t>
      </w:r>
    </w:p>
    <w:p>
      <w:pPr>
        <w:spacing w:after="0" w:line="224" w:lineRule="exact"/>
        <w:rPr>
          <w:rFonts w:ascii="Arial" w:cs="Arial" w:eastAsia="Arial" w:hAnsi="Arial"/>
          <w:sz w:val="18"/>
          <w:szCs w:val="18"/>
          <w:color w:val="auto"/>
        </w:rPr>
      </w:pPr>
    </w:p>
    <w:p>
      <w:pPr>
        <w:ind w:left="580" w:hanging="572"/>
        <w:spacing w:after="0"/>
        <w:tabs>
          <w:tab w:leader="none" w:pos="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terminated this agreement in June 2009. There were no borrowings outstanding at the time that we terminated the agreement.</w:t>
      </w:r>
    </w:p>
    <w:p>
      <w:pPr>
        <w:spacing w:after="0" w:line="260"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Note 15</w:t>
      </w:r>
      <w:r>
        <w:rPr>
          <w:sz w:val="20"/>
          <w:szCs w:val="20"/>
          <w:color w:val="auto"/>
        </w:rPr>
        <w:tab/>
      </w:r>
      <w:r>
        <w:rPr>
          <w:rFonts w:ascii="Arial" w:cs="Arial" w:eastAsia="Arial" w:hAnsi="Arial"/>
          <w:sz w:val="16"/>
          <w:szCs w:val="16"/>
          <w:b w:val="1"/>
          <w:bCs w:val="1"/>
          <w:color w:val="auto"/>
        </w:rPr>
        <w:t>Investment Line</w:t>
      </w:r>
    </w:p>
    <w:p>
      <w:pPr>
        <w:spacing w:after="0" w:line="231" w:lineRule="exact"/>
        <w:rPr>
          <w:sz w:val="20"/>
          <w:szCs w:val="20"/>
          <w:color w:val="auto"/>
        </w:rPr>
      </w:pPr>
    </w:p>
    <w:p>
      <w:pPr>
        <w:ind w:right="60" w:firstLine="439"/>
        <w:spacing w:after="0" w:line="256" w:lineRule="auto"/>
        <w:rPr>
          <w:sz w:val="20"/>
          <w:szCs w:val="20"/>
          <w:color w:val="auto"/>
        </w:rPr>
      </w:pPr>
      <w:r>
        <w:rPr>
          <w:rFonts w:ascii="Arial" w:cs="Arial" w:eastAsia="Arial" w:hAnsi="Arial"/>
          <w:sz w:val="18"/>
          <w:szCs w:val="18"/>
          <w:color w:val="auto"/>
        </w:rPr>
        <w:t>Under this agreement, we borrowed funds each month under a revolving demand note equal to the projected average float balance and invested those funds in certain permitted investments, including auction rate securities. The custodial funds comprising most of the float balance remained on deposit in bank accounts that meet the requirements of each trust. The terms of the investment line required that we sell the investments and repay the associated borrowings prior to the end of each quarter.</w:t>
      </w:r>
    </w:p>
    <w:p>
      <w:pPr>
        <w:spacing w:after="0" w:line="197" w:lineRule="exact"/>
        <w:rPr>
          <w:sz w:val="20"/>
          <w:szCs w:val="20"/>
          <w:color w:val="auto"/>
        </w:rPr>
      </w:pPr>
    </w:p>
    <w:p>
      <w:pPr>
        <w:ind w:right="280" w:firstLine="429"/>
        <w:spacing w:after="0" w:line="305" w:lineRule="auto"/>
        <w:rPr>
          <w:sz w:val="20"/>
          <w:szCs w:val="20"/>
          <w:color w:val="auto"/>
        </w:rPr>
      </w:pPr>
      <w:r>
        <w:rPr>
          <w:rFonts w:ascii="Arial" w:cs="Arial" w:eastAsia="Arial" w:hAnsi="Arial"/>
          <w:sz w:val="15"/>
          <w:szCs w:val="15"/>
          <w:color w:val="auto"/>
        </w:rPr>
        <w:t>As a result of failed auctions in the first quarter of 2008, we were unable to liquidate our investment in auction rate securities. On March 28, 2008, we executed an amendment to the investment line that eliminated the requirement that borrowings be repaid at quarter end, increased the annual interest rate from</w:t>
      </w:r>
    </w:p>
    <w:p>
      <w:pPr>
        <w:spacing w:after="0"/>
        <w:rPr>
          <w:sz w:val="20"/>
          <w:szCs w:val="20"/>
          <w:color w:val="auto"/>
        </w:rPr>
      </w:pPr>
      <w:r>
        <w:rPr>
          <w:rFonts w:ascii="Arial" w:cs="Arial" w:eastAsia="Arial" w:hAnsi="Arial"/>
          <w:sz w:val="16"/>
          <w:szCs w:val="16"/>
          <w:color w:val="auto"/>
        </w:rPr>
        <w:t>0.1% to 0.35% and limited borrowings to $350,000. We recognized these securities and a corresponding liability on our balance sheet in the first quarter of 2008.</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On June 30, 2008, we executed an extension of this agreement through July 13, 2008.</w:t>
      </w:r>
    </w:p>
    <w:p>
      <w:pPr>
        <w:sectPr>
          <w:pgSz w:w="11900" w:h="16838" w:orient="portrait"/>
          <w:cols w:equalWidth="0" w:num="1">
            <w:col w:w="11420"/>
          </w:cols>
          <w:pgMar w:left="240" w:top="382" w:right="239" w:bottom="1440" w:gutter="0" w:footer="0" w:header="0"/>
        </w:sect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type w:val="continuous"/>
        </w:sectPr>
      </w:pPr>
    </w:p>
    <w:bookmarkStart w:id="26" w:name="page27"/>
    <w:bookmarkEnd w:id="26"/>
    <w:p>
      <w:pPr>
        <w:ind w:right="60" w:firstLine="439"/>
        <w:spacing w:after="0" w:line="294" w:lineRule="auto"/>
        <w:rPr>
          <w:sz w:val="20"/>
          <w:szCs w:val="20"/>
          <w:color w:val="auto"/>
        </w:rPr>
      </w:pPr>
      <w:r>
        <w:rPr>
          <w:rFonts w:ascii="Arial" w:cs="Arial" w:eastAsia="Arial" w:hAnsi="Arial"/>
          <w:sz w:val="16"/>
          <w:szCs w:val="16"/>
          <w:color w:val="auto"/>
        </w:rPr>
        <w:t>On July 10, 2008, in addition to further reducing the borrowing limit under the revolving demand note to $120,000, we executed another amendment to the investment line that created a new term note maturing on June 30, 2009 that was secured by our investment in the auction rate securities. Interest on the term note was 0.35% to the extent that we had available balances on deposit with the lender. For any portion of the outstanding balance of the term note that was in excess of the available balances, the interest rate was 1-month LIBOR plus 35 basis points. In the event that the 0.35% rate did not fairly reflect the cost to the lender in providing the funds, the lender could, with notice, adjust the rate upward to a rate not exceeding 3.35%.</w:t>
      </w:r>
    </w:p>
    <w:p>
      <w:pPr>
        <w:spacing w:after="0" w:line="170" w:lineRule="exact"/>
        <w:rPr>
          <w:sz w:val="20"/>
          <w:szCs w:val="20"/>
          <w:color w:val="auto"/>
        </w:rPr>
      </w:pPr>
    </w:p>
    <w:p>
      <w:pPr>
        <w:ind w:right="160" w:firstLine="436"/>
        <w:spacing w:after="0" w:line="268" w:lineRule="auto"/>
        <w:rPr>
          <w:sz w:val="20"/>
          <w:szCs w:val="20"/>
          <w:color w:val="auto"/>
        </w:rPr>
      </w:pPr>
      <w:r>
        <w:rPr>
          <w:rFonts w:ascii="Arial" w:cs="Arial" w:eastAsia="Arial" w:hAnsi="Arial"/>
          <w:sz w:val="18"/>
          <w:szCs w:val="18"/>
          <w:color w:val="auto"/>
        </w:rPr>
        <w:t>The revolving demand note expired on September 30, 2008. At that time, we repaid the borrowings in full using proceeds received from the liquidation of the investments.</w:t>
      </w:r>
    </w:p>
    <w:p>
      <w:pPr>
        <w:spacing w:after="0" w:line="186" w:lineRule="exact"/>
        <w:rPr>
          <w:sz w:val="20"/>
          <w:szCs w:val="20"/>
          <w:color w:val="auto"/>
        </w:rPr>
      </w:pPr>
    </w:p>
    <w:p>
      <w:pPr>
        <w:ind w:right="160" w:firstLine="439"/>
        <w:spacing w:after="0" w:line="294" w:lineRule="auto"/>
        <w:rPr>
          <w:sz w:val="20"/>
          <w:szCs w:val="20"/>
          <w:color w:val="auto"/>
        </w:rPr>
      </w:pPr>
      <w:r>
        <w:rPr>
          <w:rFonts w:ascii="Arial" w:cs="Arial" w:eastAsia="Arial" w:hAnsi="Arial"/>
          <w:sz w:val="16"/>
          <w:szCs w:val="16"/>
          <w:color w:val="auto"/>
        </w:rPr>
        <w:t>Under the term note, we receive the interest on the auction rate securities while the proceeds from the redemption or sale of auction rate securities are applied to the outstanding balance. If the proceeds are below the then-effective maximum borrowing percentage, we are required to make up the shortfall. On April 30, 2009, we negotiated a one-year extension of the term note maturity to June 30, 2010. This agreement was renewed under terms substantially similar to the previous agreement. However, in lieu of quarterly advance rate reductions, we now make monthly amortization payments of $3,000 per month. During the first nine months of 2009, we made payments totaling $33,551 that reduced the investment line obligation to $167,168.</w:t>
      </w:r>
    </w:p>
    <w:p>
      <w:pPr>
        <w:spacing w:after="0" w:line="177"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Note 16</w:t>
      </w:r>
      <w:r>
        <w:rPr>
          <w:sz w:val="20"/>
          <w:szCs w:val="20"/>
          <w:color w:val="auto"/>
        </w:rPr>
        <w:tab/>
      </w:r>
      <w:r>
        <w:rPr>
          <w:rFonts w:ascii="Arial" w:cs="Arial" w:eastAsia="Arial" w:hAnsi="Arial"/>
          <w:sz w:val="16"/>
          <w:szCs w:val="16"/>
          <w:b w:val="1"/>
          <w:bCs w:val="1"/>
          <w:color w:val="auto"/>
        </w:rPr>
        <w:t>Servicer Liabilities</w:t>
      </w:r>
    </w:p>
    <w:p>
      <w:pPr>
        <w:spacing w:after="0" w:line="231" w:lineRule="exact"/>
        <w:rPr>
          <w:sz w:val="20"/>
          <w:szCs w:val="20"/>
          <w:color w:val="auto"/>
        </w:rPr>
      </w:pPr>
    </w:p>
    <w:p>
      <w:pPr>
        <w:ind w:right="220" w:firstLine="439"/>
        <w:spacing w:after="0" w:line="259" w:lineRule="auto"/>
        <w:rPr>
          <w:sz w:val="20"/>
          <w:szCs w:val="20"/>
          <w:color w:val="auto"/>
        </w:rPr>
      </w:pPr>
      <w:r>
        <w:rPr>
          <w:rFonts w:ascii="Arial" w:cs="Arial" w:eastAsia="Arial" w:hAnsi="Arial"/>
          <w:sz w:val="18"/>
          <w:szCs w:val="18"/>
          <w:color w:val="auto"/>
        </w:rPr>
        <w:t>Servicer liabilities represent amounts we have collected, primarily from residential borrowers, whose loans we service, that will be deposited in custodial accounts and paid directly to an investment trust or refunded to borrowers. The following table sets forth the components of servicer liabilities at the dates indicated: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 w:type="dxa"/>
            <w:vAlign w:val="bottom"/>
          </w:tcPr>
          <w:p>
            <w:pPr>
              <w:spacing w:after="0"/>
              <w:rPr>
                <w:sz w:val="18"/>
                <w:szCs w:val="18"/>
                <w:color w:val="auto"/>
              </w:rPr>
            </w:pPr>
          </w:p>
        </w:tc>
        <w:tc>
          <w:tcPr>
            <w:tcW w:w="6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center"/>
              <w:ind w:right="72"/>
              <w:spacing w:after="0"/>
              <w:rPr>
                <w:sz w:val="20"/>
                <w:szCs w:val="20"/>
                <w:color w:val="auto"/>
              </w:rPr>
            </w:pPr>
            <w:r>
              <w:rPr>
                <w:rFonts w:ascii="Arial" w:cs="Arial" w:eastAsia="Arial" w:hAnsi="Arial"/>
                <w:sz w:val="18"/>
                <w:szCs w:val="18"/>
                <w:b w:val="1"/>
                <w:bCs w:val="1"/>
                <w:color w:val="auto"/>
                <w:w w:val="87"/>
              </w:rPr>
              <w:t>September 30,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center"/>
              <w:ind w:right="112"/>
              <w:spacing w:after="0"/>
              <w:rPr>
                <w:sz w:val="20"/>
                <w:szCs w:val="20"/>
                <w:color w:val="auto"/>
              </w:rPr>
            </w:pPr>
            <w:r>
              <w:rPr>
                <w:rFonts w:ascii="Arial" w:cs="Arial" w:eastAsia="Arial" w:hAnsi="Arial"/>
                <w:sz w:val="18"/>
                <w:szCs w:val="18"/>
                <w:b w:val="1"/>
                <w:bCs w:val="1"/>
                <w:color w:val="auto"/>
                <w:w w:val="88"/>
              </w:rPr>
              <w:t>December 31,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0" w:type="dxa"/>
            <w:vAlign w:val="bottom"/>
          </w:tcPr>
          <w:p>
            <w:pPr>
              <w:spacing w:after="0"/>
              <w:rPr>
                <w:sz w:val="19"/>
                <w:szCs w:val="19"/>
                <w:color w:val="auto"/>
              </w:rPr>
            </w:pPr>
          </w:p>
        </w:tc>
        <w:tc>
          <w:tcPr>
            <w:tcW w:w="69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center"/>
              <w:ind w:right="72"/>
              <w:spacing w:after="0"/>
              <w:rPr>
                <w:sz w:val="20"/>
                <w:szCs w:val="20"/>
                <w:color w:val="auto"/>
              </w:rPr>
            </w:pPr>
            <w:r>
              <w:rPr>
                <w:rFonts w:ascii="Arial" w:cs="Arial" w:eastAsia="Arial" w:hAnsi="Arial"/>
                <w:sz w:val="18"/>
                <w:szCs w:val="18"/>
                <w:b w:val="1"/>
                <w:bCs w:val="1"/>
                <w:color w:val="auto"/>
                <w:w w:val="89"/>
              </w:rPr>
              <w:t>2009</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center"/>
              <w:ind w:right="112"/>
              <w:spacing w:after="0"/>
              <w:rPr>
                <w:sz w:val="20"/>
                <w:szCs w:val="20"/>
                <w:color w:val="auto"/>
              </w:rPr>
            </w:pPr>
            <w:r>
              <w:rPr>
                <w:rFonts w:ascii="Arial" w:cs="Arial" w:eastAsia="Arial" w:hAnsi="Arial"/>
                <w:sz w:val="18"/>
                <w:szCs w:val="18"/>
                <w:b w:val="1"/>
                <w:bCs w:val="1"/>
                <w:color w:val="auto"/>
                <w:w w:val="89"/>
              </w:rPr>
              <w:t>2008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782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Borrower payments due to custodial accounts</w:t>
            </w:r>
          </w:p>
        </w:tc>
        <w:tc>
          <w:tcPr>
            <w:tcW w:w="18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32,944</w:t>
            </w:r>
          </w:p>
        </w:tc>
        <w:tc>
          <w:tcPr>
            <w:tcW w:w="420" w:type="dxa"/>
            <w:vAlign w:val="bottom"/>
            <w:gridSpan w:val="2"/>
            <w:shd w:val="clear" w:color="auto" w:fill="EAF9E8"/>
          </w:tcPr>
          <w:p>
            <w:pPr>
              <w:jc w:val="right"/>
              <w:ind w:right="12"/>
              <w:spacing w:after="0"/>
              <w:rPr>
                <w:sz w:val="20"/>
                <w:szCs w:val="20"/>
                <w:color w:val="auto"/>
              </w:rPr>
            </w:pPr>
            <w:r>
              <w:rPr>
                <w:rFonts w:ascii="Arial" w:cs="Arial" w:eastAsia="Arial" w:hAnsi="Arial"/>
                <w:sz w:val="18"/>
                <w:szCs w:val="18"/>
                <w:color w:val="auto"/>
              </w:rPr>
              <w:t>$</w:t>
            </w:r>
          </w:p>
        </w:tc>
        <w:tc>
          <w:tcPr>
            <w:tcW w:w="14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67,227</w:t>
            </w:r>
          </w:p>
        </w:tc>
        <w:tc>
          <w:tcPr>
            <w:tcW w:w="120" w:type="dxa"/>
            <w:vAlign w:val="bottom"/>
            <w:shd w:val="clear" w:color="auto" w:fill="EAF9E8"/>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7820" w:type="dxa"/>
            <w:vAlign w:val="bottom"/>
            <w:gridSpan w:val="2"/>
          </w:tcPr>
          <w:p>
            <w:pPr>
              <w:spacing w:after="0"/>
              <w:rPr>
                <w:sz w:val="20"/>
                <w:szCs w:val="20"/>
                <w:color w:val="auto"/>
              </w:rPr>
            </w:pPr>
            <w:r>
              <w:rPr>
                <w:rFonts w:ascii="Arial" w:cs="Arial" w:eastAsia="Arial" w:hAnsi="Arial"/>
                <w:sz w:val="18"/>
                <w:szCs w:val="18"/>
                <w:color w:val="auto"/>
              </w:rPr>
              <w:t>Escrow payments due to custodial accounts</w:t>
            </w:r>
          </w:p>
        </w:tc>
        <w:tc>
          <w:tcPr>
            <w:tcW w:w="1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2,540</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5,488</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7820" w:type="dxa"/>
            <w:vAlign w:val="bottom"/>
            <w:tcBorders>
              <w:bottom w:val="single" w:sz="8" w:color="EAF9E8"/>
            </w:tcBorders>
            <w:gridSpan w:val="2"/>
            <w:shd w:val="clear" w:color="auto" w:fill="EAF9E8"/>
          </w:tcPr>
          <w:p>
            <w:pPr>
              <w:spacing w:after="0"/>
              <w:rPr>
                <w:sz w:val="20"/>
                <w:szCs w:val="20"/>
                <w:color w:val="auto"/>
              </w:rPr>
            </w:pPr>
            <w:r>
              <w:rPr>
                <w:rFonts w:ascii="Arial" w:cs="Arial" w:eastAsia="Arial" w:hAnsi="Arial"/>
                <w:sz w:val="18"/>
                <w:szCs w:val="18"/>
                <w:color w:val="auto"/>
              </w:rPr>
              <w:t>Partial payments and other unapplied balances</w:t>
            </w:r>
          </w:p>
        </w:tc>
        <w:tc>
          <w:tcPr>
            <w:tcW w:w="180" w:type="dxa"/>
            <w:vAlign w:val="bottom"/>
            <w:tcBorders>
              <w:bottom w:val="single" w:sz="8" w:color="auto"/>
            </w:tcBorders>
            <w:shd w:val="clear" w:color="auto" w:fill="EAF9E8"/>
          </w:tcPr>
          <w:p>
            <w:pPr>
              <w:spacing w:after="0"/>
              <w:rPr>
                <w:sz w:val="21"/>
                <w:szCs w:val="21"/>
                <w:color w:val="auto"/>
              </w:rPr>
            </w:pPr>
          </w:p>
        </w:tc>
        <w:tc>
          <w:tcPr>
            <w:tcW w:w="14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23,973</w:t>
            </w:r>
          </w:p>
        </w:tc>
        <w:tc>
          <w:tcPr>
            <w:tcW w:w="22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auto"/>
            </w:tcBorders>
            <w:shd w:val="clear" w:color="auto" w:fill="EAF9E8"/>
          </w:tcPr>
          <w:p>
            <w:pPr>
              <w:spacing w:after="0"/>
              <w:rPr>
                <w:sz w:val="21"/>
                <w:szCs w:val="21"/>
                <w:color w:val="auto"/>
              </w:rPr>
            </w:pPr>
          </w:p>
        </w:tc>
        <w:tc>
          <w:tcPr>
            <w:tcW w:w="14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63,036</w:t>
            </w:r>
          </w:p>
        </w:tc>
        <w:tc>
          <w:tcPr>
            <w:tcW w:w="12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860" w:type="dxa"/>
            <w:vAlign w:val="bottom"/>
          </w:tcPr>
          <w:p>
            <w:pPr>
              <w:spacing w:after="0"/>
              <w:rPr>
                <w:sz w:val="18"/>
                <w:szCs w:val="18"/>
                <w:color w:val="auto"/>
              </w:rPr>
            </w:pPr>
          </w:p>
        </w:tc>
        <w:tc>
          <w:tcPr>
            <w:tcW w:w="69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59,457</w:t>
            </w:r>
          </w:p>
        </w:tc>
        <w:tc>
          <w:tcPr>
            <w:tcW w:w="42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135,751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 w:type="dxa"/>
            <w:vAlign w:val="bottom"/>
            <w:vMerge w:val="restart"/>
          </w:tcPr>
          <w:p>
            <w:pPr>
              <w:spacing w:after="0"/>
              <w:rPr>
                <w:sz w:val="20"/>
                <w:szCs w:val="20"/>
                <w:color w:val="auto"/>
              </w:rPr>
            </w:pPr>
            <w:r>
              <w:rPr>
                <w:rFonts w:ascii="Arial" w:cs="Arial" w:eastAsia="Arial" w:hAnsi="Arial"/>
                <w:sz w:val="18"/>
                <w:szCs w:val="18"/>
                <w:b w:val="1"/>
                <w:bCs w:val="1"/>
                <w:color w:val="auto"/>
              </w:rPr>
              <w:t>Note 17</w:t>
            </w:r>
          </w:p>
        </w:tc>
        <w:tc>
          <w:tcPr>
            <w:tcW w:w="6960" w:type="dxa"/>
            <w:vAlign w:val="bottom"/>
            <w:vMerge w:val="restart"/>
          </w:tcPr>
          <w:p>
            <w:pPr>
              <w:ind w:left="300"/>
              <w:spacing w:after="0"/>
              <w:rPr>
                <w:sz w:val="20"/>
                <w:szCs w:val="20"/>
                <w:color w:val="auto"/>
              </w:rPr>
            </w:pPr>
            <w:r>
              <w:rPr>
                <w:rFonts w:ascii="Arial" w:cs="Arial" w:eastAsia="Arial" w:hAnsi="Arial"/>
                <w:sz w:val="18"/>
                <w:szCs w:val="18"/>
                <w:b w:val="1"/>
                <w:bCs w:val="1"/>
                <w:color w:val="auto"/>
              </w:rPr>
              <w:t>Debt Securities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860" w:type="dxa"/>
            <w:vAlign w:val="bottom"/>
            <w:vMerge w:val="continue"/>
          </w:tcPr>
          <w:p>
            <w:pPr>
              <w:spacing w:after="0"/>
              <w:rPr>
                <w:sz w:val="24"/>
                <w:szCs w:val="24"/>
                <w:color w:val="auto"/>
              </w:rPr>
            </w:pPr>
          </w:p>
        </w:tc>
        <w:tc>
          <w:tcPr>
            <w:tcW w:w="69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820" w:type="dxa"/>
            <w:vAlign w:val="bottom"/>
            <w:gridSpan w:val="2"/>
          </w:tcPr>
          <w:p>
            <w:pPr>
              <w:ind w:left="440"/>
              <w:spacing w:after="0"/>
              <w:rPr>
                <w:sz w:val="20"/>
                <w:szCs w:val="20"/>
                <w:color w:val="auto"/>
              </w:rPr>
            </w:pPr>
            <w:r>
              <w:rPr>
                <w:rFonts w:ascii="Arial" w:cs="Arial" w:eastAsia="Arial" w:hAnsi="Arial"/>
                <w:sz w:val="18"/>
                <w:szCs w:val="18"/>
                <w:color w:val="auto"/>
              </w:rPr>
              <w:t>Our debt securities consisted of the following at the dates indicated:</w:t>
            </w: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86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jc w:val="center"/>
              <w:ind w:right="72"/>
              <w:spacing w:after="0"/>
              <w:rPr>
                <w:sz w:val="20"/>
                <w:szCs w:val="20"/>
                <w:color w:val="auto"/>
              </w:rPr>
            </w:pPr>
            <w:r>
              <w:rPr>
                <w:rFonts w:ascii="Arial" w:cs="Arial" w:eastAsia="Arial" w:hAnsi="Arial"/>
                <w:sz w:val="18"/>
                <w:szCs w:val="18"/>
                <w:b w:val="1"/>
                <w:bCs w:val="1"/>
                <w:color w:val="auto"/>
                <w:w w:val="87"/>
              </w:rPr>
              <w:t>September 30,</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jc w:val="center"/>
              <w:ind w:right="112"/>
              <w:spacing w:after="0"/>
              <w:rPr>
                <w:sz w:val="20"/>
                <w:szCs w:val="20"/>
                <w:color w:val="auto"/>
              </w:rPr>
            </w:pPr>
            <w:r>
              <w:rPr>
                <w:rFonts w:ascii="Arial" w:cs="Arial" w:eastAsia="Arial" w:hAnsi="Arial"/>
                <w:sz w:val="18"/>
                <w:szCs w:val="18"/>
                <w:b w:val="1"/>
                <w:bCs w:val="1"/>
                <w:color w:val="auto"/>
                <w:w w:val="88"/>
              </w:rPr>
              <w:t>December 31,</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860" w:type="dxa"/>
            <w:vAlign w:val="bottom"/>
          </w:tcPr>
          <w:p>
            <w:pPr>
              <w:spacing w:after="0"/>
              <w:rPr>
                <w:sz w:val="19"/>
                <w:szCs w:val="19"/>
                <w:color w:val="auto"/>
              </w:rPr>
            </w:pPr>
          </w:p>
        </w:tc>
        <w:tc>
          <w:tcPr>
            <w:tcW w:w="69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center"/>
              <w:ind w:right="72"/>
              <w:spacing w:after="0"/>
              <w:rPr>
                <w:sz w:val="20"/>
                <w:szCs w:val="20"/>
                <w:color w:val="auto"/>
              </w:rPr>
            </w:pPr>
            <w:r>
              <w:rPr>
                <w:rFonts w:ascii="Arial" w:cs="Arial" w:eastAsia="Arial" w:hAnsi="Arial"/>
                <w:sz w:val="18"/>
                <w:szCs w:val="18"/>
                <w:b w:val="1"/>
                <w:bCs w:val="1"/>
                <w:color w:val="auto"/>
                <w:w w:val="89"/>
              </w:rPr>
              <w:t>2009</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center"/>
              <w:ind w:right="112"/>
              <w:spacing w:after="0"/>
              <w:rPr>
                <w:sz w:val="20"/>
                <w:szCs w:val="20"/>
                <w:color w:val="auto"/>
              </w:rPr>
            </w:pPr>
            <w:r>
              <w:rPr>
                <w:rFonts w:ascii="Arial" w:cs="Arial" w:eastAsia="Arial" w:hAnsi="Arial"/>
                <w:sz w:val="18"/>
                <w:szCs w:val="18"/>
                <w:b w:val="1"/>
                <w:bCs w:val="1"/>
                <w:color w:val="auto"/>
                <w:w w:val="89"/>
              </w:rPr>
              <w:t>2008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782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3.25% Contingent Convertible Unsecured Senior Notes due August 1, 2024</w:t>
            </w:r>
          </w:p>
        </w:tc>
        <w:tc>
          <w:tcPr>
            <w:tcW w:w="18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56,435</w:t>
            </w:r>
          </w:p>
        </w:tc>
        <w:tc>
          <w:tcPr>
            <w:tcW w:w="420" w:type="dxa"/>
            <w:vAlign w:val="bottom"/>
            <w:gridSpan w:val="2"/>
            <w:shd w:val="clear" w:color="auto" w:fill="EAF9E8"/>
          </w:tcPr>
          <w:p>
            <w:pPr>
              <w:jc w:val="right"/>
              <w:ind w:right="12"/>
              <w:spacing w:after="0"/>
              <w:rPr>
                <w:sz w:val="20"/>
                <w:szCs w:val="20"/>
                <w:color w:val="auto"/>
              </w:rPr>
            </w:pPr>
            <w:r>
              <w:rPr>
                <w:rFonts w:ascii="Arial" w:cs="Arial" w:eastAsia="Arial" w:hAnsi="Arial"/>
                <w:sz w:val="18"/>
                <w:szCs w:val="18"/>
                <w:color w:val="auto"/>
              </w:rPr>
              <w:t>$</w:t>
            </w:r>
          </w:p>
        </w:tc>
        <w:tc>
          <w:tcPr>
            <w:tcW w:w="14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79,988</w:t>
            </w:r>
          </w:p>
        </w:tc>
        <w:tc>
          <w:tcPr>
            <w:tcW w:w="120" w:type="dxa"/>
            <w:vAlign w:val="bottom"/>
            <w:shd w:val="clear" w:color="auto" w:fill="EAF9E8"/>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820" w:type="dxa"/>
            <w:vAlign w:val="bottom"/>
            <w:gridSpan w:val="2"/>
          </w:tcPr>
          <w:p>
            <w:pPr>
              <w:spacing w:after="0"/>
              <w:rPr>
                <w:sz w:val="20"/>
                <w:szCs w:val="20"/>
                <w:color w:val="auto"/>
              </w:rPr>
            </w:pPr>
            <w:r>
              <w:rPr>
                <w:rFonts w:ascii="Arial" w:cs="Arial" w:eastAsia="Arial" w:hAnsi="Arial"/>
                <w:sz w:val="18"/>
                <w:szCs w:val="18"/>
                <w:color w:val="auto"/>
              </w:rPr>
              <w:t>10.875% Capital Trust Securities due August 1, 2027</w:t>
            </w:r>
          </w:p>
        </w:tc>
        <w:tc>
          <w:tcPr>
            <w:tcW w:w="18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53,379</w:t>
            </w:r>
          </w:p>
        </w:tc>
        <w:tc>
          <w:tcPr>
            <w:tcW w:w="2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53,379</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60" w:type="dxa"/>
            <w:vAlign w:val="bottom"/>
            <w:tcBorders>
              <w:bottom w:val="single" w:sz="8" w:color="EAF9E8"/>
            </w:tcBorders>
            <w:shd w:val="clear" w:color="auto" w:fill="EAF9E8"/>
          </w:tcPr>
          <w:p>
            <w:pPr>
              <w:spacing w:after="0"/>
              <w:rPr>
                <w:sz w:val="21"/>
                <w:szCs w:val="21"/>
                <w:color w:val="auto"/>
              </w:rPr>
            </w:pPr>
          </w:p>
        </w:tc>
        <w:tc>
          <w:tcPr>
            <w:tcW w:w="696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109,814</w:t>
            </w:r>
          </w:p>
        </w:tc>
        <w:tc>
          <w:tcPr>
            <w:tcW w:w="22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auto"/>
            </w:tcBorders>
            <w:shd w:val="clear" w:color="auto" w:fill="EAF9E8"/>
          </w:tcPr>
          <w:p>
            <w:pPr>
              <w:jc w:val="right"/>
              <w:ind w:right="12"/>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133,367</w:t>
            </w:r>
          </w:p>
        </w:tc>
        <w:tc>
          <w:tcPr>
            <w:tcW w:w="12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320" w:firstLine="439"/>
        <w:spacing w:after="0" w:line="259" w:lineRule="auto"/>
        <w:rPr>
          <w:sz w:val="20"/>
          <w:szCs w:val="20"/>
          <w:color w:val="auto"/>
        </w:rPr>
      </w:pPr>
      <w:r>
        <w:rPr>
          <w:rFonts w:ascii="Arial" w:cs="Arial" w:eastAsia="Arial" w:hAnsi="Arial"/>
          <w:sz w:val="18"/>
          <w:szCs w:val="18"/>
          <w:color w:val="auto"/>
        </w:rPr>
        <w:t>Each of our debt securities contain qualitative and quantitative covenants that establish, among other things, the maintenance of specified net worth and restrictions on future indebtedness as well as the monitoring and reporting of various specified transactions or events. We believe that we are currently in compliance with these covenants.</w:t>
      </w:r>
    </w:p>
    <w:p>
      <w:pPr>
        <w:spacing w:after="0" w:line="194" w:lineRule="exact"/>
        <w:rPr>
          <w:sz w:val="20"/>
          <w:szCs w:val="20"/>
          <w:color w:val="auto"/>
        </w:rPr>
      </w:pPr>
    </w:p>
    <w:p>
      <w:pPr>
        <w:ind w:right="80" w:firstLine="439"/>
        <w:spacing w:after="0" w:line="255" w:lineRule="auto"/>
        <w:rPr>
          <w:sz w:val="20"/>
          <w:szCs w:val="20"/>
          <w:color w:val="auto"/>
        </w:rPr>
      </w:pPr>
      <w:r>
        <w:rPr>
          <w:rFonts w:ascii="Arial" w:cs="Arial" w:eastAsia="Arial" w:hAnsi="Arial"/>
          <w:sz w:val="18"/>
          <w:szCs w:val="18"/>
          <w:i w:val="1"/>
          <w:iCs w:val="1"/>
          <w:color w:val="auto"/>
        </w:rPr>
        <w:t xml:space="preserve">Convertible Notes. </w:t>
      </w:r>
      <w:r>
        <w:rPr>
          <w:rFonts w:ascii="Arial" w:cs="Arial" w:eastAsia="Arial" w:hAnsi="Arial"/>
          <w:sz w:val="18"/>
          <w:szCs w:val="18"/>
          <w:color w:val="auto"/>
        </w:rPr>
        <w:t>In July 2004, OCN issued $175,000 aggregate principal amount of 3.25% Contingent Convertible Unsecured Senior Notes due 2024</w:t>
      </w:r>
      <w:r>
        <w:rPr>
          <w:rFonts w:ascii="Arial" w:cs="Arial" w:eastAsia="Arial" w:hAnsi="Arial"/>
          <w:sz w:val="18"/>
          <w:szCs w:val="18"/>
          <w:i w:val="1"/>
          <w:iCs w:val="1"/>
          <w:color w:val="auto"/>
        </w:rPr>
        <w:t xml:space="preserve"> </w:t>
      </w:r>
      <w:r>
        <w:rPr>
          <w:rFonts w:ascii="Arial" w:cs="Arial" w:eastAsia="Arial" w:hAnsi="Arial"/>
          <w:sz w:val="18"/>
          <w:szCs w:val="18"/>
          <w:color w:val="auto"/>
        </w:rPr>
        <w:t>(the Convertible Notes). The Convertible Notes are senior general unsecured obligations not guaranteed by any of our subsidiaries and bear interest at the rate of 3.25% per year. Interest is payable on February 1 and August 1 of each year. The Convertible Notes mature on August 1, 2024. We recognized a discount on the Convertible Notes. We amortized the debt discount over the period from the date of issuance to August 1, 2009, the first date at which holders could require us to repurchase their notes.</w:t>
      </w:r>
    </w:p>
    <w:p>
      <w:pPr>
        <w:spacing w:after="0" w:line="197" w:lineRule="exact"/>
        <w:rPr>
          <w:sz w:val="20"/>
          <w:szCs w:val="20"/>
          <w:color w:val="auto"/>
        </w:rPr>
      </w:pPr>
    </w:p>
    <w:p>
      <w:pPr>
        <w:ind w:right="20" w:firstLine="436"/>
        <w:spacing w:after="0" w:line="256" w:lineRule="auto"/>
        <w:rPr>
          <w:sz w:val="20"/>
          <w:szCs w:val="20"/>
          <w:color w:val="auto"/>
        </w:rPr>
      </w:pPr>
      <w:r>
        <w:rPr>
          <w:rFonts w:ascii="Arial" w:cs="Arial" w:eastAsia="Arial" w:hAnsi="Arial"/>
          <w:sz w:val="18"/>
          <w:szCs w:val="18"/>
          <w:color w:val="auto"/>
        </w:rPr>
        <w:t>The principal outstanding on December 31, 2008 of $82,355 is reported net of the unamortized debt discount of $2,367. Interest expense on the Convertible Notes for the first nine months of 2009 and 2008, respectively, includes amortization of debt discount of $1,735 and $2,918 and cash interest expense at the contractual rate of $1,489 and $2,155. We recognized interest on the debt at an effective annual rate of 8.25% over the period from the date of issuance to August 1, 2009.</w:t>
      </w:r>
    </w:p>
    <w:p>
      <w:pPr>
        <w:spacing w:after="0" w:line="197" w:lineRule="exact"/>
        <w:rPr>
          <w:sz w:val="20"/>
          <w:szCs w:val="20"/>
          <w:color w:val="auto"/>
        </w:rPr>
      </w:pPr>
    </w:p>
    <w:p>
      <w:pPr>
        <w:ind w:right="600" w:firstLine="483"/>
        <w:spacing w:after="0" w:line="332" w:lineRule="auto"/>
        <w:rPr>
          <w:sz w:val="20"/>
          <w:szCs w:val="20"/>
          <w:color w:val="auto"/>
        </w:rPr>
      </w:pPr>
      <w:r>
        <w:rPr>
          <w:rFonts w:ascii="Arial" w:cs="Arial" w:eastAsia="Arial" w:hAnsi="Arial"/>
          <w:sz w:val="16"/>
          <w:szCs w:val="16"/>
          <w:color w:val="auto"/>
        </w:rPr>
        <w:t>In February 2009, we repurchased $25,910 of our 3.25% Convertible Notes in the open market at a price equal to 95% of the principal amount. We recognized a gain of $534 on these repurchases, net of the write-off of unamortized issuance costs and debt discount.</w:t>
      </w:r>
    </w:p>
    <w:p>
      <w:pPr>
        <w:spacing w:after="0" w:line="139" w:lineRule="exact"/>
        <w:rPr>
          <w:sz w:val="20"/>
          <w:szCs w:val="20"/>
          <w:color w:val="auto"/>
        </w:rPr>
      </w:pPr>
    </w:p>
    <w:p>
      <w:pPr>
        <w:ind w:right="20" w:firstLine="439"/>
        <w:spacing w:after="0" w:line="290" w:lineRule="auto"/>
        <w:rPr>
          <w:sz w:val="20"/>
          <w:szCs w:val="20"/>
          <w:color w:val="auto"/>
        </w:rPr>
      </w:pPr>
      <w:r>
        <w:rPr>
          <w:rFonts w:ascii="Arial" w:cs="Arial" w:eastAsia="Arial" w:hAnsi="Arial"/>
          <w:sz w:val="16"/>
          <w:szCs w:val="16"/>
          <w:color w:val="auto"/>
        </w:rPr>
        <w:t>Holders may convert all or a portion of their notes into shares of our common stock under the following circumstances: (1) at any time during any calendar quarter (and only during such calendar quarter) if the closing sale price of our common stock for at least 20 consecutive trading days in a period of 30 consecutive trading days ending on the last trading day of the preceding calendar quarter is greater than 125% of the conversion price per share of common stock on such last day; (2) subject to certain exceptions, during the five business day period after any five-consecutive-trading-day period in which the trading price per $1,000 (actual dollars) principal amount of the notes for each day of the five-consecutive-trading-day period was less than 98% of the product of the closing sale price of our common stock and the number of shares issuable upon conversion of $1,000 (actual dollars) principal amount of the notes; (3) if the notes have been called for redemption; or (4) upon the occurrence of specified corporate transactions.</w:t>
      </w:r>
    </w:p>
    <w:p>
      <w:pPr>
        <w:sectPr>
          <w:pgSz w:w="11900" w:h="16838" w:orient="portrait"/>
          <w:cols w:equalWidth="0" w:num="1">
            <w:col w:w="11420"/>
          </w:cols>
          <w:pgMar w:left="240" w:top="131" w:right="239" w:bottom="1440" w:gutter="0" w:footer="0" w:header="0"/>
        </w:sectPr>
      </w:pP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27" w:name="page28"/>
    <w:bookmarkEnd w:id="27"/>
    <w:p>
      <w:pPr>
        <w:ind w:right="160" w:firstLine="436"/>
        <w:spacing w:after="0" w:line="298" w:lineRule="auto"/>
        <w:rPr>
          <w:sz w:val="20"/>
          <w:szCs w:val="20"/>
          <w:color w:val="auto"/>
        </w:rPr>
      </w:pPr>
      <w:r>
        <w:rPr>
          <w:rFonts w:ascii="Arial" w:cs="Arial" w:eastAsia="Arial" w:hAnsi="Arial"/>
          <w:sz w:val="16"/>
          <w:szCs w:val="16"/>
          <w:color w:val="auto"/>
        </w:rPr>
        <w:t>The conversion rate is 82.1693 shares of our common stock per $1,000 (actual dollars) principal amount of the notes, subject to adjustment. Events that may cause the conversion rate to be adjusted primarily relate to cash dividends or other distributions to holders of our common stock. Upon conversion, we may at our option choose to deliver, in lieu of our common stock, cash or a combination of cash and common stock. At September 30, 2009 and December 31, 2008, the if-converted value of the Convertible Notes was $52,493 and $62,106 respectively.</w:t>
      </w:r>
    </w:p>
    <w:p>
      <w:pPr>
        <w:spacing w:after="0" w:line="167" w:lineRule="exact"/>
        <w:rPr>
          <w:sz w:val="20"/>
          <w:szCs w:val="20"/>
          <w:color w:val="auto"/>
        </w:rPr>
      </w:pPr>
    </w:p>
    <w:p>
      <w:pPr>
        <w:ind w:right="20" w:firstLine="439"/>
        <w:spacing w:after="0" w:line="294" w:lineRule="auto"/>
        <w:rPr>
          <w:sz w:val="20"/>
          <w:szCs w:val="20"/>
          <w:color w:val="auto"/>
        </w:rPr>
      </w:pPr>
      <w:r>
        <w:rPr>
          <w:rFonts w:ascii="Arial" w:cs="Arial" w:eastAsia="Arial" w:hAnsi="Arial"/>
          <w:sz w:val="16"/>
          <w:szCs w:val="16"/>
          <w:color w:val="auto"/>
        </w:rPr>
        <w:t>On June 26, 2009, we provided notice to holders of the Convertible Notes of their right to request that we repurchase all or a portion of their notes for cash on August 3, 2009 at a redemption price equal to 100% of the principal amount of the notes to be redeemed plus accrued and unpaid interest, if any. There were no material redemptions on August 3, 2009. Holders that did not choose to exercise their repurchase right on August 3, 2009 will receive the same right to request that we repurchase all or a portion of their notes for cash on August 1, 2014 and August 1, 2019. A similar right is also available to holders of the Convertible Notes in the event of a “fundamental change.” A “fundamental change” is a change of control or a termination of trading in our common stock.</w:t>
      </w:r>
    </w:p>
    <w:p>
      <w:pPr>
        <w:spacing w:after="0" w:line="170" w:lineRule="exact"/>
        <w:rPr>
          <w:sz w:val="20"/>
          <w:szCs w:val="20"/>
          <w:color w:val="auto"/>
        </w:rPr>
      </w:pPr>
    </w:p>
    <w:p>
      <w:pPr>
        <w:ind w:right="600" w:firstLine="439"/>
        <w:spacing w:after="0" w:line="268" w:lineRule="auto"/>
        <w:rPr>
          <w:sz w:val="20"/>
          <w:szCs w:val="20"/>
          <w:color w:val="auto"/>
        </w:rPr>
      </w:pPr>
      <w:r>
        <w:rPr>
          <w:rFonts w:ascii="Arial" w:cs="Arial" w:eastAsia="Arial" w:hAnsi="Arial"/>
          <w:sz w:val="18"/>
          <w:szCs w:val="18"/>
          <w:color w:val="auto"/>
        </w:rPr>
        <w:t>Beginning August 1, 2009, we may redeem all or a portion of the notes for cash for a price equal to 100% of the principal amount of the notes to be redeemed plus accrued and unpaid interest, if any.</w:t>
      </w:r>
    </w:p>
    <w:p>
      <w:pPr>
        <w:spacing w:after="0" w:line="186" w:lineRule="exact"/>
        <w:rPr>
          <w:sz w:val="20"/>
          <w:szCs w:val="20"/>
          <w:color w:val="auto"/>
        </w:rPr>
      </w:pPr>
    </w:p>
    <w:p>
      <w:pPr>
        <w:ind w:right="200" w:firstLine="439"/>
        <w:spacing w:after="0" w:line="298" w:lineRule="auto"/>
        <w:rPr>
          <w:sz w:val="20"/>
          <w:szCs w:val="20"/>
          <w:color w:val="auto"/>
        </w:rPr>
      </w:pPr>
      <w:r>
        <w:rPr>
          <w:rFonts w:ascii="Arial" w:cs="Arial" w:eastAsia="Arial" w:hAnsi="Arial"/>
          <w:sz w:val="16"/>
          <w:szCs w:val="16"/>
          <w:color w:val="auto"/>
        </w:rPr>
        <w:t>On July 23, 2009, we provided notice that all holders of the Convertible Notes as of the close of business on August 4, 2009 would participate in the distribution of Altisource shares based on the conversion ratio of the Convertible Notes, consistent with the pro rata distribution ratio of one share of Altisource common stock for every three shares of OCN common stock, without conversion of the Convertible Notes into common shares of OCN. Accordingly, upon the Separation of Altisource and OCN, there were no adjustments to the conversion ratio of the Convertible Notes.</w:t>
      </w:r>
    </w:p>
    <w:p>
      <w:pPr>
        <w:spacing w:after="0" w:line="167" w:lineRule="exact"/>
        <w:rPr>
          <w:sz w:val="20"/>
          <w:szCs w:val="20"/>
          <w:color w:val="auto"/>
        </w:rPr>
      </w:pPr>
    </w:p>
    <w:p>
      <w:pPr>
        <w:ind w:right="140" w:firstLine="439"/>
        <w:spacing w:after="0" w:line="335" w:lineRule="auto"/>
        <w:rPr>
          <w:sz w:val="20"/>
          <w:szCs w:val="20"/>
          <w:color w:val="auto"/>
        </w:rPr>
      </w:pPr>
      <w:r>
        <w:rPr>
          <w:rFonts w:ascii="Arial" w:cs="Arial" w:eastAsia="Arial" w:hAnsi="Arial"/>
          <w:sz w:val="15"/>
          <w:szCs w:val="15"/>
          <w:i w:val="1"/>
          <w:iCs w:val="1"/>
          <w:color w:val="auto"/>
        </w:rPr>
        <w:t>Capital Trust Securities</w:t>
      </w:r>
      <w:r>
        <w:rPr>
          <w:rFonts w:ascii="Arial" w:cs="Arial" w:eastAsia="Arial" w:hAnsi="Arial"/>
          <w:sz w:val="15"/>
          <w:szCs w:val="15"/>
          <w:color w:val="auto"/>
        </w:rPr>
        <w:t>. In August 1997, Ocwen Capital Trust (OCT) issued $125,000 of 10.875% Capital Securities (the Capital Trust Securities). OCT</w:t>
      </w:r>
      <w:r>
        <w:rPr>
          <w:rFonts w:ascii="Arial" w:cs="Arial" w:eastAsia="Arial" w:hAnsi="Arial"/>
          <w:sz w:val="15"/>
          <w:szCs w:val="15"/>
          <w:i w:val="1"/>
          <w:iCs w:val="1"/>
          <w:color w:val="auto"/>
        </w:rPr>
        <w:t xml:space="preserve"> </w:t>
      </w:r>
      <w:r>
        <w:rPr>
          <w:rFonts w:ascii="Arial" w:cs="Arial" w:eastAsia="Arial" w:hAnsi="Arial"/>
          <w:sz w:val="15"/>
          <w:szCs w:val="15"/>
          <w:color w:val="auto"/>
        </w:rPr>
        <w:t>invested the proceeds from issuance of the Capital Trust Securities in 10.875% Junior Subordinated Debentures issued by OCN. The Junior Subordinated Debentures, which represent the sole assets of OCT, will mature on August 1, 2027. For financial reporting purposes, we treat OCT as a consolidated subsidiary.</w:t>
      </w:r>
    </w:p>
    <w:p>
      <w:pPr>
        <w:spacing w:after="0" w:line="142" w:lineRule="exact"/>
        <w:rPr>
          <w:sz w:val="20"/>
          <w:szCs w:val="20"/>
          <w:color w:val="auto"/>
        </w:rPr>
      </w:pPr>
    </w:p>
    <w:p>
      <w:pPr>
        <w:ind w:right="20" w:firstLine="439"/>
        <w:spacing w:after="0" w:line="254" w:lineRule="auto"/>
        <w:rPr>
          <w:sz w:val="20"/>
          <w:szCs w:val="20"/>
          <w:color w:val="auto"/>
        </w:rPr>
      </w:pPr>
      <w:r>
        <w:rPr>
          <w:rFonts w:ascii="Arial" w:cs="Arial" w:eastAsia="Arial" w:hAnsi="Arial"/>
          <w:sz w:val="18"/>
          <w:szCs w:val="18"/>
          <w:color w:val="auto"/>
        </w:rPr>
        <w:t>Holders of the Capital Trust Securities are entitled to receive cumulative cash distributions accruing from the date of original issuance and payable semiannually in arrears on February 1 and August 1 of each year at an annual rate of 10.875% of the liquidation amount of $1,000 (actual dollars) per Capital Security. OCN guarantees payment of distributions out of moneys held by OCT and payments on liquidation of OCT or the redemption of Capital Trust Securities to the extent OCT has funds available. If OCN does not make principal or interest payments on the Junior Subordinated Debentures, OCT will not have sufficient funds to make distributions on the Capital Trust Securities in which event the guarantee shall not apply to such distributions until OCT has sufficient funds available.</w:t>
      </w:r>
    </w:p>
    <w:p>
      <w:pPr>
        <w:spacing w:after="0" w:line="198" w:lineRule="exact"/>
        <w:rPr>
          <w:sz w:val="20"/>
          <w:szCs w:val="20"/>
          <w:color w:val="auto"/>
        </w:rPr>
      </w:pPr>
    </w:p>
    <w:p>
      <w:pPr>
        <w:ind w:firstLine="436"/>
        <w:spacing w:after="0" w:line="288" w:lineRule="auto"/>
        <w:rPr>
          <w:sz w:val="20"/>
          <w:szCs w:val="20"/>
          <w:color w:val="auto"/>
        </w:rPr>
      </w:pPr>
      <w:r>
        <w:rPr>
          <w:rFonts w:ascii="Arial" w:cs="Arial" w:eastAsia="Arial" w:hAnsi="Arial"/>
          <w:sz w:val="16"/>
          <w:szCs w:val="16"/>
          <w:color w:val="auto"/>
        </w:rPr>
        <w:t>We have the right to defer payment of interest on the Junior Subordinated Debentures at any time or from time to time for a period not exceeding 10 consecutive semiannual periods with respect to each deferral period provided that no extension period may extend beyond the stated maturity of the Junior Subordinated Debentures. Upon the termination of any such extension period and the payment of all amounts then due on any interest payment date, we may elect to begin a new extension period. Accordingly, there could be multiple extension periods of varying lengths throughout the term of the Junior Subordinated Debentures. If we defer interest payments on the Junior Subordinated Debentures, distributions on the Capital Trust Securities will also be deferred, and we may not, nor may any of our subsidiaries, (i) declare or pay any dividends or distributions on, or redeem, purchase, acquire, or make a liquidation payment with respect to, their capital stock or (ii) make any payment of principal, interest or premium, if any, on or repay, repurchase or redeem any debt securities that rank pari passu with or junior to the Junior Subordinated Debentures. During an extension period, interest on the Junior Subordinated Debentures will continue to accrue at the rate of 10.875% per annum, compounded semiannually.</w:t>
      </w:r>
    </w:p>
    <w:p>
      <w:pPr>
        <w:spacing w:after="0" w:line="174" w:lineRule="exact"/>
        <w:rPr>
          <w:sz w:val="20"/>
          <w:szCs w:val="20"/>
          <w:color w:val="auto"/>
        </w:rPr>
      </w:pPr>
    </w:p>
    <w:p>
      <w:pPr>
        <w:ind w:right="40" w:firstLine="436"/>
        <w:spacing w:after="0" w:line="259" w:lineRule="auto"/>
        <w:rPr>
          <w:sz w:val="20"/>
          <w:szCs w:val="20"/>
          <w:color w:val="auto"/>
        </w:rPr>
      </w:pPr>
      <w:r>
        <w:rPr>
          <w:rFonts w:ascii="Arial" w:cs="Arial" w:eastAsia="Arial" w:hAnsi="Arial"/>
          <w:sz w:val="18"/>
          <w:szCs w:val="18"/>
          <w:color w:val="auto"/>
        </w:rPr>
        <w:t>We may redeem the Junior Subordinated Debentures before maturity at our option subject to the receipt of any necessary prior regulatory approval, in whole or in part at the redemption prices (expressed as a percentage of the principal amount) set forth below, plus accrued interest thereon, if redeemed during the twelve-month period beginning on August 1 of the years indicated below:</w:t>
      </w:r>
    </w:p>
    <w:p>
      <w:pPr>
        <w:spacing w:after="0" w:line="215" w:lineRule="exact"/>
        <w:rPr>
          <w:sz w:val="20"/>
          <w:szCs w:val="20"/>
          <w:color w:val="auto"/>
        </w:rPr>
      </w:pPr>
    </w:p>
    <w:tbl>
      <w:tblPr>
        <w:tblLayout w:type="fixed"/>
        <w:tblInd w:w="580" w:type="dxa"/>
        <w:tblCellMar>
          <w:top w:w="0" w:type="dxa"/>
          <w:left w:w="0" w:type="dxa"/>
          <w:bottom w:w="0" w:type="dxa"/>
          <w:right w:w="0" w:type="dxa"/>
        </w:tblCellMar>
      </w:tblPr>
      <w:tr>
        <w:trPr>
          <w:trHeight w:val="229"/>
        </w:trPr>
        <w:tc>
          <w:tcPr>
            <w:tcW w:w="9460" w:type="dxa"/>
            <w:vAlign w:val="bottom"/>
          </w:tcPr>
          <w:p>
            <w:pPr>
              <w:spacing w:after="0"/>
              <w:rPr>
                <w:sz w:val="19"/>
                <w:szCs w:val="19"/>
                <w:color w:val="auto"/>
              </w:rPr>
            </w:pPr>
          </w:p>
        </w:tc>
        <w:tc>
          <w:tcPr>
            <w:tcW w:w="116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w w:val="95"/>
              </w:rPr>
              <w:t>Percentages</w:t>
            </w:r>
          </w:p>
        </w:tc>
        <w:tc>
          <w:tcPr>
            <w:tcW w:w="220" w:type="dxa"/>
            <w:vAlign w:val="bottom"/>
          </w:tcPr>
          <w:p>
            <w:pPr>
              <w:spacing w:after="0"/>
              <w:rPr>
                <w:sz w:val="19"/>
                <w:szCs w:val="19"/>
                <w:color w:val="auto"/>
              </w:rPr>
            </w:pPr>
          </w:p>
        </w:tc>
      </w:tr>
      <w:tr>
        <w:trPr>
          <w:trHeight w:val="238"/>
        </w:trPr>
        <w:tc>
          <w:tcPr>
            <w:tcW w:w="9460" w:type="dxa"/>
            <w:vAlign w:val="bottom"/>
            <w:shd w:val="clear" w:color="auto" w:fill="EAF9E8"/>
          </w:tcPr>
          <w:p>
            <w:pPr>
              <w:jc w:val="right"/>
              <w:ind w:right="9032"/>
              <w:spacing w:after="0"/>
              <w:rPr>
                <w:sz w:val="20"/>
                <w:szCs w:val="20"/>
                <w:color w:val="auto"/>
              </w:rPr>
            </w:pPr>
            <w:r>
              <w:rPr>
                <w:rFonts w:ascii="Arial" w:cs="Arial" w:eastAsia="Arial" w:hAnsi="Arial"/>
                <w:sz w:val="18"/>
                <w:szCs w:val="18"/>
                <w:color w:val="auto"/>
                <w:w w:val="79"/>
              </w:rPr>
              <w:t>2009</w:t>
            </w:r>
          </w:p>
        </w:tc>
        <w:tc>
          <w:tcPr>
            <w:tcW w:w="1380" w:type="dxa"/>
            <w:vAlign w:val="bottom"/>
            <w:gridSpan w:val="2"/>
            <w:shd w:val="clear" w:color="auto" w:fill="EAF9E8"/>
          </w:tcPr>
          <w:p>
            <w:pPr>
              <w:ind w:left="580"/>
              <w:spacing w:after="0"/>
              <w:rPr>
                <w:sz w:val="20"/>
                <w:szCs w:val="20"/>
                <w:color w:val="auto"/>
              </w:rPr>
            </w:pPr>
            <w:r>
              <w:rPr>
                <w:rFonts w:ascii="Arial" w:cs="Arial" w:eastAsia="Arial" w:hAnsi="Arial"/>
                <w:sz w:val="18"/>
                <w:szCs w:val="18"/>
                <w:color w:val="auto"/>
                <w:w w:val="96"/>
              </w:rPr>
              <w:t>104.350%</w:t>
            </w:r>
          </w:p>
        </w:tc>
      </w:tr>
      <w:tr>
        <w:trPr>
          <w:trHeight w:val="242"/>
        </w:trPr>
        <w:tc>
          <w:tcPr>
            <w:tcW w:w="9460" w:type="dxa"/>
            <w:vAlign w:val="bottom"/>
          </w:tcPr>
          <w:p>
            <w:pPr>
              <w:jc w:val="right"/>
              <w:ind w:right="9032"/>
              <w:spacing w:after="0"/>
              <w:rPr>
                <w:sz w:val="20"/>
                <w:szCs w:val="20"/>
                <w:color w:val="auto"/>
              </w:rPr>
            </w:pPr>
            <w:r>
              <w:rPr>
                <w:rFonts w:ascii="Arial" w:cs="Arial" w:eastAsia="Arial" w:hAnsi="Arial"/>
                <w:sz w:val="18"/>
                <w:szCs w:val="18"/>
                <w:color w:val="auto"/>
                <w:w w:val="79"/>
              </w:rPr>
              <w:t>2010</w:t>
            </w:r>
          </w:p>
        </w:tc>
        <w:tc>
          <w:tcPr>
            <w:tcW w:w="1380" w:type="dxa"/>
            <w:vAlign w:val="bottom"/>
            <w:gridSpan w:val="2"/>
          </w:tcPr>
          <w:p>
            <w:pPr>
              <w:ind w:left="580"/>
              <w:spacing w:after="0"/>
              <w:rPr>
                <w:sz w:val="20"/>
                <w:szCs w:val="20"/>
                <w:color w:val="auto"/>
              </w:rPr>
            </w:pPr>
            <w:r>
              <w:rPr>
                <w:rFonts w:ascii="Arial" w:cs="Arial" w:eastAsia="Arial" w:hAnsi="Arial"/>
                <w:sz w:val="18"/>
                <w:szCs w:val="18"/>
                <w:color w:val="auto"/>
              </w:rPr>
              <w:t>103.806</w:t>
            </w:r>
          </w:p>
        </w:tc>
      </w:tr>
      <w:tr>
        <w:trPr>
          <w:trHeight w:val="244"/>
        </w:trPr>
        <w:tc>
          <w:tcPr>
            <w:tcW w:w="9460" w:type="dxa"/>
            <w:vAlign w:val="bottom"/>
            <w:shd w:val="clear" w:color="auto" w:fill="EAF9E8"/>
          </w:tcPr>
          <w:p>
            <w:pPr>
              <w:jc w:val="right"/>
              <w:ind w:right="9032"/>
              <w:spacing w:after="0"/>
              <w:rPr>
                <w:sz w:val="20"/>
                <w:szCs w:val="20"/>
                <w:color w:val="auto"/>
              </w:rPr>
            </w:pPr>
            <w:r>
              <w:rPr>
                <w:rFonts w:ascii="Arial" w:cs="Arial" w:eastAsia="Arial" w:hAnsi="Arial"/>
                <w:sz w:val="18"/>
                <w:szCs w:val="18"/>
                <w:color w:val="auto"/>
                <w:w w:val="79"/>
              </w:rPr>
              <w:t>2011</w:t>
            </w:r>
          </w:p>
        </w:tc>
        <w:tc>
          <w:tcPr>
            <w:tcW w:w="1380" w:type="dxa"/>
            <w:vAlign w:val="bottom"/>
            <w:gridSpan w:val="2"/>
            <w:shd w:val="clear" w:color="auto" w:fill="EAF9E8"/>
          </w:tcPr>
          <w:p>
            <w:pPr>
              <w:ind w:left="580"/>
              <w:spacing w:after="0"/>
              <w:rPr>
                <w:sz w:val="20"/>
                <w:szCs w:val="20"/>
                <w:color w:val="auto"/>
              </w:rPr>
            </w:pPr>
            <w:r>
              <w:rPr>
                <w:rFonts w:ascii="Arial" w:cs="Arial" w:eastAsia="Arial" w:hAnsi="Arial"/>
                <w:sz w:val="18"/>
                <w:szCs w:val="18"/>
                <w:color w:val="auto"/>
              </w:rPr>
              <w:t>103.263</w:t>
            </w:r>
          </w:p>
        </w:tc>
      </w:tr>
      <w:tr>
        <w:trPr>
          <w:trHeight w:val="242"/>
        </w:trPr>
        <w:tc>
          <w:tcPr>
            <w:tcW w:w="9460" w:type="dxa"/>
            <w:vAlign w:val="bottom"/>
          </w:tcPr>
          <w:p>
            <w:pPr>
              <w:jc w:val="right"/>
              <w:ind w:right="9032"/>
              <w:spacing w:after="0"/>
              <w:rPr>
                <w:sz w:val="20"/>
                <w:szCs w:val="20"/>
                <w:color w:val="auto"/>
              </w:rPr>
            </w:pPr>
            <w:r>
              <w:rPr>
                <w:rFonts w:ascii="Arial" w:cs="Arial" w:eastAsia="Arial" w:hAnsi="Arial"/>
                <w:sz w:val="18"/>
                <w:szCs w:val="18"/>
                <w:color w:val="auto"/>
                <w:w w:val="79"/>
              </w:rPr>
              <w:t>2012</w:t>
            </w:r>
          </w:p>
        </w:tc>
        <w:tc>
          <w:tcPr>
            <w:tcW w:w="1380" w:type="dxa"/>
            <w:vAlign w:val="bottom"/>
            <w:gridSpan w:val="2"/>
          </w:tcPr>
          <w:p>
            <w:pPr>
              <w:ind w:left="580"/>
              <w:spacing w:after="0"/>
              <w:rPr>
                <w:sz w:val="20"/>
                <w:szCs w:val="20"/>
                <w:color w:val="auto"/>
              </w:rPr>
            </w:pPr>
            <w:r>
              <w:rPr>
                <w:rFonts w:ascii="Arial" w:cs="Arial" w:eastAsia="Arial" w:hAnsi="Arial"/>
                <w:sz w:val="18"/>
                <w:szCs w:val="18"/>
                <w:color w:val="auto"/>
              </w:rPr>
              <w:t>102.719</w:t>
            </w:r>
          </w:p>
        </w:tc>
      </w:tr>
      <w:tr>
        <w:trPr>
          <w:trHeight w:val="244"/>
        </w:trPr>
        <w:tc>
          <w:tcPr>
            <w:tcW w:w="9460" w:type="dxa"/>
            <w:vAlign w:val="bottom"/>
            <w:shd w:val="clear" w:color="auto" w:fill="EAF9E8"/>
          </w:tcPr>
          <w:p>
            <w:pPr>
              <w:jc w:val="right"/>
              <w:ind w:right="9032"/>
              <w:spacing w:after="0"/>
              <w:rPr>
                <w:sz w:val="20"/>
                <w:szCs w:val="20"/>
                <w:color w:val="auto"/>
              </w:rPr>
            </w:pPr>
            <w:r>
              <w:rPr>
                <w:rFonts w:ascii="Arial" w:cs="Arial" w:eastAsia="Arial" w:hAnsi="Arial"/>
                <w:sz w:val="18"/>
                <w:szCs w:val="18"/>
                <w:color w:val="auto"/>
                <w:w w:val="79"/>
              </w:rPr>
              <w:t>2013</w:t>
            </w:r>
          </w:p>
        </w:tc>
        <w:tc>
          <w:tcPr>
            <w:tcW w:w="1380" w:type="dxa"/>
            <w:vAlign w:val="bottom"/>
            <w:gridSpan w:val="2"/>
            <w:shd w:val="clear" w:color="auto" w:fill="EAF9E8"/>
          </w:tcPr>
          <w:p>
            <w:pPr>
              <w:ind w:left="580"/>
              <w:spacing w:after="0"/>
              <w:rPr>
                <w:sz w:val="20"/>
                <w:szCs w:val="20"/>
                <w:color w:val="auto"/>
              </w:rPr>
            </w:pPr>
            <w:r>
              <w:rPr>
                <w:rFonts w:ascii="Arial" w:cs="Arial" w:eastAsia="Arial" w:hAnsi="Arial"/>
                <w:sz w:val="18"/>
                <w:szCs w:val="18"/>
                <w:color w:val="auto"/>
              </w:rPr>
              <w:t>102.175</w:t>
            </w:r>
          </w:p>
        </w:tc>
      </w:tr>
      <w:tr>
        <w:trPr>
          <w:trHeight w:val="242"/>
        </w:trPr>
        <w:tc>
          <w:tcPr>
            <w:tcW w:w="9460" w:type="dxa"/>
            <w:vAlign w:val="bottom"/>
          </w:tcPr>
          <w:p>
            <w:pPr>
              <w:jc w:val="right"/>
              <w:ind w:right="9032"/>
              <w:spacing w:after="0"/>
              <w:rPr>
                <w:sz w:val="20"/>
                <w:szCs w:val="20"/>
                <w:color w:val="auto"/>
              </w:rPr>
            </w:pPr>
            <w:r>
              <w:rPr>
                <w:rFonts w:ascii="Arial" w:cs="Arial" w:eastAsia="Arial" w:hAnsi="Arial"/>
                <w:sz w:val="18"/>
                <w:szCs w:val="18"/>
                <w:color w:val="auto"/>
                <w:w w:val="79"/>
              </w:rPr>
              <w:t>2014</w:t>
            </w:r>
          </w:p>
        </w:tc>
        <w:tc>
          <w:tcPr>
            <w:tcW w:w="1380" w:type="dxa"/>
            <w:vAlign w:val="bottom"/>
            <w:gridSpan w:val="2"/>
          </w:tcPr>
          <w:p>
            <w:pPr>
              <w:ind w:left="580"/>
              <w:spacing w:after="0"/>
              <w:rPr>
                <w:sz w:val="20"/>
                <w:szCs w:val="20"/>
                <w:color w:val="auto"/>
              </w:rPr>
            </w:pPr>
            <w:r>
              <w:rPr>
                <w:rFonts w:ascii="Arial" w:cs="Arial" w:eastAsia="Arial" w:hAnsi="Arial"/>
                <w:sz w:val="18"/>
                <w:szCs w:val="18"/>
                <w:color w:val="auto"/>
              </w:rPr>
              <w:t>101.631</w:t>
            </w:r>
          </w:p>
        </w:tc>
      </w:tr>
      <w:tr>
        <w:trPr>
          <w:trHeight w:val="244"/>
        </w:trPr>
        <w:tc>
          <w:tcPr>
            <w:tcW w:w="9460" w:type="dxa"/>
            <w:vAlign w:val="bottom"/>
            <w:shd w:val="clear" w:color="auto" w:fill="EAF9E8"/>
          </w:tcPr>
          <w:p>
            <w:pPr>
              <w:jc w:val="right"/>
              <w:ind w:right="9032"/>
              <w:spacing w:after="0"/>
              <w:rPr>
                <w:sz w:val="20"/>
                <w:szCs w:val="20"/>
                <w:color w:val="auto"/>
              </w:rPr>
            </w:pPr>
            <w:r>
              <w:rPr>
                <w:rFonts w:ascii="Arial" w:cs="Arial" w:eastAsia="Arial" w:hAnsi="Arial"/>
                <w:sz w:val="18"/>
                <w:szCs w:val="18"/>
                <w:color w:val="auto"/>
                <w:w w:val="79"/>
              </w:rPr>
              <w:t>2015</w:t>
            </w:r>
          </w:p>
        </w:tc>
        <w:tc>
          <w:tcPr>
            <w:tcW w:w="1380" w:type="dxa"/>
            <w:vAlign w:val="bottom"/>
            <w:gridSpan w:val="2"/>
            <w:shd w:val="clear" w:color="auto" w:fill="EAF9E8"/>
          </w:tcPr>
          <w:p>
            <w:pPr>
              <w:ind w:left="580"/>
              <w:spacing w:after="0"/>
              <w:rPr>
                <w:sz w:val="20"/>
                <w:szCs w:val="20"/>
                <w:color w:val="auto"/>
              </w:rPr>
            </w:pPr>
            <w:r>
              <w:rPr>
                <w:rFonts w:ascii="Arial" w:cs="Arial" w:eastAsia="Arial" w:hAnsi="Arial"/>
                <w:sz w:val="18"/>
                <w:szCs w:val="18"/>
                <w:color w:val="auto"/>
              </w:rPr>
              <w:t>101.088</w:t>
            </w:r>
          </w:p>
        </w:tc>
      </w:tr>
      <w:tr>
        <w:trPr>
          <w:trHeight w:val="241"/>
        </w:trPr>
        <w:tc>
          <w:tcPr>
            <w:tcW w:w="9460" w:type="dxa"/>
            <w:vAlign w:val="bottom"/>
          </w:tcPr>
          <w:p>
            <w:pPr>
              <w:jc w:val="right"/>
              <w:ind w:right="9032"/>
              <w:spacing w:after="0"/>
              <w:rPr>
                <w:sz w:val="20"/>
                <w:szCs w:val="20"/>
                <w:color w:val="auto"/>
              </w:rPr>
            </w:pPr>
            <w:r>
              <w:rPr>
                <w:rFonts w:ascii="Arial" w:cs="Arial" w:eastAsia="Arial" w:hAnsi="Arial"/>
                <w:sz w:val="18"/>
                <w:szCs w:val="18"/>
                <w:color w:val="auto"/>
                <w:w w:val="79"/>
              </w:rPr>
              <w:t>2016</w:t>
            </w:r>
          </w:p>
        </w:tc>
        <w:tc>
          <w:tcPr>
            <w:tcW w:w="1380" w:type="dxa"/>
            <w:vAlign w:val="bottom"/>
            <w:gridSpan w:val="2"/>
          </w:tcPr>
          <w:p>
            <w:pPr>
              <w:ind w:left="580"/>
              <w:spacing w:after="0"/>
              <w:rPr>
                <w:sz w:val="20"/>
                <w:szCs w:val="20"/>
                <w:color w:val="auto"/>
              </w:rPr>
            </w:pPr>
            <w:r>
              <w:rPr>
                <w:rFonts w:ascii="Arial" w:cs="Arial" w:eastAsia="Arial" w:hAnsi="Arial"/>
                <w:sz w:val="18"/>
                <w:szCs w:val="18"/>
                <w:color w:val="auto"/>
              </w:rPr>
              <w:t>100.544</w:t>
            </w:r>
          </w:p>
        </w:tc>
      </w:tr>
    </w:tbl>
    <w:p>
      <w:pPr>
        <w:spacing w:after="0" w:line="21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On or after August 1, 2017, the redemption price will be 100%, plus accrued interest to the redemption date.</w:t>
      </w:r>
    </w:p>
    <w:p>
      <w:pPr>
        <w:spacing w:after="0" w:line="225" w:lineRule="exact"/>
        <w:rPr>
          <w:sz w:val="20"/>
          <w:szCs w:val="20"/>
          <w:color w:val="auto"/>
        </w:rPr>
      </w:pPr>
    </w:p>
    <w:p>
      <w:pPr>
        <w:ind w:right="20" w:firstLine="436"/>
        <w:spacing w:after="0" w:line="323" w:lineRule="auto"/>
        <w:rPr>
          <w:sz w:val="20"/>
          <w:szCs w:val="20"/>
          <w:color w:val="auto"/>
        </w:rPr>
      </w:pPr>
      <w:r>
        <w:rPr>
          <w:rFonts w:ascii="Arial" w:cs="Arial" w:eastAsia="Arial" w:hAnsi="Arial"/>
          <w:sz w:val="15"/>
          <w:szCs w:val="15"/>
          <w:color w:val="auto"/>
        </w:rPr>
        <w:t>We may also redeem the Junior Subordinated Debentures at any time upon the occurrence and continuation of a special event (defined as a tax event, regulatory capital event or an investment company event) at 100%. The Capital Trust Securities are subject to mandatory redemption upon repayment of the Junior Subordinated Debentures in an amount equal to the amount of the related Junior Subordinated Debentures maturing or being redeemed and at a redemption price equal to the redemption price of the Junior Subordinated Debentures, plus accumulated and unpaid distributions thereon to the date of redemption.</w:t>
      </w:r>
    </w:p>
    <w:p>
      <w:pPr>
        <w:sectPr>
          <w:pgSz w:w="11900" w:h="16838" w:orient="portrait"/>
          <w:cols w:equalWidth="0" w:num="1">
            <w:col w:w="11420"/>
          </w:cols>
          <w:pgMar w:left="240" w:top="131" w:right="239" w:bottom="1440" w:gutter="0" w:footer="0" w:header="0"/>
        </w:sectPr>
      </w:pP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28" w:name="page29"/>
    <w:bookmarkEnd w:id="28"/>
    <w:p>
      <w:pPr>
        <w:spacing w:after="0"/>
        <w:tabs>
          <w:tab w:leader="none" w:pos="1140" w:val="left"/>
        </w:tabs>
        <w:rPr>
          <w:sz w:val="20"/>
          <w:szCs w:val="20"/>
          <w:color w:val="auto"/>
        </w:rPr>
      </w:pPr>
      <w:r>
        <w:rPr>
          <w:rFonts w:ascii="Arial" w:cs="Arial" w:eastAsia="Arial" w:hAnsi="Arial"/>
          <w:sz w:val="18"/>
          <w:szCs w:val="18"/>
          <w:b w:val="1"/>
          <w:bCs w:val="1"/>
          <w:color w:val="auto"/>
        </w:rPr>
        <w:t>Note 18</w:t>
      </w:r>
      <w:r>
        <w:rPr>
          <w:sz w:val="20"/>
          <w:szCs w:val="20"/>
          <w:color w:val="auto"/>
        </w:rPr>
        <w:tab/>
      </w:r>
      <w:r>
        <w:rPr>
          <w:rFonts w:ascii="Arial" w:cs="Arial" w:eastAsia="Arial" w:hAnsi="Arial"/>
          <w:sz w:val="15"/>
          <w:szCs w:val="15"/>
          <w:b w:val="1"/>
          <w:bCs w:val="1"/>
          <w:color w:val="auto"/>
        </w:rPr>
        <w:t>Basic and Diluted Earnings per Share</w:t>
      </w:r>
    </w:p>
    <w:p>
      <w:pPr>
        <w:spacing w:after="0" w:line="231" w:lineRule="exact"/>
        <w:rPr>
          <w:sz w:val="20"/>
          <w:szCs w:val="20"/>
          <w:color w:val="auto"/>
        </w:rPr>
      </w:pPr>
    </w:p>
    <w:p>
      <w:pPr>
        <w:ind w:right="80" w:firstLine="439"/>
        <w:spacing w:after="0" w:line="255" w:lineRule="auto"/>
        <w:rPr>
          <w:sz w:val="20"/>
          <w:szCs w:val="20"/>
          <w:color w:val="auto"/>
        </w:rPr>
      </w:pPr>
      <w:r>
        <w:rPr>
          <w:rFonts w:ascii="Arial" w:cs="Arial" w:eastAsia="Arial" w:hAnsi="Arial"/>
          <w:sz w:val="18"/>
          <w:szCs w:val="18"/>
          <w:color w:val="auto"/>
        </w:rPr>
        <w:t>Basic EPS excludes common stock equivalents and is calculated by dividing net income (loss) attributable to OCN by the weighted average number of common shares outstanding during the period. We calculate diluted EPS by dividing net income (loss) attributable to OCN, as adjusted to add back interest expense net of income tax on the Convertible Notes, by the weighted average number of common shares outstanding including the potential dilutive common shares related to outstanding stock options, restricted stock awards and the Convertible Notes. The following is a reconciliation of the calculation of basic EPS to diluted EPS for the three and nine months ended September 30:</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Three months</w:t>
            </w:r>
          </w:p>
        </w:tc>
        <w:tc>
          <w:tcPr>
            <w:tcW w:w="86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b w:val="1"/>
                <w:bCs w:val="1"/>
                <w:color w:val="auto"/>
              </w:rPr>
              <w:t>Nine months</w:t>
            </w:r>
          </w:p>
        </w:tc>
        <w:tc>
          <w:tcPr>
            <w:tcW w:w="9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24"/>
        </w:trPr>
        <w:tc>
          <w:tcPr>
            <w:tcW w:w="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2009</w:t>
            </w:r>
          </w:p>
        </w:tc>
        <w:tc>
          <w:tcPr>
            <w:tcW w:w="3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w w:val="94"/>
              </w:rPr>
              <w:t>2008</w:t>
            </w:r>
          </w:p>
        </w:tc>
        <w:tc>
          <w:tcPr>
            <w:tcW w:w="3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2009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2008</w:t>
            </w:r>
          </w:p>
        </w:tc>
        <w:tc>
          <w:tcPr>
            <w:tcW w:w="120" w:type="dxa"/>
            <w:vAlign w:val="bottom"/>
          </w:tcPr>
          <w:p>
            <w:pPr>
              <w:spacing w:after="0"/>
              <w:rPr>
                <w:sz w:val="19"/>
                <w:szCs w:val="19"/>
                <w:color w:val="auto"/>
              </w:rPr>
            </w:pPr>
          </w:p>
        </w:tc>
      </w:tr>
      <w:tr>
        <w:trPr>
          <w:trHeight w:val="197"/>
        </w:trPr>
        <w:tc>
          <w:tcPr>
            <w:tcW w:w="5200" w:type="dxa"/>
            <w:vAlign w:val="bottom"/>
            <w:gridSpan w:val="3"/>
            <w:shd w:val="clear" w:color="auto" w:fill="EAF9E8"/>
          </w:tcPr>
          <w:p>
            <w:pPr>
              <w:spacing w:after="0" w:line="197" w:lineRule="exact"/>
              <w:rPr>
                <w:sz w:val="20"/>
                <w:szCs w:val="20"/>
                <w:color w:val="auto"/>
              </w:rPr>
            </w:pPr>
            <w:r>
              <w:rPr>
                <w:rFonts w:ascii="Arial" w:cs="Arial" w:eastAsia="Arial" w:hAnsi="Arial"/>
                <w:sz w:val="18"/>
                <w:szCs w:val="18"/>
                <w:color w:val="auto"/>
              </w:rPr>
              <w:t>Basic EPS:</w:t>
            </w:r>
          </w:p>
        </w:tc>
        <w:tc>
          <w:tcPr>
            <w:tcW w:w="280" w:type="dxa"/>
            <w:vAlign w:val="bottom"/>
            <w:shd w:val="clear" w:color="auto" w:fill="EAF9E8"/>
          </w:tcPr>
          <w:p>
            <w:pPr>
              <w:spacing w:after="0"/>
              <w:rPr>
                <w:sz w:val="17"/>
                <w:szCs w:val="17"/>
                <w:color w:val="auto"/>
              </w:rPr>
            </w:pPr>
          </w:p>
        </w:tc>
        <w:tc>
          <w:tcPr>
            <w:tcW w:w="1000" w:type="dxa"/>
            <w:vAlign w:val="bottom"/>
            <w:tcBorders>
              <w:right w:val="single" w:sz="8" w:color="EAF9E8"/>
            </w:tcBorders>
            <w:shd w:val="clear" w:color="auto" w:fill="EAF9E8"/>
          </w:tcPr>
          <w:p>
            <w:pPr>
              <w:spacing w:after="0"/>
              <w:rPr>
                <w:sz w:val="17"/>
                <w:szCs w:val="17"/>
                <w:color w:val="auto"/>
              </w:rPr>
            </w:pPr>
          </w:p>
        </w:tc>
        <w:tc>
          <w:tcPr>
            <w:tcW w:w="320" w:type="dxa"/>
            <w:vAlign w:val="bottom"/>
            <w:shd w:val="clear" w:color="auto" w:fill="EAF9E8"/>
          </w:tcPr>
          <w:p>
            <w:pPr>
              <w:spacing w:after="0"/>
              <w:rPr>
                <w:sz w:val="17"/>
                <w:szCs w:val="17"/>
                <w:color w:val="auto"/>
              </w:rPr>
            </w:pPr>
          </w:p>
        </w:tc>
        <w:tc>
          <w:tcPr>
            <w:tcW w:w="420" w:type="dxa"/>
            <w:vAlign w:val="bottom"/>
            <w:shd w:val="clear" w:color="auto" w:fill="EAF9E8"/>
          </w:tcPr>
          <w:p>
            <w:pPr>
              <w:spacing w:after="0"/>
              <w:rPr>
                <w:sz w:val="17"/>
                <w:szCs w:val="17"/>
                <w:color w:val="auto"/>
              </w:rPr>
            </w:pPr>
          </w:p>
        </w:tc>
        <w:tc>
          <w:tcPr>
            <w:tcW w:w="860" w:type="dxa"/>
            <w:vAlign w:val="bottom"/>
            <w:shd w:val="clear" w:color="auto" w:fill="EAF9E8"/>
          </w:tcPr>
          <w:p>
            <w:pPr>
              <w:spacing w:after="0"/>
              <w:rPr>
                <w:sz w:val="17"/>
                <w:szCs w:val="17"/>
                <w:color w:val="auto"/>
              </w:rPr>
            </w:pPr>
          </w:p>
        </w:tc>
        <w:tc>
          <w:tcPr>
            <w:tcW w:w="320" w:type="dxa"/>
            <w:vAlign w:val="bottom"/>
            <w:shd w:val="clear" w:color="auto" w:fill="EAF9E8"/>
          </w:tcPr>
          <w:p>
            <w:pPr>
              <w:spacing w:after="0"/>
              <w:rPr>
                <w:sz w:val="17"/>
                <w:szCs w:val="17"/>
                <w:color w:val="auto"/>
              </w:rPr>
            </w:pPr>
          </w:p>
        </w:tc>
        <w:tc>
          <w:tcPr>
            <w:tcW w:w="280" w:type="dxa"/>
            <w:vAlign w:val="bottom"/>
            <w:shd w:val="clear" w:color="auto" w:fill="EAF9E8"/>
          </w:tcPr>
          <w:p>
            <w:pPr>
              <w:spacing w:after="0"/>
              <w:rPr>
                <w:sz w:val="17"/>
                <w:szCs w:val="17"/>
                <w:color w:val="auto"/>
              </w:rPr>
            </w:pPr>
          </w:p>
        </w:tc>
        <w:tc>
          <w:tcPr>
            <w:tcW w:w="100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380" w:type="dxa"/>
            <w:vAlign w:val="bottom"/>
            <w:shd w:val="clear" w:color="auto" w:fill="EAF9E8"/>
          </w:tcPr>
          <w:p>
            <w:pPr>
              <w:spacing w:after="0"/>
              <w:rPr>
                <w:sz w:val="17"/>
                <w:szCs w:val="17"/>
                <w:color w:val="auto"/>
              </w:rPr>
            </w:pPr>
          </w:p>
        </w:tc>
        <w:tc>
          <w:tcPr>
            <w:tcW w:w="90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r>
      <w:tr>
        <w:trPr>
          <w:trHeight w:val="21"/>
        </w:trPr>
        <w:tc>
          <w:tcPr>
            <w:tcW w:w="740" w:type="dxa"/>
            <w:vAlign w:val="bottom"/>
            <w:tcBorders>
              <w:top w:val="single" w:sz="8" w:color="auto"/>
            </w:tcBorders>
            <w:shd w:val="clear" w:color="auto" w:fill="EAF9E8"/>
          </w:tcPr>
          <w:p>
            <w:pPr>
              <w:spacing w:after="0" w:line="20" w:lineRule="exact"/>
              <w:rPr>
                <w:sz w:val="1"/>
                <w:szCs w:val="1"/>
                <w:color w:val="auto"/>
              </w:rPr>
            </w:pPr>
          </w:p>
        </w:tc>
        <w:tc>
          <w:tcPr>
            <w:tcW w:w="380" w:type="dxa"/>
            <w:vAlign w:val="bottom"/>
            <w:tcBorders>
              <w:top w:val="single" w:sz="8" w:color="EAF9E8"/>
            </w:tcBorders>
            <w:shd w:val="clear" w:color="auto" w:fill="EAF9E8"/>
          </w:tcPr>
          <w:p>
            <w:pPr>
              <w:spacing w:after="0" w:line="20" w:lineRule="exact"/>
              <w:rPr>
                <w:sz w:val="1"/>
                <w:szCs w:val="1"/>
                <w:color w:val="auto"/>
              </w:rPr>
            </w:pPr>
          </w:p>
        </w:tc>
        <w:tc>
          <w:tcPr>
            <w:tcW w:w="4080" w:type="dxa"/>
            <w:vAlign w:val="bottom"/>
            <w:tcBorders>
              <w:top w:val="single" w:sz="8" w:color="EAF9E8"/>
            </w:tcBorders>
            <w:shd w:val="clear" w:color="auto" w:fill="EAF9E8"/>
          </w:tcPr>
          <w:p>
            <w:pPr>
              <w:spacing w:after="0" w:line="20" w:lineRule="exact"/>
              <w:rPr>
                <w:sz w:val="1"/>
                <w:szCs w:val="1"/>
                <w:color w:val="auto"/>
              </w:rPr>
            </w:pPr>
          </w:p>
        </w:tc>
        <w:tc>
          <w:tcPr>
            <w:tcW w:w="280" w:type="dxa"/>
            <w:vAlign w:val="bottom"/>
            <w:tcBorders>
              <w:top w:val="single" w:sz="8" w:color="EAF9E8"/>
            </w:tcBorders>
            <w:shd w:val="clear" w:color="auto" w:fill="EAF9E8"/>
          </w:tcPr>
          <w:p>
            <w:pPr>
              <w:spacing w:after="0" w:line="20" w:lineRule="exact"/>
              <w:rPr>
                <w:sz w:val="1"/>
                <w:szCs w:val="1"/>
                <w:color w:val="auto"/>
              </w:rPr>
            </w:pPr>
          </w:p>
        </w:tc>
        <w:tc>
          <w:tcPr>
            <w:tcW w:w="1000" w:type="dxa"/>
            <w:vAlign w:val="bottom"/>
            <w:tcBorders>
              <w:top w:val="single" w:sz="8" w:color="EAF9E8"/>
              <w:right w:val="single" w:sz="8" w:color="EAF9E8"/>
            </w:tcBorders>
            <w:shd w:val="clear" w:color="auto" w:fill="EAF9E8"/>
          </w:tcPr>
          <w:p>
            <w:pPr>
              <w:spacing w:after="0" w:line="20" w:lineRule="exact"/>
              <w:rPr>
                <w:sz w:val="1"/>
                <w:szCs w:val="1"/>
                <w:color w:val="auto"/>
              </w:rPr>
            </w:pPr>
          </w:p>
        </w:tc>
        <w:tc>
          <w:tcPr>
            <w:tcW w:w="320" w:type="dxa"/>
            <w:vAlign w:val="bottom"/>
            <w:tcBorders>
              <w:top w:val="single" w:sz="8" w:color="EAF9E8"/>
            </w:tcBorders>
            <w:shd w:val="clear" w:color="auto" w:fill="EAF9E8"/>
          </w:tcPr>
          <w:p>
            <w:pPr>
              <w:spacing w:after="0" w:line="20" w:lineRule="exact"/>
              <w:rPr>
                <w:sz w:val="1"/>
                <w:szCs w:val="1"/>
                <w:color w:val="auto"/>
              </w:rPr>
            </w:pPr>
          </w:p>
        </w:tc>
        <w:tc>
          <w:tcPr>
            <w:tcW w:w="420" w:type="dxa"/>
            <w:vAlign w:val="bottom"/>
            <w:tcBorders>
              <w:top w:val="single" w:sz="8" w:color="EAF9E8"/>
            </w:tcBorders>
            <w:shd w:val="clear" w:color="auto" w:fill="EAF9E8"/>
          </w:tcPr>
          <w:p>
            <w:pPr>
              <w:spacing w:after="0" w:line="20" w:lineRule="exact"/>
              <w:rPr>
                <w:sz w:val="1"/>
                <w:szCs w:val="1"/>
                <w:color w:val="auto"/>
              </w:rPr>
            </w:pPr>
          </w:p>
        </w:tc>
        <w:tc>
          <w:tcPr>
            <w:tcW w:w="860" w:type="dxa"/>
            <w:vAlign w:val="bottom"/>
            <w:tcBorders>
              <w:top w:val="single" w:sz="8" w:color="EAF9E8"/>
            </w:tcBorders>
            <w:shd w:val="clear" w:color="auto" w:fill="EAF9E8"/>
          </w:tcPr>
          <w:p>
            <w:pPr>
              <w:spacing w:after="0" w:line="20" w:lineRule="exact"/>
              <w:rPr>
                <w:sz w:val="1"/>
                <w:szCs w:val="1"/>
                <w:color w:val="auto"/>
              </w:rPr>
            </w:pPr>
          </w:p>
        </w:tc>
        <w:tc>
          <w:tcPr>
            <w:tcW w:w="320" w:type="dxa"/>
            <w:vAlign w:val="bottom"/>
            <w:tcBorders>
              <w:top w:val="single" w:sz="8" w:color="EAF9E8"/>
            </w:tcBorders>
            <w:shd w:val="clear" w:color="auto" w:fill="EAF9E8"/>
          </w:tcPr>
          <w:p>
            <w:pPr>
              <w:spacing w:after="0" w:line="20" w:lineRule="exact"/>
              <w:rPr>
                <w:sz w:val="1"/>
                <w:szCs w:val="1"/>
                <w:color w:val="auto"/>
              </w:rPr>
            </w:pPr>
          </w:p>
        </w:tc>
        <w:tc>
          <w:tcPr>
            <w:tcW w:w="280" w:type="dxa"/>
            <w:vAlign w:val="bottom"/>
            <w:tcBorders>
              <w:top w:val="single" w:sz="8" w:color="EAF9E8"/>
            </w:tcBorders>
            <w:shd w:val="clear" w:color="auto" w:fill="EAF9E8"/>
          </w:tcPr>
          <w:p>
            <w:pPr>
              <w:spacing w:after="0" w:line="20" w:lineRule="exact"/>
              <w:rPr>
                <w:sz w:val="1"/>
                <w:szCs w:val="1"/>
                <w:color w:val="auto"/>
              </w:rPr>
            </w:pPr>
          </w:p>
        </w:tc>
        <w:tc>
          <w:tcPr>
            <w:tcW w:w="1000" w:type="dxa"/>
            <w:vAlign w:val="bottom"/>
            <w:tcBorders>
              <w:top w:val="single" w:sz="8" w:color="EAF9E8"/>
            </w:tcBorders>
            <w:shd w:val="clear" w:color="auto" w:fill="EAF9E8"/>
          </w:tcPr>
          <w:p>
            <w:pPr>
              <w:spacing w:after="0" w:line="20" w:lineRule="exact"/>
              <w:rPr>
                <w:sz w:val="1"/>
                <w:szCs w:val="1"/>
                <w:color w:val="auto"/>
              </w:rPr>
            </w:pPr>
          </w:p>
        </w:tc>
        <w:tc>
          <w:tcPr>
            <w:tcW w:w="200" w:type="dxa"/>
            <w:vAlign w:val="bottom"/>
            <w:tcBorders>
              <w:top w:val="single" w:sz="8" w:color="EAF9E8"/>
            </w:tcBorders>
            <w:shd w:val="clear" w:color="auto" w:fill="EAF9E8"/>
          </w:tcPr>
          <w:p>
            <w:pPr>
              <w:spacing w:after="0" w:line="20" w:lineRule="exact"/>
              <w:rPr>
                <w:sz w:val="1"/>
                <w:szCs w:val="1"/>
                <w:color w:val="auto"/>
              </w:rPr>
            </w:pPr>
          </w:p>
        </w:tc>
        <w:tc>
          <w:tcPr>
            <w:tcW w:w="140" w:type="dxa"/>
            <w:vAlign w:val="bottom"/>
            <w:tcBorders>
              <w:top w:val="single" w:sz="8" w:color="EAF9E8"/>
            </w:tcBorders>
            <w:shd w:val="clear" w:color="auto" w:fill="EAF9E8"/>
          </w:tcPr>
          <w:p>
            <w:pPr>
              <w:spacing w:after="0" w:line="20" w:lineRule="exact"/>
              <w:rPr>
                <w:sz w:val="1"/>
                <w:szCs w:val="1"/>
                <w:color w:val="auto"/>
              </w:rPr>
            </w:pPr>
          </w:p>
        </w:tc>
        <w:tc>
          <w:tcPr>
            <w:tcW w:w="380" w:type="dxa"/>
            <w:vAlign w:val="bottom"/>
            <w:tcBorders>
              <w:top w:val="single" w:sz="8" w:color="EAF9E8"/>
            </w:tcBorders>
            <w:shd w:val="clear" w:color="auto" w:fill="EAF9E8"/>
          </w:tcPr>
          <w:p>
            <w:pPr>
              <w:spacing w:after="0" w:line="20" w:lineRule="exact"/>
              <w:rPr>
                <w:sz w:val="1"/>
                <w:szCs w:val="1"/>
                <w:color w:val="auto"/>
              </w:rPr>
            </w:pPr>
          </w:p>
        </w:tc>
        <w:tc>
          <w:tcPr>
            <w:tcW w:w="900" w:type="dxa"/>
            <w:vAlign w:val="bottom"/>
            <w:tcBorders>
              <w:top w:val="single" w:sz="8" w:color="EAF9E8"/>
            </w:tcBorders>
            <w:shd w:val="clear" w:color="auto" w:fill="EAF9E8"/>
          </w:tcPr>
          <w:p>
            <w:pPr>
              <w:spacing w:after="0" w:line="20" w:lineRule="exact"/>
              <w:rPr>
                <w:sz w:val="1"/>
                <w:szCs w:val="1"/>
                <w:color w:val="auto"/>
              </w:rPr>
            </w:pPr>
          </w:p>
        </w:tc>
        <w:tc>
          <w:tcPr>
            <w:tcW w:w="120" w:type="dxa"/>
            <w:vAlign w:val="bottom"/>
            <w:tcBorders>
              <w:top w:val="single" w:sz="8" w:color="EAF9E8"/>
            </w:tcBorders>
            <w:shd w:val="clear" w:color="auto" w:fill="EAF9E8"/>
          </w:tcPr>
          <w:p>
            <w:pPr>
              <w:spacing w:after="0" w:line="20" w:lineRule="exact"/>
              <w:rPr>
                <w:sz w:val="1"/>
                <w:szCs w:val="1"/>
                <w:color w:val="auto"/>
              </w:rPr>
            </w:pPr>
          </w:p>
        </w:tc>
      </w:tr>
      <w:tr>
        <w:trPr>
          <w:trHeight w:val="216"/>
        </w:trPr>
        <w:tc>
          <w:tcPr>
            <w:tcW w:w="5200" w:type="dxa"/>
            <w:vAlign w:val="bottom"/>
            <w:gridSpan w:val="3"/>
          </w:tcPr>
          <w:p>
            <w:pPr>
              <w:spacing w:after="0"/>
              <w:rPr>
                <w:sz w:val="20"/>
                <w:szCs w:val="20"/>
                <w:color w:val="auto"/>
              </w:rPr>
            </w:pPr>
            <w:r>
              <w:rPr>
                <w:rFonts w:ascii="Arial" w:cs="Arial" w:eastAsia="Arial" w:hAnsi="Arial"/>
                <w:sz w:val="18"/>
                <w:szCs w:val="18"/>
                <w:color w:val="auto"/>
              </w:rPr>
              <w:t>Net income (loss) attributable to OCN</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(42,031)</w:t>
            </w:r>
          </w:p>
        </w:tc>
        <w:tc>
          <w:tcPr>
            <w:tcW w:w="420" w:type="dxa"/>
            <w:vAlign w:val="bottom"/>
          </w:tcPr>
          <w:p>
            <w:pPr>
              <w:jc w:val="right"/>
              <w:ind w:right="263"/>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14,976</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(9,092)</w:t>
            </w:r>
          </w:p>
        </w:tc>
        <w:tc>
          <w:tcPr>
            <w:tcW w:w="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17,531</w:t>
            </w:r>
          </w:p>
        </w:tc>
        <w:tc>
          <w:tcPr>
            <w:tcW w:w="120" w:type="dxa"/>
            <w:vAlign w:val="bottom"/>
          </w:tcPr>
          <w:p>
            <w:pPr>
              <w:spacing w:after="0"/>
              <w:rPr>
                <w:sz w:val="18"/>
                <w:szCs w:val="18"/>
                <w:color w:val="auto"/>
              </w:rPr>
            </w:pPr>
          </w:p>
        </w:tc>
      </w:tr>
      <w:tr>
        <w:trPr>
          <w:trHeight w:val="20"/>
        </w:trPr>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4"/>
        </w:trPr>
        <w:tc>
          <w:tcPr>
            <w:tcW w:w="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83"/>
        </w:trPr>
        <w:tc>
          <w:tcPr>
            <w:tcW w:w="5200" w:type="dxa"/>
            <w:vAlign w:val="bottom"/>
            <w:tcBorders>
              <w:bottom w:val="single" w:sz="8" w:color="EAF9E8"/>
            </w:tcBorders>
            <w:gridSpan w:val="3"/>
            <w:shd w:val="clear" w:color="auto" w:fill="EAF9E8"/>
          </w:tcPr>
          <w:p>
            <w:pPr>
              <w:spacing w:after="0"/>
              <w:rPr>
                <w:sz w:val="20"/>
                <w:szCs w:val="20"/>
                <w:color w:val="auto"/>
              </w:rPr>
            </w:pPr>
            <w:r>
              <w:rPr>
                <w:rFonts w:ascii="Arial" w:cs="Arial" w:eastAsia="Arial" w:hAnsi="Arial"/>
                <w:sz w:val="18"/>
                <w:szCs w:val="18"/>
                <w:color w:val="auto"/>
              </w:rPr>
              <w:t>Weighted average shares of common stock</w:t>
            </w:r>
          </w:p>
        </w:tc>
        <w:tc>
          <w:tcPr>
            <w:tcW w:w="280" w:type="dxa"/>
            <w:vAlign w:val="bottom"/>
            <w:tcBorders>
              <w:bottom w:val="single" w:sz="8" w:color="auto"/>
            </w:tcBorders>
            <w:shd w:val="clear" w:color="auto" w:fill="EAF9E8"/>
          </w:tcPr>
          <w:p>
            <w:pPr>
              <w:spacing w:after="0"/>
              <w:rPr>
                <w:sz w:val="24"/>
                <w:szCs w:val="24"/>
                <w:color w:val="auto"/>
              </w:rPr>
            </w:pPr>
          </w:p>
        </w:tc>
        <w:tc>
          <w:tcPr>
            <w:tcW w:w="1000" w:type="dxa"/>
            <w:vAlign w:val="bottom"/>
            <w:tcBorders>
              <w:bottom w:val="single" w:sz="8" w:color="auto"/>
              <w:right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82,614,456</w:t>
            </w:r>
          </w:p>
        </w:tc>
        <w:tc>
          <w:tcPr>
            <w:tcW w:w="320" w:type="dxa"/>
            <w:vAlign w:val="bottom"/>
            <w:tcBorders>
              <w:bottom w:val="single" w:sz="8" w:color="EAF9E8"/>
            </w:tcBorders>
            <w:shd w:val="clear" w:color="auto" w:fill="EAF9E8"/>
          </w:tcPr>
          <w:p>
            <w:pPr>
              <w:spacing w:after="0"/>
              <w:rPr>
                <w:sz w:val="24"/>
                <w:szCs w:val="24"/>
                <w:color w:val="auto"/>
              </w:rPr>
            </w:pPr>
          </w:p>
        </w:tc>
        <w:tc>
          <w:tcPr>
            <w:tcW w:w="420" w:type="dxa"/>
            <w:vAlign w:val="bottom"/>
            <w:tcBorders>
              <w:bottom w:val="single" w:sz="8" w:color="auto"/>
            </w:tcBorders>
            <w:shd w:val="clear" w:color="auto" w:fill="EAF9E8"/>
          </w:tcPr>
          <w:p>
            <w:pPr>
              <w:spacing w:after="0"/>
              <w:rPr>
                <w:sz w:val="24"/>
                <w:szCs w:val="24"/>
                <w:color w:val="auto"/>
              </w:rPr>
            </w:pPr>
          </w:p>
        </w:tc>
        <w:tc>
          <w:tcPr>
            <w:tcW w:w="8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3"/>
              </w:rPr>
              <w:t>62,715,551</w:t>
            </w:r>
          </w:p>
        </w:tc>
        <w:tc>
          <w:tcPr>
            <w:tcW w:w="320" w:type="dxa"/>
            <w:vAlign w:val="bottom"/>
            <w:tcBorders>
              <w:bottom w:val="single" w:sz="8" w:color="EAF9E8"/>
            </w:tcBorders>
            <w:shd w:val="clear" w:color="auto" w:fill="EAF9E8"/>
          </w:tcPr>
          <w:p>
            <w:pPr>
              <w:spacing w:after="0"/>
              <w:rPr>
                <w:sz w:val="24"/>
                <w:szCs w:val="24"/>
                <w:color w:val="auto"/>
              </w:rPr>
            </w:pPr>
          </w:p>
        </w:tc>
        <w:tc>
          <w:tcPr>
            <w:tcW w:w="280" w:type="dxa"/>
            <w:vAlign w:val="bottom"/>
            <w:tcBorders>
              <w:bottom w:val="single" w:sz="8" w:color="auto"/>
            </w:tcBorders>
            <w:shd w:val="clear" w:color="auto" w:fill="EAF9E8"/>
          </w:tcPr>
          <w:p>
            <w:pPr>
              <w:spacing w:after="0"/>
              <w:rPr>
                <w:sz w:val="24"/>
                <w:szCs w:val="24"/>
                <w:color w:val="auto"/>
              </w:rPr>
            </w:pPr>
          </w:p>
        </w:tc>
        <w:tc>
          <w:tcPr>
            <w:tcW w:w="10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70,966,393</w:t>
            </w:r>
          </w:p>
        </w:tc>
        <w:tc>
          <w:tcPr>
            <w:tcW w:w="200" w:type="dxa"/>
            <w:vAlign w:val="bottom"/>
            <w:tcBorders>
              <w:bottom w:val="single" w:sz="8" w:color="EAF9E8"/>
            </w:tcBorders>
            <w:shd w:val="clear" w:color="auto" w:fill="EAF9E8"/>
          </w:tcPr>
          <w:p>
            <w:pPr>
              <w:spacing w:after="0"/>
              <w:rPr>
                <w:sz w:val="24"/>
                <w:szCs w:val="24"/>
                <w:color w:val="auto"/>
              </w:rPr>
            </w:pPr>
          </w:p>
        </w:tc>
        <w:tc>
          <w:tcPr>
            <w:tcW w:w="140" w:type="dxa"/>
            <w:vAlign w:val="bottom"/>
            <w:tcBorders>
              <w:bottom w:val="single" w:sz="8" w:color="EAF9E8"/>
            </w:tcBorders>
            <w:shd w:val="clear" w:color="auto" w:fill="EAF9E8"/>
          </w:tcPr>
          <w:p>
            <w:pPr>
              <w:spacing w:after="0"/>
              <w:rPr>
                <w:sz w:val="24"/>
                <w:szCs w:val="24"/>
                <w:color w:val="auto"/>
              </w:rPr>
            </w:pPr>
          </w:p>
        </w:tc>
        <w:tc>
          <w:tcPr>
            <w:tcW w:w="380" w:type="dxa"/>
            <w:vAlign w:val="bottom"/>
            <w:tcBorders>
              <w:bottom w:val="single" w:sz="8" w:color="auto"/>
            </w:tcBorders>
            <w:shd w:val="clear" w:color="auto" w:fill="EAF9E8"/>
          </w:tcPr>
          <w:p>
            <w:pPr>
              <w:spacing w:after="0"/>
              <w:rPr>
                <w:sz w:val="24"/>
                <w:szCs w:val="24"/>
                <w:color w:val="auto"/>
              </w:rPr>
            </w:pPr>
          </w:p>
        </w:tc>
        <w:tc>
          <w:tcPr>
            <w:tcW w:w="9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7"/>
              </w:rPr>
              <w:t>62,655,655</w:t>
            </w:r>
          </w:p>
        </w:tc>
        <w:tc>
          <w:tcPr>
            <w:tcW w:w="120" w:type="dxa"/>
            <w:vAlign w:val="bottom"/>
            <w:tcBorders>
              <w:bottom w:val="single" w:sz="8" w:color="EAF9E8"/>
            </w:tcBorders>
            <w:shd w:val="clear" w:color="auto" w:fill="EAF9E8"/>
          </w:tcPr>
          <w:p>
            <w:pPr>
              <w:spacing w:after="0"/>
              <w:rPr>
                <w:sz w:val="24"/>
                <w:szCs w:val="24"/>
                <w:color w:val="auto"/>
              </w:rPr>
            </w:pPr>
          </w:p>
        </w:tc>
      </w:tr>
      <w:tr>
        <w:trPr>
          <w:trHeight w:val="440"/>
        </w:trPr>
        <w:tc>
          <w:tcPr>
            <w:tcW w:w="5200" w:type="dxa"/>
            <w:vAlign w:val="bottom"/>
            <w:gridSpan w:val="3"/>
          </w:tcPr>
          <w:p>
            <w:pPr>
              <w:spacing w:after="0"/>
              <w:rPr>
                <w:sz w:val="20"/>
                <w:szCs w:val="20"/>
                <w:color w:val="auto"/>
              </w:rPr>
            </w:pPr>
            <w:r>
              <w:rPr>
                <w:rFonts w:ascii="Arial" w:cs="Arial" w:eastAsia="Arial" w:hAnsi="Arial"/>
                <w:sz w:val="18"/>
                <w:szCs w:val="18"/>
                <w:color w:val="auto"/>
              </w:rPr>
              <w:t>Basic EPS</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(0.51)</w:t>
            </w:r>
          </w:p>
        </w:tc>
        <w:tc>
          <w:tcPr>
            <w:tcW w:w="420" w:type="dxa"/>
            <w:vAlign w:val="bottom"/>
          </w:tcPr>
          <w:p>
            <w:pPr>
              <w:jc w:val="right"/>
              <w:ind w:right="263"/>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0.24</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(0.13)</w:t>
            </w:r>
          </w:p>
        </w:tc>
        <w:tc>
          <w:tcPr>
            <w:tcW w:w="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0.28</w:t>
            </w:r>
          </w:p>
        </w:tc>
        <w:tc>
          <w:tcPr>
            <w:tcW w:w="120" w:type="dxa"/>
            <w:vAlign w:val="bottom"/>
          </w:tcPr>
          <w:p>
            <w:pPr>
              <w:spacing w:after="0"/>
              <w:rPr>
                <w:sz w:val="24"/>
                <w:szCs w:val="24"/>
                <w:color w:val="auto"/>
              </w:rPr>
            </w:pPr>
          </w:p>
        </w:tc>
      </w:tr>
      <w:tr>
        <w:trPr>
          <w:trHeight w:val="20"/>
        </w:trPr>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4"/>
        </w:trPr>
        <w:tc>
          <w:tcPr>
            <w:tcW w:w="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03"/>
        </w:trPr>
        <w:tc>
          <w:tcPr>
            <w:tcW w:w="5200" w:type="dxa"/>
            <w:vAlign w:val="bottom"/>
            <w:gridSpan w:val="3"/>
            <w:shd w:val="clear" w:color="auto" w:fill="EAF9E8"/>
          </w:tcPr>
          <w:p>
            <w:pPr>
              <w:spacing w:after="0" w:line="202" w:lineRule="exact"/>
              <w:rPr>
                <w:sz w:val="20"/>
                <w:szCs w:val="20"/>
                <w:color w:val="auto"/>
              </w:rPr>
            </w:pPr>
            <w:r>
              <w:rPr>
                <w:rFonts w:ascii="Arial" w:cs="Arial" w:eastAsia="Arial" w:hAnsi="Arial"/>
                <w:sz w:val="18"/>
                <w:szCs w:val="18"/>
                <w:color w:val="auto"/>
              </w:rPr>
              <w:t>Diluted EPS (1):</w:t>
            </w:r>
          </w:p>
        </w:tc>
        <w:tc>
          <w:tcPr>
            <w:tcW w:w="280" w:type="dxa"/>
            <w:vAlign w:val="bottom"/>
            <w:shd w:val="clear" w:color="auto" w:fill="EAF9E8"/>
          </w:tcPr>
          <w:p>
            <w:pPr>
              <w:spacing w:after="0"/>
              <w:rPr>
                <w:sz w:val="17"/>
                <w:szCs w:val="17"/>
                <w:color w:val="auto"/>
              </w:rPr>
            </w:pPr>
          </w:p>
        </w:tc>
        <w:tc>
          <w:tcPr>
            <w:tcW w:w="1000" w:type="dxa"/>
            <w:vAlign w:val="bottom"/>
            <w:tcBorders>
              <w:right w:val="single" w:sz="8" w:color="EAF9E8"/>
            </w:tcBorders>
            <w:shd w:val="clear" w:color="auto" w:fill="EAF9E8"/>
          </w:tcPr>
          <w:p>
            <w:pPr>
              <w:spacing w:after="0"/>
              <w:rPr>
                <w:sz w:val="17"/>
                <w:szCs w:val="17"/>
                <w:color w:val="auto"/>
              </w:rPr>
            </w:pPr>
          </w:p>
        </w:tc>
        <w:tc>
          <w:tcPr>
            <w:tcW w:w="320" w:type="dxa"/>
            <w:vAlign w:val="bottom"/>
            <w:shd w:val="clear" w:color="auto" w:fill="EAF9E8"/>
          </w:tcPr>
          <w:p>
            <w:pPr>
              <w:spacing w:after="0"/>
              <w:rPr>
                <w:sz w:val="17"/>
                <w:szCs w:val="17"/>
                <w:color w:val="auto"/>
              </w:rPr>
            </w:pPr>
          </w:p>
        </w:tc>
        <w:tc>
          <w:tcPr>
            <w:tcW w:w="420" w:type="dxa"/>
            <w:vAlign w:val="bottom"/>
            <w:shd w:val="clear" w:color="auto" w:fill="EAF9E8"/>
          </w:tcPr>
          <w:p>
            <w:pPr>
              <w:spacing w:after="0"/>
              <w:rPr>
                <w:sz w:val="17"/>
                <w:szCs w:val="17"/>
                <w:color w:val="auto"/>
              </w:rPr>
            </w:pPr>
          </w:p>
        </w:tc>
        <w:tc>
          <w:tcPr>
            <w:tcW w:w="860" w:type="dxa"/>
            <w:vAlign w:val="bottom"/>
            <w:shd w:val="clear" w:color="auto" w:fill="EAF9E8"/>
          </w:tcPr>
          <w:p>
            <w:pPr>
              <w:spacing w:after="0"/>
              <w:rPr>
                <w:sz w:val="17"/>
                <w:szCs w:val="17"/>
                <w:color w:val="auto"/>
              </w:rPr>
            </w:pPr>
          </w:p>
        </w:tc>
        <w:tc>
          <w:tcPr>
            <w:tcW w:w="320" w:type="dxa"/>
            <w:vAlign w:val="bottom"/>
            <w:shd w:val="clear" w:color="auto" w:fill="EAF9E8"/>
          </w:tcPr>
          <w:p>
            <w:pPr>
              <w:spacing w:after="0"/>
              <w:rPr>
                <w:sz w:val="17"/>
                <w:szCs w:val="17"/>
                <w:color w:val="auto"/>
              </w:rPr>
            </w:pPr>
          </w:p>
        </w:tc>
        <w:tc>
          <w:tcPr>
            <w:tcW w:w="280" w:type="dxa"/>
            <w:vAlign w:val="bottom"/>
            <w:shd w:val="clear" w:color="auto" w:fill="EAF9E8"/>
          </w:tcPr>
          <w:p>
            <w:pPr>
              <w:spacing w:after="0"/>
              <w:rPr>
                <w:sz w:val="17"/>
                <w:szCs w:val="17"/>
                <w:color w:val="auto"/>
              </w:rPr>
            </w:pPr>
          </w:p>
        </w:tc>
        <w:tc>
          <w:tcPr>
            <w:tcW w:w="100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380" w:type="dxa"/>
            <w:vAlign w:val="bottom"/>
            <w:shd w:val="clear" w:color="auto" w:fill="EAF9E8"/>
          </w:tcPr>
          <w:p>
            <w:pPr>
              <w:spacing w:after="0"/>
              <w:rPr>
                <w:sz w:val="17"/>
                <w:szCs w:val="17"/>
                <w:color w:val="auto"/>
              </w:rPr>
            </w:pPr>
          </w:p>
        </w:tc>
        <w:tc>
          <w:tcPr>
            <w:tcW w:w="90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r>
      <w:tr>
        <w:trPr>
          <w:trHeight w:val="21"/>
        </w:trPr>
        <w:tc>
          <w:tcPr>
            <w:tcW w:w="740" w:type="dxa"/>
            <w:vAlign w:val="bottom"/>
            <w:tcBorders>
              <w:top w:val="single" w:sz="8" w:color="auto"/>
            </w:tcBorders>
            <w:shd w:val="clear" w:color="auto" w:fill="EAF9E8"/>
          </w:tcPr>
          <w:p>
            <w:pPr>
              <w:spacing w:after="0" w:line="20" w:lineRule="exact"/>
              <w:rPr>
                <w:sz w:val="1"/>
                <w:szCs w:val="1"/>
                <w:color w:val="auto"/>
              </w:rPr>
            </w:pPr>
          </w:p>
        </w:tc>
        <w:tc>
          <w:tcPr>
            <w:tcW w:w="380" w:type="dxa"/>
            <w:vAlign w:val="bottom"/>
            <w:tcBorders>
              <w:top w:val="single" w:sz="8" w:color="auto"/>
            </w:tcBorders>
            <w:shd w:val="clear" w:color="auto" w:fill="EAF9E8"/>
          </w:tcPr>
          <w:p>
            <w:pPr>
              <w:spacing w:after="0" w:line="20" w:lineRule="exact"/>
              <w:rPr>
                <w:sz w:val="1"/>
                <w:szCs w:val="1"/>
                <w:color w:val="auto"/>
              </w:rPr>
            </w:pPr>
          </w:p>
        </w:tc>
        <w:tc>
          <w:tcPr>
            <w:tcW w:w="4080" w:type="dxa"/>
            <w:vAlign w:val="bottom"/>
            <w:tcBorders>
              <w:top w:val="single" w:sz="8" w:color="EAF9E8"/>
            </w:tcBorders>
            <w:shd w:val="clear" w:color="auto" w:fill="EAF9E8"/>
          </w:tcPr>
          <w:p>
            <w:pPr>
              <w:spacing w:after="0" w:line="20" w:lineRule="exact"/>
              <w:rPr>
                <w:sz w:val="1"/>
                <w:szCs w:val="1"/>
                <w:color w:val="auto"/>
              </w:rPr>
            </w:pPr>
          </w:p>
        </w:tc>
        <w:tc>
          <w:tcPr>
            <w:tcW w:w="280" w:type="dxa"/>
            <w:vAlign w:val="bottom"/>
            <w:tcBorders>
              <w:top w:val="single" w:sz="8" w:color="EAF9E8"/>
            </w:tcBorders>
            <w:shd w:val="clear" w:color="auto" w:fill="EAF9E8"/>
          </w:tcPr>
          <w:p>
            <w:pPr>
              <w:spacing w:after="0" w:line="20" w:lineRule="exact"/>
              <w:rPr>
                <w:sz w:val="1"/>
                <w:szCs w:val="1"/>
                <w:color w:val="auto"/>
              </w:rPr>
            </w:pPr>
          </w:p>
        </w:tc>
        <w:tc>
          <w:tcPr>
            <w:tcW w:w="1000" w:type="dxa"/>
            <w:vAlign w:val="bottom"/>
            <w:tcBorders>
              <w:top w:val="single" w:sz="8" w:color="EAF9E8"/>
              <w:right w:val="single" w:sz="8" w:color="EAF9E8"/>
            </w:tcBorders>
            <w:shd w:val="clear" w:color="auto" w:fill="EAF9E8"/>
          </w:tcPr>
          <w:p>
            <w:pPr>
              <w:spacing w:after="0" w:line="20" w:lineRule="exact"/>
              <w:rPr>
                <w:sz w:val="1"/>
                <w:szCs w:val="1"/>
                <w:color w:val="auto"/>
              </w:rPr>
            </w:pPr>
          </w:p>
        </w:tc>
        <w:tc>
          <w:tcPr>
            <w:tcW w:w="320" w:type="dxa"/>
            <w:vAlign w:val="bottom"/>
            <w:tcBorders>
              <w:top w:val="single" w:sz="8" w:color="EAF9E8"/>
            </w:tcBorders>
            <w:shd w:val="clear" w:color="auto" w:fill="EAF9E8"/>
          </w:tcPr>
          <w:p>
            <w:pPr>
              <w:spacing w:after="0" w:line="20" w:lineRule="exact"/>
              <w:rPr>
                <w:sz w:val="1"/>
                <w:szCs w:val="1"/>
                <w:color w:val="auto"/>
              </w:rPr>
            </w:pPr>
          </w:p>
        </w:tc>
        <w:tc>
          <w:tcPr>
            <w:tcW w:w="420" w:type="dxa"/>
            <w:vAlign w:val="bottom"/>
            <w:tcBorders>
              <w:top w:val="single" w:sz="8" w:color="EAF9E8"/>
            </w:tcBorders>
            <w:shd w:val="clear" w:color="auto" w:fill="EAF9E8"/>
          </w:tcPr>
          <w:p>
            <w:pPr>
              <w:spacing w:after="0" w:line="20" w:lineRule="exact"/>
              <w:rPr>
                <w:sz w:val="1"/>
                <w:szCs w:val="1"/>
                <w:color w:val="auto"/>
              </w:rPr>
            </w:pPr>
          </w:p>
        </w:tc>
        <w:tc>
          <w:tcPr>
            <w:tcW w:w="860" w:type="dxa"/>
            <w:vAlign w:val="bottom"/>
            <w:tcBorders>
              <w:top w:val="single" w:sz="8" w:color="EAF9E8"/>
            </w:tcBorders>
            <w:shd w:val="clear" w:color="auto" w:fill="EAF9E8"/>
          </w:tcPr>
          <w:p>
            <w:pPr>
              <w:spacing w:after="0" w:line="20" w:lineRule="exact"/>
              <w:rPr>
                <w:sz w:val="1"/>
                <w:szCs w:val="1"/>
                <w:color w:val="auto"/>
              </w:rPr>
            </w:pPr>
          </w:p>
        </w:tc>
        <w:tc>
          <w:tcPr>
            <w:tcW w:w="320" w:type="dxa"/>
            <w:vAlign w:val="bottom"/>
            <w:tcBorders>
              <w:top w:val="single" w:sz="8" w:color="EAF9E8"/>
            </w:tcBorders>
            <w:shd w:val="clear" w:color="auto" w:fill="EAF9E8"/>
          </w:tcPr>
          <w:p>
            <w:pPr>
              <w:spacing w:after="0" w:line="20" w:lineRule="exact"/>
              <w:rPr>
                <w:sz w:val="1"/>
                <w:szCs w:val="1"/>
                <w:color w:val="auto"/>
              </w:rPr>
            </w:pPr>
          </w:p>
        </w:tc>
        <w:tc>
          <w:tcPr>
            <w:tcW w:w="280" w:type="dxa"/>
            <w:vAlign w:val="bottom"/>
            <w:tcBorders>
              <w:top w:val="single" w:sz="8" w:color="EAF9E8"/>
            </w:tcBorders>
            <w:shd w:val="clear" w:color="auto" w:fill="EAF9E8"/>
          </w:tcPr>
          <w:p>
            <w:pPr>
              <w:spacing w:after="0" w:line="20" w:lineRule="exact"/>
              <w:rPr>
                <w:sz w:val="1"/>
                <w:szCs w:val="1"/>
                <w:color w:val="auto"/>
              </w:rPr>
            </w:pPr>
          </w:p>
        </w:tc>
        <w:tc>
          <w:tcPr>
            <w:tcW w:w="1000" w:type="dxa"/>
            <w:vAlign w:val="bottom"/>
            <w:tcBorders>
              <w:top w:val="single" w:sz="8" w:color="EAF9E8"/>
            </w:tcBorders>
            <w:shd w:val="clear" w:color="auto" w:fill="EAF9E8"/>
          </w:tcPr>
          <w:p>
            <w:pPr>
              <w:spacing w:after="0" w:line="20" w:lineRule="exact"/>
              <w:rPr>
                <w:sz w:val="1"/>
                <w:szCs w:val="1"/>
                <w:color w:val="auto"/>
              </w:rPr>
            </w:pPr>
          </w:p>
        </w:tc>
        <w:tc>
          <w:tcPr>
            <w:tcW w:w="200" w:type="dxa"/>
            <w:vAlign w:val="bottom"/>
            <w:tcBorders>
              <w:top w:val="single" w:sz="8" w:color="EAF9E8"/>
            </w:tcBorders>
            <w:shd w:val="clear" w:color="auto" w:fill="EAF9E8"/>
          </w:tcPr>
          <w:p>
            <w:pPr>
              <w:spacing w:after="0" w:line="20" w:lineRule="exact"/>
              <w:rPr>
                <w:sz w:val="1"/>
                <w:szCs w:val="1"/>
                <w:color w:val="auto"/>
              </w:rPr>
            </w:pPr>
          </w:p>
        </w:tc>
        <w:tc>
          <w:tcPr>
            <w:tcW w:w="140" w:type="dxa"/>
            <w:vAlign w:val="bottom"/>
            <w:tcBorders>
              <w:top w:val="single" w:sz="8" w:color="EAF9E8"/>
            </w:tcBorders>
            <w:shd w:val="clear" w:color="auto" w:fill="EAF9E8"/>
          </w:tcPr>
          <w:p>
            <w:pPr>
              <w:spacing w:after="0" w:line="20" w:lineRule="exact"/>
              <w:rPr>
                <w:sz w:val="1"/>
                <w:szCs w:val="1"/>
                <w:color w:val="auto"/>
              </w:rPr>
            </w:pPr>
          </w:p>
        </w:tc>
        <w:tc>
          <w:tcPr>
            <w:tcW w:w="380" w:type="dxa"/>
            <w:vAlign w:val="bottom"/>
            <w:tcBorders>
              <w:top w:val="single" w:sz="8" w:color="EAF9E8"/>
            </w:tcBorders>
            <w:shd w:val="clear" w:color="auto" w:fill="EAF9E8"/>
          </w:tcPr>
          <w:p>
            <w:pPr>
              <w:spacing w:after="0" w:line="20" w:lineRule="exact"/>
              <w:rPr>
                <w:sz w:val="1"/>
                <w:szCs w:val="1"/>
                <w:color w:val="auto"/>
              </w:rPr>
            </w:pPr>
          </w:p>
        </w:tc>
        <w:tc>
          <w:tcPr>
            <w:tcW w:w="900" w:type="dxa"/>
            <w:vAlign w:val="bottom"/>
            <w:tcBorders>
              <w:top w:val="single" w:sz="8" w:color="EAF9E8"/>
            </w:tcBorders>
            <w:shd w:val="clear" w:color="auto" w:fill="EAF9E8"/>
          </w:tcPr>
          <w:p>
            <w:pPr>
              <w:spacing w:after="0" w:line="20" w:lineRule="exact"/>
              <w:rPr>
                <w:sz w:val="1"/>
                <w:szCs w:val="1"/>
                <w:color w:val="auto"/>
              </w:rPr>
            </w:pPr>
          </w:p>
        </w:tc>
        <w:tc>
          <w:tcPr>
            <w:tcW w:w="120" w:type="dxa"/>
            <w:vAlign w:val="bottom"/>
            <w:tcBorders>
              <w:top w:val="single" w:sz="8" w:color="EAF9E8"/>
            </w:tcBorders>
            <w:shd w:val="clear" w:color="auto" w:fill="EAF9E8"/>
          </w:tcPr>
          <w:p>
            <w:pPr>
              <w:spacing w:after="0" w:line="20" w:lineRule="exact"/>
              <w:rPr>
                <w:sz w:val="1"/>
                <w:szCs w:val="1"/>
                <w:color w:val="auto"/>
              </w:rPr>
            </w:pPr>
          </w:p>
        </w:tc>
      </w:tr>
      <w:tr>
        <w:trPr>
          <w:trHeight w:val="242"/>
        </w:trPr>
        <w:tc>
          <w:tcPr>
            <w:tcW w:w="5200" w:type="dxa"/>
            <w:vAlign w:val="bottom"/>
            <w:gridSpan w:val="3"/>
          </w:tcPr>
          <w:p>
            <w:pPr>
              <w:spacing w:after="0"/>
              <w:rPr>
                <w:sz w:val="20"/>
                <w:szCs w:val="20"/>
                <w:color w:val="auto"/>
              </w:rPr>
            </w:pPr>
            <w:r>
              <w:rPr>
                <w:rFonts w:ascii="Arial" w:cs="Arial" w:eastAsia="Arial" w:hAnsi="Arial"/>
                <w:sz w:val="18"/>
                <w:szCs w:val="18"/>
                <w:color w:val="auto"/>
              </w:rPr>
              <w:t>Net income (loss) attributable to OCN</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(42,031)</w:t>
            </w:r>
          </w:p>
        </w:tc>
        <w:tc>
          <w:tcPr>
            <w:tcW w:w="420" w:type="dxa"/>
            <w:vAlign w:val="bottom"/>
          </w:tcPr>
          <w:p>
            <w:pPr>
              <w:jc w:val="right"/>
              <w:ind w:right="263"/>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14,976</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(9,092)</w:t>
            </w:r>
          </w:p>
        </w:tc>
        <w:tc>
          <w:tcPr>
            <w:tcW w:w="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17,531</w:t>
            </w:r>
          </w:p>
        </w:tc>
        <w:tc>
          <w:tcPr>
            <w:tcW w:w="120" w:type="dxa"/>
            <w:vAlign w:val="bottom"/>
          </w:tcPr>
          <w:p>
            <w:pPr>
              <w:spacing w:after="0"/>
              <w:rPr>
                <w:sz w:val="21"/>
                <w:szCs w:val="21"/>
                <w:color w:val="auto"/>
              </w:rPr>
            </w:pPr>
          </w:p>
        </w:tc>
      </w:tr>
      <w:tr>
        <w:trPr>
          <w:trHeight w:val="244"/>
        </w:trPr>
        <w:tc>
          <w:tcPr>
            <w:tcW w:w="5200" w:type="dxa"/>
            <w:vAlign w:val="bottom"/>
            <w:gridSpan w:val="3"/>
            <w:shd w:val="clear" w:color="auto" w:fill="EAF9E8"/>
          </w:tcPr>
          <w:p>
            <w:pPr>
              <w:spacing w:after="0"/>
              <w:rPr>
                <w:sz w:val="20"/>
                <w:szCs w:val="20"/>
                <w:color w:val="auto"/>
              </w:rPr>
            </w:pPr>
            <w:r>
              <w:rPr>
                <w:rFonts w:ascii="Arial" w:cs="Arial" w:eastAsia="Arial" w:hAnsi="Arial"/>
                <w:sz w:val="18"/>
                <w:szCs w:val="18"/>
                <w:color w:val="auto"/>
              </w:rPr>
              <w:t>Interest expense on Convertible Notes, net of income tax (2)</w:t>
            </w:r>
          </w:p>
        </w:tc>
        <w:tc>
          <w:tcPr>
            <w:tcW w:w="280" w:type="dxa"/>
            <w:vAlign w:val="bottom"/>
            <w:shd w:val="clear" w:color="auto" w:fill="EAF9E8"/>
          </w:tcPr>
          <w:p>
            <w:pPr>
              <w:spacing w:after="0"/>
              <w:rPr>
                <w:sz w:val="21"/>
                <w:szCs w:val="21"/>
                <w:color w:val="auto"/>
              </w:rPr>
            </w:pPr>
          </w:p>
        </w:tc>
        <w:tc>
          <w:tcPr>
            <w:tcW w:w="132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w:t>
            </w:r>
          </w:p>
        </w:tc>
        <w:tc>
          <w:tcPr>
            <w:tcW w:w="420" w:type="dxa"/>
            <w:vAlign w:val="bottom"/>
            <w:shd w:val="clear" w:color="auto" w:fill="EAF9E8"/>
          </w:tcPr>
          <w:p>
            <w:pPr>
              <w:spacing w:after="0"/>
              <w:rPr>
                <w:sz w:val="21"/>
                <w:szCs w:val="21"/>
                <w:color w:val="auto"/>
              </w:rPr>
            </w:pPr>
          </w:p>
        </w:tc>
        <w:tc>
          <w:tcPr>
            <w:tcW w:w="8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1,148</w:t>
            </w:r>
          </w:p>
        </w:tc>
        <w:tc>
          <w:tcPr>
            <w:tcW w:w="320" w:type="dxa"/>
            <w:vAlign w:val="bottom"/>
            <w:shd w:val="clear" w:color="auto" w:fill="EAF9E8"/>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120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EAF9E8"/>
          </w:tcPr>
          <w:p>
            <w:pPr>
              <w:spacing w:after="0"/>
              <w:rPr>
                <w:sz w:val="21"/>
                <w:szCs w:val="21"/>
                <w:color w:val="auto"/>
              </w:rPr>
            </w:pPr>
          </w:p>
        </w:tc>
        <w:tc>
          <w:tcPr>
            <w:tcW w:w="380" w:type="dxa"/>
            <w:vAlign w:val="bottom"/>
            <w:shd w:val="clear" w:color="auto" w:fill="EAF9E8"/>
          </w:tcPr>
          <w:p>
            <w:pPr>
              <w:spacing w:after="0"/>
              <w:rPr>
                <w:sz w:val="21"/>
                <w:szCs w:val="21"/>
                <w:color w:val="auto"/>
              </w:rPr>
            </w:pPr>
          </w:p>
        </w:tc>
        <w:tc>
          <w:tcPr>
            <w:tcW w:w="9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21"/>
                <w:szCs w:val="21"/>
                <w:color w:val="auto"/>
              </w:rPr>
            </w:pPr>
          </w:p>
        </w:tc>
      </w:tr>
      <w:tr>
        <w:trPr>
          <w:trHeight w:val="20"/>
        </w:trPr>
        <w:tc>
          <w:tcPr>
            <w:tcW w:w="740" w:type="dxa"/>
            <w:vAlign w:val="bottom"/>
            <w:shd w:val="clear" w:color="auto" w:fill="EAF9E8"/>
          </w:tcPr>
          <w:p>
            <w:pPr>
              <w:spacing w:after="0" w:line="20" w:lineRule="exact"/>
              <w:rPr>
                <w:sz w:val="1"/>
                <w:szCs w:val="1"/>
                <w:color w:val="auto"/>
              </w:rPr>
            </w:pPr>
          </w:p>
        </w:tc>
        <w:tc>
          <w:tcPr>
            <w:tcW w:w="380" w:type="dxa"/>
            <w:vAlign w:val="bottom"/>
            <w:shd w:val="clear" w:color="auto" w:fill="EAF9E8"/>
          </w:tcPr>
          <w:p>
            <w:pPr>
              <w:spacing w:after="0" w:line="20" w:lineRule="exact"/>
              <w:rPr>
                <w:sz w:val="1"/>
                <w:szCs w:val="1"/>
                <w:color w:val="auto"/>
              </w:rPr>
            </w:pPr>
          </w:p>
        </w:tc>
        <w:tc>
          <w:tcPr>
            <w:tcW w:w="4080" w:type="dxa"/>
            <w:vAlign w:val="bottom"/>
            <w:shd w:val="clear" w:color="auto" w:fill="EAF9E8"/>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tcBorders>
              <w:right w:val="single" w:sz="8" w:color="EAF9E8"/>
            </w:tcBorders>
            <w:shd w:val="clear" w:color="auto" w:fill="000000"/>
          </w:tcPr>
          <w:p>
            <w:pPr>
              <w:spacing w:after="0" w:line="20" w:lineRule="exact"/>
              <w:rPr>
                <w:sz w:val="1"/>
                <w:szCs w:val="1"/>
                <w:color w:val="auto"/>
              </w:rPr>
            </w:pPr>
          </w:p>
        </w:tc>
        <w:tc>
          <w:tcPr>
            <w:tcW w:w="320" w:type="dxa"/>
            <w:vAlign w:val="bottom"/>
            <w:shd w:val="clear" w:color="auto" w:fill="EAF9E8"/>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shd w:val="clear" w:color="auto" w:fill="EAF9E8"/>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EAF9E8"/>
          </w:tcPr>
          <w:p>
            <w:pPr>
              <w:spacing w:after="0" w:line="20" w:lineRule="exact"/>
              <w:rPr>
                <w:sz w:val="1"/>
                <w:szCs w:val="1"/>
                <w:color w:val="auto"/>
              </w:rPr>
            </w:pPr>
          </w:p>
        </w:tc>
        <w:tc>
          <w:tcPr>
            <w:tcW w:w="140" w:type="dxa"/>
            <w:vAlign w:val="bottom"/>
            <w:shd w:val="clear" w:color="auto" w:fill="EAF9E8"/>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EAF9E8"/>
          </w:tcPr>
          <w:p>
            <w:pPr>
              <w:spacing w:after="0" w:line="20" w:lineRule="exact"/>
              <w:rPr>
                <w:sz w:val="1"/>
                <w:szCs w:val="1"/>
                <w:color w:val="auto"/>
              </w:rPr>
            </w:pPr>
          </w:p>
        </w:tc>
      </w:tr>
      <w:tr>
        <w:trPr>
          <w:trHeight w:val="210"/>
        </w:trPr>
        <w:tc>
          <w:tcPr>
            <w:tcW w:w="5200" w:type="dxa"/>
            <w:vAlign w:val="bottom"/>
            <w:gridSpan w:val="3"/>
          </w:tcPr>
          <w:p>
            <w:pPr>
              <w:spacing w:after="0"/>
              <w:rPr>
                <w:sz w:val="20"/>
                <w:szCs w:val="20"/>
                <w:color w:val="auto"/>
              </w:rPr>
            </w:pPr>
            <w:r>
              <w:rPr>
                <w:rFonts w:ascii="Arial" w:cs="Arial" w:eastAsia="Arial" w:hAnsi="Arial"/>
                <w:sz w:val="18"/>
                <w:szCs w:val="18"/>
                <w:color w:val="auto"/>
              </w:rPr>
              <w:t>Adjusted net income (loss) attributable to OCN</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(42,031)</w:t>
            </w:r>
          </w:p>
        </w:tc>
        <w:tc>
          <w:tcPr>
            <w:tcW w:w="420" w:type="dxa"/>
            <w:vAlign w:val="bottom"/>
          </w:tcPr>
          <w:p>
            <w:pPr>
              <w:jc w:val="right"/>
              <w:ind w:right="263"/>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16,124</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(9,092)</w:t>
            </w:r>
          </w:p>
        </w:tc>
        <w:tc>
          <w:tcPr>
            <w:tcW w:w="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17,531</w:t>
            </w:r>
          </w:p>
        </w:tc>
        <w:tc>
          <w:tcPr>
            <w:tcW w:w="120" w:type="dxa"/>
            <w:vAlign w:val="bottom"/>
          </w:tcPr>
          <w:p>
            <w:pPr>
              <w:spacing w:after="0"/>
              <w:rPr>
                <w:sz w:val="18"/>
                <w:szCs w:val="18"/>
                <w:color w:val="auto"/>
              </w:rPr>
            </w:pPr>
          </w:p>
        </w:tc>
      </w:tr>
      <w:tr>
        <w:trPr>
          <w:trHeight w:val="20"/>
        </w:trPr>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4"/>
        </w:trPr>
        <w:tc>
          <w:tcPr>
            <w:tcW w:w="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43"/>
        </w:trPr>
        <w:tc>
          <w:tcPr>
            <w:tcW w:w="5200" w:type="dxa"/>
            <w:vAlign w:val="bottom"/>
            <w:gridSpan w:val="3"/>
            <w:shd w:val="clear" w:color="auto" w:fill="EAF9E8"/>
          </w:tcPr>
          <w:p>
            <w:pPr>
              <w:spacing w:after="0"/>
              <w:rPr>
                <w:sz w:val="20"/>
                <w:szCs w:val="20"/>
                <w:color w:val="auto"/>
              </w:rPr>
            </w:pPr>
            <w:r>
              <w:rPr>
                <w:rFonts w:ascii="Arial" w:cs="Arial" w:eastAsia="Arial" w:hAnsi="Arial"/>
                <w:sz w:val="18"/>
                <w:szCs w:val="18"/>
                <w:color w:val="auto"/>
              </w:rPr>
              <w:t>Weighted average shares of common stock</w:t>
            </w:r>
          </w:p>
        </w:tc>
        <w:tc>
          <w:tcPr>
            <w:tcW w:w="280" w:type="dxa"/>
            <w:vAlign w:val="bottom"/>
            <w:shd w:val="clear" w:color="auto" w:fill="EAF9E8"/>
          </w:tcPr>
          <w:p>
            <w:pPr>
              <w:spacing w:after="0"/>
              <w:rPr>
                <w:sz w:val="21"/>
                <w:szCs w:val="21"/>
                <w:color w:val="auto"/>
              </w:rPr>
            </w:pPr>
          </w:p>
        </w:tc>
        <w:tc>
          <w:tcPr>
            <w:tcW w:w="1000" w:type="dxa"/>
            <w:vAlign w:val="bottom"/>
            <w:tcBorders>
              <w:right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82,614,456</w:t>
            </w:r>
          </w:p>
        </w:tc>
        <w:tc>
          <w:tcPr>
            <w:tcW w:w="320" w:type="dxa"/>
            <w:vAlign w:val="bottom"/>
            <w:shd w:val="clear" w:color="auto" w:fill="EAF9E8"/>
          </w:tcPr>
          <w:p>
            <w:pPr>
              <w:spacing w:after="0"/>
              <w:rPr>
                <w:sz w:val="21"/>
                <w:szCs w:val="21"/>
                <w:color w:val="auto"/>
              </w:rPr>
            </w:pPr>
          </w:p>
        </w:tc>
        <w:tc>
          <w:tcPr>
            <w:tcW w:w="420" w:type="dxa"/>
            <w:vAlign w:val="bottom"/>
            <w:shd w:val="clear" w:color="auto" w:fill="EAF9E8"/>
          </w:tcPr>
          <w:p>
            <w:pPr>
              <w:spacing w:after="0"/>
              <w:rPr>
                <w:sz w:val="21"/>
                <w:szCs w:val="21"/>
                <w:color w:val="auto"/>
              </w:rPr>
            </w:pPr>
          </w:p>
        </w:tc>
        <w:tc>
          <w:tcPr>
            <w:tcW w:w="86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3"/>
              </w:rPr>
              <w:t>62,715,551</w:t>
            </w:r>
          </w:p>
        </w:tc>
        <w:tc>
          <w:tcPr>
            <w:tcW w:w="320" w:type="dxa"/>
            <w:vAlign w:val="bottom"/>
            <w:shd w:val="clear" w:color="auto" w:fill="EAF9E8"/>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120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70,966,393</w:t>
            </w:r>
          </w:p>
        </w:tc>
        <w:tc>
          <w:tcPr>
            <w:tcW w:w="140" w:type="dxa"/>
            <w:vAlign w:val="bottom"/>
            <w:shd w:val="clear" w:color="auto" w:fill="EAF9E8"/>
          </w:tcPr>
          <w:p>
            <w:pPr>
              <w:spacing w:after="0"/>
              <w:rPr>
                <w:sz w:val="21"/>
                <w:szCs w:val="21"/>
                <w:color w:val="auto"/>
              </w:rPr>
            </w:pPr>
          </w:p>
        </w:tc>
        <w:tc>
          <w:tcPr>
            <w:tcW w:w="380" w:type="dxa"/>
            <w:vAlign w:val="bottom"/>
            <w:shd w:val="clear" w:color="auto" w:fill="EAF9E8"/>
          </w:tcPr>
          <w:p>
            <w:pPr>
              <w:spacing w:after="0"/>
              <w:rPr>
                <w:sz w:val="21"/>
                <w:szCs w:val="21"/>
                <w:color w:val="auto"/>
              </w:rPr>
            </w:pPr>
          </w:p>
        </w:tc>
        <w:tc>
          <w:tcPr>
            <w:tcW w:w="90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7"/>
              </w:rPr>
              <w:t>62,655,655</w:t>
            </w:r>
          </w:p>
        </w:tc>
        <w:tc>
          <w:tcPr>
            <w:tcW w:w="120" w:type="dxa"/>
            <w:vAlign w:val="bottom"/>
            <w:shd w:val="clear" w:color="auto" w:fill="EAF9E8"/>
          </w:tcPr>
          <w:p>
            <w:pPr>
              <w:spacing w:after="0"/>
              <w:rPr>
                <w:sz w:val="21"/>
                <w:szCs w:val="21"/>
                <w:color w:val="auto"/>
              </w:rPr>
            </w:pPr>
          </w:p>
        </w:tc>
      </w:tr>
      <w:tr>
        <w:trPr>
          <w:trHeight w:val="242"/>
        </w:trPr>
        <w:tc>
          <w:tcPr>
            <w:tcW w:w="5200" w:type="dxa"/>
            <w:vAlign w:val="bottom"/>
            <w:gridSpan w:val="3"/>
          </w:tcPr>
          <w:p>
            <w:pPr>
              <w:spacing w:after="0"/>
              <w:rPr>
                <w:sz w:val="20"/>
                <w:szCs w:val="20"/>
                <w:color w:val="auto"/>
              </w:rPr>
            </w:pPr>
            <w:r>
              <w:rPr>
                <w:rFonts w:ascii="Arial" w:cs="Arial" w:eastAsia="Arial" w:hAnsi="Arial"/>
                <w:sz w:val="18"/>
                <w:szCs w:val="18"/>
                <w:color w:val="auto"/>
              </w:rPr>
              <w:t>Effect of dilutive elements (3):</w:t>
            </w: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4"/>
        </w:trPr>
        <w:tc>
          <w:tcPr>
            <w:tcW w:w="5200" w:type="dxa"/>
            <w:vAlign w:val="bottom"/>
            <w:gridSpan w:val="3"/>
            <w:shd w:val="clear" w:color="auto" w:fill="EAF9E8"/>
          </w:tcPr>
          <w:p>
            <w:pPr>
              <w:ind w:left="160"/>
              <w:spacing w:after="0"/>
              <w:rPr>
                <w:sz w:val="20"/>
                <w:szCs w:val="20"/>
                <w:color w:val="auto"/>
              </w:rPr>
            </w:pPr>
            <w:r>
              <w:rPr>
                <w:rFonts w:ascii="Arial" w:cs="Arial" w:eastAsia="Arial" w:hAnsi="Arial"/>
                <w:sz w:val="18"/>
                <w:szCs w:val="18"/>
                <w:color w:val="auto"/>
              </w:rPr>
              <w:t>Convertible Notes (2)</w:t>
            </w:r>
          </w:p>
        </w:tc>
        <w:tc>
          <w:tcPr>
            <w:tcW w:w="280" w:type="dxa"/>
            <w:vAlign w:val="bottom"/>
            <w:shd w:val="clear" w:color="auto" w:fill="EAF9E8"/>
          </w:tcPr>
          <w:p>
            <w:pPr>
              <w:spacing w:after="0"/>
              <w:rPr>
                <w:sz w:val="21"/>
                <w:szCs w:val="21"/>
                <w:color w:val="auto"/>
              </w:rPr>
            </w:pPr>
          </w:p>
        </w:tc>
        <w:tc>
          <w:tcPr>
            <w:tcW w:w="132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w:t>
            </w:r>
          </w:p>
        </w:tc>
        <w:tc>
          <w:tcPr>
            <w:tcW w:w="420" w:type="dxa"/>
            <w:vAlign w:val="bottom"/>
            <w:shd w:val="clear" w:color="auto" w:fill="EAF9E8"/>
          </w:tcPr>
          <w:p>
            <w:pPr>
              <w:spacing w:after="0"/>
              <w:rPr>
                <w:sz w:val="21"/>
                <w:szCs w:val="21"/>
                <w:color w:val="auto"/>
              </w:rPr>
            </w:pPr>
          </w:p>
        </w:tc>
        <w:tc>
          <w:tcPr>
            <w:tcW w:w="8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6,767,053</w:t>
            </w:r>
          </w:p>
        </w:tc>
        <w:tc>
          <w:tcPr>
            <w:tcW w:w="320" w:type="dxa"/>
            <w:vAlign w:val="bottom"/>
            <w:shd w:val="clear" w:color="auto" w:fill="EAF9E8"/>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120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EAF9E8"/>
          </w:tcPr>
          <w:p>
            <w:pPr>
              <w:spacing w:after="0"/>
              <w:rPr>
                <w:sz w:val="21"/>
                <w:szCs w:val="21"/>
                <w:color w:val="auto"/>
              </w:rPr>
            </w:pPr>
          </w:p>
        </w:tc>
        <w:tc>
          <w:tcPr>
            <w:tcW w:w="380" w:type="dxa"/>
            <w:vAlign w:val="bottom"/>
            <w:shd w:val="clear" w:color="auto" w:fill="EAF9E8"/>
          </w:tcPr>
          <w:p>
            <w:pPr>
              <w:spacing w:after="0"/>
              <w:rPr>
                <w:sz w:val="21"/>
                <w:szCs w:val="21"/>
                <w:color w:val="auto"/>
              </w:rPr>
            </w:pPr>
          </w:p>
        </w:tc>
        <w:tc>
          <w:tcPr>
            <w:tcW w:w="9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21"/>
                <w:szCs w:val="21"/>
                <w:color w:val="auto"/>
              </w:rPr>
            </w:pPr>
          </w:p>
        </w:tc>
      </w:tr>
      <w:tr>
        <w:trPr>
          <w:trHeight w:val="242"/>
        </w:trPr>
        <w:tc>
          <w:tcPr>
            <w:tcW w:w="5200" w:type="dxa"/>
            <w:vAlign w:val="bottom"/>
            <w:gridSpan w:val="3"/>
          </w:tcPr>
          <w:p>
            <w:pPr>
              <w:ind w:left="160"/>
              <w:spacing w:after="0"/>
              <w:rPr>
                <w:sz w:val="20"/>
                <w:szCs w:val="20"/>
                <w:color w:val="auto"/>
              </w:rPr>
            </w:pPr>
            <w:r>
              <w:rPr>
                <w:rFonts w:ascii="Arial" w:cs="Arial" w:eastAsia="Arial" w:hAnsi="Arial"/>
                <w:sz w:val="18"/>
                <w:szCs w:val="18"/>
                <w:color w:val="auto"/>
              </w:rPr>
              <w:t>Stock options (4)</w:t>
            </w:r>
          </w:p>
        </w:tc>
        <w:tc>
          <w:tcPr>
            <w:tcW w:w="280" w:type="dxa"/>
            <w:vAlign w:val="bottom"/>
          </w:tcPr>
          <w:p>
            <w:pPr>
              <w:spacing w:after="0"/>
              <w:rPr>
                <w:sz w:val="21"/>
                <w:szCs w:val="21"/>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252,251</w:t>
            </w: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219,214</w:t>
            </w:r>
          </w:p>
        </w:tc>
        <w:tc>
          <w:tcPr>
            <w:tcW w:w="120" w:type="dxa"/>
            <w:vAlign w:val="bottom"/>
          </w:tcPr>
          <w:p>
            <w:pPr>
              <w:spacing w:after="0"/>
              <w:rPr>
                <w:sz w:val="21"/>
                <w:szCs w:val="21"/>
                <w:color w:val="auto"/>
              </w:rPr>
            </w:pPr>
          </w:p>
        </w:tc>
      </w:tr>
      <w:tr>
        <w:trPr>
          <w:trHeight w:val="244"/>
        </w:trPr>
        <w:tc>
          <w:tcPr>
            <w:tcW w:w="5200" w:type="dxa"/>
            <w:vAlign w:val="bottom"/>
            <w:gridSpan w:val="3"/>
            <w:shd w:val="clear" w:color="auto" w:fill="EAF9E8"/>
          </w:tcPr>
          <w:p>
            <w:pPr>
              <w:ind w:left="160"/>
              <w:spacing w:after="0"/>
              <w:rPr>
                <w:sz w:val="20"/>
                <w:szCs w:val="20"/>
                <w:color w:val="auto"/>
              </w:rPr>
            </w:pPr>
            <w:r>
              <w:rPr>
                <w:rFonts w:ascii="Arial" w:cs="Arial" w:eastAsia="Arial" w:hAnsi="Arial"/>
                <w:sz w:val="18"/>
                <w:szCs w:val="18"/>
                <w:color w:val="auto"/>
              </w:rPr>
              <w:t>Common stock awards</w:t>
            </w:r>
          </w:p>
        </w:tc>
        <w:tc>
          <w:tcPr>
            <w:tcW w:w="280" w:type="dxa"/>
            <w:vAlign w:val="bottom"/>
            <w:shd w:val="clear" w:color="auto" w:fill="EAF9E8"/>
          </w:tcPr>
          <w:p>
            <w:pPr>
              <w:spacing w:after="0"/>
              <w:rPr>
                <w:sz w:val="21"/>
                <w:szCs w:val="21"/>
                <w:color w:val="auto"/>
              </w:rPr>
            </w:pPr>
          </w:p>
        </w:tc>
        <w:tc>
          <w:tcPr>
            <w:tcW w:w="132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w:t>
            </w:r>
          </w:p>
        </w:tc>
        <w:tc>
          <w:tcPr>
            <w:tcW w:w="420" w:type="dxa"/>
            <w:vAlign w:val="bottom"/>
            <w:shd w:val="clear" w:color="auto" w:fill="EAF9E8"/>
          </w:tcPr>
          <w:p>
            <w:pPr>
              <w:spacing w:after="0"/>
              <w:rPr>
                <w:sz w:val="21"/>
                <w:szCs w:val="21"/>
                <w:color w:val="auto"/>
              </w:rPr>
            </w:pPr>
          </w:p>
        </w:tc>
        <w:tc>
          <w:tcPr>
            <w:tcW w:w="8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16,034</w:t>
            </w:r>
          </w:p>
        </w:tc>
        <w:tc>
          <w:tcPr>
            <w:tcW w:w="320" w:type="dxa"/>
            <w:vAlign w:val="bottom"/>
            <w:shd w:val="clear" w:color="auto" w:fill="EAF9E8"/>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120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EAF9E8"/>
          </w:tcPr>
          <w:p>
            <w:pPr>
              <w:spacing w:after="0"/>
              <w:rPr>
                <w:sz w:val="21"/>
                <w:szCs w:val="21"/>
                <w:color w:val="auto"/>
              </w:rPr>
            </w:pPr>
          </w:p>
        </w:tc>
        <w:tc>
          <w:tcPr>
            <w:tcW w:w="380" w:type="dxa"/>
            <w:vAlign w:val="bottom"/>
            <w:shd w:val="clear" w:color="auto" w:fill="EAF9E8"/>
          </w:tcPr>
          <w:p>
            <w:pPr>
              <w:spacing w:after="0"/>
              <w:rPr>
                <w:sz w:val="21"/>
                <w:szCs w:val="21"/>
                <w:color w:val="auto"/>
              </w:rPr>
            </w:pPr>
          </w:p>
        </w:tc>
        <w:tc>
          <w:tcPr>
            <w:tcW w:w="9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22,402</w:t>
            </w:r>
          </w:p>
        </w:tc>
        <w:tc>
          <w:tcPr>
            <w:tcW w:w="120" w:type="dxa"/>
            <w:vAlign w:val="bottom"/>
            <w:shd w:val="clear" w:color="auto" w:fill="EAF9E8"/>
          </w:tcPr>
          <w:p>
            <w:pPr>
              <w:spacing w:after="0"/>
              <w:rPr>
                <w:sz w:val="21"/>
                <w:szCs w:val="21"/>
                <w:color w:val="auto"/>
              </w:rPr>
            </w:pPr>
          </w:p>
        </w:tc>
      </w:tr>
      <w:tr>
        <w:trPr>
          <w:trHeight w:val="237"/>
        </w:trPr>
        <w:tc>
          <w:tcPr>
            <w:tcW w:w="5200" w:type="dxa"/>
            <w:vAlign w:val="bottom"/>
            <w:tcBorders>
              <w:top w:val="single" w:sz="8" w:color="EAF9E8"/>
            </w:tcBorders>
            <w:gridSpan w:val="3"/>
          </w:tcPr>
          <w:p>
            <w:pPr>
              <w:spacing w:after="0"/>
              <w:rPr>
                <w:sz w:val="20"/>
                <w:szCs w:val="20"/>
                <w:color w:val="auto"/>
              </w:rPr>
            </w:pPr>
            <w:r>
              <w:rPr>
                <w:rFonts w:ascii="Arial" w:cs="Arial" w:eastAsia="Arial" w:hAnsi="Arial"/>
                <w:sz w:val="18"/>
                <w:szCs w:val="18"/>
                <w:color w:val="auto"/>
              </w:rPr>
              <w:t>Dilutive weighted average shares of common stock</w:t>
            </w:r>
          </w:p>
        </w:tc>
        <w:tc>
          <w:tcPr>
            <w:tcW w:w="28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82,614,456</w:t>
            </w:r>
          </w:p>
        </w:tc>
        <w:tc>
          <w:tcPr>
            <w:tcW w:w="320" w:type="dxa"/>
            <w:vAlign w:val="bottom"/>
            <w:tcBorders>
              <w:top w:val="single" w:sz="8" w:color="EAF9E8"/>
            </w:tcBorders>
          </w:tcPr>
          <w:p>
            <w:pPr>
              <w:spacing w:after="0"/>
              <w:rPr>
                <w:sz w:val="20"/>
                <w:szCs w:val="20"/>
                <w:color w:val="auto"/>
              </w:rPr>
            </w:pPr>
          </w:p>
        </w:tc>
        <w:tc>
          <w:tcPr>
            <w:tcW w:w="42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69,750,889</w:t>
            </w:r>
          </w:p>
        </w:tc>
        <w:tc>
          <w:tcPr>
            <w:tcW w:w="320" w:type="dxa"/>
            <w:vAlign w:val="bottom"/>
            <w:tcBorders>
              <w:top w:val="single" w:sz="8" w:color="EAF9E8"/>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70,966,393</w:t>
            </w:r>
          </w:p>
        </w:tc>
        <w:tc>
          <w:tcPr>
            <w:tcW w:w="200" w:type="dxa"/>
            <w:vAlign w:val="bottom"/>
            <w:tcBorders>
              <w:top w:val="single" w:sz="8" w:color="EAF9E8"/>
            </w:tcBorders>
          </w:tcPr>
          <w:p>
            <w:pPr>
              <w:spacing w:after="0"/>
              <w:rPr>
                <w:sz w:val="20"/>
                <w:szCs w:val="20"/>
                <w:color w:val="auto"/>
              </w:rPr>
            </w:pPr>
          </w:p>
        </w:tc>
        <w:tc>
          <w:tcPr>
            <w:tcW w:w="140" w:type="dxa"/>
            <w:vAlign w:val="bottom"/>
            <w:tcBorders>
              <w:top w:val="single" w:sz="8" w:color="EAF9E8"/>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62,897,271</w:t>
            </w:r>
          </w:p>
        </w:tc>
        <w:tc>
          <w:tcPr>
            <w:tcW w:w="120" w:type="dxa"/>
            <w:vAlign w:val="bottom"/>
            <w:tcBorders>
              <w:top w:val="single" w:sz="8" w:color="EAF9E8"/>
            </w:tcBorders>
          </w:tcPr>
          <w:p>
            <w:pPr>
              <w:spacing w:after="0"/>
              <w:rPr>
                <w:sz w:val="20"/>
                <w:szCs w:val="20"/>
                <w:color w:val="auto"/>
              </w:rPr>
            </w:pPr>
          </w:p>
        </w:tc>
      </w:tr>
      <w:tr>
        <w:trPr>
          <w:trHeight w:val="20"/>
        </w:trPr>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4"/>
        </w:trPr>
        <w:tc>
          <w:tcPr>
            <w:tcW w:w="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gridSpan w:val="2"/>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0" w:type="dxa"/>
            <w:vAlign w:val="bottom"/>
            <w:gridSpan w:val="2"/>
          </w:tcPr>
          <w:p>
            <w:pPr>
              <w:spacing w:after="0"/>
              <w:rPr>
                <w:sz w:val="19"/>
                <w:szCs w:val="19"/>
                <w:color w:val="auto"/>
              </w:rPr>
            </w:pPr>
          </w:p>
        </w:tc>
        <w:tc>
          <w:tcPr>
            <w:tcW w:w="1200" w:type="dxa"/>
            <w:vAlign w:val="bottom"/>
            <w:gridSpan w:val="2"/>
          </w:tcPr>
          <w:p>
            <w:pPr>
              <w:spacing w:after="0"/>
              <w:rPr>
                <w:sz w:val="19"/>
                <w:szCs w:val="19"/>
                <w:color w:val="auto"/>
              </w:rPr>
            </w:pPr>
          </w:p>
        </w:tc>
        <w:tc>
          <w:tcPr>
            <w:tcW w:w="520" w:type="dxa"/>
            <w:vAlign w:val="bottom"/>
            <w:gridSpan w:val="2"/>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6"/>
        </w:trPr>
        <w:tc>
          <w:tcPr>
            <w:tcW w:w="5200" w:type="dxa"/>
            <w:vAlign w:val="bottom"/>
            <w:gridSpan w:val="3"/>
            <w:shd w:val="clear" w:color="auto" w:fill="EAF9E8"/>
          </w:tcPr>
          <w:p>
            <w:pPr>
              <w:spacing w:after="0"/>
              <w:rPr>
                <w:sz w:val="20"/>
                <w:szCs w:val="20"/>
                <w:color w:val="auto"/>
              </w:rPr>
            </w:pPr>
            <w:r>
              <w:rPr>
                <w:rFonts w:ascii="Arial" w:cs="Arial" w:eastAsia="Arial" w:hAnsi="Arial"/>
                <w:sz w:val="18"/>
                <w:szCs w:val="18"/>
                <w:color w:val="auto"/>
              </w:rPr>
              <w:t>Diluted EPS</w:t>
            </w:r>
          </w:p>
        </w:tc>
        <w:tc>
          <w:tcPr>
            <w:tcW w:w="280" w:type="dxa"/>
            <w:vAlign w:val="bottom"/>
            <w:shd w:val="clear" w:color="auto" w:fill="EAF9E8"/>
          </w:tcPr>
          <w:p>
            <w:pPr>
              <w:jc w:val="right"/>
              <w:ind w:right="92"/>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(0.51)</w:t>
            </w:r>
          </w:p>
        </w:tc>
        <w:tc>
          <w:tcPr>
            <w:tcW w:w="420" w:type="dxa"/>
            <w:vAlign w:val="bottom"/>
            <w:shd w:val="clear" w:color="auto" w:fill="EAF9E8"/>
          </w:tcPr>
          <w:p>
            <w:pPr>
              <w:jc w:val="right"/>
              <w:ind w:right="263"/>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0.23</w:t>
            </w:r>
          </w:p>
        </w:tc>
        <w:tc>
          <w:tcPr>
            <w:tcW w:w="60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(0.13)</w:t>
            </w:r>
          </w:p>
        </w:tc>
        <w:tc>
          <w:tcPr>
            <w:tcW w:w="520" w:type="dxa"/>
            <w:vAlign w:val="bottom"/>
            <w:gridSpan w:val="2"/>
            <w:shd w:val="clear" w:color="auto" w:fill="EAF9E8"/>
          </w:tcPr>
          <w:p>
            <w:pPr>
              <w:jc w:val="right"/>
              <w:ind w:right="300"/>
              <w:spacing w:after="0"/>
              <w:rPr>
                <w:sz w:val="20"/>
                <w:szCs w:val="20"/>
                <w:color w:val="auto"/>
              </w:rPr>
            </w:pPr>
            <w:r>
              <w:rPr>
                <w:rFonts w:ascii="Arial" w:cs="Arial" w:eastAsia="Arial" w:hAnsi="Arial"/>
                <w:sz w:val="18"/>
                <w:szCs w:val="18"/>
                <w:color w:val="auto"/>
              </w:rPr>
              <w:t>$</w:t>
            </w:r>
          </w:p>
        </w:tc>
        <w:tc>
          <w:tcPr>
            <w:tcW w:w="9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0.28</w:t>
            </w:r>
          </w:p>
        </w:tc>
        <w:tc>
          <w:tcPr>
            <w:tcW w:w="120" w:type="dxa"/>
            <w:vAlign w:val="bottom"/>
            <w:shd w:val="clear" w:color="auto" w:fill="EAF9E8"/>
          </w:tcPr>
          <w:p>
            <w:pPr>
              <w:spacing w:after="0"/>
              <w:rPr>
                <w:sz w:val="20"/>
                <w:szCs w:val="20"/>
                <w:color w:val="auto"/>
              </w:rPr>
            </w:pPr>
          </w:p>
        </w:tc>
      </w:tr>
      <w:tr>
        <w:trPr>
          <w:trHeight w:val="20"/>
        </w:trPr>
        <w:tc>
          <w:tcPr>
            <w:tcW w:w="740" w:type="dxa"/>
            <w:vAlign w:val="bottom"/>
            <w:tcBorders>
              <w:top w:val="single" w:sz="8" w:color="EAF9E8"/>
            </w:tcBorders>
            <w:shd w:val="clear" w:color="auto" w:fill="EAF9E8"/>
          </w:tcPr>
          <w:p>
            <w:pPr>
              <w:spacing w:after="0" w:line="20" w:lineRule="exact"/>
              <w:rPr>
                <w:sz w:val="1"/>
                <w:szCs w:val="1"/>
                <w:color w:val="auto"/>
              </w:rPr>
            </w:pPr>
          </w:p>
        </w:tc>
        <w:tc>
          <w:tcPr>
            <w:tcW w:w="380" w:type="dxa"/>
            <w:vAlign w:val="bottom"/>
            <w:tcBorders>
              <w:top w:val="single" w:sz="8" w:color="EAF9E8"/>
            </w:tcBorders>
            <w:shd w:val="clear" w:color="auto" w:fill="EAF9E8"/>
          </w:tcPr>
          <w:p>
            <w:pPr>
              <w:spacing w:after="0" w:line="20" w:lineRule="exact"/>
              <w:rPr>
                <w:sz w:val="1"/>
                <w:szCs w:val="1"/>
                <w:color w:val="auto"/>
              </w:rPr>
            </w:pPr>
          </w:p>
        </w:tc>
        <w:tc>
          <w:tcPr>
            <w:tcW w:w="4080" w:type="dxa"/>
            <w:vAlign w:val="bottom"/>
            <w:tcBorders>
              <w:top w:val="single" w:sz="8" w:color="EAF9E8"/>
            </w:tcBorders>
            <w:shd w:val="clear" w:color="auto" w:fill="EAF9E8"/>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right w:val="single" w:sz="8" w:color="EAF9E8"/>
            </w:tcBorders>
            <w:shd w:val="clear" w:color="auto" w:fill="000000"/>
          </w:tcPr>
          <w:p>
            <w:pPr>
              <w:spacing w:after="0" w:line="20" w:lineRule="exact"/>
              <w:rPr>
                <w:sz w:val="1"/>
                <w:szCs w:val="1"/>
                <w:color w:val="auto"/>
              </w:rPr>
            </w:pPr>
          </w:p>
        </w:tc>
        <w:tc>
          <w:tcPr>
            <w:tcW w:w="320" w:type="dxa"/>
            <w:vAlign w:val="bottom"/>
            <w:tcBorders>
              <w:top w:val="single" w:sz="8" w:color="EAF9E8"/>
            </w:tcBorders>
            <w:shd w:val="clear" w:color="auto" w:fill="EAF9E8"/>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EAF9E8"/>
            </w:tcBorders>
            <w:shd w:val="clear" w:color="auto" w:fill="EAF9E8"/>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EAF9E8"/>
            </w:tcBorders>
            <w:shd w:val="clear" w:color="auto" w:fill="EAF9E8"/>
          </w:tcPr>
          <w:p>
            <w:pPr>
              <w:spacing w:after="0" w:line="20" w:lineRule="exact"/>
              <w:rPr>
                <w:sz w:val="1"/>
                <w:szCs w:val="1"/>
                <w:color w:val="auto"/>
              </w:rPr>
            </w:pPr>
          </w:p>
        </w:tc>
        <w:tc>
          <w:tcPr>
            <w:tcW w:w="140" w:type="dxa"/>
            <w:vAlign w:val="bottom"/>
            <w:tcBorders>
              <w:top w:val="single" w:sz="8" w:color="EAF9E8"/>
            </w:tcBorders>
            <w:shd w:val="clear" w:color="auto" w:fill="EAF9E8"/>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EAF9E8"/>
            </w:tcBorders>
            <w:shd w:val="clear" w:color="auto" w:fill="EAF9E8"/>
          </w:tcPr>
          <w:p>
            <w:pPr>
              <w:spacing w:after="0" w:line="20" w:lineRule="exact"/>
              <w:rPr>
                <w:sz w:val="1"/>
                <w:szCs w:val="1"/>
                <w:color w:val="auto"/>
              </w:rPr>
            </w:pPr>
          </w:p>
        </w:tc>
      </w:tr>
    </w:tbl>
    <w:p>
      <w:pPr>
        <w:spacing w:after="0" w:line="248" w:lineRule="exact"/>
        <w:rPr>
          <w:sz w:val="20"/>
          <w:szCs w:val="20"/>
          <w:color w:val="auto"/>
        </w:rPr>
      </w:pPr>
    </w:p>
    <w:p>
      <w:pPr>
        <w:ind w:left="580" w:right="60" w:hanging="572"/>
        <w:spacing w:after="0" w:line="268" w:lineRule="auto"/>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For the three and nine months ended September 30, 2009, we have excluded the effect of the Convertible Notes, stock options and common stock awards from the computation of diluted EPS because of the anti-dilutive impact on our reported net loss.</w:t>
      </w:r>
    </w:p>
    <w:p>
      <w:pPr>
        <w:spacing w:after="0" w:line="212" w:lineRule="exact"/>
        <w:rPr>
          <w:rFonts w:ascii="Arial" w:cs="Arial" w:eastAsia="Arial" w:hAnsi="Arial"/>
          <w:sz w:val="18"/>
          <w:szCs w:val="18"/>
          <w:color w:val="auto"/>
        </w:rPr>
      </w:pPr>
    </w:p>
    <w:p>
      <w:pPr>
        <w:ind w:left="580" w:hanging="572"/>
        <w:spacing w:after="0" w:line="323" w:lineRule="auto"/>
        <w:tabs>
          <w:tab w:leader="none" w:pos="580" w:val="left"/>
        </w:tabs>
        <w:numPr>
          <w:ilvl w:val="0"/>
          <w:numId w:val="20"/>
        </w:numPr>
        <w:rPr>
          <w:rFonts w:ascii="Arial" w:cs="Arial" w:eastAsia="Arial" w:hAnsi="Arial"/>
          <w:sz w:val="15"/>
          <w:szCs w:val="15"/>
          <w:color w:val="auto"/>
        </w:rPr>
      </w:pPr>
      <w:r>
        <w:rPr>
          <w:rFonts w:ascii="Arial" w:cs="Arial" w:eastAsia="Arial" w:hAnsi="Arial"/>
          <w:sz w:val="15"/>
          <w:szCs w:val="15"/>
          <w:color w:val="auto"/>
        </w:rPr>
        <w:t>The effect of our Convertible Notes on diluted EPS is computed using the if-converted method. Interest expense and related amortization costs applicable to the Convertible Notes, net of income tax, are added back to net income. Conversion of the Convertible Notes into shares of common stock has not been assumed for purposes of computing diluted EPS for the nine months ended September 30, 2008 because the effect would be anti-dilutive. The effect is anti-dilutive whenever interest expense on the Convertible Notes, net of income tax, per common share obtainable on conversion exceeds basic EPS.</w:t>
      </w:r>
    </w:p>
    <w:p>
      <w:pPr>
        <w:spacing w:after="0" w:line="178" w:lineRule="exact"/>
        <w:rPr>
          <w:rFonts w:ascii="Arial" w:cs="Arial" w:eastAsia="Arial" w:hAnsi="Arial"/>
          <w:sz w:val="15"/>
          <w:szCs w:val="15"/>
          <w:color w:val="auto"/>
        </w:rPr>
      </w:pPr>
    </w:p>
    <w:p>
      <w:pPr>
        <w:ind w:left="580" w:right="120" w:hanging="572"/>
        <w:spacing w:after="0" w:line="256" w:lineRule="auto"/>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Because we have reported discontinued operations, we use income from continuing operations as the “control number” in determining whether potential common shares are dilutive or anti-dilutive. That is, the same number of potential common shares used in computing the diluted per-share amount for income from continuing operations is used in computing all other diluted per-share amounts even though those amounts are anti-dilutive to their respective basic per-share amounts.</w:t>
      </w:r>
    </w:p>
    <w:p>
      <w:pPr>
        <w:spacing w:after="0" w:line="224" w:lineRule="exact"/>
        <w:rPr>
          <w:rFonts w:ascii="Arial" w:cs="Arial" w:eastAsia="Arial" w:hAnsi="Arial"/>
          <w:sz w:val="18"/>
          <w:szCs w:val="18"/>
          <w:color w:val="auto"/>
        </w:rPr>
      </w:pPr>
    </w:p>
    <w:p>
      <w:pPr>
        <w:ind w:left="580" w:right="200" w:hanging="572"/>
        <w:spacing w:after="0" w:line="291" w:lineRule="auto"/>
        <w:tabs>
          <w:tab w:leader="none" w:pos="5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An average of 3,412,757 and 3,059,532 options that were anti-dilutive have been excluded from the computation of diluted EPS for the three and nine months ended September 2008, respectively. These options were anti-dilutive because their exercise price was greater than the average market price of our stock. Also excluded from the computation of diluted EPS are 1,710,000 of the 5,130,000 options we granted on July 14, 2008, for shares that are issuable upon the achievement of certain performance criteria related to OCN’s stock price and an annualized rate of return to investors. On August 10, 2009, the performance criteria were met for 3,420,000 of these options. However, we have excluded these options from the computation of diluted EPS for the 2009 periods because we have incurred a loss, and, therefore, their effect would be anti-dilutive.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29" w:name="page30"/>
    <w:bookmarkEnd w:id="29"/>
    <w:p>
      <w:pPr>
        <w:spacing w:after="0"/>
        <w:tabs>
          <w:tab w:leader="none" w:pos="1140" w:val="left"/>
        </w:tabs>
        <w:rPr>
          <w:sz w:val="20"/>
          <w:szCs w:val="20"/>
          <w:color w:val="auto"/>
        </w:rPr>
      </w:pPr>
      <w:r>
        <w:rPr>
          <w:rFonts w:ascii="Arial" w:cs="Arial" w:eastAsia="Arial" w:hAnsi="Arial"/>
          <w:sz w:val="18"/>
          <w:szCs w:val="18"/>
          <w:b w:val="1"/>
          <w:bCs w:val="1"/>
          <w:color w:val="auto"/>
        </w:rPr>
        <w:t>Note 19</w:t>
      </w:r>
      <w:r>
        <w:rPr>
          <w:sz w:val="20"/>
          <w:szCs w:val="20"/>
          <w:color w:val="auto"/>
        </w:rPr>
        <w:tab/>
      </w:r>
      <w:r>
        <w:rPr>
          <w:rFonts w:ascii="Arial" w:cs="Arial" w:eastAsia="Arial" w:hAnsi="Arial"/>
          <w:sz w:val="15"/>
          <w:szCs w:val="15"/>
          <w:b w:val="1"/>
          <w:bCs w:val="1"/>
          <w:color w:val="auto"/>
        </w:rPr>
        <w:t>Income Taxes</w:t>
      </w:r>
    </w:p>
    <w:p>
      <w:pPr>
        <w:spacing w:after="0" w:line="231" w:lineRule="exact"/>
        <w:rPr>
          <w:sz w:val="20"/>
          <w:szCs w:val="20"/>
          <w:color w:val="auto"/>
        </w:rPr>
      </w:pPr>
    </w:p>
    <w:p>
      <w:pPr>
        <w:ind w:right="300" w:firstLine="429"/>
        <w:spacing w:after="0" w:line="268" w:lineRule="auto"/>
        <w:rPr>
          <w:sz w:val="20"/>
          <w:szCs w:val="20"/>
          <w:color w:val="auto"/>
        </w:rPr>
      </w:pPr>
      <w:r>
        <w:rPr>
          <w:rFonts w:ascii="Arial" w:cs="Arial" w:eastAsia="Arial" w:hAnsi="Arial"/>
          <w:sz w:val="18"/>
          <w:szCs w:val="18"/>
          <w:color w:val="auto"/>
        </w:rPr>
        <w:t>As described in Note 2, a significant portion of the income tax expense for the three and nine months ended September 30, 2009 pertains to deferred tax expense related to the Separation. The net deferred tax asset was comprised of the following as of:</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w w:val="90"/>
              </w:rPr>
              <w:t>September 30,</w:t>
            </w:r>
          </w:p>
        </w:tc>
        <w:tc>
          <w:tcPr>
            <w:tcW w:w="160" w:type="dxa"/>
            <w:vAlign w:val="bottom"/>
          </w:tcPr>
          <w:p>
            <w:pPr>
              <w:spacing w:after="0"/>
              <w:rPr>
                <w:sz w:val="18"/>
                <w:szCs w:val="18"/>
                <w:color w:val="auto"/>
              </w:rPr>
            </w:pPr>
          </w:p>
        </w:tc>
        <w:tc>
          <w:tcPr>
            <w:tcW w:w="14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2"/>
              </w:rPr>
              <w:t>December 31,</w:t>
            </w:r>
          </w:p>
        </w:tc>
      </w:tr>
      <w:tr>
        <w:trPr>
          <w:trHeight w:val="229"/>
        </w:trPr>
        <w:tc>
          <w:tcPr>
            <w:tcW w:w="79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72"/>
              <w:spacing w:after="0"/>
              <w:rPr>
                <w:sz w:val="20"/>
                <w:szCs w:val="20"/>
                <w:color w:val="auto"/>
              </w:rPr>
            </w:pPr>
            <w:r>
              <w:rPr>
                <w:rFonts w:ascii="Arial" w:cs="Arial" w:eastAsia="Arial" w:hAnsi="Arial"/>
                <w:sz w:val="18"/>
                <w:szCs w:val="18"/>
                <w:b w:val="1"/>
                <w:bCs w:val="1"/>
                <w:color w:val="auto"/>
              </w:rPr>
              <w:t>2009</w:t>
            </w:r>
          </w:p>
        </w:tc>
        <w:tc>
          <w:tcPr>
            <w:tcW w:w="3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92"/>
              <w:spacing w:after="0"/>
              <w:rPr>
                <w:sz w:val="20"/>
                <w:szCs w:val="20"/>
                <w:color w:val="auto"/>
              </w:rPr>
            </w:pPr>
            <w:r>
              <w:rPr>
                <w:rFonts w:ascii="Arial" w:cs="Arial" w:eastAsia="Arial" w:hAnsi="Arial"/>
                <w:sz w:val="18"/>
                <w:szCs w:val="18"/>
                <w:b w:val="1"/>
                <w:bCs w:val="1"/>
                <w:color w:val="auto"/>
              </w:rPr>
              <w:t>2008</w:t>
            </w:r>
          </w:p>
        </w:tc>
        <w:tc>
          <w:tcPr>
            <w:tcW w:w="120" w:type="dxa"/>
            <w:vAlign w:val="bottom"/>
          </w:tcPr>
          <w:p>
            <w:pPr>
              <w:spacing w:after="0"/>
              <w:rPr>
                <w:sz w:val="19"/>
                <w:szCs w:val="19"/>
                <w:color w:val="auto"/>
              </w:rPr>
            </w:pPr>
          </w:p>
        </w:tc>
      </w:tr>
      <w:tr>
        <w:trPr>
          <w:trHeight w:val="238"/>
        </w:trPr>
        <w:tc>
          <w:tcPr>
            <w:tcW w:w="7980" w:type="dxa"/>
            <w:vAlign w:val="bottom"/>
            <w:shd w:val="clear" w:color="auto" w:fill="EAF9E8"/>
          </w:tcPr>
          <w:p>
            <w:pPr>
              <w:spacing w:after="0"/>
              <w:rPr>
                <w:sz w:val="20"/>
                <w:szCs w:val="20"/>
                <w:color w:val="auto"/>
              </w:rPr>
            </w:pPr>
            <w:r>
              <w:rPr>
                <w:rFonts w:ascii="Arial" w:cs="Arial" w:eastAsia="Arial" w:hAnsi="Arial"/>
                <w:sz w:val="18"/>
                <w:szCs w:val="18"/>
                <w:color w:val="auto"/>
              </w:rPr>
              <w:t>Deferred tax assets:</w:t>
            </w:r>
          </w:p>
        </w:tc>
        <w:tc>
          <w:tcPr>
            <w:tcW w:w="140" w:type="dxa"/>
            <w:vAlign w:val="bottom"/>
            <w:shd w:val="clear" w:color="auto" w:fill="EAF9E8"/>
          </w:tcPr>
          <w:p>
            <w:pPr>
              <w:spacing w:after="0"/>
              <w:rPr>
                <w:sz w:val="20"/>
                <w:szCs w:val="20"/>
                <w:color w:val="auto"/>
              </w:rPr>
            </w:pPr>
          </w:p>
        </w:tc>
        <w:tc>
          <w:tcPr>
            <w:tcW w:w="1340" w:type="dxa"/>
            <w:vAlign w:val="bottom"/>
            <w:shd w:val="clear" w:color="auto" w:fill="EAF9E8"/>
          </w:tcPr>
          <w:p>
            <w:pPr>
              <w:spacing w:after="0"/>
              <w:rPr>
                <w:sz w:val="20"/>
                <w:szCs w:val="20"/>
                <w:color w:val="auto"/>
              </w:rPr>
            </w:pPr>
          </w:p>
        </w:tc>
        <w:tc>
          <w:tcPr>
            <w:tcW w:w="340" w:type="dxa"/>
            <w:vAlign w:val="bottom"/>
            <w:shd w:val="clear" w:color="auto" w:fill="EAF9E8"/>
          </w:tcPr>
          <w:p>
            <w:pPr>
              <w:spacing w:after="0"/>
              <w:rPr>
                <w:sz w:val="20"/>
                <w:szCs w:val="20"/>
                <w:color w:val="auto"/>
              </w:rPr>
            </w:pPr>
          </w:p>
        </w:tc>
        <w:tc>
          <w:tcPr>
            <w:tcW w:w="160" w:type="dxa"/>
            <w:vAlign w:val="bottom"/>
            <w:shd w:val="clear" w:color="auto" w:fill="EAF9E8"/>
          </w:tcPr>
          <w:p>
            <w:pPr>
              <w:spacing w:after="0"/>
              <w:rPr>
                <w:sz w:val="20"/>
                <w:szCs w:val="20"/>
                <w:color w:val="auto"/>
              </w:rPr>
            </w:pPr>
          </w:p>
        </w:tc>
        <w:tc>
          <w:tcPr>
            <w:tcW w:w="1340" w:type="dxa"/>
            <w:vAlign w:val="bottom"/>
            <w:shd w:val="clear" w:color="auto" w:fill="EAF9E8"/>
          </w:tcPr>
          <w:p>
            <w:pPr>
              <w:spacing w:after="0"/>
              <w:rPr>
                <w:sz w:val="20"/>
                <w:szCs w:val="20"/>
                <w:color w:val="auto"/>
              </w:rPr>
            </w:pPr>
          </w:p>
        </w:tc>
        <w:tc>
          <w:tcPr>
            <w:tcW w:w="120" w:type="dxa"/>
            <w:vAlign w:val="bottom"/>
            <w:shd w:val="clear" w:color="auto" w:fill="EAF9E8"/>
          </w:tcPr>
          <w:p>
            <w:pPr>
              <w:spacing w:after="0"/>
              <w:rPr>
                <w:sz w:val="20"/>
                <w:szCs w:val="20"/>
                <w:color w:val="auto"/>
              </w:rPr>
            </w:pPr>
          </w:p>
        </w:tc>
      </w:tr>
      <w:tr>
        <w:trPr>
          <w:trHeight w:val="242"/>
        </w:trPr>
        <w:tc>
          <w:tcPr>
            <w:tcW w:w="7980" w:type="dxa"/>
            <w:vAlign w:val="bottom"/>
          </w:tcPr>
          <w:p>
            <w:pPr>
              <w:ind w:left="160"/>
              <w:spacing w:after="0"/>
              <w:rPr>
                <w:sz w:val="20"/>
                <w:szCs w:val="20"/>
                <w:color w:val="auto"/>
              </w:rPr>
            </w:pPr>
            <w:r>
              <w:rPr>
                <w:rFonts w:ascii="Arial" w:cs="Arial" w:eastAsia="Arial" w:hAnsi="Arial"/>
                <w:sz w:val="18"/>
                <w:szCs w:val="18"/>
                <w:color w:val="auto"/>
              </w:rPr>
              <w:t>Tax residuals and deferred income on tax residuals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3,606</w:t>
            </w:r>
          </w:p>
        </w:tc>
        <w:tc>
          <w:tcPr>
            <w:tcW w:w="340" w:type="dxa"/>
            <w:vAlign w:val="bottom"/>
          </w:tcPr>
          <w:p>
            <w:pPr>
              <w:spacing w:after="0"/>
              <w:rPr>
                <w:sz w:val="21"/>
                <w:szCs w:val="21"/>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3,725</w:t>
            </w:r>
          </w:p>
        </w:tc>
        <w:tc>
          <w:tcPr>
            <w:tcW w:w="120" w:type="dxa"/>
            <w:vAlign w:val="bottom"/>
          </w:tcPr>
          <w:p>
            <w:pPr>
              <w:spacing w:after="0"/>
              <w:rPr>
                <w:sz w:val="21"/>
                <w:szCs w:val="21"/>
                <w:color w:val="auto"/>
              </w:rPr>
            </w:pPr>
          </w:p>
        </w:tc>
      </w:tr>
      <w:tr>
        <w:trPr>
          <w:trHeight w:val="244"/>
        </w:trPr>
        <w:tc>
          <w:tcPr>
            <w:tcW w:w="79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State taxes</w:t>
            </w:r>
          </w:p>
        </w:tc>
        <w:tc>
          <w:tcPr>
            <w:tcW w:w="140" w:type="dxa"/>
            <w:vAlign w:val="bottom"/>
            <w:shd w:val="clear" w:color="auto" w:fill="EAF9E8"/>
          </w:tcPr>
          <w:p>
            <w:pPr>
              <w:spacing w:after="0"/>
              <w:rPr>
                <w:sz w:val="21"/>
                <w:szCs w:val="21"/>
                <w:color w:val="auto"/>
              </w:rPr>
            </w:pPr>
          </w:p>
        </w:tc>
        <w:tc>
          <w:tcPr>
            <w:tcW w:w="13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4,804</w:t>
            </w:r>
          </w:p>
        </w:tc>
        <w:tc>
          <w:tcPr>
            <w:tcW w:w="34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3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9,780</w:t>
            </w:r>
          </w:p>
        </w:tc>
        <w:tc>
          <w:tcPr>
            <w:tcW w:w="120" w:type="dxa"/>
            <w:vAlign w:val="bottom"/>
            <w:shd w:val="clear" w:color="auto" w:fill="EAF9E8"/>
          </w:tcPr>
          <w:p>
            <w:pPr>
              <w:spacing w:after="0"/>
              <w:rPr>
                <w:sz w:val="21"/>
                <w:szCs w:val="21"/>
                <w:color w:val="auto"/>
              </w:rPr>
            </w:pPr>
          </w:p>
        </w:tc>
      </w:tr>
      <w:tr>
        <w:trPr>
          <w:trHeight w:val="242"/>
        </w:trPr>
        <w:tc>
          <w:tcPr>
            <w:tcW w:w="7980" w:type="dxa"/>
            <w:vAlign w:val="bottom"/>
          </w:tcPr>
          <w:p>
            <w:pPr>
              <w:ind w:left="160"/>
              <w:spacing w:after="0"/>
              <w:rPr>
                <w:sz w:val="20"/>
                <w:szCs w:val="20"/>
                <w:color w:val="auto"/>
              </w:rPr>
            </w:pPr>
            <w:r>
              <w:rPr>
                <w:rFonts w:ascii="Arial" w:cs="Arial" w:eastAsia="Arial" w:hAnsi="Arial"/>
                <w:sz w:val="18"/>
                <w:szCs w:val="18"/>
                <w:color w:val="auto"/>
              </w:rPr>
              <w:t>Accrued incentive compensation</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5,743</w:t>
            </w: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4,208</w:t>
            </w:r>
          </w:p>
        </w:tc>
        <w:tc>
          <w:tcPr>
            <w:tcW w:w="120" w:type="dxa"/>
            <w:vAlign w:val="bottom"/>
          </w:tcPr>
          <w:p>
            <w:pPr>
              <w:spacing w:after="0"/>
              <w:rPr>
                <w:sz w:val="21"/>
                <w:szCs w:val="21"/>
                <w:color w:val="auto"/>
              </w:rPr>
            </w:pPr>
          </w:p>
        </w:tc>
      </w:tr>
      <w:tr>
        <w:trPr>
          <w:trHeight w:val="244"/>
        </w:trPr>
        <w:tc>
          <w:tcPr>
            <w:tcW w:w="79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Valuation allowance on real estate owned</w:t>
            </w:r>
          </w:p>
        </w:tc>
        <w:tc>
          <w:tcPr>
            <w:tcW w:w="140" w:type="dxa"/>
            <w:vAlign w:val="bottom"/>
            <w:shd w:val="clear" w:color="auto" w:fill="EAF9E8"/>
          </w:tcPr>
          <w:p>
            <w:pPr>
              <w:spacing w:after="0"/>
              <w:rPr>
                <w:sz w:val="21"/>
                <w:szCs w:val="21"/>
                <w:color w:val="auto"/>
              </w:rPr>
            </w:pPr>
          </w:p>
        </w:tc>
        <w:tc>
          <w:tcPr>
            <w:tcW w:w="13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3,473</w:t>
            </w:r>
          </w:p>
        </w:tc>
        <w:tc>
          <w:tcPr>
            <w:tcW w:w="34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3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3,502</w:t>
            </w:r>
          </w:p>
        </w:tc>
        <w:tc>
          <w:tcPr>
            <w:tcW w:w="120" w:type="dxa"/>
            <w:vAlign w:val="bottom"/>
            <w:shd w:val="clear" w:color="auto" w:fill="EAF9E8"/>
          </w:tcPr>
          <w:p>
            <w:pPr>
              <w:spacing w:after="0"/>
              <w:rPr>
                <w:sz w:val="21"/>
                <w:szCs w:val="21"/>
                <w:color w:val="auto"/>
              </w:rPr>
            </w:pPr>
          </w:p>
        </w:tc>
      </w:tr>
      <w:tr>
        <w:trPr>
          <w:trHeight w:val="242"/>
        </w:trPr>
        <w:tc>
          <w:tcPr>
            <w:tcW w:w="7980" w:type="dxa"/>
            <w:vAlign w:val="bottom"/>
          </w:tcPr>
          <w:p>
            <w:pPr>
              <w:ind w:left="160"/>
              <w:spacing w:after="0"/>
              <w:rPr>
                <w:sz w:val="20"/>
                <w:szCs w:val="20"/>
                <w:color w:val="auto"/>
              </w:rPr>
            </w:pPr>
            <w:r>
              <w:rPr>
                <w:rFonts w:ascii="Arial" w:cs="Arial" w:eastAsia="Arial" w:hAnsi="Arial"/>
                <w:sz w:val="18"/>
                <w:szCs w:val="18"/>
                <w:color w:val="auto"/>
              </w:rPr>
              <w:t>Bad debt and allowance for loan losses</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6,308</w:t>
            </w: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8,296</w:t>
            </w:r>
          </w:p>
        </w:tc>
        <w:tc>
          <w:tcPr>
            <w:tcW w:w="120" w:type="dxa"/>
            <w:vAlign w:val="bottom"/>
          </w:tcPr>
          <w:p>
            <w:pPr>
              <w:spacing w:after="0"/>
              <w:rPr>
                <w:sz w:val="21"/>
                <w:szCs w:val="21"/>
                <w:color w:val="auto"/>
              </w:rPr>
            </w:pPr>
          </w:p>
        </w:tc>
      </w:tr>
      <w:tr>
        <w:trPr>
          <w:trHeight w:val="244"/>
        </w:trPr>
        <w:tc>
          <w:tcPr>
            <w:tcW w:w="79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Mortgage servicing rights amortization</w:t>
            </w:r>
          </w:p>
        </w:tc>
        <w:tc>
          <w:tcPr>
            <w:tcW w:w="140" w:type="dxa"/>
            <w:vAlign w:val="bottom"/>
            <w:shd w:val="clear" w:color="auto" w:fill="EAF9E8"/>
          </w:tcPr>
          <w:p>
            <w:pPr>
              <w:spacing w:after="0"/>
              <w:rPr>
                <w:sz w:val="21"/>
                <w:szCs w:val="21"/>
                <w:color w:val="auto"/>
              </w:rPr>
            </w:pPr>
          </w:p>
        </w:tc>
        <w:tc>
          <w:tcPr>
            <w:tcW w:w="13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53,168</w:t>
            </w:r>
          </w:p>
        </w:tc>
        <w:tc>
          <w:tcPr>
            <w:tcW w:w="34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3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79,658</w:t>
            </w:r>
          </w:p>
        </w:tc>
        <w:tc>
          <w:tcPr>
            <w:tcW w:w="120" w:type="dxa"/>
            <w:vAlign w:val="bottom"/>
            <w:shd w:val="clear" w:color="auto" w:fill="EAF9E8"/>
          </w:tcPr>
          <w:p>
            <w:pPr>
              <w:spacing w:after="0"/>
              <w:rPr>
                <w:sz w:val="21"/>
                <w:szCs w:val="21"/>
                <w:color w:val="auto"/>
              </w:rPr>
            </w:pPr>
          </w:p>
        </w:tc>
      </w:tr>
      <w:tr>
        <w:trPr>
          <w:trHeight w:val="242"/>
        </w:trPr>
        <w:tc>
          <w:tcPr>
            <w:tcW w:w="7980" w:type="dxa"/>
            <w:vAlign w:val="bottom"/>
          </w:tcPr>
          <w:p>
            <w:pPr>
              <w:ind w:left="160"/>
              <w:spacing w:after="0"/>
              <w:rPr>
                <w:sz w:val="20"/>
                <w:szCs w:val="20"/>
                <w:color w:val="auto"/>
              </w:rPr>
            </w:pPr>
            <w:r>
              <w:rPr>
                <w:rFonts w:ascii="Arial" w:cs="Arial" w:eastAsia="Arial" w:hAnsi="Arial"/>
                <w:sz w:val="18"/>
                <w:szCs w:val="18"/>
                <w:color w:val="auto"/>
              </w:rPr>
              <w:t>Foreign currency exchange</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1,328</w:t>
            </w: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1,328</w:t>
            </w:r>
          </w:p>
        </w:tc>
        <w:tc>
          <w:tcPr>
            <w:tcW w:w="120" w:type="dxa"/>
            <w:vAlign w:val="bottom"/>
          </w:tcPr>
          <w:p>
            <w:pPr>
              <w:spacing w:after="0"/>
              <w:rPr>
                <w:sz w:val="21"/>
                <w:szCs w:val="21"/>
                <w:color w:val="auto"/>
              </w:rPr>
            </w:pPr>
          </w:p>
        </w:tc>
      </w:tr>
      <w:tr>
        <w:trPr>
          <w:trHeight w:val="244"/>
        </w:trPr>
        <w:tc>
          <w:tcPr>
            <w:tcW w:w="79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Net operating loss carryforward</w:t>
            </w:r>
          </w:p>
        </w:tc>
        <w:tc>
          <w:tcPr>
            <w:tcW w:w="140" w:type="dxa"/>
            <w:vAlign w:val="bottom"/>
            <w:shd w:val="clear" w:color="auto" w:fill="EAF9E8"/>
          </w:tcPr>
          <w:p>
            <w:pPr>
              <w:spacing w:after="0"/>
              <w:rPr>
                <w:sz w:val="21"/>
                <w:szCs w:val="21"/>
                <w:color w:val="auto"/>
              </w:rPr>
            </w:pPr>
          </w:p>
        </w:tc>
        <w:tc>
          <w:tcPr>
            <w:tcW w:w="13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22,098</w:t>
            </w:r>
          </w:p>
        </w:tc>
        <w:tc>
          <w:tcPr>
            <w:tcW w:w="34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3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31,281</w:t>
            </w:r>
          </w:p>
        </w:tc>
        <w:tc>
          <w:tcPr>
            <w:tcW w:w="120" w:type="dxa"/>
            <w:vAlign w:val="bottom"/>
            <w:shd w:val="clear" w:color="auto" w:fill="EAF9E8"/>
          </w:tcPr>
          <w:p>
            <w:pPr>
              <w:spacing w:after="0"/>
              <w:rPr>
                <w:sz w:val="21"/>
                <w:szCs w:val="21"/>
                <w:color w:val="auto"/>
              </w:rPr>
            </w:pPr>
          </w:p>
        </w:tc>
      </w:tr>
      <w:tr>
        <w:trPr>
          <w:trHeight w:val="242"/>
        </w:trPr>
        <w:tc>
          <w:tcPr>
            <w:tcW w:w="7980" w:type="dxa"/>
            <w:vAlign w:val="bottom"/>
          </w:tcPr>
          <w:p>
            <w:pPr>
              <w:ind w:left="160"/>
              <w:spacing w:after="0"/>
              <w:rPr>
                <w:sz w:val="20"/>
                <w:szCs w:val="20"/>
                <w:color w:val="auto"/>
              </w:rPr>
            </w:pPr>
            <w:r>
              <w:rPr>
                <w:rFonts w:ascii="Arial" w:cs="Arial" w:eastAsia="Arial" w:hAnsi="Arial"/>
                <w:sz w:val="18"/>
                <w:szCs w:val="18"/>
                <w:color w:val="auto"/>
              </w:rPr>
              <w:t>Partnership losses and low-income housing tax credits</w:t>
            </w:r>
          </w:p>
        </w:tc>
        <w:tc>
          <w:tcPr>
            <w:tcW w:w="140" w:type="dxa"/>
            <w:vAlign w:val="bottom"/>
          </w:tcPr>
          <w:p>
            <w:pPr>
              <w:spacing w:after="0"/>
              <w:rPr>
                <w:sz w:val="21"/>
                <w:szCs w:val="21"/>
                <w:color w:val="auto"/>
              </w:rPr>
            </w:pPr>
          </w:p>
        </w:tc>
        <w:tc>
          <w:tcPr>
            <w:tcW w:w="1680" w:type="dxa"/>
            <w:vAlign w:val="bottom"/>
            <w:gridSpan w:val="2"/>
          </w:tcPr>
          <w:p>
            <w:pPr>
              <w:jc w:val="right"/>
              <w:ind w:right="340"/>
              <w:spacing w:after="0"/>
              <w:rPr>
                <w:sz w:val="20"/>
                <w:szCs w:val="20"/>
                <w:color w:val="auto"/>
              </w:rPr>
            </w:pPr>
            <w:r>
              <w:rPr>
                <w:rFonts w:ascii="Arial" w:cs="Arial" w:eastAsia="Arial" w:hAnsi="Arial"/>
                <w:sz w:val="18"/>
                <w:szCs w:val="18"/>
                <w:color w:val="auto"/>
              </w:rPr>
              <w:t>11,817</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23,963</w:t>
            </w:r>
          </w:p>
        </w:tc>
        <w:tc>
          <w:tcPr>
            <w:tcW w:w="120" w:type="dxa"/>
            <w:vAlign w:val="bottom"/>
          </w:tcPr>
          <w:p>
            <w:pPr>
              <w:spacing w:after="0"/>
              <w:rPr>
                <w:sz w:val="21"/>
                <w:szCs w:val="21"/>
                <w:color w:val="auto"/>
              </w:rPr>
            </w:pPr>
          </w:p>
        </w:tc>
      </w:tr>
      <w:tr>
        <w:trPr>
          <w:trHeight w:val="244"/>
        </w:trPr>
        <w:tc>
          <w:tcPr>
            <w:tcW w:w="79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Foreign deferred assets</w:t>
            </w:r>
          </w:p>
        </w:tc>
        <w:tc>
          <w:tcPr>
            <w:tcW w:w="140" w:type="dxa"/>
            <w:vAlign w:val="bottom"/>
            <w:shd w:val="clear" w:color="auto" w:fill="EAF9E8"/>
          </w:tcPr>
          <w:p>
            <w:pPr>
              <w:spacing w:after="0"/>
              <w:rPr>
                <w:sz w:val="21"/>
                <w:szCs w:val="21"/>
                <w:color w:val="auto"/>
              </w:rPr>
            </w:pPr>
          </w:p>
        </w:tc>
        <w:tc>
          <w:tcPr>
            <w:tcW w:w="13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2,494</w:t>
            </w:r>
          </w:p>
        </w:tc>
        <w:tc>
          <w:tcPr>
            <w:tcW w:w="34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3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1,458</w:t>
            </w:r>
          </w:p>
        </w:tc>
        <w:tc>
          <w:tcPr>
            <w:tcW w:w="120" w:type="dxa"/>
            <w:vAlign w:val="bottom"/>
            <w:shd w:val="clear" w:color="auto" w:fill="EAF9E8"/>
          </w:tcPr>
          <w:p>
            <w:pPr>
              <w:spacing w:after="0"/>
              <w:rPr>
                <w:sz w:val="21"/>
                <w:szCs w:val="21"/>
                <w:color w:val="auto"/>
              </w:rPr>
            </w:pPr>
          </w:p>
        </w:tc>
      </w:tr>
      <w:tr>
        <w:trPr>
          <w:trHeight w:val="242"/>
        </w:trPr>
        <w:tc>
          <w:tcPr>
            <w:tcW w:w="7980" w:type="dxa"/>
            <w:vAlign w:val="bottom"/>
          </w:tcPr>
          <w:p>
            <w:pPr>
              <w:ind w:left="160"/>
              <w:spacing w:after="0"/>
              <w:rPr>
                <w:sz w:val="20"/>
                <w:szCs w:val="20"/>
                <w:color w:val="auto"/>
              </w:rPr>
            </w:pPr>
            <w:r>
              <w:rPr>
                <w:rFonts w:ascii="Arial" w:cs="Arial" w:eastAsia="Arial" w:hAnsi="Arial"/>
                <w:sz w:val="18"/>
                <w:szCs w:val="18"/>
                <w:color w:val="auto"/>
              </w:rPr>
              <w:t>Net unrealized gains and losses on securities</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18,727</w:t>
            </w: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20,883</w:t>
            </w:r>
          </w:p>
        </w:tc>
        <w:tc>
          <w:tcPr>
            <w:tcW w:w="120" w:type="dxa"/>
            <w:vAlign w:val="bottom"/>
          </w:tcPr>
          <w:p>
            <w:pPr>
              <w:spacing w:after="0"/>
              <w:rPr>
                <w:sz w:val="21"/>
                <w:szCs w:val="21"/>
                <w:color w:val="auto"/>
              </w:rPr>
            </w:pPr>
          </w:p>
        </w:tc>
      </w:tr>
      <w:tr>
        <w:trPr>
          <w:trHeight w:val="244"/>
        </w:trPr>
        <w:tc>
          <w:tcPr>
            <w:tcW w:w="79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Equity interest</w:t>
            </w:r>
          </w:p>
        </w:tc>
        <w:tc>
          <w:tcPr>
            <w:tcW w:w="140" w:type="dxa"/>
            <w:vAlign w:val="bottom"/>
            <w:shd w:val="clear" w:color="auto" w:fill="EAF9E8"/>
          </w:tcPr>
          <w:p>
            <w:pPr>
              <w:spacing w:after="0"/>
              <w:rPr>
                <w:sz w:val="21"/>
                <w:szCs w:val="21"/>
                <w:color w:val="auto"/>
              </w:rPr>
            </w:pPr>
          </w:p>
        </w:tc>
        <w:tc>
          <w:tcPr>
            <w:tcW w:w="168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shd w:val="clear" w:color="auto" w:fill="EAF9E8"/>
          </w:tcPr>
          <w:p>
            <w:pPr>
              <w:spacing w:after="0"/>
              <w:rPr>
                <w:sz w:val="21"/>
                <w:szCs w:val="21"/>
                <w:color w:val="auto"/>
              </w:rPr>
            </w:pPr>
          </w:p>
        </w:tc>
        <w:tc>
          <w:tcPr>
            <w:tcW w:w="13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68</w:t>
            </w:r>
          </w:p>
        </w:tc>
        <w:tc>
          <w:tcPr>
            <w:tcW w:w="120" w:type="dxa"/>
            <w:vAlign w:val="bottom"/>
            <w:shd w:val="clear" w:color="auto" w:fill="EAF9E8"/>
          </w:tcPr>
          <w:p>
            <w:pPr>
              <w:spacing w:after="0"/>
              <w:rPr>
                <w:sz w:val="21"/>
                <w:szCs w:val="21"/>
                <w:color w:val="auto"/>
              </w:rPr>
            </w:pPr>
          </w:p>
        </w:tc>
      </w:tr>
      <w:tr>
        <w:trPr>
          <w:trHeight w:val="243"/>
        </w:trPr>
        <w:tc>
          <w:tcPr>
            <w:tcW w:w="7980" w:type="dxa"/>
            <w:vAlign w:val="bottom"/>
          </w:tcPr>
          <w:p>
            <w:pPr>
              <w:ind w:left="16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21"/>
                <w:szCs w:val="21"/>
                <w:color w:val="auto"/>
              </w:rPr>
            </w:pPr>
          </w:p>
        </w:tc>
        <w:tc>
          <w:tcPr>
            <w:tcW w:w="16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1,348</w:t>
            </w:r>
          </w:p>
        </w:tc>
        <w:tc>
          <w:tcPr>
            <w:tcW w:w="120" w:type="dxa"/>
            <w:vAlign w:val="bottom"/>
          </w:tcPr>
          <w:p>
            <w:pPr>
              <w:spacing w:after="0"/>
              <w:rPr>
                <w:sz w:val="21"/>
                <w:szCs w:val="21"/>
                <w:color w:val="auto"/>
              </w:rPr>
            </w:pPr>
          </w:p>
        </w:tc>
      </w:tr>
      <w:tr>
        <w:trPr>
          <w:trHeight w:val="236"/>
        </w:trPr>
        <w:tc>
          <w:tcPr>
            <w:tcW w:w="7980" w:type="dxa"/>
            <w:vAlign w:val="bottom"/>
            <w:tcBorders>
              <w:bottom w:val="single" w:sz="8" w:color="EAF9E8"/>
            </w:tcBorders>
            <w:shd w:val="clear" w:color="auto" w:fill="EAF9E8"/>
          </w:tcPr>
          <w:p>
            <w:pPr>
              <w:spacing w:after="0"/>
              <w:rPr>
                <w:sz w:val="20"/>
                <w:szCs w:val="20"/>
                <w:color w:val="auto"/>
              </w:rPr>
            </w:pPr>
          </w:p>
        </w:tc>
        <w:tc>
          <w:tcPr>
            <w:tcW w:w="140" w:type="dxa"/>
            <w:vAlign w:val="bottom"/>
            <w:tcBorders>
              <w:top w:val="single" w:sz="8" w:color="auto"/>
              <w:bottom w:val="single" w:sz="8" w:color="auto"/>
            </w:tcBorders>
            <w:shd w:val="clear" w:color="auto" w:fill="EAF9E8"/>
          </w:tcPr>
          <w:p>
            <w:pPr>
              <w:spacing w:after="0"/>
              <w:rPr>
                <w:sz w:val="20"/>
                <w:szCs w:val="20"/>
                <w:color w:val="auto"/>
              </w:rPr>
            </w:pPr>
          </w:p>
        </w:tc>
        <w:tc>
          <w:tcPr>
            <w:tcW w:w="134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133,566</w:t>
            </w:r>
          </w:p>
        </w:tc>
        <w:tc>
          <w:tcPr>
            <w:tcW w:w="340" w:type="dxa"/>
            <w:vAlign w:val="bottom"/>
            <w:tcBorders>
              <w:bottom w:val="single" w:sz="8" w:color="EAF9E8"/>
            </w:tcBorders>
            <w:shd w:val="clear" w:color="auto" w:fill="EAF9E8"/>
          </w:tcPr>
          <w:p>
            <w:pPr>
              <w:spacing w:after="0"/>
              <w:rPr>
                <w:sz w:val="20"/>
                <w:szCs w:val="20"/>
                <w:color w:val="auto"/>
              </w:rPr>
            </w:pPr>
          </w:p>
        </w:tc>
        <w:tc>
          <w:tcPr>
            <w:tcW w:w="160" w:type="dxa"/>
            <w:vAlign w:val="bottom"/>
            <w:tcBorders>
              <w:top w:val="single" w:sz="8" w:color="auto"/>
              <w:bottom w:val="single" w:sz="8" w:color="auto"/>
            </w:tcBorders>
            <w:shd w:val="clear" w:color="auto" w:fill="EAF9E8"/>
          </w:tcPr>
          <w:p>
            <w:pPr>
              <w:spacing w:after="0"/>
              <w:rPr>
                <w:sz w:val="20"/>
                <w:szCs w:val="20"/>
                <w:color w:val="auto"/>
              </w:rPr>
            </w:pPr>
          </w:p>
        </w:tc>
        <w:tc>
          <w:tcPr>
            <w:tcW w:w="134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189,498</w:t>
            </w:r>
          </w:p>
        </w:tc>
        <w:tc>
          <w:tcPr>
            <w:tcW w:w="120" w:type="dxa"/>
            <w:vAlign w:val="bottom"/>
            <w:tcBorders>
              <w:bottom w:val="single" w:sz="8" w:color="EAF9E8"/>
            </w:tcBorders>
            <w:shd w:val="clear" w:color="auto" w:fill="EAF9E8"/>
          </w:tcPr>
          <w:p>
            <w:pPr>
              <w:spacing w:after="0"/>
              <w:rPr>
                <w:sz w:val="20"/>
                <w:szCs w:val="20"/>
                <w:color w:val="auto"/>
              </w:rPr>
            </w:pPr>
          </w:p>
        </w:tc>
      </w:tr>
      <w:tr>
        <w:trPr>
          <w:trHeight w:val="237"/>
        </w:trPr>
        <w:tc>
          <w:tcPr>
            <w:tcW w:w="798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44"/>
        </w:trPr>
        <w:tc>
          <w:tcPr>
            <w:tcW w:w="79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Deferred interest income on loans</w:t>
            </w:r>
          </w:p>
        </w:tc>
        <w:tc>
          <w:tcPr>
            <w:tcW w:w="140" w:type="dxa"/>
            <w:vAlign w:val="bottom"/>
            <w:shd w:val="clear" w:color="auto" w:fill="EAF9E8"/>
          </w:tcPr>
          <w:p>
            <w:pPr>
              <w:spacing w:after="0"/>
              <w:rPr>
                <w:sz w:val="21"/>
                <w:szCs w:val="21"/>
                <w:color w:val="auto"/>
              </w:rPr>
            </w:pPr>
          </w:p>
        </w:tc>
        <w:tc>
          <w:tcPr>
            <w:tcW w:w="13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75</w:t>
            </w:r>
          </w:p>
        </w:tc>
        <w:tc>
          <w:tcPr>
            <w:tcW w:w="34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3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75</w:t>
            </w:r>
          </w:p>
        </w:tc>
        <w:tc>
          <w:tcPr>
            <w:tcW w:w="120" w:type="dxa"/>
            <w:vAlign w:val="bottom"/>
            <w:shd w:val="clear" w:color="auto" w:fill="EAF9E8"/>
          </w:tcPr>
          <w:p>
            <w:pPr>
              <w:spacing w:after="0"/>
              <w:rPr>
                <w:sz w:val="21"/>
                <w:szCs w:val="21"/>
                <w:color w:val="auto"/>
              </w:rPr>
            </w:pPr>
          </w:p>
        </w:tc>
      </w:tr>
      <w:tr>
        <w:trPr>
          <w:trHeight w:val="242"/>
        </w:trPr>
        <w:tc>
          <w:tcPr>
            <w:tcW w:w="7980" w:type="dxa"/>
            <w:vAlign w:val="bottom"/>
          </w:tcPr>
          <w:p>
            <w:pPr>
              <w:ind w:left="160"/>
              <w:spacing w:after="0"/>
              <w:rPr>
                <w:sz w:val="20"/>
                <w:szCs w:val="20"/>
                <w:color w:val="auto"/>
              </w:rPr>
            </w:pPr>
            <w:r>
              <w:rPr>
                <w:rFonts w:ascii="Arial" w:cs="Arial" w:eastAsia="Arial" w:hAnsi="Arial"/>
                <w:sz w:val="18"/>
                <w:szCs w:val="18"/>
                <w:color w:val="auto"/>
              </w:rPr>
              <w:t>Intangibles amortization</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3,161</w:t>
            </w: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12,533</w:t>
            </w:r>
          </w:p>
        </w:tc>
        <w:tc>
          <w:tcPr>
            <w:tcW w:w="120" w:type="dxa"/>
            <w:vAlign w:val="bottom"/>
          </w:tcPr>
          <w:p>
            <w:pPr>
              <w:spacing w:after="0"/>
              <w:rPr>
                <w:sz w:val="21"/>
                <w:szCs w:val="21"/>
                <w:color w:val="auto"/>
              </w:rPr>
            </w:pPr>
          </w:p>
        </w:tc>
      </w:tr>
      <w:tr>
        <w:trPr>
          <w:trHeight w:val="244"/>
        </w:trPr>
        <w:tc>
          <w:tcPr>
            <w:tcW w:w="79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Debt discount</w:t>
            </w:r>
          </w:p>
        </w:tc>
        <w:tc>
          <w:tcPr>
            <w:tcW w:w="140" w:type="dxa"/>
            <w:vAlign w:val="bottom"/>
            <w:shd w:val="clear" w:color="auto" w:fill="EAF9E8"/>
          </w:tcPr>
          <w:p>
            <w:pPr>
              <w:spacing w:after="0"/>
              <w:rPr>
                <w:sz w:val="21"/>
                <w:szCs w:val="21"/>
                <w:color w:val="auto"/>
              </w:rPr>
            </w:pPr>
          </w:p>
        </w:tc>
        <w:tc>
          <w:tcPr>
            <w:tcW w:w="13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204</w:t>
            </w:r>
          </w:p>
        </w:tc>
        <w:tc>
          <w:tcPr>
            <w:tcW w:w="34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46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r>
      <w:tr>
        <w:trPr>
          <w:trHeight w:val="242"/>
        </w:trPr>
        <w:tc>
          <w:tcPr>
            <w:tcW w:w="7980" w:type="dxa"/>
            <w:vAlign w:val="bottom"/>
          </w:tcPr>
          <w:p>
            <w:pPr>
              <w:ind w:left="160"/>
              <w:spacing w:after="0"/>
              <w:rPr>
                <w:sz w:val="20"/>
                <w:szCs w:val="20"/>
                <w:color w:val="auto"/>
              </w:rPr>
            </w:pPr>
            <w:r>
              <w:rPr>
                <w:rFonts w:ascii="Arial" w:cs="Arial" w:eastAsia="Arial" w:hAnsi="Arial"/>
                <w:sz w:val="18"/>
                <w:szCs w:val="18"/>
                <w:color w:val="auto"/>
              </w:rPr>
              <w:t>Other deferred income</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346</w:t>
            </w: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44"/>
        </w:trPr>
        <w:tc>
          <w:tcPr>
            <w:tcW w:w="79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EAF9E8"/>
          </w:tcPr>
          <w:p>
            <w:pPr>
              <w:spacing w:after="0"/>
              <w:rPr>
                <w:sz w:val="21"/>
                <w:szCs w:val="21"/>
                <w:color w:val="auto"/>
              </w:rPr>
            </w:pPr>
          </w:p>
        </w:tc>
        <w:tc>
          <w:tcPr>
            <w:tcW w:w="13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664</w:t>
            </w:r>
          </w:p>
        </w:tc>
        <w:tc>
          <w:tcPr>
            <w:tcW w:w="34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46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r>
      <w:tr>
        <w:trPr>
          <w:trHeight w:val="236"/>
        </w:trPr>
        <w:tc>
          <w:tcPr>
            <w:tcW w:w="7980" w:type="dxa"/>
            <w:vAlign w:val="bottom"/>
            <w:tcBorders>
              <w:top w:val="single" w:sz="8" w:color="EAF9E8"/>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4,450</w:t>
            </w:r>
          </w:p>
        </w:tc>
        <w:tc>
          <w:tcPr>
            <w:tcW w:w="340" w:type="dxa"/>
            <w:vAlign w:val="bottom"/>
            <w:tcBorders>
              <w:top w:val="single" w:sz="8" w:color="EAF9E8"/>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12,608</w:t>
            </w:r>
          </w:p>
        </w:tc>
        <w:tc>
          <w:tcPr>
            <w:tcW w:w="120" w:type="dxa"/>
            <w:vAlign w:val="bottom"/>
            <w:tcBorders>
              <w:top w:val="single" w:sz="8" w:color="EAF9E8"/>
            </w:tcBorders>
          </w:tcPr>
          <w:p>
            <w:pPr>
              <w:spacing w:after="0"/>
              <w:rPr>
                <w:sz w:val="20"/>
                <w:szCs w:val="20"/>
                <w:color w:val="auto"/>
              </w:rPr>
            </w:pPr>
          </w:p>
        </w:tc>
      </w:tr>
      <w:tr>
        <w:trPr>
          <w:trHeight w:val="238"/>
        </w:trPr>
        <w:tc>
          <w:tcPr>
            <w:tcW w:w="7980" w:type="dxa"/>
            <w:vAlign w:val="bottom"/>
            <w:shd w:val="clear" w:color="auto" w:fill="EAF9E8"/>
          </w:tcPr>
          <w:p>
            <w:pPr>
              <w:spacing w:after="0"/>
              <w:rPr>
                <w:sz w:val="20"/>
                <w:szCs w:val="20"/>
                <w:color w:val="auto"/>
              </w:rPr>
            </w:pPr>
          </w:p>
        </w:tc>
        <w:tc>
          <w:tcPr>
            <w:tcW w:w="140" w:type="dxa"/>
            <w:vAlign w:val="bottom"/>
            <w:shd w:val="clear" w:color="auto" w:fill="EAF9E8"/>
          </w:tcPr>
          <w:p>
            <w:pPr>
              <w:spacing w:after="0"/>
              <w:rPr>
                <w:sz w:val="20"/>
                <w:szCs w:val="20"/>
                <w:color w:val="auto"/>
              </w:rPr>
            </w:pPr>
          </w:p>
        </w:tc>
        <w:tc>
          <w:tcPr>
            <w:tcW w:w="168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129,116</w:t>
            </w:r>
          </w:p>
        </w:tc>
        <w:tc>
          <w:tcPr>
            <w:tcW w:w="160" w:type="dxa"/>
            <w:vAlign w:val="bottom"/>
            <w:shd w:val="clear" w:color="auto" w:fill="EAF9E8"/>
          </w:tcPr>
          <w:p>
            <w:pPr>
              <w:spacing w:after="0"/>
              <w:rPr>
                <w:sz w:val="20"/>
                <w:szCs w:val="20"/>
                <w:color w:val="auto"/>
              </w:rPr>
            </w:pPr>
          </w:p>
        </w:tc>
        <w:tc>
          <w:tcPr>
            <w:tcW w:w="13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176,890</w:t>
            </w:r>
          </w:p>
        </w:tc>
        <w:tc>
          <w:tcPr>
            <w:tcW w:w="120" w:type="dxa"/>
            <w:vAlign w:val="bottom"/>
            <w:shd w:val="clear" w:color="auto" w:fill="EAF9E8"/>
          </w:tcPr>
          <w:p>
            <w:pPr>
              <w:spacing w:after="0"/>
              <w:rPr>
                <w:sz w:val="20"/>
                <w:szCs w:val="20"/>
                <w:color w:val="auto"/>
              </w:rPr>
            </w:pPr>
          </w:p>
        </w:tc>
      </w:tr>
      <w:tr>
        <w:trPr>
          <w:trHeight w:val="243"/>
        </w:trPr>
        <w:tc>
          <w:tcPr>
            <w:tcW w:w="7980" w:type="dxa"/>
            <w:vAlign w:val="bottom"/>
          </w:tcPr>
          <w:p>
            <w:pPr>
              <w:spacing w:after="0"/>
              <w:rPr>
                <w:sz w:val="20"/>
                <w:szCs w:val="20"/>
                <w:color w:val="auto"/>
              </w:rPr>
            </w:pPr>
            <w:r>
              <w:rPr>
                <w:rFonts w:ascii="Arial" w:cs="Arial" w:eastAsia="Arial" w:hAnsi="Arial"/>
                <w:sz w:val="18"/>
                <w:szCs w:val="18"/>
                <w:color w:val="auto"/>
              </w:rPr>
              <w:t>Valuation allowances</w:t>
            </w:r>
          </w:p>
        </w:tc>
        <w:tc>
          <w:tcPr>
            <w:tcW w:w="140" w:type="dxa"/>
            <w:vAlign w:val="bottom"/>
          </w:tcPr>
          <w:p>
            <w:pPr>
              <w:spacing w:after="0"/>
              <w:rPr>
                <w:sz w:val="21"/>
                <w:szCs w:val="21"/>
                <w:color w:val="auto"/>
              </w:rPr>
            </w:pPr>
          </w:p>
        </w:tc>
        <w:tc>
          <w:tcPr>
            <w:tcW w:w="16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(1,745)</w:t>
            </w:r>
          </w:p>
        </w:tc>
      </w:tr>
      <w:tr>
        <w:trPr>
          <w:trHeight w:val="250"/>
        </w:trPr>
        <w:tc>
          <w:tcPr>
            <w:tcW w:w="7980" w:type="dxa"/>
            <w:vAlign w:val="bottom"/>
            <w:tcBorders>
              <w:bottom w:val="single" w:sz="8" w:color="EAF9E8"/>
            </w:tcBorders>
            <w:shd w:val="clear" w:color="auto" w:fill="EAF9E8"/>
          </w:tcPr>
          <w:p>
            <w:pPr>
              <w:spacing w:after="0"/>
              <w:rPr>
                <w:sz w:val="20"/>
                <w:szCs w:val="20"/>
                <w:color w:val="auto"/>
              </w:rPr>
            </w:pPr>
            <w:r>
              <w:rPr>
                <w:rFonts w:ascii="Arial" w:cs="Arial" w:eastAsia="Arial" w:hAnsi="Arial"/>
                <w:sz w:val="18"/>
                <w:szCs w:val="18"/>
                <w:color w:val="auto"/>
              </w:rPr>
              <w:t>Net deferred tax asset</w:t>
            </w:r>
          </w:p>
        </w:tc>
        <w:tc>
          <w:tcPr>
            <w:tcW w:w="14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129,116</w:t>
            </w:r>
          </w:p>
        </w:tc>
        <w:tc>
          <w:tcPr>
            <w:tcW w:w="34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top w:val="single" w:sz="8" w:color="auto"/>
              <w:bottom w:val="single" w:sz="8" w:color="auto"/>
            </w:tcBorders>
            <w:shd w:val="clear" w:color="auto" w:fill="EAF9E8"/>
          </w:tcPr>
          <w:p>
            <w:pPr>
              <w:jc w:val="right"/>
              <w:ind w:right="3"/>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175,145</w:t>
            </w:r>
          </w:p>
        </w:tc>
        <w:tc>
          <w:tcPr>
            <w:tcW w:w="120" w:type="dxa"/>
            <w:vAlign w:val="bottom"/>
            <w:tcBorders>
              <w:bottom w:val="single" w:sz="8" w:color="EAF9E8"/>
            </w:tcBorders>
            <w:shd w:val="clear" w:color="auto" w:fill="EAF9E8"/>
          </w:tcPr>
          <w:p>
            <w:pPr>
              <w:spacing w:after="0"/>
              <w:rPr>
                <w:sz w:val="21"/>
                <w:szCs w:val="21"/>
                <w:color w:val="auto"/>
              </w:rPr>
            </w:pPr>
          </w:p>
        </w:tc>
      </w:tr>
    </w:tbl>
    <w:p>
      <w:pPr>
        <w:spacing w:after="0" w:line="208" w:lineRule="exact"/>
        <w:rPr>
          <w:sz w:val="20"/>
          <w:szCs w:val="20"/>
          <w:color w:val="auto"/>
        </w:rPr>
      </w:pPr>
    </w:p>
    <w:p>
      <w:pPr>
        <w:ind w:right="260" w:firstLine="436"/>
        <w:spacing w:after="0" w:line="268" w:lineRule="auto"/>
        <w:rPr>
          <w:sz w:val="20"/>
          <w:szCs w:val="20"/>
          <w:color w:val="auto"/>
        </w:rPr>
      </w:pPr>
      <w:r>
        <w:rPr>
          <w:rFonts w:ascii="Arial" w:cs="Arial" w:eastAsia="Arial" w:hAnsi="Arial"/>
          <w:sz w:val="18"/>
          <w:szCs w:val="18"/>
          <w:color w:val="auto"/>
        </w:rPr>
        <w:t>The changes in the deferred tax assets and liabilities are primarily due to the Separation. The realization of tax benefits associated with the sale of MSRs also contributed to the decline in net deferred tax asset.</w:t>
      </w:r>
    </w:p>
    <w:p>
      <w:pPr>
        <w:spacing w:after="0" w:line="193"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Note 20</w:t>
      </w:r>
      <w:r>
        <w:rPr>
          <w:sz w:val="20"/>
          <w:szCs w:val="20"/>
          <w:color w:val="auto"/>
        </w:rPr>
        <w:tab/>
      </w:r>
      <w:r>
        <w:rPr>
          <w:rFonts w:ascii="Arial" w:cs="Arial" w:eastAsia="Arial" w:hAnsi="Arial"/>
          <w:sz w:val="16"/>
          <w:szCs w:val="16"/>
          <w:b w:val="1"/>
          <w:bCs w:val="1"/>
          <w:color w:val="auto"/>
        </w:rPr>
        <w:t>Equity</w:t>
      </w:r>
    </w:p>
    <w:p>
      <w:pPr>
        <w:spacing w:after="0" w:line="231" w:lineRule="exact"/>
        <w:rPr>
          <w:sz w:val="20"/>
          <w:szCs w:val="20"/>
          <w:color w:val="auto"/>
        </w:rPr>
      </w:pPr>
    </w:p>
    <w:p>
      <w:pPr>
        <w:ind w:right="20" w:firstLine="439"/>
        <w:spacing w:after="0" w:line="291" w:lineRule="auto"/>
        <w:rPr>
          <w:sz w:val="20"/>
          <w:szCs w:val="20"/>
          <w:color w:val="auto"/>
        </w:rPr>
      </w:pPr>
      <w:r>
        <w:rPr>
          <w:rFonts w:ascii="Arial" w:cs="Arial" w:eastAsia="Arial" w:hAnsi="Arial"/>
          <w:sz w:val="16"/>
          <w:szCs w:val="16"/>
          <w:color w:val="auto"/>
        </w:rPr>
        <w:t>In a private placement transaction that closed on April 3, 2009, OCN sold 5,471,500 shares of its common stock for a price of $11.00 per share. We realized $60,187 in proceeds from this issuance. The purchasers, most of whom are existing OCN shareholders, purchased approximately 8% of OCN’s total outstanding shares pursuant to this new issuance. Accordingly, the purchasers owned approximately 9.6% of OCN’s total outstanding shares, after giving effect to the share repurchase below, as of the closing of the transaction. In addition to making customary representations, warranties and covenants, the purchasers have agreed to certain restrictions on the sale of the shares for a one-year period following the closing date. OCN is obligated to register the newly issued shares and will apply to list such shares on the New York Stock Exchange within 270 days of the closing.</w:t>
      </w:r>
    </w:p>
    <w:p>
      <w:pPr>
        <w:spacing w:after="0" w:line="174" w:lineRule="exact"/>
        <w:rPr>
          <w:sz w:val="20"/>
          <w:szCs w:val="20"/>
          <w:color w:val="auto"/>
        </w:rPr>
      </w:pPr>
    </w:p>
    <w:p>
      <w:pPr>
        <w:ind w:right="20" w:firstLine="439"/>
        <w:spacing w:after="0" w:line="256" w:lineRule="auto"/>
        <w:rPr>
          <w:sz w:val="20"/>
          <w:szCs w:val="20"/>
          <w:color w:val="auto"/>
        </w:rPr>
      </w:pPr>
      <w:r>
        <w:rPr>
          <w:rFonts w:ascii="Arial" w:cs="Arial" w:eastAsia="Arial" w:hAnsi="Arial"/>
          <w:sz w:val="18"/>
          <w:szCs w:val="18"/>
          <w:color w:val="auto"/>
        </w:rPr>
        <w:t>On April 3, 2009, OCN repurchased from William C. Erbey, its Chairman of the Board and Chief Executive Officer, one million shares of its common stock at a per-share price of $11.00. We used a portion of the proceeds received from the above-described private placement transaction to acquire the shares from Mr. Erbey. In addition to making customary representations and warranties, Mr. Erbey agreed to certain restrictions on the sale or transfer of the remainder of his shares for a one-year period following the closing date.</w:t>
      </w:r>
    </w:p>
    <w:p>
      <w:pPr>
        <w:spacing w:after="0" w:line="197" w:lineRule="exact"/>
        <w:rPr>
          <w:sz w:val="20"/>
          <w:szCs w:val="20"/>
          <w:color w:val="auto"/>
        </w:rPr>
      </w:pPr>
    </w:p>
    <w:p>
      <w:pPr>
        <w:ind w:right="20" w:firstLine="439"/>
        <w:spacing w:after="0" w:line="256" w:lineRule="auto"/>
        <w:rPr>
          <w:sz w:val="20"/>
          <w:szCs w:val="20"/>
          <w:color w:val="auto"/>
        </w:rPr>
      </w:pPr>
      <w:r>
        <w:rPr>
          <w:rFonts w:ascii="Arial" w:cs="Arial" w:eastAsia="Arial" w:hAnsi="Arial"/>
          <w:sz w:val="18"/>
          <w:szCs w:val="18"/>
          <w:color w:val="auto"/>
        </w:rPr>
        <w:t>On August 18, 2009, OCN completed the public offering of 32,200,000 shares of common stock at a per share price of $9.00, including 4,200,000 shares of common stock purchased by the underwriters pursuant to the full exercise of the over-allotment option granted under the underwriting agreement. We received net proceeds of $274,980 from the offering after deducting underwriting fees and other offering costs. We used these proceeds primarily to repay general corporate borrowings.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28"/>
        </w:trPr>
        <w:tc>
          <w:tcPr>
            <w:tcW w:w="1080" w:type="dxa"/>
            <w:vAlign w:val="bottom"/>
          </w:tcPr>
          <w:p>
            <w:pPr>
              <w:spacing w:after="0"/>
              <w:rPr>
                <w:sz w:val="20"/>
                <w:szCs w:val="20"/>
                <w:color w:val="auto"/>
              </w:rPr>
            </w:pPr>
            <w:r>
              <w:rPr>
                <w:rFonts w:ascii="Arial" w:cs="Arial" w:eastAsia="Arial" w:hAnsi="Arial"/>
                <w:sz w:val="18"/>
                <w:szCs w:val="18"/>
                <w:b w:val="1"/>
                <w:bCs w:val="1"/>
                <w:color w:val="auto"/>
              </w:rPr>
              <w:t>Note 21</w:t>
            </w:r>
          </w:p>
        </w:tc>
        <w:tc>
          <w:tcPr>
            <w:tcW w:w="5560" w:type="dxa"/>
            <w:vAlign w:val="bottom"/>
          </w:tcPr>
          <w:p>
            <w:pPr>
              <w:ind w:left="80"/>
              <w:spacing w:after="0"/>
              <w:rPr>
                <w:sz w:val="20"/>
                <w:szCs w:val="20"/>
                <w:color w:val="auto"/>
              </w:rPr>
            </w:pPr>
            <w:r>
              <w:rPr>
                <w:rFonts w:ascii="Arial" w:cs="Arial" w:eastAsia="Arial" w:hAnsi="Arial"/>
                <w:sz w:val="18"/>
                <w:szCs w:val="18"/>
                <w:b w:val="1"/>
                <w:bCs w:val="1"/>
                <w:color w:val="auto"/>
              </w:rPr>
              <w:t>Derivative Financial Instruments</w:t>
            </w:r>
          </w:p>
        </w:tc>
        <w:tc>
          <w:tcPr>
            <w:tcW w:w="1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432"/>
        </w:trPr>
        <w:tc>
          <w:tcPr>
            <w:tcW w:w="11420" w:type="dxa"/>
            <w:vAlign w:val="bottom"/>
            <w:gridSpan w:val="8"/>
          </w:tcPr>
          <w:p>
            <w:pPr>
              <w:ind w:left="440"/>
              <w:spacing w:after="0"/>
              <w:rPr>
                <w:sz w:val="20"/>
                <w:szCs w:val="20"/>
                <w:color w:val="auto"/>
              </w:rPr>
            </w:pPr>
            <w:r>
              <w:rPr>
                <w:rFonts w:ascii="Arial" w:cs="Arial" w:eastAsia="Arial" w:hAnsi="Arial"/>
                <w:sz w:val="18"/>
                <w:szCs w:val="18"/>
                <w:color w:val="auto"/>
              </w:rPr>
              <w:t>The following table summarizes our use of derivative financial instruments during the nine months ended September 30, 2009:</w:t>
            </w:r>
          </w:p>
        </w:tc>
      </w:tr>
      <w:tr>
        <w:trPr>
          <w:trHeight w:val="460"/>
        </w:trPr>
        <w:tc>
          <w:tcPr>
            <w:tcW w:w="108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2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w w:val="93"/>
              </w:rPr>
              <w:t>Interest Rate Caps</w:t>
            </w:r>
          </w:p>
        </w:tc>
        <w:tc>
          <w:tcPr>
            <w:tcW w:w="200" w:type="dxa"/>
            <w:vAlign w:val="bottom"/>
          </w:tcPr>
          <w:p>
            <w:pPr>
              <w:spacing w:after="0"/>
              <w:rPr>
                <w:sz w:val="24"/>
                <w:szCs w:val="24"/>
                <w:color w:val="auto"/>
              </w:rPr>
            </w:pPr>
          </w:p>
        </w:tc>
        <w:tc>
          <w:tcPr>
            <w:tcW w:w="22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3"/>
              </w:rPr>
              <w:t>Euro Currency Futures</w:t>
            </w:r>
          </w:p>
        </w:tc>
      </w:tr>
      <w:tr>
        <w:trPr>
          <w:trHeight w:val="238"/>
        </w:trPr>
        <w:tc>
          <w:tcPr>
            <w:tcW w:w="664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Notional balance at December 31, 2008</w:t>
            </w:r>
          </w:p>
        </w:tc>
        <w:tc>
          <w:tcPr>
            <w:tcW w:w="180" w:type="dxa"/>
            <w:vAlign w:val="bottom"/>
            <w:tcBorders>
              <w:top w:val="single" w:sz="8" w:color="auto"/>
            </w:tcBorders>
            <w:shd w:val="clear" w:color="auto" w:fill="EAF9E8"/>
          </w:tcPr>
          <w:p>
            <w:pPr>
              <w:jc w:val="right"/>
              <w:ind w:right="23"/>
              <w:spacing w:after="0"/>
              <w:rPr>
                <w:sz w:val="20"/>
                <w:szCs w:val="20"/>
                <w:color w:val="auto"/>
              </w:rPr>
            </w:pPr>
            <w:r>
              <w:rPr>
                <w:rFonts w:ascii="Arial" w:cs="Arial" w:eastAsia="Arial" w:hAnsi="Arial"/>
                <w:sz w:val="15"/>
                <w:szCs w:val="15"/>
                <w:color w:val="auto"/>
                <w:w w:val="71"/>
              </w:rPr>
              <w:t>$</w:t>
            </w:r>
          </w:p>
        </w:tc>
        <w:tc>
          <w:tcPr>
            <w:tcW w:w="176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450,000</w:t>
            </w:r>
          </w:p>
        </w:tc>
        <w:tc>
          <w:tcPr>
            <w:tcW w:w="360" w:type="dxa"/>
            <w:vAlign w:val="bottom"/>
            <w:shd w:val="clear" w:color="auto" w:fill="EAF9E8"/>
          </w:tcPr>
          <w:p>
            <w:pPr>
              <w:spacing w:after="0"/>
              <w:rPr>
                <w:sz w:val="20"/>
                <w:szCs w:val="20"/>
                <w:color w:val="auto"/>
              </w:rPr>
            </w:pPr>
          </w:p>
        </w:tc>
        <w:tc>
          <w:tcPr>
            <w:tcW w:w="200" w:type="dxa"/>
            <w:vAlign w:val="bottom"/>
            <w:tcBorders>
              <w:top w:val="single" w:sz="8" w:color="auto"/>
            </w:tcBorders>
            <w:shd w:val="clear" w:color="auto" w:fill="EAF9E8"/>
          </w:tcPr>
          <w:p>
            <w:pPr>
              <w:jc w:val="right"/>
              <w:ind w:right="12"/>
              <w:spacing w:after="0"/>
              <w:rPr>
                <w:sz w:val="20"/>
                <w:szCs w:val="20"/>
                <w:color w:val="auto"/>
              </w:rPr>
            </w:pPr>
            <w:r>
              <w:rPr>
                <w:rFonts w:ascii="Arial" w:cs="Arial" w:eastAsia="Arial" w:hAnsi="Arial"/>
                <w:sz w:val="18"/>
                <w:szCs w:val="18"/>
                <w:color w:val="auto"/>
                <w:w w:val="79"/>
              </w:rPr>
              <w:t>$</w:t>
            </w:r>
          </w:p>
        </w:tc>
        <w:tc>
          <w:tcPr>
            <w:tcW w:w="216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10,125</w:t>
            </w:r>
          </w:p>
        </w:tc>
        <w:tc>
          <w:tcPr>
            <w:tcW w:w="120" w:type="dxa"/>
            <w:vAlign w:val="bottom"/>
            <w:shd w:val="clear" w:color="auto" w:fill="EAF9E8"/>
          </w:tcPr>
          <w:p>
            <w:pPr>
              <w:spacing w:after="0"/>
              <w:rPr>
                <w:sz w:val="20"/>
                <w:szCs w:val="20"/>
                <w:color w:val="auto"/>
              </w:rPr>
            </w:pPr>
          </w:p>
        </w:tc>
      </w:tr>
      <w:tr>
        <w:trPr>
          <w:trHeight w:val="242"/>
        </w:trPr>
        <w:tc>
          <w:tcPr>
            <w:tcW w:w="1080" w:type="dxa"/>
            <w:vAlign w:val="bottom"/>
          </w:tcPr>
          <w:p>
            <w:pPr>
              <w:spacing w:after="0"/>
              <w:rPr>
                <w:sz w:val="20"/>
                <w:szCs w:val="20"/>
                <w:color w:val="auto"/>
              </w:rPr>
            </w:pPr>
            <w:r>
              <w:rPr>
                <w:rFonts w:ascii="Arial" w:cs="Arial" w:eastAsia="Arial" w:hAnsi="Arial"/>
                <w:sz w:val="18"/>
                <w:szCs w:val="18"/>
                <w:color w:val="auto"/>
              </w:rPr>
              <w:t>Additions</w:t>
            </w:r>
          </w:p>
        </w:tc>
        <w:tc>
          <w:tcPr>
            <w:tcW w:w="5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1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31,121</w:t>
            </w:r>
          </w:p>
        </w:tc>
        <w:tc>
          <w:tcPr>
            <w:tcW w:w="120" w:type="dxa"/>
            <w:vAlign w:val="bottom"/>
          </w:tcPr>
          <w:p>
            <w:pPr>
              <w:spacing w:after="0"/>
              <w:rPr>
                <w:sz w:val="21"/>
                <w:szCs w:val="21"/>
                <w:color w:val="auto"/>
              </w:rPr>
            </w:pPr>
          </w:p>
        </w:tc>
      </w:tr>
      <w:tr>
        <w:trPr>
          <w:trHeight w:val="244"/>
        </w:trPr>
        <w:tc>
          <w:tcPr>
            <w:tcW w:w="1080" w:type="dxa"/>
            <w:vAlign w:val="bottom"/>
            <w:shd w:val="clear" w:color="auto" w:fill="EAF9E8"/>
          </w:tcPr>
          <w:p>
            <w:pPr>
              <w:spacing w:after="0"/>
              <w:rPr>
                <w:sz w:val="20"/>
                <w:szCs w:val="20"/>
                <w:color w:val="auto"/>
              </w:rPr>
            </w:pPr>
            <w:r>
              <w:rPr>
                <w:rFonts w:ascii="Arial" w:cs="Arial" w:eastAsia="Arial" w:hAnsi="Arial"/>
                <w:sz w:val="18"/>
                <w:szCs w:val="18"/>
                <w:color w:val="auto"/>
              </w:rPr>
              <w:t>Maturities</w:t>
            </w:r>
          </w:p>
        </w:tc>
        <w:tc>
          <w:tcPr>
            <w:tcW w:w="5560" w:type="dxa"/>
            <w:vAlign w:val="bottom"/>
            <w:shd w:val="clear" w:color="auto" w:fill="EAF9E8"/>
          </w:tcPr>
          <w:p>
            <w:pPr>
              <w:spacing w:after="0"/>
              <w:rPr>
                <w:sz w:val="21"/>
                <w:szCs w:val="21"/>
                <w:color w:val="auto"/>
              </w:rPr>
            </w:pPr>
          </w:p>
        </w:tc>
        <w:tc>
          <w:tcPr>
            <w:tcW w:w="180" w:type="dxa"/>
            <w:vAlign w:val="bottom"/>
            <w:shd w:val="clear" w:color="auto" w:fill="EAF9E8"/>
          </w:tcPr>
          <w:p>
            <w:pPr>
              <w:spacing w:after="0"/>
              <w:rPr>
                <w:sz w:val="21"/>
                <w:szCs w:val="21"/>
                <w:color w:val="auto"/>
              </w:rPr>
            </w:pPr>
          </w:p>
        </w:tc>
        <w:tc>
          <w:tcPr>
            <w:tcW w:w="2120" w:type="dxa"/>
            <w:vAlign w:val="bottom"/>
            <w:gridSpan w:val="2"/>
            <w:shd w:val="clear" w:color="auto" w:fill="EAF9E8"/>
          </w:tcPr>
          <w:p>
            <w:pPr>
              <w:jc w:val="right"/>
              <w:ind w:right="300"/>
              <w:spacing w:after="0"/>
              <w:rPr>
                <w:sz w:val="20"/>
                <w:szCs w:val="20"/>
                <w:color w:val="auto"/>
              </w:rPr>
            </w:pPr>
            <w:r>
              <w:rPr>
                <w:rFonts w:ascii="Arial" w:cs="Arial" w:eastAsia="Arial" w:hAnsi="Arial"/>
                <w:sz w:val="18"/>
                <w:szCs w:val="18"/>
                <w:color w:val="auto"/>
              </w:rPr>
              <w:t>(66,667)</w:t>
            </w:r>
          </w:p>
        </w:tc>
        <w:tc>
          <w:tcPr>
            <w:tcW w:w="200" w:type="dxa"/>
            <w:vAlign w:val="bottom"/>
            <w:shd w:val="clear" w:color="auto" w:fill="EAF9E8"/>
          </w:tcPr>
          <w:p>
            <w:pPr>
              <w:spacing w:after="0"/>
              <w:rPr>
                <w:sz w:val="21"/>
                <w:szCs w:val="21"/>
                <w:color w:val="auto"/>
              </w:rPr>
            </w:pPr>
          </w:p>
        </w:tc>
        <w:tc>
          <w:tcPr>
            <w:tcW w:w="228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(30,253)</w:t>
            </w:r>
          </w:p>
        </w:tc>
      </w:tr>
      <w:tr>
        <w:trPr>
          <w:trHeight w:val="210"/>
        </w:trPr>
        <w:tc>
          <w:tcPr>
            <w:tcW w:w="6640" w:type="dxa"/>
            <w:vAlign w:val="bottom"/>
            <w:tcBorders>
              <w:top w:val="single" w:sz="8" w:color="EAF9E8"/>
            </w:tcBorders>
            <w:gridSpan w:val="2"/>
          </w:tcPr>
          <w:p>
            <w:pPr>
              <w:spacing w:after="0"/>
              <w:rPr>
                <w:sz w:val="20"/>
                <w:szCs w:val="20"/>
                <w:color w:val="auto"/>
              </w:rPr>
            </w:pPr>
            <w:r>
              <w:rPr>
                <w:rFonts w:ascii="Arial" w:cs="Arial" w:eastAsia="Arial" w:hAnsi="Arial"/>
                <w:sz w:val="18"/>
                <w:szCs w:val="18"/>
                <w:color w:val="auto"/>
              </w:rPr>
              <w:t>Notional balance at September 30, 2009</w:t>
            </w:r>
          </w:p>
        </w:tc>
        <w:tc>
          <w:tcPr>
            <w:tcW w:w="18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383,333</w:t>
            </w:r>
          </w:p>
        </w:tc>
        <w:tc>
          <w:tcPr>
            <w:tcW w:w="360" w:type="dxa"/>
            <w:vAlign w:val="bottom"/>
            <w:tcBorders>
              <w:top w:val="single" w:sz="8" w:color="EAF9E8"/>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2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10,993</w:t>
            </w:r>
          </w:p>
        </w:tc>
        <w:tc>
          <w:tcPr>
            <w:tcW w:w="120" w:type="dxa"/>
            <w:vAlign w:val="bottom"/>
            <w:tcBorders>
              <w:top w:val="single" w:sz="8" w:color="EAF9E8"/>
            </w:tcBorders>
          </w:tcPr>
          <w:p>
            <w:pPr>
              <w:spacing w:after="0"/>
              <w:rPr>
                <w:sz w:val="18"/>
                <w:szCs w:val="18"/>
                <w:color w:val="auto"/>
              </w:rPr>
            </w:pPr>
          </w:p>
        </w:tc>
      </w:tr>
      <w:tr>
        <w:trPr>
          <w:trHeight w:val="20"/>
        </w:trPr>
        <w:tc>
          <w:tcPr>
            <w:tcW w:w="108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4"/>
        </w:trPr>
        <w:tc>
          <w:tcPr>
            <w:tcW w:w="1080" w:type="dxa"/>
            <w:vAlign w:val="bottom"/>
          </w:tcPr>
          <w:p>
            <w:pPr>
              <w:spacing w:after="0"/>
              <w:rPr>
                <w:sz w:val="19"/>
                <w:szCs w:val="19"/>
                <w:color w:val="auto"/>
              </w:rPr>
            </w:pPr>
          </w:p>
        </w:tc>
        <w:tc>
          <w:tcPr>
            <w:tcW w:w="5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43"/>
        </w:trPr>
        <w:tc>
          <w:tcPr>
            <w:tcW w:w="1080" w:type="dxa"/>
            <w:vAlign w:val="bottom"/>
            <w:shd w:val="clear" w:color="auto" w:fill="EAF9E8"/>
          </w:tcPr>
          <w:p>
            <w:pPr>
              <w:spacing w:after="0"/>
              <w:rPr>
                <w:sz w:val="20"/>
                <w:szCs w:val="20"/>
                <w:color w:val="auto"/>
              </w:rPr>
            </w:pPr>
            <w:r>
              <w:rPr>
                <w:rFonts w:ascii="Arial" w:cs="Arial" w:eastAsia="Arial" w:hAnsi="Arial"/>
                <w:sz w:val="18"/>
                <w:szCs w:val="18"/>
                <w:color w:val="auto"/>
                <w:w w:val="95"/>
              </w:rPr>
              <w:t>Fair value (1):</w:t>
            </w:r>
          </w:p>
        </w:tc>
        <w:tc>
          <w:tcPr>
            <w:tcW w:w="5560" w:type="dxa"/>
            <w:vAlign w:val="bottom"/>
            <w:shd w:val="clear" w:color="auto" w:fill="EAF9E8"/>
          </w:tcPr>
          <w:p>
            <w:pPr>
              <w:spacing w:after="0"/>
              <w:rPr>
                <w:sz w:val="21"/>
                <w:szCs w:val="21"/>
                <w:color w:val="auto"/>
              </w:rPr>
            </w:pPr>
          </w:p>
        </w:tc>
        <w:tc>
          <w:tcPr>
            <w:tcW w:w="180" w:type="dxa"/>
            <w:vAlign w:val="bottom"/>
            <w:shd w:val="clear" w:color="auto" w:fill="EAF9E8"/>
          </w:tcPr>
          <w:p>
            <w:pPr>
              <w:spacing w:after="0"/>
              <w:rPr>
                <w:sz w:val="21"/>
                <w:szCs w:val="21"/>
                <w:color w:val="auto"/>
              </w:rPr>
            </w:pPr>
          </w:p>
        </w:tc>
        <w:tc>
          <w:tcPr>
            <w:tcW w:w="1760" w:type="dxa"/>
            <w:vAlign w:val="bottom"/>
            <w:shd w:val="clear" w:color="auto" w:fill="EAF9E8"/>
          </w:tcPr>
          <w:p>
            <w:pPr>
              <w:spacing w:after="0"/>
              <w:rPr>
                <w:sz w:val="21"/>
                <w:szCs w:val="21"/>
                <w:color w:val="auto"/>
              </w:rPr>
            </w:pPr>
          </w:p>
        </w:tc>
        <w:tc>
          <w:tcPr>
            <w:tcW w:w="360" w:type="dxa"/>
            <w:vAlign w:val="bottom"/>
            <w:shd w:val="clear" w:color="auto" w:fill="EAF9E8"/>
          </w:tcPr>
          <w:p>
            <w:pPr>
              <w:spacing w:after="0"/>
              <w:rPr>
                <w:sz w:val="21"/>
                <w:szCs w:val="21"/>
                <w:color w:val="auto"/>
              </w:rPr>
            </w:pPr>
          </w:p>
        </w:tc>
        <w:tc>
          <w:tcPr>
            <w:tcW w:w="200" w:type="dxa"/>
            <w:vAlign w:val="bottom"/>
            <w:shd w:val="clear" w:color="auto" w:fill="EAF9E8"/>
          </w:tcPr>
          <w:p>
            <w:pPr>
              <w:spacing w:after="0"/>
              <w:rPr>
                <w:sz w:val="21"/>
                <w:szCs w:val="21"/>
                <w:color w:val="auto"/>
              </w:rPr>
            </w:pPr>
          </w:p>
        </w:tc>
        <w:tc>
          <w:tcPr>
            <w:tcW w:w="216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r>
      <w:tr>
        <w:trPr>
          <w:trHeight w:val="216"/>
        </w:trPr>
        <w:tc>
          <w:tcPr>
            <w:tcW w:w="6640" w:type="dxa"/>
            <w:vAlign w:val="bottom"/>
            <w:gridSpan w:val="2"/>
          </w:tcPr>
          <w:p>
            <w:pPr>
              <w:ind w:left="160"/>
              <w:spacing w:after="0"/>
              <w:rPr>
                <w:sz w:val="20"/>
                <w:szCs w:val="20"/>
                <w:color w:val="auto"/>
              </w:rPr>
            </w:pPr>
            <w:r>
              <w:rPr>
                <w:rFonts w:ascii="Arial" w:cs="Arial" w:eastAsia="Arial" w:hAnsi="Arial"/>
                <w:sz w:val="18"/>
                <w:szCs w:val="18"/>
                <w:color w:val="auto"/>
              </w:rPr>
              <w:t>September 30, 2009</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883</w:t>
            </w:r>
          </w:p>
        </w:tc>
        <w:tc>
          <w:tcPr>
            <w:tcW w:w="360" w:type="dxa"/>
            <w:vAlign w:val="bottom"/>
          </w:tcPr>
          <w:p>
            <w:pPr>
              <w:spacing w:after="0"/>
              <w:rPr>
                <w:sz w:val="18"/>
                <w:szCs w:val="18"/>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2280" w:type="dxa"/>
            <w:vAlign w:val="bottom"/>
            <w:gridSpan w:val="2"/>
          </w:tcPr>
          <w:p>
            <w:pPr>
              <w:jc w:val="right"/>
              <w:ind w:right="60"/>
              <w:spacing w:after="0" w:line="216" w:lineRule="exact"/>
              <w:rPr>
                <w:sz w:val="20"/>
                <w:szCs w:val="20"/>
                <w:color w:val="auto"/>
              </w:rPr>
            </w:pPr>
            <w:r>
              <w:rPr>
                <w:rFonts w:ascii="Arial" w:cs="Arial" w:eastAsia="Arial" w:hAnsi="Arial"/>
                <w:sz w:val="14"/>
                <w:szCs w:val="14"/>
                <w:color w:val="auto"/>
              </w:rPr>
              <w:t>(252</w:t>
            </w:r>
            <w:r>
              <w:rPr>
                <w:rFonts w:ascii="Arial" w:cs="Arial" w:eastAsia="Arial" w:hAnsi="Arial"/>
                <w:sz w:val="25"/>
                <w:szCs w:val="25"/>
                <w:color w:val="auto"/>
                <w:vertAlign w:val="subscript"/>
              </w:rPr>
              <w:t>)</w:t>
            </w:r>
          </w:p>
        </w:tc>
      </w:tr>
      <w:tr>
        <w:trPr>
          <w:trHeight w:val="20"/>
        </w:trPr>
        <w:tc>
          <w:tcPr>
            <w:tcW w:w="6640" w:type="dxa"/>
            <w:vAlign w:val="bottom"/>
            <w:gridSpan w:val="2"/>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7"/>
        </w:trPr>
        <w:tc>
          <w:tcPr>
            <w:tcW w:w="6640" w:type="dxa"/>
            <w:vAlign w:val="bottom"/>
            <w:tcBorders>
              <w:bottom w:val="single" w:sz="8" w:color="EAF9E8"/>
            </w:tcBorders>
            <w:gridSpan w:val="2"/>
            <w:shd w:val="clear" w:color="auto" w:fill="EAF9E8"/>
          </w:tcPr>
          <w:p>
            <w:pPr>
              <w:ind w:left="160"/>
              <w:spacing w:after="0" w:line="196" w:lineRule="exact"/>
              <w:rPr>
                <w:sz w:val="20"/>
                <w:szCs w:val="20"/>
                <w:color w:val="auto"/>
              </w:rPr>
            </w:pPr>
            <w:r>
              <w:rPr>
                <w:rFonts w:ascii="Arial" w:cs="Arial" w:eastAsia="Arial" w:hAnsi="Arial"/>
                <w:sz w:val="18"/>
                <w:szCs w:val="18"/>
                <w:color w:val="auto"/>
              </w:rPr>
              <w:t>December 31, 2008</w:t>
            </w:r>
          </w:p>
        </w:tc>
        <w:tc>
          <w:tcPr>
            <w:tcW w:w="180" w:type="dxa"/>
            <w:vAlign w:val="bottom"/>
            <w:tcBorders>
              <w:bottom w:val="single" w:sz="8" w:color="auto"/>
            </w:tcBorders>
            <w:shd w:val="clear" w:color="auto" w:fill="EAF9E8"/>
          </w:tcPr>
          <w:p>
            <w:pPr>
              <w:jc w:val="right"/>
              <w:ind w:right="23"/>
              <w:spacing w:after="0"/>
              <w:rPr>
                <w:sz w:val="20"/>
                <w:szCs w:val="20"/>
                <w:color w:val="auto"/>
              </w:rPr>
            </w:pPr>
            <w:r>
              <w:rPr>
                <w:rFonts w:ascii="Arial" w:cs="Arial" w:eastAsia="Arial" w:hAnsi="Arial"/>
                <w:sz w:val="15"/>
                <w:szCs w:val="15"/>
                <w:color w:val="auto"/>
                <w:w w:val="71"/>
              </w:rPr>
              <w:t>$</w:t>
            </w:r>
          </w:p>
        </w:tc>
        <w:tc>
          <w:tcPr>
            <w:tcW w:w="1760" w:type="dxa"/>
            <w:vAlign w:val="bottom"/>
            <w:tcBorders>
              <w:bottom w:val="single" w:sz="8" w:color="auto"/>
            </w:tcBorders>
            <w:shd w:val="clear" w:color="auto" w:fill="EAF9E8"/>
          </w:tcPr>
          <w:p>
            <w:pPr>
              <w:jc w:val="right"/>
              <w:spacing w:after="0" w:line="196" w:lineRule="exact"/>
              <w:rPr>
                <w:sz w:val="20"/>
                <w:szCs w:val="20"/>
                <w:color w:val="auto"/>
              </w:rPr>
            </w:pPr>
            <w:r>
              <w:rPr>
                <w:rFonts w:ascii="Arial" w:cs="Arial" w:eastAsia="Arial" w:hAnsi="Arial"/>
                <w:sz w:val="18"/>
                <w:szCs w:val="18"/>
                <w:color w:val="auto"/>
              </w:rPr>
              <w:t>193</w:t>
            </w:r>
          </w:p>
        </w:tc>
        <w:tc>
          <w:tcPr>
            <w:tcW w:w="360" w:type="dxa"/>
            <w:vAlign w:val="bottom"/>
            <w:tcBorders>
              <w:bottom w:val="single" w:sz="8" w:color="EAF9E8"/>
            </w:tcBorders>
            <w:shd w:val="clear" w:color="auto" w:fill="EAF9E8"/>
          </w:tcPr>
          <w:p>
            <w:pPr>
              <w:spacing w:after="0"/>
              <w:rPr>
                <w:sz w:val="20"/>
                <w:szCs w:val="20"/>
                <w:color w:val="auto"/>
              </w:rPr>
            </w:pPr>
          </w:p>
        </w:tc>
        <w:tc>
          <w:tcPr>
            <w:tcW w:w="200" w:type="dxa"/>
            <w:vAlign w:val="bottom"/>
            <w:tcBorders>
              <w:bottom w:val="single" w:sz="8" w:color="auto"/>
            </w:tcBorders>
            <w:shd w:val="clear" w:color="auto" w:fill="EAF9E8"/>
          </w:tcPr>
          <w:p>
            <w:pPr>
              <w:jc w:val="right"/>
              <w:ind w:right="12"/>
              <w:spacing w:after="0" w:line="196" w:lineRule="exact"/>
              <w:rPr>
                <w:sz w:val="20"/>
                <w:szCs w:val="20"/>
                <w:color w:val="auto"/>
              </w:rPr>
            </w:pPr>
            <w:r>
              <w:rPr>
                <w:rFonts w:ascii="Arial" w:cs="Arial" w:eastAsia="Arial" w:hAnsi="Arial"/>
                <w:sz w:val="18"/>
                <w:szCs w:val="18"/>
                <w:color w:val="auto"/>
                <w:w w:val="79"/>
              </w:rPr>
              <w:t>$</w:t>
            </w:r>
          </w:p>
        </w:tc>
        <w:tc>
          <w:tcPr>
            <w:tcW w:w="2160" w:type="dxa"/>
            <w:vAlign w:val="bottom"/>
            <w:tcBorders>
              <w:bottom w:val="single" w:sz="8" w:color="auto"/>
            </w:tcBorders>
            <w:shd w:val="clear" w:color="auto" w:fill="EAF9E8"/>
          </w:tcPr>
          <w:p>
            <w:pPr>
              <w:jc w:val="right"/>
              <w:spacing w:after="0" w:line="196" w:lineRule="exact"/>
              <w:rPr>
                <w:sz w:val="20"/>
                <w:szCs w:val="20"/>
                <w:color w:val="auto"/>
              </w:rPr>
            </w:pPr>
            <w:r>
              <w:rPr>
                <w:rFonts w:ascii="Arial" w:cs="Arial" w:eastAsia="Arial" w:hAnsi="Arial"/>
                <w:sz w:val="18"/>
                <w:szCs w:val="18"/>
                <w:color w:val="auto"/>
              </w:rPr>
              <w:t>(726)</w:t>
            </w:r>
          </w:p>
        </w:tc>
        <w:tc>
          <w:tcPr>
            <w:tcW w:w="120" w:type="dxa"/>
            <w:vAlign w:val="bottom"/>
            <w:tcBorders>
              <w:bottom w:val="single" w:sz="8" w:color="auto"/>
            </w:tcBorders>
            <w:shd w:val="clear" w:color="auto" w:fill="EAF9E8"/>
          </w:tcPr>
          <w:p>
            <w:pPr>
              <w:spacing w:after="0"/>
              <w:rPr>
                <w:sz w:val="20"/>
                <w:szCs w:val="20"/>
                <w:color w:val="auto"/>
              </w:rPr>
            </w:pPr>
          </w:p>
        </w:tc>
      </w:tr>
      <w:tr>
        <w:trPr>
          <w:trHeight w:val="431"/>
        </w:trPr>
        <w:tc>
          <w:tcPr>
            <w:tcW w:w="108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20" w:type="dxa"/>
            <w:vAlign w:val="bottom"/>
            <w:gridSpan w:val="2"/>
          </w:tcPr>
          <w:p>
            <w:pPr>
              <w:jc w:val="right"/>
              <w:ind w:right="660"/>
              <w:spacing w:after="0"/>
              <w:rPr>
                <w:sz w:val="20"/>
                <w:szCs w:val="20"/>
                <w:color w:val="auto"/>
              </w:rPr>
            </w:pPr>
            <w:r>
              <w:rPr>
                <w:rFonts w:ascii="Arial" w:cs="Arial" w:eastAsia="Arial" w:hAnsi="Arial"/>
                <w:sz w:val="18"/>
                <w:szCs w:val="18"/>
                <w:color w:val="auto"/>
                <w:w w:val="99"/>
              </w:rPr>
              <w:t>January 2011 and</w:t>
            </w:r>
          </w:p>
        </w:tc>
        <w:tc>
          <w:tcPr>
            <w:tcW w:w="2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22"/>
        </w:trPr>
        <w:tc>
          <w:tcPr>
            <w:tcW w:w="1080" w:type="dxa"/>
            <w:vAlign w:val="bottom"/>
          </w:tcPr>
          <w:p>
            <w:pPr>
              <w:spacing w:after="0"/>
              <w:rPr>
                <w:sz w:val="20"/>
                <w:szCs w:val="20"/>
                <w:color w:val="auto"/>
              </w:rPr>
            </w:pPr>
            <w:r>
              <w:rPr>
                <w:rFonts w:ascii="Arial" w:cs="Arial" w:eastAsia="Arial" w:hAnsi="Arial"/>
                <w:sz w:val="18"/>
                <w:szCs w:val="18"/>
                <w:color w:val="auto"/>
              </w:rPr>
              <w:t>Maturity</w:t>
            </w:r>
          </w:p>
        </w:tc>
        <w:tc>
          <w:tcPr>
            <w:tcW w:w="5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20" w:type="dxa"/>
            <w:vAlign w:val="bottom"/>
            <w:gridSpan w:val="2"/>
          </w:tcPr>
          <w:p>
            <w:pPr>
              <w:jc w:val="right"/>
              <w:ind w:right="720"/>
              <w:spacing w:after="0"/>
              <w:rPr>
                <w:sz w:val="20"/>
                <w:szCs w:val="20"/>
                <w:color w:val="auto"/>
              </w:rPr>
            </w:pPr>
            <w:r>
              <w:rPr>
                <w:rFonts w:ascii="Arial" w:cs="Arial" w:eastAsia="Arial" w:hAnsi="Arial"/>
                <w:sz w:val="18"/>
                <w:szCs w:val="18"/>
                <w:color w:val="auto"/>
              </w:rPr>
              <w:t>December 2013</w:t>
            </w:r>
          </w:p>
        </w:tc>
        <w:tc>
          <w:tcPr>
            <w:tcW w:w="200" w:type="dxa"/>
            <w:vAlign w:val="bottom"/>
          </w:tcPr>
          <w:p>
            <w:pPr>
              <w:spacing w:after="0"/>
              <w:rPr>
                <w:sz w:val="19"/>
                <w:szCs w:val="19"/>
                <w:color w:val="auto"/>
              </w:rPr>
            </w:pPr>
          </w:p>
        </w:tc>
        <w:tc>
          <w:tcPr>
            <w:tcW w:w="2280" w:type="dxa"/>
            <w:vAlign w:val="bottom"/>
            <w:gridSpan w:val="2"/>
          </w:tcPr>
          <w:p>
            <w:pPr>
              <w:jc w:val="right"/>
              <w:ind w:right="680"/>
              <w:spacing w:after="0"/>
              <w:rPr>
                <w:sz w:val="20"/>
                <w:szCs w:val="20"/>
                <w:color w:val="auto"/>
              </w:rPr>
            </w:pPr>
            <w:r>
              <w:rPr>
                <w:rFonts w:ascii="Arial" w:cs="Arial" w:eastAsia="Arial" w:hAnsi="Arial"/>
                <w:sz w:val="18"/>
                <w:szCs w:val="18"/>
                <w:color w:val="auto"/>
              </w:rPr>
              <w:t>December 2009</w:t>
            </w:r>
          </w:p>
        </w:tc>
      </w:tr>
    </w:tbl>
    <w:p>
      <w:pPr>
        <w:spacing w:after="0" w:line="250" w:lineRule="exact"/>
        <w:rPr>
          <w:sz w:val="20"/>
          <w:szCs w:val="20"/>
          <w:color w:val="auto"/>
        </w:rPr>
      </w:pPr>
    </w:p>
    <w:p>
      <w:pPr>
        <w:ind w:left="1160" w:hanging="571"/>
        <w:spacing w:after="0"/>
        <w:tabs>
          <w:tab w:leader="none" w:pos="11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report the fair value of our derivative financial instruments as a component of receivables in the consolidated balance sheets.</w:t>
      </w:r>
    </w:p>
    <w:p>
      <w:pPr>
        <w:spacing w:after="0" w:line="252" w:lineRule="exact"/>
        <w:rPr>
          <w:sz w:val="20"/>
          <w:szCs w:val="20"/>
          <w:color w:val="auto"/>
        </w:rPr>
      </w:pPr>
    </w:p>
    <w:p>
      <w:pPr>
        <w:ind w:right="120" w:firstLine="439"/>
        <w:spacing w:after="0" w:line="312" w:lineRule="auto"/>
        <w:rPr>
          <w:sz w:val="20"/>
          <w:szCs w:val="20"/>
          <w:color w:val="auto"/>
        </w:rPr>
      </w:pPr>
      <w:r>
        <w:rPr>
          <w:rFonts w:ascii="Arial" w:cs="Arial" w:eastAsia="Arial" w:hAnsi="Arial"/>
          <w:sz w:val="15"/>
          <w:szCs w:val="15"/>
          <w:color w:val="auto"/>
        </w:rPr>
        <w:t>In our Servicing segment, we have entered into interest rate swaps, under which we pay a floating rate and receive a fixed rate, and interest rate caps. In connection with our issuance of a match funded variable funding note in December 2007 with a variable rate of interest and a $250,000 maximum borrowing capacity, we entered into interest rate caps with a notional amount of $250,000 to hedge our exposure to rising interest rates. We designated this cap as a cash flow hedge but de-designated it as of March 31, 2008 because of ineffectiveness. As a result, we reclassified to earnings the unrealized loss of $239 included in other comprehensive income at December 31, 2007. In connection with our renewal and upsizing of a match funded variable funding note in February 2008 that carried a variable interest rate and a maximum borrowing capacity of $200,000, we entered into an interest rate cap with a notional amount of $200,000 to hedge our exposure to rising interest rates. This cap began amortizing at the rate of $8,333 per month in February 2009. We did not designate this cap as a hedge.</w:t>
      </w:r>
    </w:p>
    <w:p>
      <w:pPr>
        <w:spacing w:after="0" w:line="159" w:lineRule="exact"/>
        <w:rPr>
          <w:sz w:val="20"/>
          <w:szCs w:val="20"/>
          <w:color w:val="auto"/>
        </w:rPr>
      </w:pPr>
    </w:p>
    <w:p>
      <w:pPr>
        <w:ind w:right="60" w:firstLine="439"/>
        <w:spacing w:after="0" w:line="298" w:lineRule="auto"/>
        <w:rPr>
          <w:sz w:val="20"/>
          <w:szCs w:val="20"/>
          <w:color w:val="auto"/>
        </w:rPr>
      </w:pPr>
      <w:r>
        <w:rPr>
          <w:rFonts w:ascii="Arial" w:cs="Arial" w:eastAsia="Arial" w:hAnsi="Arial"/>
          <w:sz w:val="16"/>
          <w:szCs w:val="16"/>
          <w:color w:val="auto"/>
        </w:rPr>
        <w:t>In June 2008, we entered into foreign currency futures contracts to hedge our net investment in BOK against adverse changes in the value of the Euro versus the U.S. Dollar. We designated these derivatives as a foreign-currency net investment hedge. Net losses on these foreign currency futures were $454 and $549 for the three and nine months ended September 30, 2009, respectively and $1,075 and $906 for the three and nine months ended September 30, 2008. These losses were included in the net change in unrealized foreign currency translation adjustment in accumulated other comprehensive income.</w:t>
      </w:r>
    </w:p>
    <w:p>
      <w:pPr>
        <w:spacing w:after="0" w:line="16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operations in India and Canada also expose us to foreign currency exchange rate risk, but we consider this risk to be insignificant.</w:t>
      </w:r>
    </w:p>
    <w:p>
      <w:pPr>
        <w:spacing w:after="0" w:line="225" w:lineRule="exact"/>
        <w:rPr>
          <w:sz w:val="20"/>
          <w:szCs w:val="20"/>
          <w:color w:val="auto"/>
        </w:rPr>
      </w:pPr>
    </w:p>
    <w:p>
      <w:pPr>
        <w:ind w:right="20" w:firstLine="439"/>
        <w:spacing w:after="0" w:line="294" w:lineRule="auto"/>
        <w:rPr>
          <w:sz w:val="20"/>
          <w:szCs w:val="20"/>
          <w:color w:val="auto"/>
        </w:rPr>
      </w:pPr>
      <w:r>
        <w:rPr>
          <w:rFonts w:ascii="Arial" w:cs="Arial" w:eastAsia="Arial" w:hAnsi="Arial"/>
          <w:sz w:val="16"/>
          <w:szCs w:val="16"/>
          <w:color w:val="auto"/>
        </w:rPr>
        <w:t>Net realized and unrealized losses included in other, net related to derivative financial instruments were $(74) and $(138) for the third quarter of 2009 and 2008, respectively. Year to date, the net realized and unrealized gains were $690 and $3,120 for 2009 and 2008, respectively. Amounts in 2008 include a $239 loss related to the interest rate cap that we de-designated as a cash flow hedge. In addition, we recorded unrealized losses of $3,149 in the first quarter of 2008 that represented fair value basis adjustments on the $165,000 fixed-rate match funded term note that we had designated as part of a fair value hedging relationship that was established using an interest rate swap that we subsequently terminated in the first quarter of 2008.</w:t>
      </w:r>
    </w:p>
    <w:p>
      <w:pPr>
        <w:spacing w:after="0" w:line="177"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Note 22</w:t>
      </w:r>
      <w:r>
        <w:rPr>
          <w:sz w:val="20"/>
          <w:szCs w:val="20"/>
          <w:color w:val="auto"/>
        </w:rPr>
        <w:tab/>
      </w:r>
      <w:r>
        <w:rPr>
          <w:rFonts w:ascii="Arial" w:cs="Arial" w:eastAsia="Arial" w:hAnsi="Arial"/>
          <w:sz w:val="15"/>
          <w:szCs w:val="15"/>
          <w:b w:val="1"/>
          <w:bCs w:val="1"/>
          <w:color w:val="auto"/>
        </w:rPr>
        <w:t>Business Segment Reporting</w:t>
      </w:r>
    </w:p>
    <w:p>
      <w:pPr>
        <w:spacing w:after="0" w:line="231" w:lineRule="exact"/>
        <w:rPr>
          <w:sz w:val="20"/>
          <w:szCs w:val="20"/>
          <w:color w:val="auto"/>
        </w:rPr>
      </w:pPr>
    </w:p>
    <w:p>
      <w:pPr>
        <w:ind w:right="200" w:firstLine="439"/>
        <w:spacing w:after="0" w:line="255" w:lineRule="auto"/>
        <w:rPr>
          <w:sz w:val="20"/>
          <w:szCs w:val="20"/>
          <w:color w:val="auto"/>
        </w:rPr>
      </w:pPr>
      <w:r>
        <w:rPr>
          <w:rFonts w:ascii="Arial" w:cs="Arial" w:eastAsia="Arial" w:hAnsi="Arial"/>
          <w:sz w:val="18"/>
          <w:szCs w:val="18"/>
          <w:color w:val="auto"/>
        </w:rPr>
        <w:t>Prior to the Separation on August 10, 2009, we managed our business through two distinct lines of business, Ocwen Asset Management and Ocwen Solutions. Due to the Separation, as of August 10, 2009, neither the assets and liabilities, nor the subsequent operations of the Ocwen Solutions line of business comprising the Mortgage Services, Financial Services and Technology Products segments, except for BMS and GSS, are included in our results. The partial quarter results for Altisource (formerly Ocwen Solutions), recognized in Ocwen’s results prior to August 10, 2009, include a one-time charge of $2,304 for facility closures.</w:t>
      </w:r>
    </w:p>
    <w:p>
      <w:pPr>
        <w:spacing w:after="0" w:line="19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brief description of our current and former business segments aligned within the two lines of business follows: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Ocwen Asset Management</w:t>
      </w:r>
    </w:p>
    <w:p>
      <w:pPr>
        <w:spacing w:after="0" w:line="239" w:lineRule="exact"/>
        <w:rPr>
          <w:sz w:val="20"/>
          <w:szCs w:val="20"/>
          <w:color w:val="auto"/>
        </w:rPr>
      </w:pPr>
    </w:p>
    <w:p>
      <w:pPr>
        <w:ind w:left="1160" w:right="180" w:hanging="571"/>
        <w:spacing w:after="0" w:line="256" w:lineRule="auto"/>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Servicing</w:t>
      </w:r>
      <w:r>
        <w:rPr>
          <w:rFonts w:ascii="Arial" w:cs="Arial" w:eastAsia="Arial" w:hAnsi="Arial"/>
          <w:sz w:val="18"/>
          <w:szCs w:val="18"/>
          <w:color w:val="auto"/>
        </w:rPr>
        <w:t>. This segment provides loan servicing for a fee, including asset management and resolution services, primarily to owners of subprime</w:t>
      </w:r>
      <w:r>
        <w:rPr>
          <w:rFonts w:ascii="Arial" w:cs="Arial" w:eastAsia="Arial" w:hAnsi="Arial"/>
          <w:sz w:val="18"/>
          <w:szCs w:val="18"/>
          <w:i w:val="1"/>
          <w:iCs w:val="1"/>
          <w:color w:val="auto"/>
        </w:rPr>
        <w:t xml:space="preserve"> </w:t>
      </w:r>
      <w:r>
        <w:rPr>
          <w:rFonts w:ascii="Arial" w:cs="Arial" w:eastAsia="Arial" w:hAnsi="Arial"/>
          <w:sz w:val="18"/>
          <w:szCs w:val="18"/>
          <w:color w:val="auto"/>
        </w:rPr>
        <w:t>residential mortgages. Subprime loans represent residential loans we service that were made to borrowers who generally did not qualify under guidelines of Fannie Mae and Freddie Mac (nonconforming loans). This segment is primarily comprised of our core residential servicing business.</w:t>
      </w:r>
    </w:p>
    <w:p>
      <w:pPr>
        <w:spacing w:after="0" w:line="224" w:lineRule="exact"/>
        <w:rPr>
          <w:rFonts w:ascii="Arial" w:cs="Arial" w:eastAsia="Arial" w:hAnsi="Arial"/>
          <w:sz w:val="18"/>
          <w:szCs w:val="18"/>
          <w:color w:val="auto"/>
        </w:rPr>
      </w:pPr>
    </w:p>
    <w:p>
      <w:pPr>
        <w:ind w:left="1160" w:right="100" w:hanging="571"/>
        <w:spacing w:after="0" w:line="259" w:lineRule="auto"/>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Loans and Residuals</w:t>
      </w:r>
      <w:r>
        <w:rPr>
          <w:rFonts w:ascii="Arial" w:cs="Arial" w:eastAsia="Arial" w:hAnsi="Arial"/>
          <w:sz w:val="18"/>
          <w:szCs w:val="18"/>
          <w:color w:val="auto"/>
        </w:rPr>
        <w:t>. This segment includes our trading and investing activities and our former subprime loan origination operation. Our trading</w:t>
      </w:r>
      <w:r>
        <w:rPr>
          <w:rFonts w:ascii="Arial" w:cs="Arial" w:eastAsia="Arial" w:hAnsi="Arial"/>
          <w:sz w:val="18"/>
          <w:szCs w:val="18"/>
          <w:i w:val="1"/>
          <w:iCs w:val="1"/>
          <w:color w:val="auto"/>
        </w:rPr>
        <w:t xml:space="preserve"> </w:t>
      </w:r>
      <w:r>
        <w:rPr>
          <w:rFonts w:ascii="Arial" w:cs="Arial" w:eastAsia="Arial" w:hAnsi="Arial"/>
          <w:sz w:val="18"/>
          <w:szCs w:val="18"/>
          <w:color w:val="auto"/>
        </w:rPr>
        <w:t>and investing activities include our investments in subprime residual mortgage backed trading securities as well as the results of our whole loan purchase and securitization activities.</w:t>
      </w:r>
    </w:p>
    <w:p>
      <w:pPr>
        <w:sectPr>
          <w:pgSz w:w="11900" w:h="16838" w:orient="portrait"/>
          <w:cols w:equalWidth="0" w:num="1">
            <w:col w:w="11420"/>
          </w:cols>
          <w:pgMar w:left="240" w:top="382" w:right="239" w:bottom="1440" w:gutter="0" w:footer="0" w:header="0"/>
        </w:sectPr>
      </w:pP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type w:val="continuous"/>
        </w:sectPr>
      </w:pPr>
    </w:p>
    <w:bookmarkStart w:id="31" w:name="page32"/>
    <w:bookmarkEnd w:id="31"/>
    <w:p>
      <w:pPr>
        <w:ind w:left="1160" w:right="380" w:hanging="571"/>
        <w:spacing w:after="0" w:line="268" w:lineRule="auto"/>
        <w:tabs>
          <w:tab w:leader="none" w:pos="116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Asset Management Vehicles</w:t>
      </w:r>
      <w:r>
        <w:rPr>
          <w:rFonts w:ascii="Arial" w:cs="Arial" w:eastAsia="Arial" w:hAnsi="Arial"/>
          <w:sz w:val="18"/>
          <w:szCs w:val="18"/>
          <w:color w:val="auto"/>
        </w:rPr>
        <w:t>. This segment is comprised of our 25% equity investment in OSI and approximately a 25% equity investment in</w:t>
      </w:r>
      <w:r>
        <w:rPr>
          <w:rFonts w:ascii="Arial" w:cs="Arial" w:eastAsia="Arial" w:hAnsi="Arial"/>
          <w:sz w:val="18"/>
          <w:szCs w:val="18"/>
          <w:i w:val="1"/>
          <w:iCs w:val="1"/>
          <w:color w:val="auto"/>
        </w:rPr>
        <w:t xml:space="preserve"> </w:t>
      </w:r>
      <w:r>
        <w:rPr>
          <w:rFonts w:ascii="Arial" w:cs="Arial" w:eastAsia="Arial" w:hAnsi="Arial"/>
          <w:sz w:val="18"/>
          <w:szCs w:val="18"/>
          <w:color w:val="auto"/>
        </w:rPr>
        <w:t>ONL and OREO, unconsolidated entities engaged in the management of residential assets.</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u w:val="single" w:color="auto"/>
          <w:color w:val="auto"/>
        </w:rPr>
        <w:t>Ocwen Solutions (distributed as part of the Separation, except for GSS and BMS Holdings)</w:t>
      </w:r>
    </w:p>
    <w:p>
      <w:pPr>
        <w:spacing w:after="0" w:line="279" w:lineRule="exact"/>
        <w:rPr>
          <w:sz w:val="20"/>
          <w:szCs w:val="20"/>
          <w:color w:val="auto"/>
        </w:rPr>
      </w:pPr>
    </w:p>
    <w:p>
      <w:pPr>
        <w:ind w:left="1160" w:right="20" w:hanging="571"/>
        <w:spacing w:after="0" w:line="298" w:lineRule="auto"/>
        <w:tabs>
          <w:tab w:leader="none" w:pos="1160" w:val="left"/>
        </w:tabs>
        <w:numPr>
          <w:ilvl w:val="0"/>
          <w:numId w:val="24"/>
        </w:numPr>
        <w:rPr>
          <w:rFonts w:ascii="Arial" w:cs="Arial" w:eastAsia="Arial" w:hAnsi="Arial"/>
          <w:sz w:val="16"/>
          <w:szCs w:val="16"/>
          <w:color w:val="auto"/>
        </w:rPr>
      </w:pPr>
      <w:r>
        <w:rPr>
          <w:rFonts w:ascii="Arial" w:cs="Arial" w:eastAsia="Arial" w:hAnsi="Arial"/>
          <w:sz w:val="16"/>
          <w:szCs w:val="16"/>
          <w:i w:val="1"/>
          <w:iCs w:val="1"/>
          <w:color w:val="auto"/>
        </w:rPr>
        <w:t xml:space="preserve">Mortgage Services. </w:t>
      </w:r>
      <w:r>
        <w:rPr>
          <w:rFonts w:ascii="Arial" w:cs="Arial" w:eastAsia="Arial" w:hAnsi="Arial"/>
          <w:sz w:val="16"/>
          <w:szCs w:val="16"/>
          <w:color w:val="auto"/>
        </w:rPr>
        <w:t>This segment provided due diligence, valuation, real estate sales, default processing services, property inspection and</w:t>
      </w:r>
      <w:r>
        <w:rPr>
          <w:rFonts w:ascii="Arial" w:cs="Arial" w:eastAsia="Arial" w:hAnsi="Arial"/>
          <w:sz w:val="16"/>
          <w:szCs w:val="16"/>
          <w:i w:val="1"/>
          <w:iCs w:val="1"/>
          <w:color w:val="auto"/>
        </w:rPr>
        <w:t xml:space="preserve"> </w:t>
      </w:r>
      <w:r>
        <w:rPr>
          <w:rFonts w:ascii="Arial" w:cs="Arial" w:eastAsia="Arial" w:hAnsi="Arial"/>
          <w:sz w:val="16"/>
          <w:szCs w:val="16"/>
          <w:color w:val="auto"/>
        </w:rPr>
        <w:t>preservation services, homeowner outreach, closing and title services and knowledge process outsourcing services. Services provided spanned the lifecycle of a mortgage loan from origination through the disposition of real estate owned properties (REO). This segment also includes the international servicing for commercial loans that we conducted through GSS.</w:t>
      </w:r>
    </w:p>
    <w:p>
      <w:pPr>
        <w:spacing w:after="0" w:line="193" w:lineRule="exact"/>
        <w:rPr>
          <w:rFonts w:ascii="Arial" w:cs="Arial" w:eastAsia="Arial" w:hAnsi="Arial"/>
          <w:sz w:val="16"/>
          <w:szCs w:val="16"/>
          <w:color w:val="auto"/>
        </w:rPr>
      </w:pPr>
    </w:p>
    <w:p>
      <w:pPr>
        <w:ind w:left="1160" w:right="320" w:hanging="571"/>
        <w:spacing w:after="0" w:line="256" w:lineRule="auto"/>
        <w:tabs>
          <w:tab w:leader="none" w:pos="116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Financial Services</w:t>
      </w:r>
      <w:r>
        <w:rPr>
          <w:rFonts w:ascii="Arial" w:cs="Arial" w:eastAsia="Arial" w:hAnsi="Arial"/>
          <w:sz w:val="18"/>
          <w:szCs w:val="18"/>
          <w:color w:val="auto"/>
        </w:rPr>
        <w:t>. This segment comprised our asset recovery management and customer relationship management offerings to the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consumer products, telecommunications and utilities industries. The primary sources of revenues for this segment were contingency collections and customer relationship management for credit card issuers and other consumer credit providers. This segment included the operations of NCI.</w:t>
      </w:r>
    </w:p>
    <w:p>
      <w:pPr>
        <w:spacing w:after="0" w:line="224" w:lineRule="exact"/>
        <w:rPr>
          <w:rFonts w:ascii="Arial" w:cs="Arial" w:eastAsia="Arial" w:hAnsi="Arial"/>
          <w:sz w:val="18"/>
          <w:szCs w:val="18"/>
          <w:color w:val="auto"/>
        </w:rPr>
      </w:pPr>
    </w:p>
    <w:p>
      <w:pPr>
        <w:ind w:left="1160" w:hanging="571"/>
        <w:spacing w:after="0" w:line="246" w:lineRule="auto"/>
        <w:tabs>
          <w:tab w:leader="none" w:pos="1160" w:val="left"/>
        </w:tabs>
        <w:numPr>
          <w:ilvl w:val="0"/>
          <w:numId w:val="24"/>
        </w:numPr>
        <w:rPr>
          <w:rFonts w:ascii="Arial" w:cs="Arial" w:eastAsia="Arial" w:hAnsi="Arial"/>
          <w:sz w:val="17"/>
          <w:szCs w:val="17"/>
          <w:color w:val="auto"/>
        </w:rPr>
      </w:pPr>
      <w:r>
        <w:rPr>
          <w:rFonts w:ascii="Arial" w:cs="Arial" w:eastAsia="Arial" w:hAnsi="Arial"/>
          <w:sz w:val="17"/>
          <w:szCs w:val="17"/>
          <w:i w:val="1"/>
          <w:iCs w:val="1"/>
          <w:color w:val="auto"/>
        </w:rPr>
        <w:t xml:space="preserve">Technology Products. </w:t>
      </w:r>
      <w:r>
        <w:rPr>
          <w:rFonts w:ascii="Arial" w:cs="Arial" w:eastAsia="Arial" w:hAnsi="Arial"/>
          <w:sz w:val="17"/>
          <w:szCs w:val="17"/>
          <w:color w:val="auto"/>
        </w:rPr>
        <w:t>This segment included revenues from the REAL suite of applications that support our Servicing business as well as the</w:t>
      </w:r>
      <w:r>
        <w:rPr>
          <w:rFonts w:ascii="Arial" w:cs="Arial" w:eastAsia="Arial" w:hAnsi="Arial"/>
          <w:sz w:val="17"/>
          <w:szCs w:val="17"/>
          <w:i w:val="1"/>
          <w:iCs w:val="1"/>
          <w:color w:val="auto"/>
        </w:rPr>
        <w:t xml:space="preserve"> </w:t>
      </w:r>
      <w:r>
        <w:rPr>
          <w:rFonts w:ascii="Arial" w:cs="Arial" w:eastAsia="Arial" w:hAnsi="Arial"/>
          <w:sz w:val="17"/>
          <w:szCs w:val="17"/>
          <w:color w:val="auto"/>
        </w:rPr>
        <w:t>servicing and origination businesses of external customers. These products include REALServicing™, REALResolution™, REALTrans</w:t>
      </w:r>
      <w:r>
        <w:rPr>
          <w:rFonts w:ascii="Arial" w:cs="Arial" w:eastAsia="Arial" w:hAnsi="Arial"/>
          <w:sz w:val="28"/>
          <w:szCs w:val="28"/>
          <w:color w:val="auto"/>
          <w:vertAlign w:val="superscript"/>
        </w:rPr>
        <w:t>SM</w:t>
      </w:r>
      <w:r>
        <w:rPr>
          <w:rFonts w:ascii="Arial" w:cs="Arial" w:eastAsia="Arial" w:hAnsi="Arial"/>
          <w:sz w:val="17"/>
          <w:szCs w:val="17"/>
          <w:color w:val="auto"/>
        </w:rPr>
        <w:t>, REALSynergy™ and REALRemit™. REALServicing is the core residential loan servicing application used by OCN. This segment also earned fees from providing technology support services to OCN that cover IT enablement, call center services and third-party applications. The results of our 45% equity investment in BMS Holdings are also included in this segment.</w:t>
      </w:r>
    </w:p>
    <w:p>
      <w:pPr>
        <w:spacing w:after="0" w:line="206" w:lineRule="exact"/>
        <w:rPr>
          <w:sz w:val="20"/>
          <w:szCs w:val="20"/>
          <w:color w:val="auto"/>
        </w:rPr>
      </w:pPr>
    </w:p>
    <w:p>
      <w:pPr>
        <w:jc w:val="both"/>
        <w:ind w:right="480" w:firstLine="439"/>
        <w:spacing w:after="0" w:line="306" w:lineRule="auto"/>
        <w:rPr>
          <w:sz w:val="20"/>
          <w:szCs w:val="20"/>
          <w:color w:val="auto"/>
        </w:rPr>
      </w:pPr>
      <w:r>
        <w:rPr>
          <w:rFonts w:ascii="Arial" w:cs="Arial" w:eastAsia="Arial" w:hAnsi="Arial"/>
          <w:sz w:val="16"/>
          <w:szCs w:val="16"/>
          <w:i w:val="1"/>
          <w:iCs w:val="1"/>
          <w:color w:val="auto"/>
        </w:rPr>
        <w:t xml:space="preserve">Corporate Items and Other. </w:t>
      </w:r>
      <w:r>
        <w:rPr>
          <w:rFonts w:ascii="Arial" w:cs="Arial" w:eastAsia="Arial" w:hAnsi="Arial"/>
          <w:sz w:val="16"/>
          <w:szCs w:val="16"/>
          <w:color w:val="auto"/>
        </w:rPr>
        <w:t>We report items of revenue and expense that are not directly related to a business, business activities that are individually</w:t>
      </w:r>
      <w:r>
        <w:rPr>
          <w:rFonts w:ascii="Arial" w:cs="Arial" w:eastAsia="Arial" w:hAnsi="Arial"/>
          <w:sz w:val="16"/>
          <w:szCs w:val="16"/>
          <w:i w:val="1"/>
          <w:iCs w:val="1"/>
          <w:color w:val="auto"/>
        </w:rPr>
        <w:t xml:space="preserve"> </w:t>
      </w:r>
      <w:r>
        <w:rPr>
          <w:rFonts w:ascii="Arial" w:cs="Arial" w:eastAsia="Arial" w:hAnsi="Arial"/>
          <w:sz w:val="16"/>
          <w:szCs w:val="16"/>
          <w:color w:val="auto"/>
        </w:rPr>
        <w:t>insignificant, interest income on short-term investments of cash and the related costs of financing these investments and certain other corporate expenses in Corporate Items and Other. Our Convertible Notes and Capital Securities are also included in Corporate Items and Other.</w:t>
      </w:r>
    </w:p>
    <w:p>
      <w:pPr>
        <w:spacing w:after="0" w:line="161" w:lineRule="exact"/>
        <w:rPr>
          <w:sz w:val="20"/>
          <w:szCs w:val="20"/>
          <w:color w:val="auto"/>
        </w:rPr>
      </w:pPr>
    </w:p>
    <w:p>
      <w:pPr>
        <w:ind w:right="40" w:firstLine="436"/>
        <w:spacing w:after="0" w:line="268" w:lineRule="auto"/>
        <w:rPr>
          <w:sz w:val="20"/>
          <w:szCs w:val="20"/>
          <w:color w:val="auto"/>
        </w:rPr>
      </w:pPr>
      <w:r>
        <w:rPr>
          <w:rFonts w:ascii="Arial" w:cs="Arial" w:eastAsia="Arial" w:hAnsi="Arial"/>
          <w:sz w:val="18"/>
          <w:szCs w:val="18"/>
          <w:color w:val="auto"/>
        </w:rPr>
        <w:t>We allocate interest income and expense to each business segment for funds raised or funding of investments made. We also allocate expenses generated by corporate support services to each business segment.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88" w:right="239" w:bottom="1440" w:gutter="0" w:footer="0" w:header="0"/>
        </w:sectPr>
      </w:pPr>
    </w:p>
    <w:bookmarkStart w:id="32" w:name="page33"/>
    <w:bookmarkEnd w:id="32"/>
    <w:p>
      <w:pPr>
        <w:ind w:left="440"/>
        <w:spacing w:after="0"/>
        <w:rPr>
          <w:sz w:val="20"/>
          <w:szCs w:val="20"/>
          <w:color w:val="auto"/>
        </w:rPr>
      </w:pPr>
      <w:r>
        <w:rPr>
          <w:rFonts w:ascii="Arial" w:cs="Arial" w:eastAsia="Arial" w:hAnsi="Arial"/>
          <w:sz w:val="18"/>
          <w:szCs w:val="18"/>
          <w:color w:val="auto"/>
        </w:rPr>
        <w:t>Financial information for our segments is as follows: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20" w:type="dxa"/>
            <w:vAlign w:val="bottom"/>
            <w:gridSpan w:val="8"/>
          </w:tcPr>
          <w:p>
            <w:pPr>
              <w:jc w:val="right"/>
              <w:ind w:right="860"/>
              <w:spacing w:after="0"/>
              <w:rPr>
                <w:sz w:val="20"/>
                <w:szCs w:val="20"/>
                <w:color w:val="auto"/>
              </w:rPr>
            </w:pPr>
            <w:r>
              <w:rPr>
                <w:rFonts w:ascii="Arial" w:cs="Arial" w:eastAsia="Arial" w:hAnsi="Arial"/>
                <w:sz w:val="14"/>
                <w:szCs w:val="14"/>
                <w:b w:val="1"/>
                <w:bCs w:val="1"/>
                <w:color w:val="auto"/>
                <w:w w:val="86"/>
              </w:rPr>
              <w:t>Ocwen Asset Management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60" w:type="dxa"/>
            <w:vAlign w:val="bottom"/>
            <w:gridSpan w:val="8"/>
          </w:tcPr>
          <w:p>
            <w:pPr>
              <w:jc w:val="right"/>
              <w:ind w:right="840"/>
              <w:spacing w:after="0"/>
              <w:rPr>
                <w:sz w:val="20"/>
                <w:szCs w:val="20"/>
                <w:color w:val="auto"/>
              </w:rPr>
            </w:pPr>
            <w:r>
              <w:rPr>
                <w:rFonts w:ascii="Arial" w:cs="Arial" w:eastAsia="Arial" w:hAnsi="Arial"/>
                <w:sz w:val="14"/>
                <w:szCs w:val="14"/>
                <w:b w:val="1"/>
                <w:bCs w:val="1"/>
                <w:color w:val="auto"/>
                <w:w w:val="88"/>
              </w:rPr>
              <w:t>Ocwen Solutions</w:t>
            </w:r>
          </w:p>
        </w:tc>
        <w:tc>
          <w:tcPr>
            <w:tcW w:w="80" w:type="dxa"/>
            <w:vAlign w:val="bottom"/>
          </w:tcPr>
          <w:p>
            <w:pPr>
              <w:spacing w:after="0"/>
              <w:rPr>
                <w:sz w:val="14"/>
                <w:szCs w:val="14"/>
                <w:color w:val="auto"/>
              </w:rPr>
            </w:pPr>
          </w:p>
        </w:tc>
        <w:tc>
          <w:tcPr>
            <w:tcW w:w="840" w:type="dxa"/>
            <w:vAlign w:val="bottom"/>
            <w:gridSpan w:val="3"/>
            <w:vMerge w:val="restart"/>
          </w:tcPr>
          <w:p>
            <w:pPr>
              <w:jc w:val="center"/>
              <w:ind w:right="121"/>
              <w:spacing w:after="0"/>
              <w:rPr>
                <w:sz w:val="20"/>
                <w:szCs w:val="20"/>
                <w:color w:val="auto"/>
              </w:rPr>
            </w:pPr>
            <w:r>
              <w:rPr>
                <w:rFonts w:ascii="Arial" w:cs="Arial" w:eastAsia="Arial" w:hAnsi="Arial"/>
                <w:sz w:val="14"/>
                <w:szCs w:val="14"/>
                <w:b w:val="1"/>
                <w:bCs w:val="1"/>
                <w:color w:val="auto"/>
                <w:w w:val="89"/>
              </w:rPr>
              <w:t>Corporate</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77"/>
              </w:rPr>
              <w:t>Business</w:t>
            </w:r>
          </w:p>
        </w:tc>
        <w:tc>
          <w:tcPr>
            <w:tcW w:w="0" w:type="dxa"/>
            <w:vAlign w:val="bottom"/>
          </w:tcPr>
          <w:p>
            <w:pPr>
              <w:spacing w:after="0"/>
              <w:rPr>
                <w:sz w:val="1"/>
                <w:szCs w:val="1"/>
                <w:color w:val="auto"/>
              </w:rPr>
            </w:pPr>
          </w:p>
        </w:tc>
      </w:tr>
      <w:tr>
        <w:trPr>
          <w:trHeight w:val="129"/>
        </w:trPr>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center"/>
              <w:ind w:right="12"/>
              <w:spacing w:after="0" w:line="129" w:lineRule="exact"/>
              <w:rPr>
                <w:sz w:val="20"/>
                <w:szCs w:val="20"/>
                <w:color w:val="auto"/>
              </w:rPr>
            </w:pPr>
            <w:r>
              <w:rPr>
                <w:rFonts w:ascii="Arial" w:cs="Arial" w:eastAsia="Arial" w:hAnsi="Arial"/>
                <w:sz w:val="14"/>
                <w:szCs w:val="14"/>
                <w:b w:val="1"/>
                <w:bCs w:val="1"/>
                <w:color w:val="auto"/>
                <w:w w:val="83"/>
              </w:rPr>
              <w:t>Asset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91"/>
              </w:rPr>
              <w:t>Loans and</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Management</w:t>
            </w:r>
          </w:p>
        </w:tc>
        <w:tc>
          <w:tcPr>
            <w:tcW w:w="80" w:type="dxa"/>
            <w:vAlign w:val="bottom"/>
          </w:tcPr>
          <w:p>
            <w:pPr>
              <w:spacing w:after="0"/>
              <w:rPr>
                <w:sz w:val="12"/>
                <w:szCs w:val="12"/>
                <w:color w:val="auto"/>
              </w:rPr>
            </w:pPr>
          </w:p>
        </w:tc>
        <w:tc>
          <w:tcPr>
            <w:tcW w:w="6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Mortgage</w:t>
            </w:r>
          </w:p>
        </w:tc>
        <w:tc>
          <w:tcPr>
            <w:tcW w:w="120" w:type="dxa"/>
            <w:vAlign w:val="bottom"/>
          </w:tcPr>
          <w:p>
            <w:pPr>
              <w:spacing w:after="0"/>
              <w:rPr>
                <w:sz w:val="12"/>
                <w:szCs w:val="12"/>
                <w:color w:val="auto"/>
              </w:rPr>
            </w:pPr>
          </w:p>
        </w:tc>
        <w:tc>
          <w:tcPr>
            <w:tcW w:w="7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Financial</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w w:val="81"/>
              </w:rPr>
              <w:t>Technology</w:t>
            </w:r>
          </w:p>
        </w:tc>
        <w:tc>
          <w:tcPr>
            <w:tcW w:w="80" w:type="dxa"/>
            <w:vAlign w:val="bottom"/>
          </w:tcPr>
          <w:p>
            <w:pPr>
              <w:spacing w:after="0"/>
              <w:rPr>
                <w:sz w:val="12"/>
                <w:szCs w:val="12"/>
                <w:color w:val="auto"/>
              </w:rPr>
            </w:pPr>
          </w:p>
        </w:tc>
        <w:tc>
          <w:tcPr>
            <w:tcW w:w="840" w:type="dxa"/>
            <w:vAlign w:val="bottom"/>
            <w:gridSpan w:val="3"/>
          </w:tcPr>
          <w:p>
            <w:pPr>
              <w:jc w:val="center"/>
              <w:ind w:right="101"/>
              <w:spacing w:after="0" w:line="149" w:lineRule="exact"/>
              <w:rPr>
                <w:sz w:val="20"/>
                <w:szCs w:val="20"/>
                <w:color w:val="auto"/>
              </w:rPr>
            </w:pPr>
            <w:r>
              <w:rPr>
                <w:rFonts w:ascii="Arial" w:cs="Arial" w:eastAsia="Arial" w:hAnsi="Arial"/>
                <w:sz w:val="14"/>
                <w:szCs w:val="14"/>
                <w:b w:val="1"/>
                <w:bCs w:val="1"/>
                <w:color w:val="auto"/>
                <w:w w:val="88"/>
              </w:rPr>
              <w:t>Items and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89"/>
              </w:rPr>
              <w:t>Corporate</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3"/>
              </w:rPr>
              <w:t>Segments</w:t>
            </w:r>
          </w:p>
        </w:tc>
        <w:tc>
          <w:tcPr>
            <w:tcW w:w="0" w:type="dxa"/>
            <w:vAlign w:val="bottom"/>
          </w:tcPr>
          <w:p>
            <w:pPr>
              <w:spacing w:after="0"/>
              <w:rPr>
                <w:sz w:val="1"/>
                <w:szCs w:val="1"/>
                <w:color w:val="auto"/>
              </w:rPr>
            </w:pPr>
          </w:p>
        </w:tc>
      </w:tr>
      <w:tr>
        <w:trPr>
          <w:trHeight w:val="161"/>
        </w:trPr>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212"/>
              <w:spacing w:after="0"/>
              <w:rPr>
                <w:sz w:val="20"/>
                <w:szCs w:val="20"/>
                <w:color w:val="auto"/>
              </w:rPr>
            </w:pPr>
            <w:r>
              <w:rPr>
                <w:rFonts w:ascii="Arial" w:cs="Arial" w:eastAsia="Arial" w:hAnsi="Arial"/>
                <w:sz w:val="14"/>
                <w:szCs w:val="14"/>
                <w:b w:val="1"/>
                <w:bCs w:val="1"/>
                <w:color w:val="auto"/>
                <w:w w:val="82"/>
              </w:rPr>
              <w:t>Servicing</w:t>
            </w:r>
          </w:p>
        </w:tc>
        <w:tc>
          <w:tcPr>
            <w:tcW w:w="120" w:type="dxa"/>
            <w:vAlign w:val="bottom"/>
          </w:tcPr>
          <w:p>
            <w:pPr>
              <w:spacing w:after="0"/>
              <w:rPr>
                <w:sz w:val="14"/>
                <w:szCs w:val="14"/>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3"/>
              </w:rPr>
              <w:t>Residuals</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4"/>
              </w:rPr>
              <w:t>Vehicles</w:t>
            </w:r>
          </w:p>
        </w:tc>
        <w:tc>
          <w:tcPr>
            <w:tcW w:w="8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Arial" w:cs="Arial" w:eastAsia="Arial" w:hAnsi="Arial"/>
                <w:sz w:val="14"/>
                <w:szCs w:val="14"/>
                <w:b w:val="1"/>
                <w:bCs w:val="1"/>
                <w:color w:val="auto"/>
              </w:rPr>
              <w:t>Services</w:t>
            </w:r>
          </w:p>
        </w:tc>
        <w:tc>
          <w:tcPr>
            <w:tcW w:w="120" w:type="dxa"/>
            <w:vAlign w:val="bottom"/>
          </w:tcPr>
          <w:p>
            <w:pPr>
              <w:spacing w:after="0"/>
              <w:rPr>
                <w:sz w:val="14"/>
                <w:szCs w:val="14"/>
                <w:color w:val="auto"/>
              </w:rPr>
            </w:pPr>
          </w:p>
        </w:tc>
        <w:tc>
          <w:tcPr>
            <w:tcW w:w="700" w:type="dxa"/>
            <w:vAlign w:val="bottom"/>
            <w:gridSpan w:val="3"/>
          </w:tcPr>
          <w:p>
            <w:pPr>
              <w:jc w:val="right"/>
              <w:ind w:right="141"/>
              <w:spacing w:after="0"/>
              <w:rPr>
                <w:sz w:val="20"/>
                <w:szCs w:val="20"/>
                <w:color w:val="auto"/>
              </w:rPr>
            </w:pPr>
            <w:r>
              <w:rPr>
                <w:rFonts w:ascii="Arial" w:cs="Arial" w:eastAsia="Arial" w:hAnsi="Arial"/>
                <w:sz w:val="14"/>
                <w:szCs w:val="14"/>
                <w:b w:val="1"/>
                <w:bCs w:val="1"/>
                <w:color w:val="auto"/>
                <w:w w:val="86"/>
              </w:rPr>
              <w:t>Services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5"/>
              </w:rPr>
              <w:t>Products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center"/>
              <w:ind w:right="221"/>
              <w:spacing w:after="0"/>
              <w:rPr>
                <w:sz w:val="20"/>
                <w:szCs w:val="20"/>
                <w:color w:val="auto"/>
              </w:rPr>
            </w:pPr>
            <w:r>
              <w:rPr>
                <w:rFonts w:ascii="Arial" w:cs="Arial" w:eastAsia="Arial" w:hAnsi="Arial"/>
                <w:sz w:val="14"/>
                <w:szCs w:val="14"/>
                <w:b w:val="1"/>
                <w:bCs w:val="1"/>
                <w:color w:val="auto"/>
                <w:w w:val="90"/>
              </w:rPr>
              <w:t>Other</w:t>
            </w:r>
          </w:p>
        </w:tc>
        <w:tc>
          <w:tcPr>
            <w:tcW w:w="80" w:type="dxa"/>
            <w:vAlign w:val="bottom"/>
          </w:tcPr>
          <w:p>
            <w:pPr>
              <w:spacing w:after="0"/>
              <w:rPr>
                <w:sz w:val="14"/>
                <w:szCs w:val="14"/>
                <w:color w:val="auto"/>
              </w:rPr>
            </w:pPr>
          </w:p>
        </w:tc>
        <w:tc>
          <w:tcPr>
            <w:tcW w:w="96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1"/>
              </w:rPr>
              <w:t>Eliminations</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5"/>
              </w:rPr>
              <w:t>Consolidated</w:t>
            </w:r>
          </w:p>
        </w:tc>
        <w:tc>
          <w:tcPr>
            <w:tcW w:w="0" w:type="dxa"/>
            <w:vAlign w:val="bottom"/>
          </w:tcPr>
          <w:p>
            <w:pPr>
              <w:spacing w:after="0"/>
              <w:rPr>
                <w:sz w:val="1"/>
                <w:szCs w:val="1"/>
                <w:color w:val="auto"/>
              </w:rPr>
            </w:pPr>
          </w:p>
        </w:tc>
      </w:tr>
      <w:tr>
        <w:trPr>
          <w:trHeight w:val="237"/>
        </w:trPr>
        <w:tc>
          <w:tcPr>
            <w:tcW w:w="2560" w:type="dxa"/>
            <w:vAlign w:val="bottom"/>
            <w:gridSpan w:val="6"/>
            <w:shd w:val="clear" w:color="auto" w:fill="EAF9E8"/>
          </w:tcPr>
          <w:p>
            <w:pPr>
              <w:spacing w:after="0"/>
              <w:rPr>
                <w:sz w:val="20"/>
                <w:szCs w:val="20"/>
                <w:color w:val="auto"/>
              </w:rPr>
            </w:pPr>
            <w:r>
              <w:rPr>
                <w:rFonts w:ascii="Arial" w:cs="Arial" w:eastAsia="Arial" w:hAnsi="Arial"/>
                <w:sz w:val="14"/>
                <w:szCs w:val="14"/>
                <w:b w:val="1"/>
                <w:bCs w:val="1"/>
                <w:color w:val="auto"/>
              </w:rPr>
              <w:t>Results of Operations</w:t>
            </w:r>
          </w:p>
        </w:tc>
        <w:tc>
          <w:tcPr>
            <w:tcW w:w="120" w:type="dxa"/>
            <w:vAlign w:val="bottom"/>
            <w:shd w:val="clear" w:color="auto" w:fill="EAF9E8"/>
          </w:tcPr>
          <w:p>
            <w:pPr>
              <w:spacing w:after="0"/>
              <w:rPr>
                <w:sz w:val="20"/>
                <w:szCs w:val="20"/>
                <w:color w:val="auto"/>
              </w:rPr>
            </w:pPr>
          </w:p>
        </w:tc>
        <w:tc>
          <w:tcPr>
            <w:tcW w:w="80" w:type="dxa"/>
            <w:vAlign w:val="bottom"/>
            <w:tcBorders>
              <w:top w:val="single" w:sz="8" w:color="auto"/>
            </w:tcBorders>
            <w:shd w:val="clear" w:color="auto" w:fill="EAF9E8"/>
          </w:tcPr>
          <w:p>
            <w:pPr>
              <w:spacing w:after="0"/>
              <w:rPr>
                <w:sz w:val="20"/>
                <w:szCs w:val="20"/>
                <w:color w:val="auto"/>
              </w:rPr>
            </w:pPr>
          </w:p>
        </w:tc>
        <w:tc>
          <w:tcPr>
            <w:tcW w:w="620" w:type="dxa"/>
            <w:vAlign w:val="bottom"/>
            <w:tcBorders>
              <w:top w:val="single" w:sz="8" w:color="auto"/>
            </w:tcBorders>
            <w:shd w:val="clear" w:color="auto" w:fill="EAF9E8"/>
          </w:tcPr>
          <w:p>
            <w:pPr>
              <w:spacing w:after="0"/>
              <w:rPr>
                <w:sz w:val="20"/>
                <w:szCs w:val="20"/>
                <w:color w:val="auto"/>
              </w:rPr>
            </w:pPr>
          </w:p>
        </w:tc>
        <w:tc>
          <w:tcPr>
            <w:tcW w:w="200" w:type="dxa"/>
            <w:vAlign w:val="bottom"/>
            <w:shd w:val="clear" w:color="auto" w:fill="EAF9E8"/>
          </w:tcPr>
          <w:p>
            <w:pPr>
              <w:spacing w:after="0"/>
              <w:rPr>
                <w:sz w:val="20"/>
                <w:szCs w:val="20"/>
                <w:color w:val="auto"/>
              </w:rPr>
            </w:pPr>
          </w:p>
        </w:tc>
        <w:tc>
          <w:tcPr>
            <w:tcW w:w="120" w:type="dxa"/>
            <w:vAlign w:val="bottom"/>
            <w:tcBorders>
              <w:top w:val="single" w:sz="8" w:color="auto"/>
            </w:tcBorders>
            <w:shd w:val="clear" w:color="auto" w:fill="EAF9E8"/>
          </w:tcPr>
          <w:p>
            <w:pPr>
              <w:spacing w:after="0"/>
              <w:rPr>
                <w:sz w:val="20"/>
                <w:szCs w:val="20"/>
                <w:color w:val="auto"/>
              </w:rPr>
            </w:pPr>
          </w:p>
        </w:tc>
        <w:tc>
          <w:tcPr>
            <w:tcW w:w="820" w:type="dxa"/>
            <w:vAlign w:val="bottom"/>
            <w:tcBorders>
              <w:top w:val="single" w:sz="8" w:color="auto"/>
            </w:tcBorders>
            <w:shd w:val="clear" w:color="auto" w:fill="EAF9E8"/>
          </w:tcPr>
          <w:p>
            <w:pPr>
              <w:spacing w:after="0"/>
              <w:rPr>
                <w:sz w:val="20"/>
                <w:szCs w:val="20"/>
                <w:color w:val="auto"/>
              </w:rPr>
            </w:pPr>
          </w:p>
        </w:tc>
        <w:tc>
          <w:tcPr>
            <w:tcW w:w="120" w:type="dxa"/>
            <w:vAlign w:val="bottom"/>
            <w:shd w:val="clear" w:color="auto" w:fill="EAF9E8"/>
          </w:tcPr>
          <w:p>
            <w:pPr>
              <w:spacing w:after="0"/>
              <w:rPr>
                <w:sz w:val="20"/>
                <w:szCs w:val="20"/>
                <w:color w:val="auto"/>
              </w:rPr>
            </w:pPr>
          </w:p>
        </w:tc>
        <w:tc>
          <w:tcPr>
            <w:tcW w:w="100" w:type="dxa"/>
            <w:vAlign w:val="bottom"/>
            <w:shd w:val="clear" w:color="auto" w:fill="EAF9E8"/>
          </w:tcPr>
          <w:p>
            <w:pPr>
              <w:spacing w:after="0"/>
              <w:rPr>
                <w:sz w:val="20"/>
                <w:szCs w:val="20"/>
                <w:color w:val="auto"/>
              </w:rPr>
            </w:pPr>
          </w:p>
        </w:tc>
        <w:tc>
          <w:tcPr>
            <w:tcW w:w="80" w:type="dxa"/>
            <w:vAlign w:val="bottom"/>
            <w:tcBorders>
              <w:top w:val="single" w:sz="8" w:color="auto"/>
            </w:tcBorders>
            <w:shd w:val="clear" w:color="auto" w:fill="EAF9E8"/>
          </w:tcPr>
          <w:p>
            <w:pPr>
              <w:spacing w:after="0"/>
              <w:rPr>
                <w:sz w:val="20"/>
                <w:szCs w:val="20"/>
                <w:color w:val="auto"/>
              </w:rPr>
            </w:pPr>
          </w:p>
        </w:tc>
        <w:tc>
          <w:tcPr>
            <w:tcW w:w="840" w:type="dxa"/>
            <w:vAlign w:val="bottom"/>
            <w:tcBorders>
              <w:top w:val="single" w:sz="8" w:color="auto"/>
            </w:tcBorders>
            <w:shd w:val="clear" w:color="auto" w:fill="EAF9E8"/>
          </w:tcPr>
          <w:p>
            <w:pPr>
              <w:spacing w:after="0"/>
              <w:rPr>
                <w:sz w:val="20"/>
                <w:szCs w:val="20"/>
                <w:color w:val="auto"/>
              </w:rPr>
            </w:pPr>
          </w:p>
        </w:tc>
        <w:tc>
          <w:tcPr>
            <w:tcW w:w="140" w:type="dxa"/>
            <w:vAlign w:val="bottom"/>
            <w:shd w:val="clear" w:color="auto" w:fill="EAF9E8"/>
          </w:tcPr>
          <w:p>
            <w:pPr>
              <w:spacing w:after="0"/>
              <w:rPr>
                <w:sz w:val="20"/>
                <w:szCs w:val="20"/>
                <w:color w:val="auto"/>
              </w:rPr>
            </w:pPr>
          </w:p>
        </w:tc>
        <w:tc>
          <w:tcPr>
            <w:tcW w:w="80" w:type="dxa"/>
            <w:vAlign w:val="bottom"/>
            <w:shd w:val="clear" w:color="auto" w:fill="EAF9E8"/>
          </w:tcPr>
          <w:p>
            <w:pPr>
              <w:spacing w:after="0"/>
              <w:rPr>
                <w:sz w:val="20"/>
                <w:szCs w:val="20"/>
                <w:color w:val="auto"/>
              </w:rPr>
            </w:pPr>
          </w:p>
        </w:tc>
        <w:tc>
          <w:tcPr>
            <w:tcW w:w="140" w:type="dxa"/>
            <w:vAlign w:val="bottom"/>
            <w:tcBorders>
              <w:top w:val="single" w:sz="8" w:color="auto"/>
            </w:tcBorders>
            <w:shd w:val="clear" w:color="auto" w:fill="EAF9E8"/>
          </w:tcPr>
          <w:p>
            <w:pPr>
              <w:spacing w:after="0"/>
              <w:rPr>
                <w:sz w:val="20"/>
                <w:szCs w:val="20"/>
                <w:color w:val="auto"/>
              </w:rPr>
            </w:pPr>
          </w:p>
        </w:tc>
        <w:tc>
          <w:tcPr>
            <w:tcW w:w="440" w:type="dxa"/>
            <w:vAlign w:val="bottom"/>
            <w:tcBorders>
              <w:top w:val="single" w:sz="8" w:color="auto"/>
            </w:tcBorders>
            <w:shd w:val="clear" w:color="auto" w:fill="EAF9E8"/>
          </w:tcPr>
          <w:p>
            <w:pPr>
              <w:spacing w:after="0"/>
              <w:rPr>
                <w:sz w:val="20"/>
                <w:szCs w:val="20"/>
                <w:color w:val="auto"/>
              </w:rPr>
            </w:pPr>
          </w:p>
        </w:tc>
        <w:tc>
          <w:tcPr>
            <w:tcW w:w="80" w:type="dxa"/>
            <w:vAlign w:val="bottom"/>
            <w:shd w:val="clear" w:color="auto" w:fill="EAF9E8"/>
          </w:tcPr>
          <w:p>
            <w:pPr>
              <w:spacing w:after="0"/>
              <w:rPr>
                <w:sz w:val="20"/>
                <w:szCs w:val="20"/>
                <w:color w:val="auto"/>
              </w:rPr>
            </w:pPr>
          </w:p>
        </w:tc>
        <w:tc>
          <w:tcPr>
            <w:tcW w:w="120" w:type="dxa"/>
            <w:vAlign w:val="bottom"/>
            <w:shd w:val="clear" w:color="auto" w:fill="EAF9E8"/>
          </w:tcPr>
          <w:p>
            <w:pPr>
              <w:spacing w:after="0"/>
              <w:rPr>
                <w:sz w:val="20"/>
                <w:szCs w:val="20"/>
                <w:color w:val="auto"/>
              </w:rPr>
            </w:pPr>
          </w:p>
        </w:tc>
        <w:tc>
          <w:tcPr>
            <w:tcW w:w="140" w:type="dxa"/>
            <w:vAlign w:val="bottom"/>
            <w:tcBorders>
              <w:top w:val="single" w:sz="8" w:color="auto"/>
            </w:tcBorders>
            <w:shd w:val="clear" w:color="auto" w:fill="EAF9E8"/>
          </w:tcPr>
          <w:p>
            <w:pPr>
              <w:spacing w:after="0"/>
              <w:rPr>
                <w:sz w:val="20"/>
                <w:szCs w:val="20"/>
                <w:color w:val="auto"/>
              </w:rPr>
            </w:pPr>
          </w:p>
        </w:tc>
        <w:tc>
          <w:tcPr>
            <w:tcW w:w="440" w:type="dxa"/>
            <w:vAlign w:val="bottom"/>
            <w:tcBorders>
              <w:top w:val="single" w:sz="8" w:color="auto"/>
            </w:tcBorders>
            <w:shd w:val="clear" w:color="auto" w:fill="EAF9E8"/>
          </w:tcPr>
          <w:p>
            <w:pPr>
              <w:spacing w:after="0"/>
              <w:rPr>
                <w:sz w:val="20"/>
                <w:szCs w:val="20"/>
                <w:color w:val="auto"/>
              </w:rPr>
            </w:pPr>
          </w:p>
        </w:tc>
        <w:tc>
          <w:tcPr>
            <w:tcW w:w="120" w:type="dxa"/>
            <w:vAlign w:val="bottom"/>
            <w:shd w:val="clear" w:color="auto" w:fill="EAF9E8"/>
          </w:tcPr>
          <w:p>
            <w:pPr>
              <w:spacing w:after="0"/>
              <w:rPr>
                <w:sz w:val="20"/>
                <w:szCs w:val="20"/>
                <w:color w:val="auto"/>
              </w:rPr>
            </w:pPr>
          </w:p>
        </w:tc>
        <w:tc>
          <w:tcPr>
            <w:tcW w:w="80" w:type="dxa"/>
            <w:vAlign w:val="bottom"/>
            <w:shd w:val="clear" w:color="auto" w:fill="EAF9E8"/>
          </w:tcPr>
          <w:p>
            <w:pPr>
              <w:spacing w:after="0"/>
              <w:rPr>
                <w:sz w:val="20"/>
                <w:szCs w:val="20"/>
                <w:color w:val="auto"/>
              </w:rPr>
            </w:pPr>
          </w:p>
        </w:tc>
        <w:tc>
          <w:tcPr>
            <w:tcW w:w="80" w:type="dxa"/>
            <w:vAlign w:val="bottom"/>
            <w:tcBorders>
              <w:top w:val="single" w:sz="8" w:color="auto"/>
            </w:tcBorders>
            <w:shd w:val="clear" w:color="auto" w:fill="EAF9E8"/>
          </w:tcPr>
          <w:p>
            <w:pPr>
              <w:spacing w:after="0"/>
              <w:rPr>
                <w:sz w:val="20"/>
                <w:szCs w:val="20"/>
                <w:color w:val="auto"/>
              </w:rPr>
            </w:pPr>
          </w:p>
        </w:tc>
        <w:tc>
          <w:tcPr>
            <w:tcW w:w="740" w:type="dxa"/>
            <w:vAlign w:val="bottom"/>
            <w:tcBorders>
              <w:top w:val="single" w:sz="8" w:color="auto"/>
            </w:tcBorders>
            <w:shd w:val="clear" w:color="auto" w:fill="EAF9E8"/>
          </w:tcPr>
          <w:p>
            <w:pPr>
              <w:spacing w:after="0"/>
              <w:rPr>
                <w:sz w:val="20"/>
                <w:szCs w:val="20"/>
                <w:color w:val="auto"/>
              </w:rPr>
            </w:pPr>
          </w:p>
        </w:tc>
        <w:tc>
          <w:tcPr>
            <w:tcW w:w="140" w:type="dxa"/>
            <w:vAlign w:val="bottom"/>
            <w:shd w:val="clear" w:color="auto" w:fill="EAF9E8"/>
          </w:tcPr>
          <w:p>
            <w:pPr>
              <w:spacing w:after="0"/>
              <w:rPr>
                <w:sz w:val="20"/>
                <w:szCs w:val="20"/>
                <w:color w:val="auto"/>
              </w:rPr>
            </w:pPr>
          </w:p>
        </w:tc>
        <w:tc>
          <w:tcPr>
            <w:tcW w:w="80" w:type="dxa"/>
            <w:vAlign w:val="bottom"/>
            <w:shd w:val="clear" w:color="auto" w:fill="EAF9E8"/>
          </w:tcPr>
          <w:p>
            <w:pPr>
              <w:spacing w:after="0"/>
              <w:rPr>
                <w:sz w:val="20"/>
                <w:szCs w:val="20"/>
                <w:color w:val="auto"/>
              </w:rPr>
            </w:pPr>
          </w:p>
        </w:tc>
        <w:tc>
          <w:tcPr>
            <w:tcW w:w="120" w:type="dxa"/>
            <w:vAlign w:val="bottom"/>
            <w:tcBorders>
              <w:top w:val="single" w:sz="8" w:color="auto"/>
            </w:tcBorders>
            <w:shd w:val="clear" w:color="auto" w:fill="EAF9E8"/>
          </w:tcPr>
          <w:p>
            <w:pPr>
              <w:spacing w:after="0"/>
              <w:rPr>
                <w:sz w:val="20"/>
                <w:szCs w:val="20"/>
                <w:color w:val="auto"/>
              </w:rPr>
            </w:pPr>
          </w:p>
        </w:tc>
        <w:tc>
          <w:tcPr>
            <w:tcW w:w="580" w:type="dxa"/>
            <w:vAlign w:val="bottom"/>
            <w:tcBorders>
              <w:top w:val="single" w:sz="8" w:color="auto"/>
            </w:tcBorders>
            <w:shd w:val="clear" w:color="auto" w:fill="EAF9E8"/>
          </w:tcPr>
          <w:p>
            <w:pPr>
              <w:spacing w:after="0"/>
              <w:rPr>
                <w:sz w:val="20"/>
                <w:szCs w:val="20"/>
                <w:color w:val="auto"/>
              </w:rPr>
            </w:pPr>
          </w:p>
        </w:tc>
        <w:tc>
          <w:tcPr>
            <w:tcW w:w="140" w:type="dxa"/>
            <w:vAlign w:val="bottom"/>
            <w:shd w:val="clear" w:color="auto" w:fill="EAF9E8"/>
          </w:tcPr>
          <w:p>
            <w:pPr>
              <w:spacing w:after="0"/>
              <w:rPr>
                <w:sz w:val="20"/>
                <w:szCs w:val="20"/>
                <w:color w:val="auto"/>
              </w:rPr>
            </w:pPr>
          </w:p>
        </w:tc>
        <w:tc>
          <w:tcPr>
            <w:tcW w:w="80" w:type="dxa"/>
            <w:vAlign w:val="bottom"/>
            <w:shd w:val="clear" w:color="auto" w:fill="EAF9E8"/>
          </w:tcPr>
          <w:p>
            <w:pPr>
              <w:spacing w:after="0"/>
              <w:rPr>
                <w:sz w:val="20"/>
                <w:szCs w:val="20"/>
                <w:color w:val="auto"/>
              </w:rPr>
            </w:pPr>
          </w:p>
        </w:tc>
        <w:tc>
          <w:tcPr>
            <w:tcW w:w="100" w:type="dxa"/>
            <w:vAlign w:val="bottom"/>
            <w:tcBorders>
              <w:top w:val="single" w:sz="8" w:color="auto"/>
            </w:tcBorders>
            <w:shd w:val="clear" w:color="auto" w:fill="EAF9E8"/>
          </w:tcPr>
          <w:p>
            <w:pPr>
              <w:spacing w:after="0"/>
              <w:rPr>
                <w:sz w:val="20"/>
                <w:szCs w:val="20"/>
                <w:color w:val="auto"/>
              </w:rPr>
            </w:pPr>
          </w:p>
        </w:tc>
        <w:tc>
          <w:tcPr>
            <w:tcW w:w="740" w:type="dxa"/>
            <w:vAlign w:val="bottom"/>
            <w:tcBorders>
              <w:top w:val="single" w:sz="8" w:color="auto"/>
            </w:tcBorders>
            <w:shd w:val="clear" w:color="auto" w:fill="EAF9E8"/>
          </w:tcPr>
          <w:p>
            <w:pPr>
              <w:spacing w:after="0"/>
              <w:rPr>
                <w:sz w:val="20"/>
                <w:szCs w:val="20"/>
                <w:color w:val="auto"/>
              </w:rPr>
            </w:pPr>
          </w:p>
        </w:tc>
        <w:tc>
          <w:tcPr>
            <w:tcW w:w="120" w:type="dxa"/>
            <w:vAlign w:val="bottom"/>
            <w:shd w:val="clear" w:color="auto" w:fill="EAF9E8"/>
          </w:tcPr>
          <w:p>
            <w:pPr>
              <w:spacing w:after="0"/>
              <w:rPr>
                <w:sz w:val="20"/>
                <w:szCs w:val="20"/>
                <w:color w:val="auto"/>
              </w:rPr>
            </w:pPr>
          </w:p>
        </w:tc>
        <w:tc>
          <w:tcPr>
            <w:tcW w:w="100" w:type="dxa"/>
            <w:vAlign w:val="bottom"/>
            <w:shd w:val="clear" w:color="auto" w:fill="EAF9E8"/>
          </w:tcPr>
          <w:p>
            <w:pPr>
              <w:spacing w:after="0"/>
              <w:rPr>
                <w:sz w:val="20"/>
                <w:szCs w:val="20"/>
                <w:color w:val="auto"/>
              </w:rPr>
            </w:pPr>
          </w:p>
        </w:tc>
        <w:tc>
          <w:tcPr>
            <w:tcW w:w="80" w:type="dxa"/>
            <w:vAlign w:val="bottom"/>
            <w:tcBorders>
              <w:top w:val="single" w:sz="8" w:color="auto"/>
            </w:tcBorders>
            <w:shd w:val="clear" w:color="auto" w:fill="EAF9E8"/>
          </w:tcPr>
          <w:p>
            <w:pPr>
              <w:spacing w:after="0"/>
              <w:rPr>
                <w:sz w:val="20"/>
                <w:szCs w:val="20"/>
                <w:color w:val="auto"/>
              </w:rPr>
            </w:pPr>
          </w:p>
        </w:tc>
        <w:tc>
          <w:tcPr>
            <w:tcW w:w="760" w:type="dxa"/>
            <w:vAlign w:val="bottom"/>
            <w:tcBorders>
              <w:top w:val="single" w:sz="8" w:color="auto"/>
            </w:tcBorders>
            <w:shd w:val="clear" w:color="auto" w:fill="EAF9E8"/>
          </w:tcPr>
          <w:p>
            <w:pPr>
              <w:spacing w:after="0"/>
              <w:rPr>
                <w:sz w:val="20"/>
                <w:szCs w:val="20"/>
                <w:color w:val="auto"/>
              </w:rPr>
            </w:pPr>
          </w:p>
        </w:tc>
        <w:tc>
          <w:tcPr>
            <w:tcW w:w="120" w:type="dxa"/>
            <w:vAlign w:val="bottom"/>
            <w:tcBorders>
              <w:top w:val="single" w:sz="8" w:color="auto"/>
            </w:tcBorders>
            <w:shd w:val="clear" w:color="auto" w:fill="EAF9E8"/>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160" w:type="dxa"/>
            <w:vAlign w:val="bottom"/>
          </w:tcPr>
          <w:p>
            <w:pPr>
              <w:spacing w:after="0"/>
              <w:rPr>
                <w:sz w:val="11"/>
                <w:szCs w:val="11"/>
                <w:color w:val="auto"/>
              </w:rPr>
            </w:pPr>
          </w:p>
        </w:tc>
        <w:tc>
          <w:tcPr>
            <w:tcW w:w="2400" w:type="dxa"/>
            <w:vAlign w:val="bottom"/>
            <w:gridSpan w:val="5"/>
          </w:tcPr>
          <w:p>
            <w:pPr>
              <w:spacing w:after="0" w:line="135" w:lineRule="exact"/>
              <w:rPr>
                <w:sz w:val="20"/>
                <w:szCs w:val="20"/>
                <w:color w:val="auto"/>
              </w:rPr>
            </w:pPr>
            <w:r>
              <w:rPr>
                <w:rFonts w:ascii="Arial" w:cs="Arial" w:eastAsia="Arial" w:hAnsi="Arial"/>
                <w:sz w:val="14"/>
                <w:szCs w:val="14"/>
                <w:color w:val="auto"/>
                <w:w w:val="88"/>
              </w:rPr>
              <w:t>For the three months ended September 30,</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60" w:type="dxa"/>
            <w:vAlign w:val="bottom"/>
          </w:tcPr>
          <w:p>
            <w:pPr>
              <w:spacing w:after="0"/>
              <w:rPr>
                <w:sz w:val="11"/>
                <w:szCs w:val="11"/>
                <w:color w:val="auto"/>
              </w:rPr>
            </w:pPr>
          </w:p>
        </w:tc>
        <w:tc>
          <w:tcPr>
            <w:tcW w:w="2260" w:type="dxa"/>
            <w:vAlign w:val="bottom"/>
            <w:tcBorders>
              <w:top w:val="single" w:sz="8" w:color="auto"/>
            </w:tcBorders>
            <w:gridSpan w:val="3"/>
          </w:tcPr>
          <w:p>
            <w:pPr>
              <w:ind w:left="160"/>
              <w:spacing w:after="0" w:line="129" w:lineRule="exact"/>
              <w:rPr>
                <w:sz w:val="20"/>
                <w:szCs w:val="20"/>
                <w:color w:val="auto"/>
              </w:rPr>
            </w:pPr>
            <w:r>
              <w:rPr>
                <w:rFonts w:ascii="Arial" w:cs="Arial" w:eastAsia="Arial" w:hAnsi="Arial"/>
                <w:sz w:val="14"/>
                <w:szCs w:val="14"/>
                <w:color w:val="auto"/>
              </w:rPr>
              <w:t>2009:</w:t>
            </w:r>
          </w:p>
        </w:tc>
        <w:tc>
          <w:tcPr>
            <w:tcW w:w="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4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60" w:type="dxa"/>
            <w:vAlign w:val="bottom"/>
            <w:shd w:val="clear" w:color="auto" w:fill="EAF9E8"/>
          </w:tcPr>
          <w:p>
            <w:pPr>
              <w:spacing w:after="0"/>
              <w:rPr>
                <w:sz w:val="20"/>
                <w:szCs w:val="20"/>
                <w:color w:val="auto"/>
              </w:rPr>
            </w:pPr>
          </w:p>
        </w:tc>
        <w:tc>
          <w:tcPr>
            <w:tcW w:w="2400" w:type="dxa"/>
            <w:vAlign w:val="bottom"/>
            <w:gridSpan w:val="5"/>
            <w:shd w:val="clear" w:color="auto" w:fill="EAF9E8"/>
          </w:tcPr>
          <w:p>
            <w:pPr>
              <w:spacing w:after="0"/>
              <w:rPr>
                <w:sz w:val="20"/>
                <w:szCs w:val="20"/>
                <w:color w:val="auto"/>
              </w:rPr>
            </w:pPr>
            <w:r>
              <w:rPr>
                <w:rFonts w:ascii="Arial" w:cs="Arial" w:eastAsia="Arial" w:hAnsi="Arial"/>
                <w:sz w:val="14"/>
                <w:szCs w:val="14"/>
                <w:color w:val="auto"/>
              </w:rPr>
              <w:t>Revenue (1) (2)</w:t>
            </w:r>
          </w:p>
        </w:tc>
        <w:tc>
          <w:tcPr>
            <w:tcW w:w="200" w:type="dxa"/>
            <w:vAlign w:val="bottom"/>
            <w:gridSpan w:val="2"/>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EAF9E8"/>
          </w:tcPr>
          <w:p>
            <w:pPr>
              <w:jc w:val="right"/>
              <w:spacing w:after="0"/>
              <w:rPr>
                <w:sz w:val="20"/>
                <w:szCs w:val="20"/>
                <w:color w:val="auto"/>
              </w:rPr>
            </w:pPr>
            <w:r>
              <w:rPr>
                <w:rFonts w:ascii="Arial" w:cs="Arial" w:eastAsia="Arial" w:hAnsi="Arial"/>
                <w:sz w:val="14"/>
                <w:szCs w:val="14"/>
                <w:color w:val="auto"/>
              </w:rPr>
              <w:t>62,118</w:t>
            </w:r>
          </w:p>
        </w:tc>
        <w:tc>
          <w:tcPr>
            <w:tcW w:w="200" w:type="dxa"/>
            <w:vAlign w:val="bottom"/>
            <w:shd w:val="clear" w:color="auto" w:fill="EAF9E8"/>
          </w:tcPr>
          <w:p>
            <w:pPr>
              <w:spacing w:after="0"/>
              <w:rPr>
                <w:sz w:val="20"/>
                <w:szCs w:val="20"/>
                <w:color w:val="auto"/>
              </w:rPr>
            </w:pPr>
          </w:p>
        </w:tc>
        <w:tc>
          <w:tcPr>
            <w:tcW w:w="120" w:type="dxa"/>
            <w:vAlign w:val="bottom"/>
            <w:shd w:val="clear" w:color="auto" w:fill="EAF9E8"/>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EAF9E8"/>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gridSpan w:val="2"/>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EAF9E8"/>
          </w:tcPr>
          <w:p>
            <w:pPr>
              <w:jc w:val="right"/>
              <w:ind w:right="140"/>
              <w:spacing w:after="0"/>
              <w:rPr>
                <w:sz w:val="20"/>
                <w:szCs w:val="20"/>
                <w:color w:val="auto"/>
              </w:rPr>
            </w:pPr>
            <w:r>
              <w:rPr>
                <w:rFonts w:ascii="Arial" w:cs="Arial" w:eastAsia="Arial" w:hAnsi="Arial"/>
                <w:sz w:val="14"/>
                <w:szCs w:val="14"/>
                <w:color w:val="auto"/>
              </w:rPr>
              <w:t>432</w:t>
            </w:r>
          </w:p>
        </w:tc>
        <w:tc>
          <w:tcPr>
            <w:tcW w:w="220" w:type="dxa"/>
            <w:vAlign w:val="bottom"/>
            <w:gridSpan w:val="2"/>
            <w:shd w:val="clear" w:color="auto" w:fill="EAF9E8"/>
          </w:tcPr>
          <w:p>
            <w:pPr>
              <w:ind w:left="80"/>
              <w:spacing w:after="0"/>
              <w:rPr>
                <w:sz w:val="20"/>
                <w:szCs w:val="20"/>
                <w:color w:val="auto"/>
              </w:rPr>
            </w:pPr>
            <w:r>
              <w:rPr>
                <w:rFonts w:ascii="Arial" w:cs="Arial" w:eastAsia="Arial" w:hAnsi="Arial"/>
                <w:sz w:val="14"/>
                <w:szCs w:val="14"/>
                <w:color w:val="auto"/>
              </w:rPr>
              <w:t>$</w:t>
            </w:r>
          </w:p>
        </w:tc>
        <w:tc>
          <w:tcPr>
            <w:tcW w:w="440" w:type="dxa"/>
            <w:vAlign w:val="bottom"/>
            <w:shd w:val="clear" w:color="auto" w:fill="EAF9E8"/>
          </w:tcPr>
          <w:p>
            <w:pPr>
              <w:jc w:val="right"/>
              <w:spacing w:after="0"/>
              <w:rPr>
                <w:sz w:val="20"/>
                <w:szCs w:val="20"/>
                <w:color w:val="auto"/>
              </w:rPr>
            </w:pPr>
            <w:r>
              <w:rPr>
                <w:rFonts w:ascii="Arial" w:cs="Arial" w:eastAsia="Arial" w:hAnsi="Arial"/>
                <w:sz w:val="14"/>
                <w:szCs w:val="14"/>
                <w:color w:val="auto"/>
                <w:w w:val="97"/>
              </w:rPr>
              <w:t>11,869</w:t>
            </w:r>
          </w:p>
        </w:tc>
        <w:tc>
          <w:tcPr>
            <w:tcW w:w="80" w:type="dxa"/>
            <w:vAlign w:val="bottom"/>
            <w:shd w:val="clear" w:color="auto" w:fill="EAF9E8"/>
          </w:tcPr>
          <w:p>
            <w:pPr>
              <w:spacing w:after="0"/>
              <w:rPr>
                <w:sz w:val="20"/>
                <w:szCs w:val="20"/>
                <w:color w:val="auto"/>
              </w:rPr>
            </w:pPr>
          </w:p>
        </w:tc>
        <w:tc>
          <w:tcPr>
            <w:tcW w:w="260" w:type="dxa"/>
            <w:vAlign w:val="bottom"/>
            <w:gridSpan w:val="2"/>
            <w:shd w:val="clear" w:color="auto" w:fill="EAF9E8"/>
          </w:tcPr>
          <w:p>
            <w:pPr>
              <w:ind w:left="120"/>
              <w:spacing w:after="0"/>
              <w:rPr>
                <w:sz w:val="20"/>
                <w:szCs w:val="20"/>
                <w:color w:val="auto"/>
              </w:rPr>
            </w:pPr>
            <w:r>
              <w:rPr>
                <w:rFonts w:ascii="Arial" w:cs="Arial" w:eastAsia="Arial" w:hAnsi="Arial"/>
                <w:sz w:val="14"/>
                <w:szCs w:val="14"/>
                <w:color w:val="auto"/>
              </w:rPr>
              <w:t>$</w:t>
            </w:r>
          </w:p>
        </w:tc>
        <w:tc>
          <w:tcPr>
            <w:tcW w:w="560" w:type="dxa"/>
            <w:vAlign w:val="bottom"/>
            <w:gridSpan w:val="2"/>
            <w:shd w:val="clear" w:color="auto" w:fill="EAF9E8"/>
          </w:tcPr>
          <w:p>
            <w:pPr>
              <w:jc w:val="right"/>
              <w:ind w:right="81"/>
              <w:spacing w:after="0"/>
              <w:rPr>
                <w:sz w:val="20"/>
                <w:szCs w:val="20"/>
                <w:color w:val="auto"/>
              </w:rPr>
            </w:pPr>
            <w:r>
              <w:rPr>
                <w:rFonts w:ascii="Arial" w:cs="Arial" w:eastAsia="Arial" w:hAnsi="Arial"/>
                <w:sz w:val="14"/>
                <w:szCs w:val="14"/>
                <w:color w:val="auto"/>
              </w:rPr>
              <w:t>6,506</w:t>
            </w:r>
          </w:p>
        </w:tc>
        <w:tc>
          <w:tcPr>
            <w:tcW w:w="160" w:type="dxa"/>
            <w:vAlign w:val="bottom"/>
            <w:gridSpan w:val="2"/>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EAF9E8"/>
          </w:tcPr>
          <w:p>
            <w:pPr>
              <w:jc w:val="right"/>
              <w:ind w:right="140"/>
              <w:spacing w:after="0"/>
              <w:rPr>
                <w:sz w:val="20"/>
                <w:szCs w:val="20"/>
                <w:color w:val="auto"/>
              </w:rPr>
            </w:pPr>
            <w:r>
              <w:rPr>
                <w:rFonts w:ascii="Arial" w:cs="Arial" w:eastAsia="Arial" w:hAnsi="Arial"/>
                <w:sz w:val="14"/>
                <w:szCs w:val="14"/>
                <w:color w:val="auto"/>
              </w:rPr>
              <w:t>5,648</w:t>
            </w:r>
          </w:p>
        </w:tc>
        <w:tc>
          <w:tcPr>
            <w:tcW w:w="200" w:type="dxa"/>
            <w:vAlign w:val="bottom"/>
            <w:gridSpan w:val="2"/>
            <w:shd w:val="clear" w:color="auto" w:fill="EAF9E8"/>
          </w:tcPr>
          <w:p>
            <w:pPr>
              <w:jc w:val="right"/>
              <w:ind w:right="4"/>
              <w:spacing w:after="0"/>
              <w:rPr>
                <w:sz w:val="20"/>
                <w:szCs w:val="20"/>
                <w:color w:val="auto"/>
              </w:rPr>
            </w:pPr>
            <w:r>
              <w:rPr>
                <w:rFonts w:ascii="Arial" w:cs="Arial" w:eastAsia="Arial" w:hAnsi="Arial"/>
                <w:sz w:val="14"/>
                <w:szCs w:val="14"/>
                <w:color w:val="auto"/>
              </w:rPr>
              <w:t>$</w:t>
            </w:r>
          </w:p>
        </w:tc>
        <w:tc>
          <w:tcPr>
            <w:tcW w:w="580" w:type="dxa"/>
            <w:vAlign w:val="bottom"/>
            <w:shd w:val="clear" w:color="auto" w:fill="EAF9E8"/>
          </w:tcPr>
          <w:p>
            <w:pPr>
              <w:jc w:val="right"/>
              <w:spacing w:after="0"/>
              <w:rPr>
                <w:sz w:val="20"/>
                <w:szCs w:val="20"/>
                <w:color w:val="auto"/>
              </w:rPr>
            </w:pPr>
            <w:r>
              <w:rPr>
                <w:rFonts w:ascii="Arial" w:cs="Arial" w:eastAsia="Arial" w:hAnsi="Arial"/>
                <w:sz w:val="14"/>
                <w:szCs w:val="14"/>
                <w:color w:val="auto"/>
              </w:rPr>
              <w:t>319</w:t>
            </w:r>
          </w:p>
        </w:tc>
        <w:tc>
          <w:tcPr>
            <w:tcW w:w="140" w:type="dxa"/>
            <w:vAlign w:val="bottom"/>
            <w:shd w:val="clear" w:color="auto" w:fill="EAF9E8"/>
          </w:tcPr>
          <w:p>
            <w:pPr>
              <w:spacing w:after="0"/>
              <w:rPr>
                <w:sz w:val="20"/>
                <w:szCs w:val="20"/>
                <w:color w:val="auto"/>
              </w:rPr>
            </w:pPr>
          </w:p>
        </w:tc>
        <w:tc>
          <w:tcPr>
            <w:tcW w:w="180" w:type="dxa"/>
            <w:vAlign w:val="bottom"/>
            <w:gridSpan w:val="2"/>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EAF9E8"/>
          </w:tcPr>
          <w:p>
            <w:pPr>
              <w:jc w:val="right"/>
              <w:ind w:right="80"/>
              <w:spacing w:after="0"/>
              <w:rPr>
                <w:sz w:val="20"/>
                <w:szCs w:val="20"/>
                <w:color w:val="auto"/>
              </w:rPr>
            </w:pPr>
            <w:r>
              <w:rPr>
                <w:rFonts w:ascii="Arial" w:cs="Arial" w:eastAsia="Arial" w:hAnsi="Arial"/>
                <w:sz w:val="14"/>
                <w:szCs w:val="14"/>
                <w:color w:val="auto"/>
              </w:rPr>
              <w:t>(3,540)</w:t>
            </w:r>
          </w:p>
        </w:tc>
        <w:tc>
          <w:tcPr>
            <w:tcW w:w="180" w:type="dxa"/>
            <w:vAlign w:val="bottom"/>
            <w:gridSpan w:val="2"/>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EAF9E8"/>
          </w:tcPr>
          <w:p>
            <w:pPr>
              <w:jc w:val="right"/>
              <w:spacing w:after="0"/>
              <w:rPr>
                <w:sz w:val="20"/>
                <w:szCs w:val="20"/>
                <w:color w:val="auto"/>
              </w:rPr>
            </w:pPr>
            <w:r>
              <w:rPr>
                <w:rFonts w:ascii="Arial" w:cs="Arial" w:eastAsia="Arial" w:hAnsi="Arial"/>
                <w:sz w:val="14"/>
                <w:szCs w:val="14"/>
                <w:color w:val="auto"/>
              </w:rPr>
              <w:t>83,352</w:t>
            </w:r>
          </w:p>
        </w:tc>
        <w:tc>
          <w:tcPr>
            <w:tcW w:w="120" w:type="dxa"/>
            <w:vAlign w:val="bottom"/>
            <w:shd w:val="clear" w:color="auto" w:fill="EAF9E8"/>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60" w:type="dxa"/>
            <w:vAlign w:val="bottom"/>
          </w:tcPr>
          <w:p>
            <w:pPr>
              <w:spacing w:after="0"/>
              <w:rPr>
                <w:sz w:val="21"/>
                <w:szCs w:val="21"/>
                <w:color w:val="auto"/>
              </w:rPr>
            </w:pPr>
          </w:p>
        </w:tc>
        <w:tc>
          <w:tcPr>
            <w:tcW w:w="2400" w:type="dxa"/>
            <w:vAlign w:val="bottom"/>
            <w:gridSpan w:val="5"/>
          </w:tcPr>
          <w:p>
            <w:pPr>
              <w:spacing w:after="0"/>
              <w:rPr>
                <w:sz w:val="20"/>
                <w:szCs w:val="20"/>
                <w:color w:val="auto"/>
              </w:rPr>
            </w:pPr>
            <w:r>
              <w:rPr>
                <w:rFonts w:ascii="Arial" w:cs="Arial" w:eastAsia="Arial" w:hAnsi="Arial"/>
                <w:sz w:val="14"/>
                <w:szCs w:val="14"/>
                <w:color w:val="auto"/>
              </w:rPr>
              <w:t>Operating expenses (1) (3) (4)</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30,749</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891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753</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8,131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gridSpan w:val="2"/>
          </w:tcPr>
          <w:p>
            <w:pPr>
              <w:jc w:val="right"/>
              <w:ind w:right="81"/>
              <w:spacing w:after="0"/>
              <w:rPr>
                <w:sz w:val="20"/>
                <w:szCs w:val="20"/>
                <w:color w:val="auto"/>
              </w:rPr>
            </w:pPr>
            <w:r>
              <w:rPr>
                <w:rFonts w:ascii="Arial" w:cs="Arial" w:eastAsia="Arial" w:hAnsi="Arial"/>
                <w:sz w:val="14"/>
                <w:szCs w:val="14"/>
                <w:color w:val="auto"/>
              </w:rPr>
              <w:t>9,295</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3,343</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3,555</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4"/>
                <w:szCs w:val="14"/>
                <w:color w:val="auto"/>
              </w:rPr>
              <w:t>(3,344)</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53,373</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60" w:type="dxa"/>
            <w:vAlign w:val="bottom"/>
            <w:shd w:val="clear" w:color="auto" w:fill="EAF9E8"/>
          </w:tcPr>
          <w:p>
            <w:pPr>
              <w:spacing w:after="0"/>
              <w:rPr>
                <w:sz w:val="20"/>
                <w:szCs w:val="20"/>
                <w:color w:val="auto"/>
              </w:rPr>
            </w:pPr>
          </w:p>
        </w:tc>
        <w:tc>
          <w:tcPr>
            <w:tcW w:w="2400" w:type="dxa"/>
            <w:vAlign w:val="bottom"/>
            <w:gridSpan w:val="5"/>
            <w:shd w:val="clear" w:color="auto" w:fill="EAF9E8"/>
          </w:tcPr>
          <w:p>
            <w:pPr>
              <w:spacing w:after="0"/>
              <w:rPr>
                <w:sz w:val="20"/>
                <w:szCs w:val="20"/>
                <w:color w:val="auto"/>
              </w:rPr>
            </w:pPr>
            <w:r>
              <w:rPr>
                <w:rFonts w:ascii="Arial" w:cs="Arial" w:eastAsia="Arial" w:hAnsi="Arial"/>
                <w:sz w:val="14"/>
                <w:szCs w:val="14"/>
                <w:color w:val="auto"/>
              </w:rPr>
              <w:t>Income (loss) from operations</w:t>
            </w:r>
          </w:p>
        </w:tc>
        <w:tc>
          <w:tcPr>
            <w:tcW w:w="120" w:type="dxa"/>
            <w:vAlign w:val="bottom"/>
            <w:shd w:val="clear" w:color="auto" w:fill="EAF9E8"/>
          </w:tcPr>
          <w:p>
            <w:pPr>
              <w:spacing w:after="0"/>
              <w:rPr>
                <w:sz w:val="20"/>
                <w:szCs w:val="20"/>
                <w:color w:val="auto"/>
              </w:rPr>
            </w:pPr>
          </w:p>
        </w:tc>
        <w:tc>
          <w:tcPr>
            <w:tcW w:w="80" w:type="dxa"/>
            <w:vAlign w:val="bottom"/>
            <w:shd w:val="clear" w:color="auto" w:fill="EAF9E8"/>
          </w:tcPr>
          <w:p>
            <w:pPr>
              <w:spacing w:after="0"/>
              <w:rPr>
                <w:sz w:val="20"/>
                <w:szCs w:val="20"/>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4"/>
                <w:szCs w:val="14"/>
                <w:color w:val="auto"/>
              </w:rPr>
              <w:t>31,369</w:t>
            </w:r>
          </w:p>
        </w:tc>
        <w:tc>
          <w:tcPr>
            <w:tcW w:w="200" w:type="dxa"/>
            <w:vAlign w:val="bottom"/>
            <w:shd w:val="clear" w:color="auto" w:fill="EAF9E8"/>
          </w:tcPr>
          <w:p>
            <w:pPr>
              <w:spacing w:after="0"/>
              <w:rPr>
                <w:sz w:val="20"/>
                <w:szCs w:val="20"/>
                <w:color w:val="auto"/>
              </w:rPr>
            </w:pPr>
          </w:p>
        </w:tc>
        <w:tc>
          <w:tcPr>
            <w:tcW w:w="120" w:type="dxa"/>
            <w:vAlign w:val="bottom"/>
            <w:shd w:val="clear" w:color="auto" w:fill="EAF9E8"/>
          </w:tcPr>
          <w:p>
            <w:pPr>
              <w:spacing w:after="0"/>
              <w:rPr>
                <w:sz w:val="20"/>
                <w:szCs w:val="20"/>
                <w:color w:val="auto"/>
              </w:rPr>
            </w:pPr>
          </w:p>
        </w:tc>
        <w:tc>
          <w:tcPr>
            <w:tcW w:w="940" w:type="dxa"/>
            <w:vAlign w:val="bottom"/>
            <w:gridSpan w:val="2"/>
            <w:shd w:val="clear" w:color="auto" w:fill="EAF9E8"/>
          </w:tcPr>
          <w:p>
            <w:pPr>
              <w:jc w:val="right"/>
              <w:ind w:right="80"/>
              <w:spacing w:after="0"/>
              <w:rPr>
                <w:sz w:val="20"/>
                <w:szCs w:val="20"/>
                <w:color w:val="auto"/>
              </w:rPr>
            </w:pPr>
            <w:r>
              <w:rPr>
                <w:rFonts w:ascii="Arial" w:cs="Arial" w:eastAsia="Arial" w:hAnsi="Arial"/>
                <w:sz w:val="14"/>
                <w:szCs w:val="14"/>
                <w:color w:val="auto"/>
              </w:rPr>
              <w:t>(891)</w:t>
            </w:r>
          </w:p>
        </w:tc>
        <w:tc>
          <w:tcPr>
            <w:tcW w:w="100" w:type="dxa"/>
            <w:vAlign w:val="bottom"/>
            <w:shd w:val="clear" w:color="auto" w:fill="EAF9E8"/>
          </w:tcPr>
          <w:p>
            <w:pPr>
              <w:spacing w:after="0"/>
              <w:rPr>
                <w:sz w:val="20"/>
                <w:szCs w:val="20"/>
                <w:color w:val="auto"/>
              </w:rPr>
            </w:pPr>
          </w:p>
        </w:tc>
        <w:tc>
          <w:tcPr>
            <w:tcW w:w="80" w:type="dxa"/>
            <w:vAlign w:val="bottom"/>
            <w:shd w:val="clear" w:color="auto" w:fill="EAF9E8"/>
          </w:tcPr>
          <w:p>
            <w:pPr>
              <w:spacing w:after="0"/>
              <w:rPr>
                <w:sz w:val="20"/>
                <w:szCs w:val="20"/>
                <w:color w:val="auto"/>
              </w:rPr>
            </w:pPr>
          </w:p>
        </w:tc>
        <w:tc>
          <w:tcPr>
            <w:tcW w:w="980" w:type="dxa"/>
            <w:vAlign w:val="bottom"/>
            <w:gridSpan w:val="2"/>
            <w:shd w:val="clear" w:color="auto" w:fill="EAF9E8"/>
          </w:tcPr>
          <w:p>
            <w:pPr>
              <w:jc w:val="right"/>
              <w:ind w:right="80"/>
              <w:spacing w:after="0"/>
              <w:rPr>
                <w:sz w:val="20"/>
                <w:szCs w:val="20"/>
                <w:color w:val="auto"/>
              </w:rPr>
            </w:pPr>
            <w:r>
              <w:rPr>
                <w:rFonts w:ascii="Arial" w:cs="Arial" w:eastAsia="Arial" w:hAnsi="Arial"/>
                <w:sz w:val="14"/>
                <w:szCs w:val="14"/>
                <w:color w:val="auto"/>
              </w:rPr>
              <w:t>(321)</w:t>
            </w:r>
          </w:p>
        </w:tc>
        <w:tc>
          <w:tcPr>
            <w:tcW w:w="80" w:type="dxa"/>
            <w:vAlign w:val="bottom"/>
            <w:shd w:val="clear" w:color="auto" w:fill="EAF9E8"/>
          </w:tcPr>
          <w:p>
            <w:pPr>
              <w:spacing w:after="0"/>
              <w:rPr>
                <w:sz w:val="20"/>
                <w:szCs w:val="20"/>
                <w:color w:val="auto"/>
              </w:rPr>
            </w:pPr>
          </w:p>
        </w:tc>
        <w:tc>
          <w:tcPr>
            <w:tcW w:w="140" w:type="dxa"/>
            <w:vAlign w:val="bottom"/>
            <w:shd w:val="clear" w:color="auto" w:fill="EAF9E8"/>
          </w:tcPr>
          <w:p>
            <w:pPr>
              <w:spacing w:after="0"/>
              <w:rPr>
                <w:sz w:val="20"/>
                <w:szCs w:val="20"/>
                <w:color w:val="auto"/>
              </w:rPr>
            </w:pPr>
          </w:p>
        </w:tc>
        <w:tc>
          <w:tcPr>
            <w:tcW w:w="440" w:type="dxa"/>
            <w:vAlign w:val="bottom"/>
            <w:shd w:val="clear" w:color="auto" w:fill="EAF9E8"/>
          </w:tcPr>
          <w:p>
            <w:pPr>
              <w:jc w:val="right"/>
              <w:spacing w:after="0"/>
              <w:rPr>
                <w:sz w:val="20"/>
                <w:szCs w:val="20"/>
                <w:color w:val="auto"/>
              </w:rPr>
            </w:pPr>
            <w:r>
              <w:rPr>
                <w:rFonts w:ascii="Arial" w:cs="Arial" w:eastAsia="Arial" w:hAnsi="Arial"/>
                <w:sz w:val="14"/>
                <w:szCs w:val="14"/>
                <w:color w:val="auto"/>
              </w:rPr>
              <w:t>3,738</w:t>
            </w:r>
          </w:p>
        </w:tc>
        <w:tc>
          <w:tcPr>
            <w:tcW w:w="80" w:type="dxa"/>
            <w:vAlign w:val="bottom"/>
            <w:shd w:val="clear" w:color="auto" w:fill="EAF9E8"/>
          </w:tcPr>
          <w:p>
            <w:pPr>
              <w:spacing w:after="0"/>
              <w:rPr>
                <w:sz w:val="20"/>
                <w:szCs w:val="20"/>
                <w:color w:val="auto"/>
              </w:rPr>
            </w:pPr>
          </w:p>
        </w:tc>
        <w:tc>
          <w:tcPr>
            <w:tcW w:w="120" w:type="dxa"/>
            <w:vAlign w:val="bottom"/>
            <w:shd w:val="clear" w:color="auto" w:fill="EAF9E8"/>
          </w:tcPr>
          <w:p>
            <w:pPr>
              <w:spacing w:after="0"/>
              <w:rPr>
                <w:sz w:val="20"/>
                <w:szCs w:val="20"/>
                <w:color w:val="auto"/>
              </w:rPr>
            </w:pPr>
          </w:p>
        </w:tc>
        <w:tc>
          <w:tcPr>
            <w:tcW w:w="140" w:type="dxa"/>
            <w:vAlign w:val="bottom"/>
            <w:shd w:val="clear" w:color="auto" w:fill="EAF9E8"/>
          </w:tcPr>
          <w:p>
            <w:pPr>
              <w:spacing w:after="0"/>
              <w:rPr>
                <w:sz w:val="20"/>
                <w:szCs w:val="20"/>
                <w:color w:val="auto"/>
              </w:rPr>
            </w:pPr>
          </w:p>
        </w:tc>
        <w:tc>
          <w:tcPr>
            <w:tcW w:w="560" w:type="dxa"/>
            <w:vAlign w:val="bottom"/>
            <w:gridSpan w:val="2"/>
            <w:shd w:val="clear" w:color="auto" w:fill="EAF9E8"/>
          </w:tcPr>
          <w:p>
            <w:pPr>
              <w:jc w:val="right"/>
              <w:ind w:right="41"/>
              <w:spacing w:after="0"/>
              <w:rPr>
                <w:sz w:val="20"/>
                <w:szCs w:val="20"/>
                <w:color w:val="auto"/>
              </w:rPr>
            </w:pPr>
            <w:r>
              <w:rPr>
                <w:rFonts w:ascii="Arial" w:cs="Arial" w:eastAsia="Arial" w:hAnsi="Arial"/>
                <w:sz w:val="14"/>
                <w:szCs w:val="14"/>
                <w:color w:val="auto"/>
              </w:rPr>
              <w:t>(2,789)</w:t>
            </w:r>
          </w:p>
        </w:tc>
        <w:tc>
          <w:tcPr>
            <w:tcW w:w="80" w:type="dxa"/>
            <w:vAlign w:val="bottom"/>
            <w:shd w:val="clear" w:color="auto" w:fill="EAF9E8"/>
          </w:tcPr>
          <w:p>
            <w:pPr>
              <w:spacing w:after="0"/>
              <w:rPr>
                <w:sz w:val="20"/>
                <w:szCs w:val="20"/>
                <w:color w:val="auto"/>
              </w:rPr>
            </w:pPr>
          </w:p>
        </w:tc>
        <w:tc>
          <w:tcPr>
            <w:tcW w:w="80" w:type="dxa"/>
            <w:vAlign w:val="bottom"/>
            <w:shd w:val="clear" w:color="auto" w:fill="EAF9E8"/>
          </w:tcPr>
          <w:p>
            <w:pPr>
              <w:spacing w:after="0"/>
              <w:rPr>
                <w:sz w:val="20"/>
                <w:szCs w:val="20"/>
                <w:color w:val="auto"/>
              </w:rPr>
            </w:pPr>
          </w:p>
        </w:tc>
        <w:tc>
          <w:tcPr>
            <w:tcW w:w="880" w:type="dxa"/>
            <w:vAlign w:val="bottom"/>
            <w:gridSpan w:val="2"/>
            <w:shd w:val="clear" w:color="auto" w:fill="EAF9E8"/>
          </w:tcPr>
          <w:p>
            <w:pPr>
              <w:jc w:val="right"/>
              <w:ind w:right="140"/>
              <w:spacing w:after="0"/>
              <w:rPr>
                <w:sz w:val="20"/>
                <w:szCs w:val="20"/>
                <w:color w:val="auto"/>
              </w:rPr>
            </w:pPr>
            <w:r>
              <w:rPr>
                <w:rFonts w:ascii="Arial" w:cs="Arial" w:eastAsia="Arial" w:hAnsi="Arial"/>
                <w:sz w:val="14"/>
                <w:szCs w:val="14"/>
                <w:color w:val="auto"/>
              </w:rPr>
              <w:t>2,305</w:t>
            </w:r>
          </w:p>
        </w:tc>
        <w:tc>
          <w:tcPr>
            <w:tcW w:w="80" w:type="dxa"/>
            <w:vAlign w:val="bottom"/>
            <w:shd w:val="clear" w:color="auto" w:fill="EAF9E8"/>
          </w:tcPr>
          <w:p>
            <w:pPr>
              <w:spacing w:after="0"/>
              <w:rPr>
                <w:sz w:val="20"/>
                <w:szCs w:val="20"/>
                <w:color w:val="auto"/>
              </w:rPr>
            </w:pPr>
          </w:p>
        </w:tc>
        <w:tc>
          <w:tcPr>
            <w:tcW w:w="120" w:type="dxa"/>
            <w:vAlign w:val="bottom"/>
            <w:shd w:val="clear" w:color="auto" w:fill="EAF9E8"/>
          </w:tcPr>
          <w:p>
            <w:pPr>
              <w:spacing w:after="0"/>
              <w:rPr>
                <w:sz w:val="20"/>
                <w:szCs w:val="20"/>
                <w:color w:val="auto"/>
              </w:rPr>
            </w:pPr>
          </w:p>
        </w:tc>
        <w:tc>
          <w:tcPr>
            <w:tcW w:w="720" w:type="dxa"/>
            <w:vAlign w:val="bottom"/>
            <w:gridSpan w:val="2"/>
            <w:shd w:val="clear" w:color="auto" w:fill="EAF9E8"/>
          </w:tcPr>
          <w:p>
            <w:pPr>
              <w:jc w:val="right"/>
              <w:ind w:right="61"/>
              <w:spacing w:after="0"/>
              <w:rPr>
                <w:sz w:val="20"/>
                <w:szCs w:val="20"/>
                <w:color w:val="auto"/>
              </w:rPr>
            </w:pPr>
            <w:r>
              <w:rPr>
                <w:rFonts w:ascii="Arial" w:cs="Arial" w:eastAsia="Arial" w:hAnsi="Arial"/>
                <w:sz w:val="14"/>
                <w:szCs w:val="14"/>
                <w:color w:val="auto"/>
              </w:rPr>
              <w:t>(3,236)</w:t>
            </w:r>
          </w:p>
        </w:tc>
        <w:tc>
          <w:tcPr>
            <w:tcW w:w="80" w:type="dxa"/>
            <w:vAlign w:val="bottom"/>
            <w:shd w:val="clear" w:color="auto" w:fill="EAF9E8"/>
          </w:tcPr>
          <w:p>
            <w:pPr>
              <w:spacing w:after="0"/>
              <w:rPr>
                <w:sz w:val="20"/>
                <w:szCs w:val="20"/>
                <w:color w:val="auto"/>
              </w:rPr>
            </w:pPr>
          </w:p>
        </w:tc>
        <w:tc>
          <w:tcPr>
            <w:tcW w:w="100" w:type="dxa"/>
            <w:vAlign w:val="bottom"/>
            <w:shd w:val="clear" w:color="auto" w:fill="EAF9E8"/>
          </w:tcPr>
          <w:p>
            <w:pPr>
              <w:spacing w:after="0"/>
              <w:rPr>
                <w:sz w:val="20"/>
                <w:szCs w:val="20"/>
                <w:color w:val="auto"/>
              </w:rPr>
            </w:pPr>
          </w:p>
        </w:tc>
        <w:tc>
          <w:tcPr>
            <w:tcW w:w="860" w:type="dxa"/>
            <w:vAlign w:val="bottom"/>
            <w:gridSpan w:val="2"/>
            <w:shd w:val="clear" w:color="auto" w:fill="EAF9E8"/>
          </w:tcPr>
          <w:p>
            <w:pPr>
              <w:jc w:val="right"/>
              <w:ind w:right="80"/>
              <w:spacing w:after="0"/>
              <w:rPr>
                <w:sz w:val="20"/>
                <w:szCs w:val="20"/>
                <w:color w:val="auto"/>
              </w:rPr>
            </w:pPr>
            <w:r>
              <w:rPr>
                <w:rFonts w:ascii="Arial" w:cs="Arial" w:eastAsia="Arial" w:hAnsi="Arial"/>
                <w:sz w:val="14"/>
                <w:szCs w:val="14"/>
                <w:color w:val="auto"/>
              </w:rPr>
              <w:t>(196)</w:t>
            </w:r>
          </w:p>
        </w:tc>
        <w:tc>
          <w:tcPr>
            <w:tcW w:w="100" w:type="dxa"/>
            <w:vAlign w:val="bottom"/>
            <w:shd w:val="clear" w:color="auto" w:fill="EAF9E8"/>
          </w:tcPr>
          <w:p>
            <w:pPr>
              <w:spacing w:after="0"/>
              <w:rPr>
                <w:sz w:val="20"/>
                <w:szCs w:val="20"/>
                <w:color w:val="auto"/>
              </w:rPr>
            </w:pPr>
          </w:p>
        </w:tc>
        <w:tc>
          <w:tcPr>
            <w:tcW w:w="80" w:type="dxa"/>
            <w:vAlign w:val="bottom"/>
            <w:shd w:val="clear" w:color="auto" w:fill="EAF9E8"/>
          </w:tcPr>
          <w:p>
            <w:pPr>
              <w:spacing w:after="0"/>
              <w:rPr>
                <w:sz w:val="20"/>
                <w:szCs w:val="20"/>
                <w:color w:val="auto"/>
              </w:rPr>
            </w:pPr>
          </w:p>
        </w:tc>
        <w:tc>
          <w:tcPr>
            <w:tcW w:w="760" w:type="dxa"/>
            <w:vAlign w:val="bottom"/>
            <w:shd w:val="clear" w:color="auto" w:fill="EAF9E8"/>
          </w:tcPr>
          <w:p>
            <w:pPr>
              <w:jc w:val="right"/>
              <w:spacing w:after="0"/>
              <w:rPr>
                <w:sz w:val="20"/>
                <w:szCs w:val="20"/>
                <w:color w:val="auto"/>
              </w:rPr>
            </w:pPr>
            <w:r>
              <w:rPr>
                <w:rFonts w:ascii="Arial" w:cs="Arial" w:eastAsia="Arial" w:hAnsi="Arial"/>
                <w:sz w:val="14"/>
                <w:szCs w:val="14"/>
                <w:color w:val="auto"/>
              </w:rPr>
              <w:t>29,979</w:t>
            </w:r>
          </w:p>
        </w:tc>
        <w:tc>
          <w:tcPr>
            <w:tcW w:w="120" w:type="dxa"/>
            <w:vAlign w:val="bottom"/>
            <w:shd w:val="clear" w:color="auto" w:fill="EAF9E8"/>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60" w:type="dxa"/>
            <w:vAlign w:val="bottom"/>
            <w:tcBorders>
              <w:top w:val="single" w:sz="8" w:color="EAF9E8"/>
            </w:tcBorders>
          </w:tcPr>
          <w:p>
            <w:pPr>
              <w:spacing w:after="0"/>
              <w:rPr>
                <w:sz w:val="20"/>
                <w:szCs w:val="20"/>
                <w:color w:val="auto"/>
              </w:rPr>
            </w:pPr>
          </w:p>
        </w:tc>
        <w:tc>
          <w:tcPr>
            <w:tcW w:w="2400" w:type="dxa"/>
            <w:vAlign w:val="bottom"/>
            <w:tcBorders>
              <w:top w:val="single" w:sz="8" w:color="EAF9E8"/>
            </w:tcBorders>
            <w:gridSpan w:val="5"/>
          </w:tcPr>
          <w:p>
            <w:pPr>
              <w:spacing w:after="0"/>
              <w:rPr>
                <w:sz w:val="20"/>
                <w:szCs w:val="20"/>
                <w:color w:val="auto"/>
              </w:rPr>
            </w:pPr>
            <w:r>
              <w:rPr>
                <w:rFonts w:ascii="Arial" w:cs="Arial" w:eastAsia="Arial" w:hAnsi="Arial"/>
                <w:sz w:val="14"/>
                <w:szCs w:val="14"/>
                <w:color w:val="auto"/>
              </w:rPr>
              <w:t>Other income (expense), net:</w:t>
            </w:r>
          </w:p>
        </w:tc>
        <w:tc>
          <w:tcPr>
            <w:tcW w:w="120" w:type="dxa"/>
            <w:vAlign w:val="bottom"/>
            <w:tcBorders>
              <w:top w:val="single" w:sz="8" w:color="EAF9E8"/>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200" w:type="dxa"/>
            <w:vAlign w:val="bottom"/>
            <w:tcBorders>
              <w:top w:val="single" w:sz="8" w:color="EAF9E8"/>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20" w:type="dxa"/>
            <w:vAlign w:val="bottom"/>
            <w:tcBorders>
              <w:top w:val="single" w:sz="8" w:color="EAF9E8"/>
            </w:tcBorders>
          </w:tcPr>
          <w:p>
            <w:pPr>
              <w:spacing w:after="0"/>
              <w:rPr>
                <w:sz w:val="20"/>
                <w:szCs w:val="20"/>
                <w:color w:val="auto"/>
              </w:rPr>
            </w:pPr>
          </w:p>
        </w:tc>
        <w:tc>
          <w:tcPr>
            <w:tcW w:w="100" w:type="dxa"/>
            <w:vAlign w:val="bottom"/>
            <w:tcBorders>
              <w:top w:val="single" w:sz="8" w:color="EAF9E8"/>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40" w:type="dxa"/>
            <w:vAlign w:val="bottom"/>
            <w:tcBorders>
              <w:top w:val="single" w:sz="8" w:color="EAF9E8"/>
            </w:tcBorders>
          </w:tcPr>
          <w:p>
            <w:pPr>
              <w:spacing w:after="0"/>
              <w:rPr>
                <w:sz w:val="20"/>
                <w:szCs w:val="20"/>
                <w:color w:val="auto"/>
              </w:rPr>
            </w:pPr>
          </w:p>
        </w:tc>
        <w:tc>
          <w:tcPr>
            <w:tcW w:w="80" w:type="dxa"/>
            <w:vAlign w:val="bottom"/>
            <w:tcBorders>
              <w:top w:val="single" w:sz="8" w:color="EAF9E8"/>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0" w:type="dxa"/>
            <w:vAlign w:val="bottom"/>
            <w:tcBorders>
              <w:top w:val="single" w:sz="8" w:color="EAF9E8"/>
            </w:tcBorders>
          </w:tcPr>
          <w:p>
            <w:pPr>
              <w:spacing w:after="0"/>
              <w:rPr>
                <w:sz w:val="20"/>
                <w:szCs w:val="20"/>
                <w:color w:val="auto"/>
              </w:rPr>
            </w:pPr>
          </w:p>
        </w:tc>
        <w:tc>
          <w:tcPr>
            <w:tcW w:w="120" w:type="dxa"/>
            <w:vAlign w:val="bottom"/>
            <w:tcBorders>
              <w:top w:val="single" w:sz="8" w:color="EAF9E8"/>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20" w:type="dxa"/>
            <w:vAlign w:val="bottom"/>
            <w:tcBorders>
              <w:top w:val="single" w:sz="8" w:color="EAF9E8"/>
            </w:tcBorders>
          </w:tcPr>
          <w:p>
            <w:pPr>
              <w:spacing w:after="0"/>
              <w:rPr>
                <w:sz w:val="20"/>
                <w:szCs w:val="20"/>
                <w:color w:val="auto"/>
              </w:rPr>
            </w:pPr>
          </w:p>
        </w:tc>
        <w:tc>
          <w:tcPr>
            <w:tcW w:w="80" w:type="dxa"/>
            <w:vAlign w:val="bottom"/>
            <w:tcBorders>
              <w:top w:val="single" w:sz="8" w:color="EAF9E8"/>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40" w:type="dxa"/>
            <w:vAlign w:val="bottom"/>
            <w:tcBorders>
              <w:top w:val="single" w:sz="8" w:color="EAF9E8"/>
            </w:tcBorders>
          </w:tcPr>
          <w:p>
            <w:pPr>
              <w:spacing w:after="0"/>
              <w:rPr>
                <w:sz w:val="20"/>
                <w:szCs w:val="20"/>
                <w:color w:val="auto"/>
              </w:rPr>
            </w:pPr>
          </w:p>
        </w:tc>
        <w:tc>
          <w:tcPr>
            <w:tcW w:w="80" w:type="dxa"/>
            <w:vAlign w:val="bottom"/>
            <w:tcBorders>
              <w:top w:val="single" w:sz="8" w:color="EAF9E8"/>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40" w:type="dxa"/>
            <w:vAlign w:val="bottom"/>
            <w:tcBorders>
              <w:top w:val="single" w:sz="8" w:color="EAF9E8"/>
            </w:tcBorders>
          </w:tcPr>
          <w:p>
            <w:pPr>
              <w:spacing w:after="0"/>
              <w:rPr>
                <w:sz w:val="20"/>
                <w:szCs w:val="20"/>
                <w:color w:val="auto"/>
              </w:rPr>
            </w:pPr>
          </w:p>
        </w:tc>
        <w:tc>
          <w:tcPr>
            <w:tcW w:w="80" w:type="dxa"/>
            <w:vAlign w:val="bottom"/>
            <w:tcBorders>
              <w:top w:val="single" w:sz="8" w:color="EAF9E8"/>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20" w:type="dxa"/>
            <w:vAlign w:val="bottom"/>
            <w:tcBorders>
              <w:top w:val="single" w:sz="8" w:color="EAF9E8"/>
            </w:tcBorders>
          </w:tcPr>
          <w:p>
            <w:pPr>
              <w:spacing w:after="0"/>
              <w:rPr>
                <w:sz w:val="20"/>
                <w:szCs w:val="20"/>
                <w:color w:val="auto"/>
              </w:rPr>
            </w:pPr>
          </w:p>
        </w:tc>
        <w:tc>
          <w:tcPr>
            <w:tcW w:w="100" w:type="dxa"/>
            <w:vAlign w:val="bottom"/>
            <w:tcBorders>
              <w:top w:val="single" w:sz="8" w:color="EAF9E8"/>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20" w:type="dxa"/>
            <w:vAlign w:val="bottom"/>
            <w:tcBorders>
              <w:top w:val="single" w:sz="8" w:color="EAF9E8"/>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60" w:type="dxa"/>
            <w:vAlign w:val="bottom"/>
            <w:shd w:val="clear" w:color="auto" w:fill="EAF9E8"/>
          </w:tcPr>
          <w:p>
            <w:pPr>
              <w:spacing w:after="0"/>
              <w:rPr>
                <w:sz w:val="21"/>
                <w:szCs w:val="21"/>
                <w:color w:val="auto"/>
              </w:rPr>
            </w:pPr>
          </w:p>
        </w:tc>
        <w:tc>
          <w:tcPr>
            <w:tcW w:w="2400" w:type="dxa"/>
            <w:vAlign w:val="bottom"/>
            <w:gridSpan w:val="5"/>
            <w:shd w:val="clear" w:color="auto" w:fill="EAF9E8"/>
          </w:tcPr>
          <w:p>
            <w:pPr>
              <w:ind w:left="160"/>
              <w:spacing w:after="0"/>
              <w:rPr>
                <w:sz w:val="20"/>
                <w:szCs w:val="20"/>
                <w:color w:val="auto"/>
              </w:rPr>
            </w:pPr>
            <w:r>
              <w:rPr>
                <w:rFonts w:ascii="Arial" w:cs="Arial" w:eastAsia="Arial" w:hAnsi="Arial"/>
                <w:sz w:val="14"/>
                <w:szCs w:val="14"/>
                <w:color w:val="auto"/>
              </w:rPr>
              <w:t>Interest income</w:t>
            </w:r>
          </w:p>
        </w:tc>
        <w:tc>
          <w:tcPr>
            <w:tcW w:w="12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4"/>
                <w:szCs w:val="14"/>
                <w:color w:val="auto"/>
              </w:rPr>
              <w:t>126</w:t>
            </w:r>
          </w:p>
        </w:tc>
        <w:tc>
          <w:tcPr>
            <w:tcW w:w="20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940" w:type="dxa"/>
            <w:vAlign w:val="bottom"/>
            <w:gridSpan w:val="2"/>
            <w:shd w:val="clear" w:color="auto" w:fill="EAF9E8"/>
          </w:tcPr>
          <w:p>
            <w:pPr>
              <w:jc w:val="right"/>
              <w:ind w:right="120"/>
              <w:spacing w:after="0"/>
              <w:rPr>
                <w:sz w:val="20"/>
                <w:szCs w:val="20"/>
                <w:color w:val="auto"/>
              </w:rPr>
            </w:pPr>
            <w:r>
              <w:rPr>
                <w:rFonts w:ascii="Arial" w:cs="Arial" w:eastAsia="Arial" w:hAnsi="Arial"/>
                <w:sz w:val="14"/>
                <w:szCs w:val="14"/>
                <w:color w:val="auto"/>
              </w:rPr>
              <w:t>1,377</w:t>
            </w:r>
          </w:p>
        </w:tc>
        <w:tc>
          <w:tcPr>
            <w:tcW w:w="10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980" w:type="dxa"/>
            <w:vAlign w:val="bottom"/>
            <w:gridSpan w:val="2"/>
            <w:shd w:val="clear" w:color="auto" w:fill="EAF9E8"/>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520" w:type="dxa"/>
            <w:vAlign w:val="bottom"/>
            <w:gridSpan w:val="2"/>
            <w:shd w:val="clear" w:color="auto" w:fill="EAF9E8"/>
          </w:tcPr>
          <w:p>
            <w:pPr>
              <w:jc w:val="right"/>
              <w:ind w:right="80"/>
              <w:spacing w:after="0"/>
              <w:rPr>
                <w:sz w:val="20"/>
                <w:szCs w:val="20"/>
                <w:color w:val="auto"/>
              </w:rPr>
            </w:pPr>
            <w:r>
              <w:rPr>
                <w:rFonts w:ascii="Arial" w:cs="Arial" w:eastAsia="Arial" w:hAnsi="Arial"/>
                <w:sz w:val="14"/>
                <w:szCs w:val="14"/>
                <w:color w:val="auto"/>
              </w:rPr>
              <w:t>—</w:t>
            </w:r>
          </w:p>
        </w:tc>
        <w:tc>
          <w:tcPr>
            <w:tcW w:w="12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560" w:type="dxa"/>
            <w:vAlign w:val="bottom"/>
            <w:gridSpan w:val="2"/>
            <w:shd w:val="clear" w:color="auto" w:fill="EAF9E8"/>
          </w:tcPr>
          <w:p>
            <w:pPr>
              <w:jc w:val="right"/>
              <w:ind w:right="81"/>
              <w:spacing w:after="0"/>
              <w:rPr>
                <w:sz w:val="20"/>
                <w:szCs w:val="20"/>
                <w:color w:val="auto"/>
              </w:rPr>
            </w:pPr>
            <w:r>
              <w:rPr>
                <w:rFonts w:ascii="Arial" w:cs="Arial" w:eastAsia="Arial" w:hAnsi="Arial"/>
                <w:sz w:val="14"/>
                <w:szCs w:val="14"/>
                <w:color w:val="auto"/>
              </w:rPr>
              <w:t>—</w:t>
            </w:r>
          </w:p>
        </w:tc>
        <w:tc>
          <w:tcPr>
            <w:tcW w:w="8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880" w:type="dxa"/>
            <w:vAlign w:val="bottom"/>
            <w:gridSpan w:val="2"/>
            <w:shd w:val="clear" w:color="auto" w:fill="EAF9E8"/>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580" w:type="dxa"/>
            <w:vAlign w:val="bottom"/>
            <w:shd w:val="clear" w:color="auto" w:fill="EAF9E8"/>
          </w:tcPr>
          <w:p>
            <w:pPr>
              <w:jc w:val="right"/>
              <w:spacing w:after="0"/>
              <w:rPr>
                <w:sz w:val="20"/>
                <w:szCs w:val="20"/>
                <w:color w:val="auto"/>
              </w:rPr>
            </w:pPr>
            <w:r>
              <w:rPr>
                <w:rFonts w:ascii="Arial" w:cs="Arial" w:eastAsia="Arial" w:hAnsi="Arial"/>
                <w:sz w:val="14"/>
                <w:szCs w:val="14"/>
                <w:color w:val="auto"/>
              </w:rPr>
              <w:t>489</w:t>
            </w:r>
          </w:p>
        </w:tc>
        <w:tc>
          <w:tcPr>
            <w:tcW w:w="14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860" w:type="dxa"/>
            <w:vAlign w:val="bottom"/>
            <w:gridSpan w:val="2"/>
            <w:shd w:val="clear" w:color="auto" w:fill="EAF9E8"/>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760" w:type="dxa"/>
            <w:vAlign w:val="bottom"/>
            <w:shd w:val="clear" w:color="auto" w:fill="EAF9E8"/>
          </w:tcPr>
          <w:p>
            <w:pPr>
              <w:jc w:val="right"/>
              <w:spacing w:after="0"/>
              <w:rPr>
                <w:sz w:val="20"/>
                <w:szCs w:val="20"/>
                <w:color w:val="auto"/>
              </w:rPr>
            </w:pPr>
            <w:r>
              <w:rPr>
                <w:rFonts w:ascii="Arial" w:cs="Arial" w:eastAsia="Arial" w:hAnsi="Arial"/>
                <w:sz w:val="14"/>
                <w:szCs w:val="14"/>
                <w:color w:val="auto"/>
              </w:rPr>
              <w:t>1,992</w:t>
            </w: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60" w:type="dxa"/>
            <w:vAlign w:val="bottom"/>
          </w:tcPr>
          <w:p>
            <w:pPr>
              <w:spacing w:after="0"/>
              <w:rPr>
                <w:sz w:val="21"/>
                <w:szCs w:val="21"/>
                <w:color w:val="auto"/>
              </w:rPr>
            </w:pPr>
          </w:p>
        </w:tc>
        <w:tc>
          <w:tcPr>
            <w:tcW w:w="2400" w:type="dxa"/>
            <w:vAlign w:val="bottom"/>
            <w:gridSpan w:val="5"/>
          </w:tcPr>
          <w:p>
            <w:pPr>
              <w:ind w:left="160"/>
              <w:spacing w:after="0"/>
              <w:rPr>
                <w:sz w:val="20"/>
                <w:szCs w:val="20"/>
                <w:color w:val="auto"/>
              </w:rPr>
            </w:pPr>
            <w:r>
              <w:rPr>
                <w:rFonts w:ascii="Arial" w:cs="Arial" w:eastAsia="Arial" w:hAnsi="Arial"/>
                <w:sz w:val="14"/>
                <w:szCs w:val="14"/>
                <w:color w:val="auto"/>
              </w:rPr>
              <w:t>Interest expense</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gridSpan w:val="2"/>
          </w:tcPr>
          <w:p>
            <w:pPr>
              <w:jc w:val="right"/>
              <w:ind w:right="92"/>
              <w:spacing w:after="0"/>
              <w:rPr>
                <w:sz w:val="20"/>
                <w:szCs w:val="20"/>
                <w:color w:val="auto"/>
              </w:rPr>
            </w:pPr>
            <w:r>
              <w:rPr>
                <w:rFonts w:ascii="Arial" w:cs="Arial" w:eastAsia="Arial" w:hAnsi="Arial"/>
                <w:sz w:val="14"/>
                <w:szCs w:val="14"/>
                <w:color w:val="auto"/>
              </w:rPr>
              <w:t>(15,344)</w:t>
            </w:r>
          </w:p>
        </w:tc>
        <w:tc>
          <w:tcPr>
            <w:tcW w:w="120" w:type="dxa"/>
            <w:vAlign w:val="bottom"/>
          </w:tcPr>
          <w:p>
            <w:pPr>
              <w:spacing w:after="0"/>
              <w:rPr>
                <w:sz w:val="21"/>
                <w:szCs w:val="21"/>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4"/>
                <w:szCs w:val="14"/>
                <w:color w:val="auto"/>
              </w:rPr>
              <w:t>(288)</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gridSpan w:val="2"/>
          </w:tcPr>
          <w:p>
            <w:pPr>
              <w:jc w:val="right"/>
              <w:ind w:right="41"/>
              <w:spacing w:after="0"/>
              <w:rPr>
                <w:sz w:val="20"/>
                <w:szCs w:val="20"/>
                <w:color w:val="auto"/>
              </w:rPr>
            </w:pPr>
            <w:r>
              <w:rPr>
                <w:rFonts w:ascii="Arial" w:cs="Arial" w:eastAsia="Arial" w:hAnsi="Arial"/>
                <w:sz w:val="14"/>
                <w:szCs w:val="14"/>
                <w:color w:val="auto"/>
              </w:rPr>
              <w:t>(147)</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(39)</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gridSpan w:val="2"/>
          </w:tcPr>
          <w:p>
            <w:pPr>
              <w:jc w:val="right"/>
              <w:ind w:right="61"/>
              <w:spacing w:after="0"/>
              <w:rPr>
                <w:sz w:val="20"/>
                <w:szCs w:val="20"/>
                <w:color w:val="auto"/>
              </w:rPr>
            </w:pPr>
            <w:r>
              <w:rPr>
                <w:rFonts w:ascii="Arial" w:cs="Arial" w:eastAsia="Arial" w:hAnsi="Arial"/>
                <w:sz w:val="14"/>
                <w:szCs w:val="14"/>
                <w:color w:val="auto"/>
              </w:rPr>
              <w:t>(322)</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4"/>
                <w:szCs w:val="14"/>
                <w:color w:val="auto"/>
              </w:rPr>
              <w:t>(16,145)</w:t>
            </w:r>
          </w:p>
        </w:tc>
        <w:tc>
          <w:tcPr>
            <w:tcW w:w="0" w:type="dxa"/>
            <w:vAlign w:val="bottom"/>
          </w:tcPr>
          <w:p>
            <w:pPr>
              <w:spacing w:after="0"/>
              <w:rPr>
                <w:sz w:val="1"/>
                <w:szCs w:val="1"/>
                <w:color w:val="auto"/>
              </w:rPr>
            </w:pPr>
          </w:p>
        </w:tc>
      </w:tr>
      <w:tr>
        <w:trPr>
          <w:trHeight w:val="243"/>
        </w:trPr>
        <w:tc>
          <w:tcPr>
            <w:tcW w:w="160" w:type="dxa"/>
            <w:vAlign w:val="bottom"/>
            <w:shd w:val="clear" w:color="auto" w:fill="EAF9E8"/>
          </w:tcPr>
          <w:p>
            <w:pPr>
              <w:spacing w:after="0"/>
              <w:rPr>
                <w:sz w:val="21"/>
                <w:szCs w:val="21"/>
                <w:color w:val="auto"/>
              </w:rPr>
            </w:pPr>
          </w:p>
        </w:tc>
        <w:tc>
          <w:tcPr>
            <w:tcW w:w="2400" w:type="dxa"/>
            <w:vAlign w:val="bottom"/>
            <w:gridSpan w:val="5"/>
            <w:shd w:val="clear" w:color="auto" w:fill="EAF9E8"/>
          </w:tcPr>
          <w:p>
            <w:pPr>
              <w:ind w:left="160"/>
              <w:spacing w:after="0"/>
              <w:rPr>
                <w:sz w:val="20"/>
                <w:szCs w:val="20"/>
                <w:color w:val="auto"/>
              </w:rPr>
            </w:pPr>
            <w:r>
              <w:rPr>
                <w:rFonts w:ascii="Arial" w:cs="Arial" w:eastAsia="Arial" w:hAnsi="Arial"/>
                <w:sz w:val="14"/>
                <w:szCs w:val="14"/>
                <w:color w:val="auto"/>
              </w:rPr>
              <w:t>Other (1) (2)</w:t>
            </w:r>
          </w:p>
        </w:tc>
        <w:tc>
          <w:tcPr>
            <w:tcW w:w="12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4"/>
                <w:szCs w:val="14"/>
                <w:color w:val="auto"/>
              </w:rPr>
              <w:t>1,530</w:t>
            </w:r>
          </w:p>
        </w:tc>
        <w:tc>
          <w:tcPr>
            <w:tcW w:w="20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940" w:type="dxa"/>
            <w:vAlign w:val="bottom"/>
            <w:gridSpan w:val="2"/>
            <w:shd w:val="clear" w:color="auto" w:fill="EAF9E8"/>
          </w:tcPr>
          <w:p>
            <w:pPr>
              <w:jc w:val="right"/>
              <w:ind w:right="80"/>
              <w:spacing w:after="0"/>
              <w:rPr>
                <w:sz w:val="20"/>
                <w:szCs w:val="20"/>
                <w:color w:val="auto"/>
              </w:rPr>
            </w:pPr>
            <w:r>
              <w:rPr>
                <w:rFonts w:ascii="Arial" w:cs="Arial" w:eastAsia="Arial" w:hAnsi="Arial"/>
                <w:sz w:val="14"/>
                <w:szCs w:val="14"/>
                <w:color w:val="auto"/>
              </w:rPr>
              <w:t>(280)</w:t>
            </w:r>
          </w:p>
        </w:tc>
        <w:tc>
          <w:tcPr>
            <w:tcW w:w="10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980" w:type="dxa"/>
            <w:vAlign w:val="bottom"/>
            <w:gridSpan w:val="2"/>
            <w:shd w:val="clear" w:color="auto" w:fill="EAF9E8"/>
          </w:tcPr>
          <w:p>
            <w:pPr>
              <w:jc w:val="right"/>
              <w:ind w:right="80"/>
              <w:spacing w:after="0"/>
              <w:rPr>
                <w:sz w:val="20"/>
                <w:szCs w:val="20"/>
                <w:color w:val="auto"/>
              </w:rPr>
            </w:pPr>
            <w:r>
              <w:rPr>
                <w:rFonts w:ascii="Arial" w:cs="Arial" w:eastAsia="Arial" w:hAnsi="Arial"/>
                <w:sz w:val="14"/>
                <w:szCs w:val="14"/>
                <w:color w:val="auto"/>
              </w:rPr>
              <w:t>(1,317)</w:t>
            </w:r>
          </w:p>
        </w:tc>
        <w:tc>
          <w:tcPr>
            <w:tcW w:w="8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440" w:type="dxa"/>
            <w:vAlign w:val="bottom"/>
            <w:shd w:val="clear" w:color="auto" w:fill="EAF9E8"/>
          </w:tcPr>
          <w:p>
            <w:pPr>
              <w:jc w:val="right"/>
              <w:spacing w:after="0"/>
              <w:rPr>
                <w:sz w:val="20"/>
                <w:szCs w:val="20"/>
                <w:color w:val="auto"/>
              </w:rPr>
            </w:pPr>
            <w:r>
              <w:rPr>
                <w:rFonts w:ascii="Arial" w:cs="Arial" w:eastAsia="Arial" w:hAnsi="Arial"/>
                <w:sz w:val="14"/>
                <w:szCs w:val="14"/>
                <w:color w:val="auto"/>
              </w:rPr>
              <w:t>86</w:t>
            </w:r>
          </w:p>
        </w:tc>
        <w:tc>
          <w:tcPr>
            <w:tcW w:w="8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560" w:type="dxa"/>
            <w:vAlign w:val="bottom"/>
            <w:gridSpan w:val="2"/>
            <w:shd w:val="clear" w:color="auto" w:fill="EAF9E8"/>
          </w:tcPr>
          <w:p>
            <w:pPr>
              <w:jc w:val="right"/>
              <w:ind w:right="81"/>
              <w:spacing w:after="0"/>
              <w:rPr>
                <w:sz w:val="20"/>
                <w:szCs w:val="20"/>
                <w:color w:val="auto"/>
              </w:rPr>
            </w:pPr>
            <w:r>
              <w:rPr>
                <w:rFonts w:ascii="Arial" w:cs="Arial" w:eastAsia="Arial" w:hAnsi="Arial"/>
                <w:sz w:val="14"/>
                <w:szCs w:val="14"/>
                <w:color w:val="auto"/>
              </w:rPr>
              <w:t>1</w:t>
            </w:r>
          </w:p>
        </w:tc>
        <w:tc>
          <w:tcPr>
            <w:tcW w:w="8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880" w:type="dxa"/>
            <w:vAlign w:val="bottom"/>
            <w:gridSpan w:val="2"/>
            <w:shd w:val="clear" w:color="auto" w:fill="EAF9E8"/>
          </w:tcPr>
          <w:p>
            <w:pPr>
              <w:jc w:val="right"/>
              <w:ind w:right="140"/>
              <w:spacing w:after="0"/>
              <w:rPr>
                <w:sz w:val="20"/>
                <w:szCs w:val="20"/>
                <w:color w:val="auto"/>
              </w:rPr>
            </w:pPr>
            <w:r>
              <w:rPr>
                <w:rFonts w:ascii="Arial" w:cs="Arial" w:eastAsia="Arial" w:hAnsi="Arial"/>
                <w:sz w:val="14"/>
                <w:szCs w:val="14"/>
                <w:color w:val="auto"/>
              </w:rPr>
              <w:t>65</w:t>
            </w:r>
          </w:p>
        </w:tc>
        <w:tc>
          <w:tcPr>
            <w:tcW w:w="8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580" w:type="dxa"/>
            <w:vAlign w:val="bottom"/>
            <w:shd w:val="clear" w:color="auto" w:fill="EAF9E8"/>
          </w:tcPr>
          <w:p>
            <w:pPr>
              <w:jc w:val="right"/>
              <w:spacing w:after="0"/>
              <w:rPr>
                <w:sz w:val="20"/>
                <w:szCs w:val="20"/>
                <w:color w:val="auto"/>
              </w:rPr>
            </w:pPr>
            <w:r>
              <w:rPr>
                <w:rFonts w:ascii="Arial" w:cs="Arial" w:eastAsia="Arial" w:hAnsi="Arial"/>
                <w:sz w:val="14"/>
                <w:szCs w:val="14"/>
                <w:color w:val="auto"/>
              </w:rPr>
              <w:t>7,351</w:t>
            </w:r>
          </w:p>
        </w:tc>
        <w:tc>
          <w:tcPr>
            <w:tcW w:w="14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740" w:type="dxa"/>
            <w:vAlign w:val="bottom"/>
            <w:shd w:val="clear" w:color="auto" w:fill="EAF9E8"/>
          </w:tcPr>
          <w:p>
            <w:pPr>
              <w:jc w:val="right"/>
              <w:spacing w:after="0"/>
              <w:rPr>
                <w:sz w:val="20"/>
                <w:szCs w:val="20"/>
                <w:color w:val="auto"/>
              </w:rPr>
            </w:pPr>
            <w:r>
              <w:rPr>
                <w:rFonts w:ascii="Arial" w:cs="Arial" w:eastAsia="Arial" w:hAnsi="Arial"/>
                <w:sz w:val="14"/>
                <w:szCs w:val="14"/>
                <w:color w:val="auto"/>
              </w:rPr>
              <w:t>196</w:t>
            </w:r>
          </w:p>
        </w:tc>
        <w:tc>
          <w:tcPr>
            <w:tcW w:w="12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760" w:type="dxa"/>
            <w:vAlign w:val="bottom"/>
            <w:shd w:val="clear" w:color="auto" w:fill="EAF9E8"/>
          </w:tcPr>
          <w:p>
            <w:pPr>
              <w:jc w:val="right"/>
              <w:spacing w:after="0"/>
              <w:rPr>
                <w:sz w:val="20"/>
                <w:szCs w:val="20"/>
                <w:color w:val="auto"/>
              </w:rPr>
            </w:pPr>
            <w:r>
              <w:rPr>
                <w:rFonts w:ascii="Arial" w:cs="Arial" w:eastAsia="Arial" w:hAnsi="Arial"/>
                <w:sz w:val="14"/>
                <w:szCs w:val="14"/>
                <w:color w:val="auto"/>
              </w:rPr>
              <w:t>7,632</w:t>
            </w: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60" w:type="dxa"/>
            <w:vAlign w:val="bottom"/>
            <w:shd w:val="clear" w:color="auto" w:fill="EAF9E8"/>
          </w:tcPr>
          <w:p>
            <w:pPr>
              <w:spacing w:after="0" w:line="20" w:lineRule="exact"/>
              <w:rPr>
                <w:sz w:val="1"/>
                <w:szCs w:val="1"/>
                <w:color w:val="auto"/>
              </w:rPr>
            </w:pPr>
          </w:p>
        </w:tc>
        <w:tc>
          <w:tcPr>
            <w:tcW w:w="160" w:type="dxa"/>
            <w:vAlign w:val="bottom"/>
            <w:shd w:val="clear" w:color="auto" w:fill="EAF9E8"/>
          </w:tcPr>
          <w:p>
            <w:pPr>
              <w:spacing w:after="0" w:line="20" w:lineRule="exact"/>
              <w:rPr>
                <w:sz w:val="1"/>
                <w:szCs w:val="1"/>
                <w:color w:val="auto"/>
              </w:rPr>
            </w:pPr>
          </w:p>
        </w:tc>
        <w:tc>
          <w:tcPr>
            <w:tcW w:w="260" w:type="dxa"/>
            <w:vAlign w:val="bottom"/>
            <w:shd w:val="clear" w:color="auto" w:fill="EAF9E8"/>
          </w:tcPr>
          <w:p>
            <w:pPr>
              <w:spacing w:after="0" w:line="20" w:lineRule="exact"/>
              <w:rPr>
                <w:sz w:val="1"/>
                <w:szCs w:val="1"/>
                <w:color w:val="auto"/>
              </w:rPr>
            </w:pPr>
          </w:p>
        </w:tc>
        <w:tc>
          <w:tcPr>
            <w:tcW w:w="1840" w:type="dxa"/>
            <w:vAlign w:val="bottom"/>
            <w:tcBorders>
              <w:left w:val="single" w:sz="8" w:color="EAF9E8"/>
            </w:tcBorders>
            <w:shd w:val="clear" w:color="auto" w:fill="EAF9E8"/>
          </w:tcPr>
          <w:p>
            <w:pPr>
              <w:spacing w:after="0" w:line="20" w:lineRule="exact"/>
              <w:rPr>
                <w:sz w:val="1"/>
                <w:szCs w:val="1"/>
                <w:color w:val="auto"/>
              </w:rPr>
            </w:pPr>
          </w:p>
        </w:tc>
        <w:tc>
          <w:tcPr>
            <w:tcW w:w="40" w:type="dxa"/>
            <w:vAlign w:val="bottom"/>
            <w:shd w:val="clear" w:color="auto" w:fill="EAF9E8"/>
          </w:tcPr>
          <w:p>
            <w:pPr>
              <w:spacing w:after="0" w:line="20" w:lineRule="exact"/>
              <w:rPr>
                <w:sz w:val="1"/>
                <w:szCs w:val="1"/>
                <w:color w:val="auto"/>
              </w:rPr>
            </w:pPr>
          </w:p>
        </w:tc>
        <w:tc>
          <w:tcPr>
            <w:tcW w:w="100" w:type="dxa"/>
            <w:vAlign w:val="bottom"/>
            <w:shd w:val="clear" w:color="auto" w:fill="EAF9E8"/>
          </w:tcPr>
          <w:p>
            <w:pPr>
              <w:spacing w:after="0" w:line="20" w:lineRule="exact"/>
              <w:rPr>
                <w:sz w:val="1"/>
                <w:szCs w:val="1"/>
                <w:color w:val="auto"/>
              </w:rPr>
            </w:pPr>
          </w:p>
        </w:tc>
        <w:tc>
          <w:tcPr>
            <w:tcW w:w="120" w:type="dxa"/>
            <w:vAlign w:val="bottom"/>
            <w:shd w:val="clear" w:color="auto" w:fill="EAF9E8"/>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shd w:val="clear" w:color="auto" w:fill="EAF9E8"/>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EAF9E8"/>
          </w:tcPr>
          <w:p>
            <w:pPr>
              <w:spacing w:after="0" w:line="20" w:lineRule="exact"/>
              <w:rPr>
                <w:sz w:val="1"/>
                <w:szCs w:val="1"/>
                <w:color w:val="auto"/>
              </w:rPr>
            </w:pPr>
          </w:p>
        </w:tc>
        <w:tc>
          <w:tcPr>
            <w:tcW w:w="100" w:type="dxa"/>
            <w:vAlign w:val="bottom"/>
            <w:shd w:val="clear" w:color="auto" w:fill="EAF9E8"/>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EAF9E8"/>
          </w:tcPr>
          <w:p>
            <w:pPr>
              <w:spacing w:after="0" w:line="20" w:lineRule="exact"/>
              <w:rPr>
                <w:sz w:val="1"/>
                <w:szCs w:val="1"/>
                <w:color w:val="auto"/>
              </w:rPr>
            </w:pPr>
          </w:p>
        </w:tc>
        <w:tc>
          <w:tcPr>
            <w:tcW w:w="80" w:type="dxa"/>
            <w:vAlign w:val="bottom"/>
            <w:shd w:val="clear" w:color="auto" w:fill="EAF9E8"/>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shd w:val="clear" w:color="auto" w:fill="EAF9E8"/>
          </w:tcPr>
          <w:p>
            <w:pPr>
              <w:spacing w:after="0" w:line="20" w:lineRule="exact"/>
              <w:rPr>
                <w:sz w:val="1"/>
                <w:szCs w:val="1"/>
                <w:color w:val="auto"/>
              </w:rPr>
            </w:pPr>
          </w:p>
        </w:tc>
        <w:tc>
          <w:tcPr>
            <w:tcW w:w="120" w:type="dxa"/>
            <w:vAlign w:val="bottom"/>
            <w:shd w:val="clear" w:color="auto" w:fill="EAF9E8"/>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shd w:val="clear" w:color="auto" w:fill="EAF9E8"/>
          </w:tcPr>
          <w:p>
            <w:pPr>
              <w:spacing w:after="0" w:line="20" w:lineRule="exact"/>
              <w:rPr>
                <w:sz w:val="1"/>
                <w:szCs w:val="1"/>
                <w:color w:val="auto"/>
              </w:rPr>
            </w:pPr>
          </w:p>
        </w:tc>
        <w:tc>
          <w:tcPr>
            <w:tcW w:w="80" w:type="dxa"/>
            <w:vAlign w:val="bottom"/>
            <w:shd w:val="clear" w:color="auto" w:fill="EAF9E8"/>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EAF9E8"/>
          </w:tcPr>
          <w:p>
            <w:pPr>
              <w:spacing w:after="0" w:line="20" w:lineRule="exact"/>
              <w:rPr>
                <w:sz w:val="1"/>
                <w:szCs w:val="1"/>
                <w:color w:val="auto"/>
              </w:rPr>
            </w:pPr>
          </w:p>
        </w:tc>
        <w:tc>
          <w:tcPr>
            <w:tcW w:w="80" w:type="dxa"/>
            <w:vAlign w:val="bottom"/>
            <w:shd w:val="clear" w:color="auto" w:fill="EAF9E8"/>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EAF9E8"/>
          </w:tcPr>
          <w:p>
            <w:pPr>
              <w:spacing w:after="0" w:line="20" w:lineRule="exact"/>
              <w:rPr>
                <w:sz w:val="1"/>
                <w:szCs w:val="1"/>
                <w:color w:val="auto"/>
              </w:rPr>
            </w:pPr>
          </w:p>
        </w:tc>
        <w:tc>
          <w:tcPr>
            <w:tcW w:w="80" w:type="dxa"/>
            <w:vAlign w:val="bottom"/>
            <w:shd w:val="clear" w:color="auto" w:fill="EAF9E8"/>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EAF9E8"/>
          </w:tcPr>
          <w:p>
            <w:pPr>
              <w:spacing w:after="0" w:line="20" w:lineRule="exact"/>
              <w:rPr>
                <w:sz w:val="1"/>
                <w:szCs w:val="1"/>
                <w:color w:val="auto"/>
              </w:rPr>
            </w:pPr>
          </w:p>
        </w:tc>
        <w:tc>
          <w:tcPr>
            <w:tcW w:w="100" w:type="dxa"/>
            <w:vAlign w:val="bottom"/>
            <w:shd w:val="clear" w:color="auto" w:fill="EAF9E8"/>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EAF9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40" w:type="dxa"/>
            <w:vAlign w:val="bottom"/>
            <w:gridSpan w:val="4"/>
          </w:tcPr>
          <w:p>
            <w:pPr>
              <w:ind w:left="160"/>
              <w:spacing w:after="0"/>
              <w:rPr>
                <w:sz w:val="20"/>
                <w:szCs w:val="20"/>
                <w:color w:val="auto"/>
              </w:rPr>
            </w:pPr>
            <w:r>
              <w:rPr>
                <w:rFonts w:ascii="Arial" w:cs="Arial" w:eastAsia="Arial" w:hAnsi="Arial"/>
                <w:sz w:val="14"/>
                <w:szCs w:val="14"/>
                <w:color w:val="auto"/>
              </w:rPr>
              <w:t>Other income (expense), net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gridSpan w:val="2"/>
          </w:tcPr>
          <w:p>
            <w:pPr>
              <w:jc w:val="right"/>
              <w:ind w:right="92"/>
              <w:spacing w:after="0"/>
              <w:rPr>
                <w:sz w:val="20"/>
                <w:szCs w:val="20"/>
                <w:color w:val="auto"/>
              </w:rPr>
            </w:pPr>
            <w:r>
              <w:rPr>
                <w:rFonts w:ascii="Arial" w:cs="Arial" w:eastAsia="Arial" w:hAnsi="Arial"/>
                <w:sz w:val="14"/>
                <w:szCs w:val="14"/>
                <w:color w:val="auto"/>
              </w:rPr>
              <w:t>(13,688)</w:t>
            </w:r>
          </w:p>
        </w:tc>
        <w:tc>
          <w:tcPr>
            <w:tcW w:w="12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809</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4"/>
                <w:szCs w:val="14"/>
                <w:color w:val="auto"/>
              </w:rPr>
              <w:t>(1,317)</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81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gridSpan w:val="2"/>
          </w:tcPr>
          <w:p>
            <w:pPr>
              <w:jc w:val="right"/>
              <w:ind w:right="41"/>
              <w:spacing w:after="0"/>
              <w:rPr>
                <w:sz w:val="20"/>
                <w:szCs w:val="20"/>
                <w:color w:val="auto"/>
              </w:rPr>
            </w:pPr>
            <w:r>
              <w:rPr>
                <w:rFonts w:ascii="Arial" w:cs="Arial" w:eastAsia="Arial" w:hAnsi="Arial"/>
                <w:sz w:val="14"/>
                <w:szCs w:val="14"/>
                <w:color w:val="auto"/>
              </w:rPr>
              <w:t>(146)</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26</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7,518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196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4"/>
                <w:szCs w:val="14"/>
                <w:color w:val="auto"/>
              </w:rPr>
              <w:t>(6,521)</w:t>
            </w:r>
          </w:p>
        </w:tc>
        <w:tc>
          <w:tcPr>
            <w:tcW w:w="0" w:type="dxa"/>
            <w:vAlign w:val="bottom"/>
          </w:tcPr>
          <w:p>
            <w:pPr>
              <w:spacing w:after="0"/>
              <w:rPr>
                <w:sz w:val="1"/>
                <w:szCs w:val="1"/>
                <w:color w:val="auto"/>
              </w:rPr>
            </w:pPr>
          </w:p>
        </w:tc>
      </w:tr>
      <w:tr>
        <w:trPr>
          <w:trHeight w:val="131"/>
        </w:trPr>
        <w:tc>
          <w:tcPr>
            <w:tcW w:w="160" w:type="dxa"/>
            <w:vAlign w:val="bottom"/>
            <w:shd w:val="clear" w:color="auto" w:fill="EAF9E8"/>
          </w:tcPr>
          <w:p>
            <w:pPr>
              <w:spacing w:after="0"/>
              <w:rPr>
                <w:sz w:val="11"/>
                <w:szCs w:val="11"/>
                <w:color w:val="auto"/>
              </w:rPr>
            </w:pPr>
          </w:p>
        </w:tc>
        <w:tc>
          <w:tcPr>
            <w:tcW w:w="2400" w:type="dxa"/>
            <w:vAlign w:val="bottom"/>
            <w:gridSpan w:val="5"/>
            <w:shd w:val="clear" w:color="auto" w:fill="EAF9E8"/>
          </w:tcPr>
          <w:p>
            <w:pPr>
              <w:spacing w:after="0" w:line="131" w:lineRule="exact"/>
              <w:rPr>
                <w:sz w:val="20"/>
                <w:szCs w:val="20"/>
                <w:color w:val="auto"/>
              </w:rPr>
            </w:pPr>
            <w:r>
              <w:rPr>
                <w:rFonts w:ascii="Arial" w:cs="Arial" w:eastAsia="Arial" w:hAnsi="Arial"/>
                <w:sz w:val="14"/>
                <w:szCs w:val="14"/>
                <w:color w:val="auto"/>
                <w:w w:val="94"/>
              </w:rPr>
              <w:t>Income (loss) from continuing operations</w:t>
            </w:r>
          </w:p>
        </w:tc>
        <w:tc>
          <w:tcPr>
            <w:tcW w:w="120" w:type="dxa"/>
            <w:vAlign w:val="bottom"/>
            <w:shd w:val="clear" w:color="auto" w:fill="EAF9E8"/>
          </w:tcPr>
          <w:p>
            <w:pPr>
              <w:spacing w:after="0"/>
              <w:rPr>
                <w:sz w:val="11"/>
                <w:szCs w:val="11"/>
                <w:color w:val="auto"/>
              </w:rPr>
            </w:pPr>
          </w:p>
        </w:tc>
        <w:tc>
          <w:tcPr>
            <w:tcW w:w="80" w:type="dxa"/>
            <w:vAlign w:val="bottom"/>
            <w:tcBorders>
              <w:top w:val="single" w:sz="8" w:color="auto"/>
            </w:tcBorders>
            <w:vMerge w:val="restart"/>
            <w:shd w:val="clear" w:color="auto" w:fill="EAF9E8"/>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tcBorders>
            <w:vMerge w:val="restart"/>
            <w:shd w:val="clear" w:color="auto" w:fill="EAF9E8"/>
          </w:tcPr>
          <w:p>
            <w:pPr>
              <w:jc w:val="right"/>
              <w:spacing w:after="0"/>
              <w:rPr>
                <w:sz w:val="20"/>
                <w:szCs w:val="20"/>
                <w:color w:val="auto"/>
              </w:rPr>
            </w:pPr>
            <w:r>
              <w:rPr>
                <w:rFonts w:ascii="Arial" w:cs="Arial" w:eastAsia="Arial" w:hAnsi="Arial"/>
                <w:sz w:val="14"/>
                <w:szCs w:val="14"/>
                <w:color w:val="auto"/>
              </w:rPr>
              <w:t>17,681</w:t>
            </w:r>
          </w:p>
        </w:tc>
        <w:tc>
          <w:tcPr>
            <w:tcW w:w="200" w:type="dxa"/>
            <w:vAlign w:val="bottom"/>
            <w:shd w:val="clear" w:color="auto" w:fill="EAF9E8"/>
          </w:tcPr>
          <w:p>
            <w:pPr>
              <w:spacing w:after="0"/>
              <w:rPr>
                <w:sz w:val="11"/>
                <w:szCs w:val="11"/>
                <w:color w:val="auto"/>
              </w:rPr>
            </w:pPr>
          </w:p>
        </w:tc>
        <w:tc>
          <w:tcPr>
            <w:tcW w:w="120" w:type="dxa"/>
            <w:vAlign w:val="bottom"/>
            <w:tcBorders>
              <w:top w:val="single" w:sz="8" w:color="auto"/>
            </w:tcBorders>
            <w:vMerge w:val="restart"/>
            <w:shd w:val="clear" w:color="auto" w:fill="EAF9E8"/>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vMerge w:val="restart"/>
            <w:shd w:val="clear" w:color="auto" w:fill="EAF9E8"/>
          </w:tcPr>
          <w:p>
            <w:pPr>
              <w:jc w:val="right"/>
              <w:spacing w:after="0"/>
              <w:rPr>
                <w:sz w:val="20"/>
                <w:szCs w:val="20"/>
                <w:color w:val="auto"/>
              </w:rPr>
            </w:pPr>
            <w:r>
              <w:rPr>
                <w:rFonts w:ascii="Arial" w:cs="Arial" w:eastAsia="Arial" w:hAnsi="Arial"/>
                <w:sz w:val="14"/>
                <w:szCs w:val="14"/>
                <w:color w:val="auto"/>
              </w:rPr>
              <w:t>(82)</w:t>
            </w:r>
          </w:p>
        </w:tc>
        <w:tc>
          <w:tcPr>
            <w:tcW w:w="12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80" w:type="dxa"/>
            <w:vAlign w:val="bottom"/>
            <w:tcBorders>
              <w:top w:val="single" w:sz="8" w:color="auto"/>
            </w:tcBorders>
            <w:vMerge w:val="restart"/>
            <w:shd w:val="clear" w:color="auto" w:fill="EAF9E8"/>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vMerge w:val="restart"/>
            <w:shd w:val="clear" w:color="auto" w:fill="EAF9E8"/>
          </w:tcPr>
          <w:p>
            <w:pPr>
              <w:jc w:val="right"/>
              <w:spacing w:after="0"/>
              <w:rPr>
                <w:sz w:val="20"/>
                <w:szCs w:val="20"/>
                <w:color w:val="auto"/>
              </w:rPr>
            </w:pPr>
            <w:r>
              <w:rPr>
                <w:rFonts w:ascii="Arial" w:cs="Arial" w:eastAsia="Arial" w:hAnsi="Arial"/>
                <w:sz w:val="14"/>
                <w:szCs w:val="14"/>
                <w:color w:val="auto"/>
              </w:rPr>
              <w:t>(1,638)</w:t>
            </w:r>
          </w:p>
        </w:tc>
        <w:tc>
          <w:tcPr>
            <w:tcW w:w="140" w:type="dxa"/>
            <w:vAlign w:val="bottom"/>
            <w:shd w:val="clear" w:color="auto" w:fill="EAF9E8"/>
          </w:tcPr>
          <w:p>
            <w:pPr>
              <w:spacing w:after="0"/>
              <w:rPr>
                <w:sz w:val="11"/>
                <w:szCs w:val="11"/>
                <w:color w:val="auto"/>
              </w:rPr>
            </w:pPr>
          </w:p>
        </w:tc>
        <w:tc>
          <w:tcPr>
            <w:tcW w:w="80" w:type="dxa"/>
            <w:vAlign w:val="bottom"/>
            <w:shd w:val="clear" w:color="auto" w:fill="EAF9E8"/>
          </w:tcPr>
          <w:p>
            <w:pPr>
              <w:spacing w:after="0"/>
              <w:rPr>
                <w:sz w:val="11"/>
                <w:szCs w:val="11"/>
                <w:color w:val="auto"/>
              </w:rPr>
            </w:pPr>
          </w:p>
        </w:tc>
        <w:tc>
          <w:tcPr>
            <w:tcW w:w="140" w:type="dxa"/>
            <w:vAlign w:val="bottom"/>
            <w:tcBorders>
              <w:top w:val="single" w:sz="8" w:color="auto"/>
            </w:tcBorders>
            <w:vMerge w:val="restart"/>
            <w:shd w:val="clear" w:color="auto" w:fill="EAF9E8"/>
          </w:tcPr>
          <w:p>
            <w:pPr>
              <w:spacing w:after="0"/>
              <w:rPr>
                <w:sz w:val="20"/>
                <w:szCs w:val="20"/>
                <w:color w:val="auto"/>
              </w:rPr>
            </w:pPr>
            <w:r>
              <w:rPr>
                <w:rFonts w:ascii="Arial" w:cs="Arial" w:eastAsia="Arial" w:hAnsi="Arial"/>
                <w:sz w:val="14"/>
                <w:szCs w:val="14"/>
                <w:color w:val="auto"/>
              </w:rPr>
              <w:t>$</w:t>
            </w:r>
          </w:p>
        </w:tc>
        <w:tc>
          <w:tcPr>
            <w:tcW w:w="440" w:type="dxa"/>
            <w:vAlign w:val="bottom"/>
            <w:tcBorders>
              <w:top w:val="single" w:sz="8" w:color="auto"/>
            </w:tcBorders>
            <w:vMerge w:val="restart"/>
            <w:shd w:val="clear" w:color="auto" w:fill="EAF9E8"/>
          </w:tcPr>
          <w:p>
            <w:pPr>
              <w:jc w:val="right"/>
              <w:spacing w:after="0"/>
              <w:rPr>
                <w:sz w:val="20"/>
                <w:szCs w:val="20"/>
                <w:color w:val="auto"/>
              </w:rPr>
            </w:pPr>
            <w:r>
              <w:rPr>
                <w:rFonts w:ascii="Arial" w:cs="Arial" w:eastAsia="Arial" w:hAnsi="Arial"/>
                <w:sz w:val="14"/>
                <w:szCs w:val="14"/>
                <w:color w:val="auto"/>
              </w:rPr>
              <w:t>3,819</w:t>
            </w:r>
          </w:p>
        </w:tc>
        <w:tc>
          <w:tcPr>
            <w:tcW w:w="80" w:type="dxa"/>
            <w:vAlign w:val="bottom"/>
            <w:shd w:val="clear" w:color="auto" w:fill="EAF9E8"/>
          </w:tcPr>
          <w:p>
            <w:pPr>
              <w:spacing w:after="0"/>
              <w:rPr>
                <w:sz w:val="11"/>
                <w:szCs w:val="11"/>
                <w:color w:val="auto"/>
              </w:rPr>
            </w:pPr>
          </w:p>
        </w:tc>
        <w:tc>
          <w:tcPr>
            <w:tcW w:w="120" w:type="dxa"/>
            <w:vAlign w:val="bottom"/>
            <w:shd w:val="clear" w:color="auto" w:fill="EAF9E8"/>
          </w:tcPr>
          <w:p>
            <w:pPr>
              <w:spacing w:after="0"/>
              <w:rPr>
                <w:sz w:val="11"/>
                <w:szCs w:val="11"/>
                <w:color w:val="auto"/>
              </w:rPr>
            </w:pPr>
          </w:p>
        </w:tc>
        <w:tc>
          <w:tcPr>
            <w:tcW w:w="140" w:type="dxa"/>
            <w:vAlign w:val="bottom"/>
            <w:tcBorders>
              <w:top w:val="single" w:sz="8" w:color="auto"/>
            </w:tcBorders>
            <w:vMerge w:val="restart"/>
            <w:shd w:val="clear" w:color="auto" w:fill="EAF9E8"/>
          </w:tcPr>
          <w:p>
            <w:pPr>
              <w:spacing w:after="0"/>
              <w:rPr>
                <w:sz w:val="20"/>
                <w:szCs w:val="20"/>
                <w:color w:val="auto"/>
              </w:rPr>
            </w:pPr>
            <w:r>
              <w:rPr>
                <w:rFonts w:ascii="Arial" w:cs="Arial" w:eastAsia="Arial" w:hAnsi="Arial"/>
                <w:sz w:val="14"/>
                <w:szCs w:val="14"/>
                <w:color w:val="auto"/>
              </w:rPr>
              <w:t>$</w:t>
            </w:r>
          </w:p>
        </w:tc>
        <w:tc>
          <w:tcPr>
            <w:tcW w:w="440" w:type="dxa"/>
            <w:vAlign w:val="bottom"/>
            <w:tcBorders>
              <w:top w:val="single" w:sz="8" w:color="auto"/>
            </w:tcBorders>
            <w:vMerge w:val="restart"/>
            <w:shd w:val="clear" w:color="auto" w:fill="EAF9E8"/>
          </w:tcPr>
          <w:p>
            <w:pPr>
              <w:jc w:val="right"/>
              <w:spacing w:after="0"/>
              <w:rPr>
                <w:sz w:val="20"/>
                <w:szCs w:val="20"/>
                <w:color w:val="auto"/>
              </w:rPr>
            </w:pPr>
            <w:r>
              <w:rPr>
                <w:rFonts w:ascii="Arial" w:cs="Arial" w:eastAsia="Arial" w:hAnsi="Arial"/>
                <w:sz w:val="14"/>
                <w:szCs w:val="14"/>
                <w:color w:val="auto"/>
              </w:rPr>
              <w:t>(2,935</w:t>
            </w:r>
          </w:p>
        </w:tc>
        <w:tc>
          <w:tcPr>
            <w:tcW w:w="120" w:type="dxa"/>
            <w:vAlign w:val="bottom"/>
            <w:vMerge w:val="restart"/>
            <w:shd w:val="clear" w:color="auto" w:fill="EAF9E8"/>
          </w:tcPr>
          <w:p>
            <w:pPr>
              <w:jc w:val="right"/>
              <w:ind w:right="41"/>
              <w:spacing w:after="0"/>
              <w:rPr>
                <w:sz w:val="20"/>
                <w:szCs w:val="20"/>
                <w:color w:val="auto"/>
              </w:rPr>
            </w:pPr>
            <w:r>
              <w:rPr>
                <w:rFonts w:ascii="Arial" w:cs="Arial" w:eastAsia="Arial" w:hAnsi="Arial"/>
                <w:sz w:val="8"/>
                <w:szCs w:val="8"/>
                <w:color w:val="auto"/>
                <w:w w:val="73"/>
              </w:rPr>
              <w:t>)</w:t>
            </w:r>
          </w:p>
        </w:tc>
        <w:tc>
          <w:tcPr>
            <w:tcW w:w="80" w:type="dxa"/>
            <w:vAlign w:val="bottom"/>
            <w:shd w:val="clear" w:color="auto" w:fill="EAF9E8"/>
          </w:tcPr>
          <w:p>
            <w:pPr>
              <w:spacing w:after="0"/>
              <w:rPr>
                <w:sz w:val="11"/>
                <w:szCs w:val="11"/>
                <w:color w:val="auto"/>
              </w:rPr>
            </w:pPr>
          </w:p>
        </w:tc>
        <w:tc>
          <w:tcPr>
            <w:tcW w:w="80" w:type="dxa"/>
            <w:vAlign w:val="bottom"/>
            <w:tcBorders>
              <w:top w:val="single" w:sz="8" w:color="auto"/>
            </w:tcBorders>
            <w:vMerge w:val="restart"/>
            <w:shd w:val="clear" w:color="auto" w:fill="EAF9E8"/>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vMerge w:val="restart"/>
            <w:shd w:val="clear" w:color="auto" w:fill="EAF9E8"/>
          </w:tcPr>
          <w:p>
            <w:pPr>
              <w:jc w:val="right"/>
              <w:spacing w:after="0"/>
              <w:rPr>
                <w:sz w:val="20"/>
                <w:szCs w:val="20"/>
                <w:color w:val="auto"/>
              </w:rPr>
            </w:pPr>
            <w:r>
              <w:rPr>
                <w:rFonts w:ascii="Arial" w:cs="Arial" w:eastAsia="Arial" w:hAnsi="Arial"/>
                <w:sz w:val="14"/>
                <w:szCs w:val="14"/>
                <w:color w:val="auto"/>
              </w:rPr>
              <w:t>2,331</w:t>
            </w:r>
          </w:p>
        </w:tc>
        <w:tc>
          <w:tcPr>
            <w:tcW w:w="140" w:type="dxa"/>
            <w:vAlign w:val="bottom"/>
            <w:shd w:val="clear" w:color="auto" w:fill="EAF9E8"/>
          </w:tcPr>
          <w:p>
            <w:pPr>
              <w:spacing w:after="0"/>
              <w:rPr>
                <w:sz w:val="11"/>
                <w:szCs w:val="11"/>
                <w:color w:val="auto"/>
              </w:rPr>
            </w:pPr>
          </w:p>
        </w:tc>
        <w:tc>
          <w:tcPr>
            <w:tcW w:w="80" w:type="dxa"/>
            <w:vAlign w:val="bottom"/>
            <w:shd w:val="clear" w:color="auto" w:fill="EAF9E8"/>
          </w:tcPr>
          <w:p>
            <w:pPr>
              <w:spacing w:after="0"/>
              <w:rPr>
                <w:sz w:val="11"/>
                <w:szCs w:val="11"/>
                <w:color w:val="auto"/>
              </w:rPr>
            </w:pPr>
          </w:p>
        </w:tc>
        <w:tc>
          <w:tcPr>
            <w:tcW w:w="120" w:type="dxa"/>
            <w:vAlign w:val="bottom"/>
            <w:tcBorders>
              <w:top w:val="single" w:sz="8" w:color="auto"/>
            </w:tcBorders>
            <w:vMerge w:val="restart"/>
            <w:shd w:val="clear" w:color="auto" w:fill="EAF9E8"/>
          </w:tcPr>
          <w:p>
            <w:pPr>
              <w:jc w:val="right"/>
              <w:ind w:right="4"/>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vMerge w:val="restart"/>
            <w:shd w:val="clear" w:color="auto" w:fill="EAF9E8"/>
          </w:tcPr>
          <w:p>
            <w:pPr>
              <w:jc w:val="right"/>
              <w:spacing w:after="0"/>
              <w:rPr>
                <w:sz w:val="20"/>
                <w:szCs w:val="20"/>
                <w:color w:val="auto"/>
              </w:rPr>
            </w:pPr>
            <w:r>
              <w:rPr>
                <w:rFonts w:ascii="Arial" w:cs="Arial" w:eastAsia="Arial" w:hAnsi="Arial"/>
                <w:sz w:val="14"/>
                <w:szCs w:val="14"/>
                <w:color w:val="auto"/>
              </w:rPr>
              <w:t>4,282</w:t>
            </w:r>
          </w:p>
        </w:tc>
        <w:tc>
          <w:tcPr>
            <w:tcW w:w="140" w:type="dxa"/>
            <w:vAlign w:val="bottom"/>
            <w:shd w:val="clear" w:color="auto" w:fill="EAF9E8"/>
          </w:tcPr>
          <w:p>
            <w:pPr>
              <w:spacing w:after="0"/>
              <w:rPr>
                <w:sz w:val="11"/>
                <w:szCs w:val="11"/>
                <w:color w:val="auto"/>
              </w:rPr>
            </w:pPr>
          </w:p>
        </w:tc>
        <w:tc>
          <w:tcPr>
            <w:tcW w:w="80" w:type="dxa"/>
            <w:vAlign w:val="bottom"/>
            <w:shd w:val="clear" w:color="auto" w:fill="EAF9E8"/>
          </w:tcPr>
          <w:p>
            <w:pPr>
              <w:spacing w:after="0"/>
              <w:rPr>
                <w:sz w:val="11"/>
                <w:szCs w:val="11"/>
                <w:color w:val="auto"/>
              </w:rPr>
            </w:pPr>
          </w:p>
        </w:tc>
        <w:tc>
          <w:tcPr>
            <w:tcW w:w="100" w:type="dxa"/>
            <w:vAlign w:val="bottom"/>
            <w:tcBorders>
              <w:top w:val="single" w:sz="8" w:color="auto"/>
            </w:tcBorders>
            <w:vMerge w:val="restart"/>
            <w:shd w:val="clear" w:color="auto" w:fill="EAF9E8"/>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vMerge w:val="restart"/>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80" w:type="dxa"/>
            <w:vAlign w:val="bottom"/>
            <w:tcBorders>
              <w:top w:val="single" w:sz="8" w:color="auto"/>
            </w:tcBorders>
            <w:vMerge w:val="restart"/>
            <w:shd w:val="clear" w:color="auto" w:fill="EAF9E8"/>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tcBorders>
            <w:vMerge w:val="restart"/>
            <w:shd w:val="clear" w:color="auto" w:fill="EAF9E8"/>
          </w:tcPr>
          <w:p>
            <w:pPr>
              <w:jc w:val="right"/>
              <w:spacing w:after="0"/>
              <w:rPr>
                <w:sz w:val="20"/>
                <w:szCs w:val="20"/>
                <w:color w:val="auto"/>
              </w:rPr>
            </w:pPr>
            <w:r>
              <w:rPr>
                <w:rFonts w:ascii="Arial" w:cs="Arial" w:eastAsia="Arial" w:hAnsi="Arial"/>
                <w:sz w:val="14"/>
                <w:szCs w:val="14"/>
                <w:color w:val="auto"/>
              </w:rPr>
              <w:t>23,458</w:t>
            </w:r>
          </w:p>
        </w:tc>
        <w:tc>
          <w:tcPr>
            <w:tcW w:w="120" w:type="dxa"/>
            <w:vAlign w:val="bottom"/>
            <w:shd w:val="clear" w:color="auto" w:fill="EAF9E8"/>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60" w:type="dxa"/>
            <w:vAlign w:val="bottom"/>
            <w:tcBorders>
              <w:bottom w:val="single" w:sz="8" w:color="EAF9E8"/>
            </w:tcBorders>
            <w:shd w:val="clear" w:color="auto" w:fill="EAF9E8"/>
          </w:tcPr>
          <w:p>
            <w:pPr>
              <w:spacing w:after="0"/>
              <w:rPr>
                <w:sz w:val="13"/>
                <w:szCs w:val="13"/>
                <w:color w:val="auto"/>
              </w:rPr>
            </w:pPr>
          </w:p>
        </w:tc>
        <w:tc>
          <w:tcPr>
            <w:tcW w:w="160" w:type="dxa"/>
            <w:vAlign w:val="bottom"/>
            <w:tcBorders>
              <w:bottom w:val="single" w:sz="8" w:color="EAF9E8"/>
            </w:tcBorders>
            <w:shd w:val="clear" w:color="auto" w:fill="EAF9E8"/>
          </w:tcPr>
          <w:p>
            <w:pPr>
              <w:spacing w:after="0"/>
              <w:rPr>
                <w:sz w:val="13"/>
                <w:szCs w:val="13"/>
                <w:color w:val="auto"/>
              </w:rPr>
            </w:pPr>
          </w:p>
        </w:tc>
        <w:tc>
          <w:tcPr>
            <w:tcW w:w="2240" w:type="dxa"/>
            <w:vAlign w:val="bottom"/>
            <w:tcBorders>
              <w:bottom w:val="single" w:sz="8" w:color="EAF9E8"/>
            </w:tcBorders>
            <w:gridSpan w:val="4"/>
            <w:shd w:val="clear" w:color="auto" w:fill="EAF9E8"/>
          </w:tcPr>
          <w:p>
            <w:pPr>
              <w:spacing w:after="0" w:line="113" w:lineRule="exact"/>
              <w:rPr>
                <w:sz w:val="20"/>
                <w:szCs w:val="20"/>
                <w:color w:val="auto"/>
              </w:rPr>
            </w:pPr>
            <w:r>
              <w:rPr>
                <w:rFonts w:ascii="Arial" w:cs="Arial" w:eastAsia="Arial" w:hAnsi="Arial"/>
                <w:sz w:val="12"/>
                <w:szCs w:val="12"/>
                <w:color w:val="auto"/>
              </w:rPr>
              <w:t>before income taxes</w:t>
            </w:r>
          </w:p>
        </w:tc>
        <w:tc>
          <w:tcPr>
            <w:tcW w:w="120" w:type="dxa"/>
            <w:vAlign w:val="bottom"/>
            <w:tcBorders>
              <w:bottom w:val="single" w:sz="8" w:color="EAF9E8"/>
            </w:tcBorders>
            <w:shd w:val="clear" w:color="auto" w:fill="EAF9E8"/>
          </w:tcPr>
          <w:p>
            <w:pPr>
              <w:spacing w:after="0"/>
              <w:rPr>
                <w:sz w:val="13"/>
                <w:szCs w:val="13"/>
                <w:color w:val="auto"/>
              </w:rPr>
            </w:pPr>
          </w:p>
        </w:tc>
        <w:tc>
          <w:tcPr>
            <w:tcW w:w="80" w:type="dxa"/>
            <w:vAlign w:val="bottom"/>
            <w:tcBorders>
              <w:bottom w:val="single" w:sz="8" w:color="auto"/>
            </w:tcBorders>
            <w:vMerge w:val="continue"/>
            <w:shd w:val="clear" w:color="auto" w:fill="EAF9E8"/>
          </w:tcPr>
          <w:p>
            <w:pPr>
              <w:spacing w:after="0"/>
              <w:rPr>
                <w:sz w:val="13"/>
                <w:szCs w:val="13"/>
                <w:color w:val="auto"/>
              </w:rPr>
            </w:pPr>
          </w:p>
        </w:tc>
        <w:tc>
          <w:tcPr>
            <w:tcW w:w="620" w:type="dxa"/>
            <w:vAlign w:val="bottom"/>
            <w:tcBorders>
              <w:bottom w:val="single" w:sz="8" w:color="auto"/>
            </w:tcBorders>
            <w:vMerge w:val="continue"/>
            <w:shd w:val="clear" w:color="auto" w:fill="EAF9E8"/>
          </w:tcPr>
          <w:p>
            <w:pPr>
              <w:spacing w:after="0"/>
              <w:rPr>
                <w:sz w:val="13"/>
                <w:szCs w:val="13"/>
                <w:color w:val="auto"/>
              </w:rPr>
            </w:pPr>
          </w:p>
        </w:tc>
        <w:tc>
          <w:tcPr>
            <w:tcW w:w="200" w:type="dxa"/>
            <w:vAlign w:val="bottom"/>
            <w:tcBorders>
              <w:bottom w:val="single" w:sz="8" w:color="EAF9E8"/>
            </w:tcBorders>
            <w:shd w:val="clear" w:color="auto" w:fill="EAF9E8"/>
          </w:tcPr>
          <w:p>
            <w:pPr>
              <w:spacing w:after="0"/>
              <w:rPr>
                <w:sz w:val="13"/>
                <w:szCs w:val="13"/>
                <w:color w:val="auto"/>
              </w:rPr>
            </w:pPr>
          </w:p>
        </w:tc>
        <w:tc>
          <w:tcPr>
            <w:tcW w:w="120" w:type="dxa"/>
            <w:vAlign w:val="bottom"/>
            <w:tcBorders>
              <w:bottom w:val="single" w:sz="8" w:color="auto"/>
            </w:tcBorders>
            <w:vMerge w:val="continue"/>
            <w:shd w:val="clear" w:color="auto" w:fill="EAF9E8"/>
          </w:tcPr>
          <w:p>
            <w:pPr>
              <w:spacing w:after="0"/>
              <w:rPr>
                <w:sz w:val="13"/>
                <w:szCs w:val="13"/>
                <w:color w:val="auto"/>
              </w:rPr>
            </w:pPr>
          </w:p>
        </w:tc>
        <w:tc>
          <w:tcPr>
            <w:tcW w:w="820" w:type="dxa"/>
            <w:vAlign w:val="bottom"/>
            <w:tcBorders>
              <w:bottom w:val="single" w:sz="8" w:color="auto"/>
            </w:tcBorders>
            <w:vMerge w:val="continue"/>
            <w:shd w:val="clear" w:color="auto" w:fill="EAF9E8"/>
          </w:tcPr>
          <w:p>
            <w:pPr>
              <w:spacing w:after="0"/>
              <w:rPr>
                <w:sz w:val="13"/>
                <w:szCs w:val="13"/>
                <w:color w:val="auto"/>
              </w:rPr>
            </w:pPr>
          </w:p>
        </w:tc>
        <w:tc>
          <w:tcPr>
            <w:tcW w:w="120" w:type="dxa"/>
            <w:vAlign w:val="bottom"/>
            <w:tcBorders>
              <w:bottom w:val="single" w:sz="8" w:color="EAF9E8"/>
            </w:tcBorders>
            <w:shd w:val="clear" w:color="auto" w:fill="EAF9E8"/>
          </w:tcPr>
          <w:p>
            <w:pPr>
              <w:spacing w:after="0"/>
              <w:rPr>
                <w:sz w:val="13"/>
                <w:szCs w:val="13"/>
                <w:color w:val="auto"/>
              </w:rPr>
            </w:pPr>
          </w:p>
        </w:tc>
        <w:tc>
          <w:tcPr>
            <w:tcW w:w="100" w:type="dxa"/>
            <w:vAlign w:val="bottom"/>
            <w:tcBorders>
              <w:bottom w:val="single" w:sz="8" w:color="EAF9E8"/>
            </w:tcBorders>
            <w:shd w:val="clear" w:color="auto" w:fill="EAF9E8"/>
          </w:tcPr>
          <w:p>
            <w:pPr>
              <w:spacing w:after="0"/>
              <w:rPr>
                <w:sz w:val="13"/>
                <w:szCs w:val="13"/>
                <w:color w:val="auto"/>
              </w:rPr>
            </w:pPr>
          </w:p>
        </w:tc>
        <w:tc>
          <w:tcPr>
            <w:tcW w:w="80" w:type="dxa"/>
            <w:vAlign w:val="bottom"/>
            <w:tcBorders>
              <w:bottom w:val="single" w:sz="8" w:color="auto"/>
            </w:tcBorders>
            <w:vMerge w:val="continue"/>
            <w:shd w:val="clear" w:color="auto" w:fill="EAF9E8"/>
          </w:tcPr>
          <w:p>
            <w:pPr>
              <w:spacing w:after="0"/>
              <w:rPr>
                <w:sz w:val="13"/>
                <w:szCs w:val="13"/>
                <w:color w:val="auto"/>
              </w:rPr>
            </w:pPr>
          </w:p>
        </w:tc>
        <w:tc>
          <w:tcPr>
            <w:tcW w:w="840" w:type="dxa"/>
            <w:vAlign w:val="bottom"/>
            <w:tcBorders>
              <w:bottom w:val="single" w:sz="8" w:color="auto"/>
            </w:tcBorders>
            <w:vMerge w:val="continue"/>
            <w:shd w:val="clear" w:color="auto" w:fill="EAF9E8"/>
          </w:tcPr>
          <w:p>
            <w:pPr>
              <w:spacing w:after="0"/>
              <w:rPr>
                <w:sz w:val="13"/>
                <w:szCs w:val="13"/>
                <w:color w:val="auto"/>
              </w:rPr>
            </w:pPr>
          </w:p>
        </w:tc>
        <w:tc>
          <w:tcPr>
            <w:tcW w:w="140" w:type="dxa"/>
            <w:vAlign w:val="bottom"/>
            <w:tcBorders>
              <w:bottom w:val="single" w:sz="8" w:color="EAF9E8"/>
            </w:tcBorders>
            <w:shd w:val="clear" w:color="auto" w:fill="EAF9E8"/>
          </w:tcPr>
          <w:p>
            <w:pPr>
              <w:spacing w:after="0"/>
              <w:rPr>
                <w:sz w:val="13"/>
                <w:szCs w:val="13"/>
                <w:color w:val="auto"/>
              </w:rPr>
            </w:pPr>
          </w:p>
        </w:tc>
        <w:tc>
          <w:tcPr>
            <w:tcW w:w="80" w:type="dxa"/>
            <w:vAlign w:val="bottom"/>
            <w:tcBorders>
              <w:bottom w:val="single" w:sz="8" w:color="EAF9E8"/>
            </w:tcBorders>
            <w:shd w:val="clear" w:color="auto" w:fill="EAF9E8"/>
          </w:tcPr>
          <w:p>
            <w:pPr>
              <w:spacing w:after="0"/>
              <w:rPr>
                <w:sz w:val="13"/>
                <w:szCs w:val="13"/>
                <w:color w:val="auto"/>
              </w:rPr>
            </w:pPr>
          </w:p>
        </w:tc>
        <w:tc>
          <w:tcPr>
            <w:tcW w:w="140" w:type="dxa"/>
            <w:vAlign w:val="bottom"/>
            <w:tcBorders>
              <w:bottom w:val="single" w:sz="8" w:color="auto"/>
            </w:tcBorders>
            <w:vMerge w:val="continue"/>
            <w:shd w:val="clear" w:color="auto" w:fill="EAF9E8"/>
          </w:tcPr>
          <w:p>
            <w:pPr>
              <w:spacing w:after="0"/>
              <w:rPr>
                <w:sz w:val="13"/>
                <w:szCs w:val="13"/>
                <w:color w:val="auto"/>
              </w:rPr>
            </w:pPr>
          </w:p>
        </w:tc>
        <w:tc>
          <w:tcPr>
            <w:tcW w:w="440" w:type="dxa"/>
            <w:vAlign w:val="bottom"/>
            <w:tcBorders>
              <w:bottom w:val="single" w:sz="8" w:color="auto"/>
            </w:tcBorders>
            <w:vMerge w:val="continue"/>
            <w:shd w:val="clear" w:color="auto" w:fill="EAF9E8"/>
          </w:tcPr>
          <w:p>
            <w:pPr>
              <w:spacing w:after="0"/>
              <w:rPr>
                <w:sz w:val="13"/>
                <w:szCs w:val="13"/>
                <w:color w:val="auto"/>
              </w:rPr>
            </w:pPr>
          </w:p>
        </w:tc>
        <w:tc>
          <w:tcPr>
            <w:tcW w:w="80" w:type="dxa"/>
            <w:vAlign w:val="bottom"/>
            <w:tcBorders>
              <w:bottom w:val="single" w:sz="8" w:color="EAF9E8"/>
            </w:tcBorders>
            <w:shd w:val="clear" w:color="auto" w:fill="EAF9E8"/>
          </w:tcPr>
          <w:p>
            <w:pPr>
              <w:spacing w:after="0"/>
              <w:rPr>
                <w:sz w:val="13"/>
                <w:szCs w:val="13"/>
                <w:color w:val="auto"/>
              </w:rPr>
            </w:pPr>
          </w:p>
        </w:tc>
        <w:tc>
          <w:tcPr>
            <w:tcW w:w="120" w:type="dxa"/>
            <w:vAlign w:val="bottom"/>
            <w:tcBorders>
              <w:bottom w:val="single" w:sz="8" w:color="EAF9E8"/>
            </w:tcBorders>
            <w:shd w:val="clear" w:color="auto" w:fill="EAF9E8"/>
          </w:tcPr>
          <w:p>
            <w:pPr>
              <w:spacing w:after="0"/>
              <w:rPr>
                <w:sz w:val="13"/>
                <w:szCs w:val="13"/>
                <w:color w:val="auto"/>
              </w:rPr>
            </w:pPr>
          </w:p>
        </w:tc>
        <w:tc>
          <w:tcPr>
            <w:tcW w:w="140" w:type="dxa"/>
            <w:vAlign w:val="bottom"/>
            <w:tcBorders>
              <w:bottom w:val="single" w:sz="8" w:color="auto"/>
            </w:tcBorders>
            <w:vMerge w:val="continue"/>
            <w:shd w:val="clear" w:color="auto" w:fill="EAF9E8"/>
          </w:tcPr>
          <w:p>
            <w:pPr>
              <w:spacing w:after="0"/>
              <w:rPr>
                <w:sz w:val="13"/>
                <w:szCs w:val="13"/>
                <w:color w:val="auto"/>
              </w:rPr>
            </w:pPr>
          </w:p>
        </w:tc>
        <w:tc>
          <w:tcPr>
            <w:tcW w:w="440" w:type="dxa"/>
            <w:vAlign w:val="bottom"/>
            <w:tcBorders>
              <w:bottom w:val="single" w:sz="8" w:color="auto"/>
            </w:tcBorders>
            <w:vMerge w:val="continue"/>
            <w:shd w:val="clear" w:color="auto" w:fill="EAF9E8"/>
          </w:tcPr>
          <w:p>
            <w:pPr>
              <w:spacing w:after="0"/>
              <w:rPr>
                <w:sz w:val="13"/>
                <w:szCs w:val="13"/>
                <w:color w:val="auto"/>
              </w:rPr>
            </w:pPr>
          </w:p>
        </w:tc>
        <w:tc>
          <w:tcPr>
            <w:tcW w:w="120" w:type="dxa"/>
            <w:vAlign w:val="bottom"/>
            <w:tcBorders>
              <w:bottom w:val="single" w:sz="8" w:color="EAF9E8"/>
            </w:tcBorders>
            <w:vMerge w:val="continue"/>
            <w:shd w:val="clear" w:color="auto" w:fill="EAF9E8"/>
          </w:tcPr>
          <w:p>
            <w:pPr>
              <w:spacing w:after="0"/>
              <w:rPr>
                <w:sz w:val="13"/>
                <w:szCs w:val="13"/>
                <w:color w:val="auto"/>
              </w:rPr>
            </w:pPr>
          </w:p>
        </w:tc>
        <w:tc>
          <w:tcPr>
            <w:tcW w:w="80" w:type="dxa"/>
            <w:vAlign w:val="bottom"/>
            <w:tcBorders>
              <w:bottom w:val="single" w:sz="8" w:color="EAF9E8"/>
            </w:tcBorders>
            <w:shd w:val="clear" w:color="auto" w:fill="EAF9E8"/>
          </w:tcPr>
          <w:p>
            <w:pPr>
              <w:spacing w:after="0"/>
              <w:rPr>
                <w:sz w:val="13"/>
                <w:szCs w:val="13"/>
                <w:color w:val="auto"/>
              </w:rPr>
            </w:pPr>
          </w:p>
        </w:tc>
        <w:tc>
          <w:tcPr>
            <w:tcW w:w="80" w:type="dxa"/>
            <w:vAlign w:val="bottom"/>
            <w:tcBorders>
              <w:bottom w:val="single" w:sz="8" w:color="auto"/>
            </w:tcBorders>
            <w:vMerge w:val="continue"/>
            <w:shd w:val="clear" w:color="auto" w:fill="EAF9E8"/>
          </w:tcPr>
          <w:p>
            <w:pPr>
              <w:spacing w:after="0"/>
              <w:rPr>
                <w:sz w:val="13"/>
                <w:szCs w:val="13"/>
                <w:color w:val="auto"/>
              </w:rPr>
            </w:pPr>
          </w:p>
        </w:tc>
        <w:tc>
          <w:tcPr>
            <w:tcW w:w="740" w:type="dxa"/>
            <w:vAlign w:val="bottom"/>
            <w:tcBorders>
              <w:bottom w:val="single" w:sz="8" w:color="auto"/>
            </w:tcBorders>
            <w:vMerge w:val="continue"/>
            <w:shd w:val="clear" w:color="auto" w:fill="EAF9E8"/>
          </w:tcPr>
          <w:p>
            <w:pPr>
              <w:spacing w:after="0"/>
              <w:rPr>
                <w:sz w:val="13"/>
                <w:szCs w:val="13"/>
                <w:color w:val="auto"/>
              </w:rPr>
            </w:pPr>
          </w:p>
        </w:tc>
        <w:tc>
          <w:tcPr>
            <w:tcW w:w="140" w:type="dxa"/>
            <w:vAlign w:val="bottom"/>
            <w:tcBorders>
              <w:bottom w:val="single" w:sz="8" w:color="EAF9E8"/>
            </w:tcBorders>
            <w:shd w:val="clear" w:color="auto" w:fill="EAF9E8"/>
          </w:tcPr>
          <w:p>
            <w:pPr>
              <w:spacing w:after="0"/>
              <w:rPr>
                <w:sz w:val="13"/>
                <w:szCs w:val="13"/>
                <w:color w:val="auto"/>
              </w:rPr>
            </w:pPr>
          </w:p>
        </w:tc>
        <w:tc>
          <w:tcPr>
            <w:tcW w:w="80" w:type="dxa"/>
            <w:vAlign w:val="bottom"/>
            <w:tcBorders>
              <w:bottom w:val="single" w:sz="8" w:color="EAF9E8"/>
            </w:tcBorders>
            <w:shd w:val="clear" w:color="auto" w:fill="EAF9E8"/>
          </w:tcPr>
          <w:p>
            <w:pPr>
              <w:spacing w:after="0"/>
              <w:rPr>
                <w:sz w:val="13"/>
                <w:szCs w:val="13"/>
                <w:color w:val="auto"/>
              </w:rPr>
            </w:pPr>
          </w:p>
        </w:tc>
        <w:tc>
          <w:tcPr>
            <w:tcW w:w="120" w:type="dxa"/>
            <w:vAlign w:val="bottom"/>
            <w:tcBorders>
              <w:bottom w:val="single" w:sz="8" w:color="auto"/>
            </w:tcBorders>
            <w:vMerge w:val="continue"/>
            <w:shd w:val="clear" w:color="auto" w:fill="EAF9E8"/>
          </w:tcPr>
          <w:p>
            <w:pPr>
              <w:spacing w:after="0"/>
              <w:rPr>
                <w:sz w:val="13"/>
                <w:szCs w:val="13"/>
                <w:color w:val="auto"/>
              </w:rPr>
            </w:pPr>
          </w:p>
        </w:tc>
        <w:tc>
          <w:tcPr>
            <w:tcW w:w="580" w:type="dxa"/>
            <w:vAlign w:val="bottom"/>
            <w:tcBorders>
              <w:bottom w:val="single" w:sz="8" w:color="auto"/>
            </w:tcBorders>
            <w:vMerge w:val="continue"/>
            <w:shd w:val="clear" w:color="auto" w:fill="EAF9E8"/>
          </w:tcPr>
          <w:p>
            <w:pPr>
              <w:spacing w:after="0"/>
              <w:rPr>
                <w:sz w:val="13"/>
                <w:szCs w:val="13"/>
                <w:color w:val="auto"/>
              </w:rPr>
            </w:pPr>
          </w:p>
        </w:tc>
        <w:tc>
          <w:tcPr>
            <w:tcW w:w="140" w:type="dxa"/>
            <w:vAlign w:val="bottom"/>
            <w:tcBorders>
              <w:bottom w:val="single" w:sz="8" w:color="EAF9E8"/>
            </w:tcBorders>
            <w:shd w:val="clear" w:color="auto" w:fill="EAF9E8"/>
          </w:tcPr>
          <w:p>
            <w:pPr>
              <w:spacing w:after="0"/>
              <w:rPr>
                <w:sz w:val="13"/>
                <w:szCs w:val="13"/>
                <w:color w:val="auto"/>
              </w:rPr>
            </w:pPr>
          </w:p>
        </w:tc>
        <w:tc>
          <w:tcPr>
            <w:tcW w:w="80" w:type="dxa"/>
            <w:vAlign w:val="bottom"/>
            <w:tcBorders>
              <w:bottom w:val="single" w:sz="8" w:color="EAF9E8"/>
            </w:tcBorders>
            <w:shd w:val="clear" w:color="auto" w:fill="EAF9E8"/>
          </w:tcPr>
          <w:p>
            <w:pPr>
              <w:spacing w:after="0"/>
              <w:rPr>
                <w:sz w:val="13"/>
                <w:szCs w:val="13"/>
                <w:color w:val="auto"/>
              </w:rPr>
            </w:pPr>
          </w:p>
        </w:tc>
        <w:tc>
          <w:tcPr>
            <w:tcW w:w="100" w:type="dxa"/>
            <w:vAlign w:val="bottom"/>
            <w:tcBorders>
              <w:bottom w:val="single" w:sz="8" w:color="auto"/>
            </w:tcBorders>
            <w:vMerge w:val="continue"/>
            <w:shd w:val="clear" w:color="auto" w:fill="EAF9E8"/>
          </w:tcPr>
          <w:p>
            <w:pPr>
              <w:spacing w:after="0"/>
              <w:rPr>
                <w:sz w:val="13"/>
                <w:szCs w:val="13"/>
                <w:color w:val="auto"/>
              </w:rPr>
            </w:pPr>
          </w:p>
        </w:tc>
        <w:tc>
          <w:tcPr>
            <w:tcW w:w="740" w:type="dxa"/>
            <w:vAlign w:val="bottom"/>
            <w:tcBorders>
              <w:bottom w:val="single" w:sz="8" w:color="auto"/>
            </w:tcBorders>
            <w:vMerge w:val="continue"/>
            <w:shd w:val="clear" w:color="auto" w:fill="EAF9E8"/>
          </w:tcPr>
          <w:p>
            <w:pPr>
              <w:spacing w:after="0"/>
              <w:rPr>
                <w:sz w:val="13"/>
                <w:szCs w:val="13"/>
                <w:color w:val="auto"/>
              </w:rPr>
            </w:pPr>
          </w:p>
        </w:tc>
        <w:tc>
          <w:tcPr>
            <w:tcW w:w="120" w:type="dxa"/>
            <w:vAlign w:val="bottom"/>
            <w:tcBorders>
              <w:bottom w:val="single" w:sz="8" w:color="EAF9E8"/>
            </w:tcBorders>
            <w:shd w:val="clear" w:color="auto" w:fill="EAF9E8"/>
          </w:tcPr>
          <w:p>
            <w:pPr>
              <w:spacing w:after="0"/>
              <w:rPr>
                <w:sz w:val="13"/>
                <w:szCs w:val="13"/>
                <w:color w:val="auto"/>
              </w:rPr>
            </w:pPr>
          </w:p>
        </w:tc>
        <w:tc>
          <w:tcPr>
            <w:tcW w:w="100" w:type="dxa"/>
            <w:vAlign w:val="bottom"/>
            <w:tcBorders>
              <w:bottom w:val="single" w:sz="8" w:color="EAF9E8"/>
            </w:tcBorders>
            <w:shd w:val="clear" w:color="auto" w:fill="EAF9E8"/>
          </w:tcPr>
          <w:p>
            <w:pPr>
              <w:spacing w:after="0"/>
              <w:rPr>
                <w:sz w:val="13"/>
                <w:szCs w:val="13"/>
                <w:color w:val="auto"/>
              </w:rPr>
            </w:pPr>
          </w:p>
        </w:tc>
        <w:tc>
          <w:tcPr>
            <w:tcW w:w="80" w:type="dxa"/>
            <w:vAlign w:val="bottom"/>
            <w:tcBorders>
              <w:bottom w:val="single" w:sz="8" w:color="auto"/>
            </w:tcBorders>
            <w:vMerge w:val="continue"/>
            <w:shd w:val="clear" w:color="auto" w:fill="EAF9E8"/>
          </w:tcPr>
          <w:p>
            <w:pPr>
              <w:spacing w:after="0"/>
              <w:rPr>
                <w:sz w:val="13"/>
                <w:szCs w:val="13"/>
                <w:color w:val="auto"/>
              </w:rPr>
            </w:pPr>
          </w:p>
        </w:tc>
        <w:tc>
          <w:tcPr>
            <w:tcW w:w="760" w:type="dxa"/>
            <w:vAlign w:val="bottom"/>
            <w:tcBorders>
              <w:bottom w:val="single" w:sz="8" w:color="auto"/>
            </w:tcBorders>
            <w:vMerge w:val="continue"/>
            <w:shd w:val="clear" w:color="auto" w:fill="EAF9E8"/>
          </w:tcPr>
          <w:p>
            <w:pPr>
              <w:spacing w:after="0"/>
              <w:rPr>
                <w:sz w:val="13"/>
                <w:szCs w:val="13"/>
                <w:color w:val="auto"/>
              </w:rPr>
            </w:pPr>
          </w:p>
        </w:tc>
        <w:tc>
          <w:tcPr>
            <w:tcW w:w="120" w:type="dxa"/>
            <w:vAlign w:val="bottom"/>
            <w:tcBorders>
              <w:bottom w:val="single" w:sz="8" w:color="EAF9E8"/>
            </w:tcBorders>
            <w:shd w:val="clear" w:color="auto" w:fill="EAF9E8"/>
          </w:tcPr>
          <w:p>
            <w:pPr>
              <w:spacing w:after="0"/>
              <w:rPr>
                <w:sz w:val="13"/>
                <w:szCs w:val="13"/>
                <w:color w:val="auto"/>
              </w:rPr>
            </w:pPr>
          </w:p>
        </w:tc>
        <w:tc>
          <w:tcPr>
            <w:tcW w:w="0" w:type="dxa"/>
            <w:vAlign w:val="bottom"/>
          </w:tcPr>
          <w:p>
            <w:pPr>
              <w:spacing w:after="0"/>
              <w:rPr>
                <w:sz w:val="1"/>
                <w:szCs w:val="1"/>
                <w:color w:val="auto"/>
              </w:rPr>
            </w:pPr>
          </w:p>
        </w:tc>
      </w:tr>
      <w:tr>
        <w:trPr>
          <w:trHeight w:val="359"/>
        </w:trPr>
        <w:tc>
          <w:tcPr>
            <w:tcW w:w="160" w:type="dxa"/>
            <w:vAlign w:val="bottom"/>
          </w:tcPr>
          <w:p>
            <w:pPr>
              <w:spacing w:after="0"/>
              <w:rPr>
                <w:sz w:val="24"/>
                <w:szCs w:val="24"/>
                <w:color w:val="auto"/>
              </w:rPr>
            </w:pPr>
          </w:p>
        </w:tc>
        <w:tc>
          <w:tcPr>
            <w:tcW w:w="2400" w:type="dxa"/>
            <w:vAlign w:val="bottom"/>
            <w:gridSpan w:val="5"/>
          </w:tcPr>
          <w:p>
            <w:pPr>
              <w:spacing w:after="0"/>
              <w:rPr>
                <w:sz w:val="20"/>
                <w:szCs w:val="20"/>
                <w:color w:val="auto"/>
              </w:rPr>
            </w:pPr>
            <w:r>
              <w:rPr>
                <w:rFonts w:ascii="Arial" w:cs="Arial" w:eastAsia="Arial" w:hAnsi="Arial"/>
                <w:sz w:val="14"/>
                <w:szCs w:val="14"/>
                <w:color w:val="auto"/>
                <w:w w:val="88"/>
              </w:rPr>
              <w:t>For the three months ended September 30,</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160" w:type="dxa"/>
            <w:vAlign w:val="bottom"/>
          </w:tcPr>
          <w:p>
            <w:pPr>
              <w:spacing w:after="0"/>
              <w:rPr>
                <w:sz w:val="11"/>
                <w:szCs w:val="11"/>
                <w:color w:val="auto"/>
              </w:rPr>
            </w:pPr>
          </w:p>
        </w:tc>
        <w:tc>
          <w:tcPr>
            <w:tcW w:w="2260" w:type="dxa"/>
            <w:vAlign w:val="bottom"/>
            <w:tcBorders>
              <w:top w:val="single" w:sz="8" w:color="auto"/>
            </w:tcBorders>
            <w:gridSpan w:val="3"/>
          </w:tcPr>
          <w:p>
            <w:pPr>
              <w:ind w:left="160"/>
              <w:spacing w:after="0" w:line="129" w:lineRule="exact"/>
              <w:rPr>
                <w:sz w:val="20"/>
                <w:szCs w:val="20"/>
                <w:color w:val="auto"/>
              </w:rPr>
            </w:pPr>
            <w:r>
              <w:rPr>
                <w:rFonts w:ascii="Arial" w:cs="Arial" w:eastAsia="Arial" w:hAnsi="Arial"/>
                <w:sz w:val="14"/>
                <w:szCs w:val="14"/>
                <w:color w:val="auto"/>
              </w:rPr>
              <w:t>2008:</w:t>
            </w:r>
          </w:p>
        </w:tc>
        <w:tc>
          <w:tcPr>
            <w:tcW w:w="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4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60" w:type="dxa"/>
            <w:vAlign w:val="bottom"/>
            <w:shd w:val="clear" w:color="auto" w:fill="EAF9E8"/>
          </w:tcPr>
          <w:p>
            <w:pPr>
              <w:spacing w:after="0"/>
              <w:rPr>
                <w:sz w:val="20"/>
                <w:szCs w:val="20"/>
                <w:color w:val="auto"/>
              </w:rPr>
            </w:pPr>
          </w:p>
        </w:tc>
        <w:tc>
          <w:tcPr>
            <w:tcW w:w="2400" w:type="dxa"/>
            <w:vAlign w:val="bottom"/>
            <w:gridSpan w:val="5"/>
            <w:shd w:val="clear" w:color="auto" w:fill="EAF9E8"/>
          </w:tcPr>
          <w:p>
            <w:pPr>
              <w:spacing w:after="0"/>
              <w:rPr>
                <w:sz w:val="20"/>
                <w:szCs w:val="20"/>
                <w:color w:val="auto"/>
              </w:rPr>
            </w:pPr>
            <w:r>
              <w:rPr>
                <w:rFonts w:ascii="Arial" w:cs="Arial" w:eastAsia="Arial" w:hAnsi="Arial"/>
                <w:sz w:val="14"/>
                <w:szCs w:val="14"/>
                <w:color w:val="auto"/>
              </w:rPr>
              <w:t>Revenue (1) (2)</w:t>
            </w:r>
          </w:p>
        </w:tc>
        <w:tc>
          <w:tcPr>
            <w:tcW w:w="200" w:type="dxa"/>
            <w:vAlign w:val="bottom"/>
            <w:gridSpan w:val="2"/>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EAF9E8"/>
          </w:tcPr>
          <w:p>
            <w:pPr>
              <w:jc w:val="right"/>
              <w:spacing w:after="0"/>
              <w:rPr>
                <w:sz w:val="20"/>
                <w:szCs w:val="20"/>
                <w:color w:val="auto"/>
              </w:rPr>
            </w:pPr>
            <w:r>
              <w:rPr>
                <w:rFonts w:ascii="Arial" w:cs="Arial" w:eastAsia="Arial" w:hAnsi="Arial"/>
                <w:sz w:val="14"/>
                <w:szCs w:val="14"/>
                <w:color w:val="auto"/>
              </w:rPr>
              <w:t>86,058</w:t>
            </w:r>
          </w:p>
        </w:tc>
        <w:tc>
          <w:tcPr>
            <w:tcW w:w="200" w:type="dxa"/>
            <w:vAlign w:val="bottom"/>
            <w:shd w:val="clear" w:color="auto" w:fill="EAF9E8"/>
          </w:tcPr>
          <w:p>
            <w:pPr>
              <w:spacing w:after="0"/>
              <w:rPr>
                <w:sz w:val="20"/>
                <w:szCs w:val="20"/>
                <w:color w:val="auto"/>
              </w:rPr>
            </w:pPr>
          </w:p>
        </w:tc>
        <w:tc>
          <w:tcPr>
            <w:tcW w:w="120" w:type="dxa"/>
            <w:vAlign w:val="bottom"/>
            <w:shd w:val="clear" w:color="auto" w:fill="EAF9E8"/>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EAF9E8"/>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gridSpan w:val="2"/>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EAF9E8"/>
          </w:tcPr>
          <w:p>
            <w:pPr>
              <w:jc w:val="right"/>
              <w:ind w:right="140"/>
              <w:spacing w:after="0"/>
              <w:rPr>
                <w:sz w:val="20"/>
                <w:szCs w:val="20"/>
                <w:color w:val="auto"/>
              </w:rPr>
            </w:pPr>
            <w:r>
              <w:rPr>
                <w:rFonts w:ascii="Arial" w:cs="Arial" w:eastAsia="Arial" w:hAnsi="Arial"/>
                <w:sz w:val="14"/>
                <w:szCs w:val="14"/>
                <w:color w:val="auto"/>
              </w:rPr>
              <w:t>819</w:t>
            </w:r>
          </w:p>
        </w:tc>
        <w:tc>
          <w:tcPr>
            <w:tcW w:w="220" w:type="dxa"/>
            <w:vAlign w:val="bottom"/>
            <w:gridSpan w:val="2"/>
            <w:shd w:val="clear" w:color="auto" w:fill="EAF9E8"/>
          </w:tcPr>
          <w:p>
            <w:pPr>
              <w:ind w:left="80"/>
              <w:spacing w:after="0"/>
              <w:rPr>
                <w:sz w:val="20"/>
                <w:szCs w:val="20"/>
                <w:color w:val="auto"/>
              </w:rPr>
            </w:pPr>
            <w:r>
              <w:rPr>
                <w:rFonts w:ascii="Arial" w:cs="Arial" w:eastAsia="Arial" w:hAnsi="Arial"/>
                <w:sz w:val="14"/>
                <w:szCs w:val="14"/>
                <w:color w:val="auto"/>
              </w:rPr>
              <w:t>$</w:t>
            </w:r>
          </w:p>
        </w:tc>
        <w:tc>
          <w:tcPr>
            <w:tcW w:w="440" w:type="dxa"/>
            <w:vAlign w:val="bottom"/>
            <w:shd w:val="clear" w:color="auto" w:fill="EAF9E8"/>
          </w:tcPr>
          <w:p>
            <w:pPr>
              <w:jc w:val="right"/>
              <w:spacing w:after="0"/>
              <w:rPr>
                <w:sz w:val="20"/>
                <w:szCs w:val="20"/>
                <w:color w:val="auto"/>
              </w:rPr>
            </w:pPr>
            <w:r>
              <w:rPr>
                <w:rFonts w:ascii="Arial" w:cs="Arial" w:eastAsia="Arial" w:hAnsi="Arial"/>
                <w:sz w:val="14"/>
                <w:szCs w:val="14"/>
                <w:color w:val="auto"/>
                <w:w w:val="97"/>
              </w:rPr>
              <w:t>12,331</w:t>
            </w:r>
          </w:p>
        </w:tc>
        <w:tc>
          <w:tcPr>
            <w:tcW w:w="80" w:type="dxa"/>
            <w:vAlign w:val="bottom"/>
            <w:shd w:val="clear" w:color="auto" w:fill="EAF9E8"/>
          </w:tcPr>
          <w:p>
            <w:pPr>
              <w:spacing w:after="0"/>
              <w:rPr>
                <w:sz w:val="20"/>
                <w:szCs w:val="20"/>
                <w:color w:val="auto"/>
              </w:rPr>
            </w:pPr>
          </w:p>
        </w:tc>
        <w:tc>
          <w:tcPr>
            <w:tcW w:w="260" w:type="dxa"/>
            <w:vAlign w:val="bottom"/>
            <w:gridSpan w:val="2"/>
            <w:shd w:val="clear" w:color="auto" w:fill="EAF9E8"/>
          </w:tcPr>
          <w:p>
            <w:pPr>
              <w:ind w:left="120"/>
              <w:spacing w:after="0"/>
              <w:rPr>
                <w:sz w:val="20"/>
                <w:szCs w:val="20"/>
                <w:color w:val="auto"/>
              </w:rPr>
            </w:pPr>
            <w:r>
              <w:rPr>
                <w:rFonts w:ascii="Arial" w:cs="Arial" w:eastAsia="Arial" w:hAnsi="Arial"/>
                <w:sz w:val="14"/>
                <w:szCs w:val="14"/>
                <w:color w:val="auto"/>
              </w:rPr>
              <w:t>$</w:t>
            </w:r>
          </w:p>
        </w:tc>
        <w:tc>
          <w:tcPr>
            <w:tcW w:w="560" w:type="dxa"/>
            <w:vAlign w:val="bottom"/>
            <w:gridSpan w:val="2"/>
            <w:shd w:val="clear" w:color="auto" w:fill="EAF9E8"/>
          </w:tcPr>
          <w:p>
            <w:pPr>
              <w:jc w:val="right"/>
              <w:ind w:right="81"/>
              <w:spacing w:after="0"/>
              <w:rPr>
                <w:sz w:val="20"/>
                <w:szCs w:val="20"/>
                <w:color w:val="auto"/>
              </w:rPr>
            </w:pPr>
            <w:r>
              <w:rPr>
                <w:rFonts w:ascii="Arial" w:cs="Arial" w:eastAsia="Arial" w:hAnsi="Arial"/>
                <w:sz w:val="14"/>
                <w:szCs w:val="14"/>
                <w:color w:val="auto"/>
                <w:w w:val="97"/>
              </w:rPr>
              <w:t>18,654</w:t>
            </w:r>
          </w:p>
        </w:tc>
        <w:tc>
          <w:tcPr>
            <w:tcW w:w="160" w:type="dxa"/>
            <w:vAlign w:val="bottom"/>
            <w:gridSpan w:val="2"/>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EAF9E8"/>
          </w:tcPr>
          <w:p>
            <w:pPr>
              <w:jc w:val="right"/>
              <w:ind w:right="140"/>
              <w:spacing w:after="0"/>
              <w:rPr>
                <w:sz w:val="20"/>
                <w:szCs w:val="20"/>
                <w:color w:val="auto"/>
              </w:rPr>
            </w:pPr>
            <w:r>
              <w:rPr>
                <w:rFonts w:ascii="Arial" w:cs="Arial" w:eastAsia="Arial" w:hAnsi="Arial"/>
                <w:sz w:val="14"/>
                <w:szCs w:val="14"/>
                <w:color w:val="auto"/>
              </w:rPr>
              <w:t>11,672</w:t>
            </w:r>
          </w:p>
        </w:tc>
        <w:tc>
          <w:tcPr>
            <w:tcW w:w="200" w:type="dxa"/>
            <w:vAlign w:val="bottom"/>
            <w:gridSpan w:val="2"/>
            <w:shd w:val="clear" w:color="auto" w:fill="EAF9E8"/>
          </w:tcPr>
          <w:p>
            <w:pPr>
              <w:jc w:val="right"/>
              <w:ind w:right="4"/>
              <w:spacing w:after="0"/>
              <w:rPr>
                <w:sz w:val="20"/>
                <w:szCs w:val="20"/>
                <w:color w:val="auto"/>
              </w:rPr>
            </w:pPr>
            <w:r>
              <w:rPr>
                <w:rFonts w:ascii="Arial" w:cs="Arial" w:eastAsia="Arial" w:hAnsi="Arial"/>
                <w:sz w:val="14"/>
                <w:szCs w:val="14"/>
                <w:color w:val="auto"/>
              </w:rPr>
              <w:t>$</w:t>
            </w:r>
          </w:p>
        </w:tc>
        <w:tc>
          <w:tcPr>
            <w:tcW w:w="580" w:type="dxa"/>
            <w:vAlign w:val="bottom"/>
            <w:shd w:val="clear" w:color="auto" w:fill="EAF9E8"/>
          </w:tcPr>
          <w:p>
            <w:pPr>
              <w:jc w:val="right"/>
              <w:spacing w:after="0"/>
              <w:rPr>
                <w:sz w:val="20"/>
                <w:szCs w:val="20"/>
                <w:color w:val="auto"/>
              </w:rPr>
            </w:pPr>
            <w:r>
              <w:rPr>
                <w:rFonts w:ascii="Arial" w:cs="Arial" w:eastAsia="Arial" w:hAnsi="Arial"/>
                <w:sz w:val="14"/>
                <w:szCs w:val="14"/>
                <w:color w:val="auto"/>
              </w:rPr>
              <w:t>12</w:t>
            </w:r>
          </w:p>
        </w:tc>
        <w:tc>
          <w:tcPr>
            <w:tcW w:w="140" w:type="dxa"/>
            <w:vAlign w:val="bottom"/>
            <w:shd w:val="clear" w:color="auto" w:fill="EAF9E8"/>
          </w:tcPr>
          <w:p>
            <w:pPr>
              <w:spacing w:after="0"/>
              <w:rPr>
                <w:sz w:val="20"/>
                <w:szCs w:val="20"/>
                <w:color w:val="auto"/>
              </w:rPr>
            </w:pPr>
          </w:p>
        </w:tc>
        <w:tc>
          <w:tcPr>
            <w:tcW w:w="180" w:type="dxa"/>
            <w:vAlign w:val="bottom"/>
            <w:gridSpan w:val="2"/>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EAF9E8"/>
          </w:tcPr>
          <w:p>
            <w:pPr>
              <w:jc w:val="right"/>
              <w:ind w:right="80"/>
              <w:spacing w:after="0"/>
              <w:rPr>
                <w:sz w:val="20"/>
                <w:szCs w:val="20"/>
                <w:color w:val="auto"/>
              </w:rPr>
            </w:pPr>
            <w:r>
              <w:rPr>
                <w:rFonts w:ascii="Arial" w:cs="Arial" w:eastAsia="Arial" w:hAnsi="Arial"/>
                <w:sz w:val="14"/>
                <w:szCs w:val="14"/>
                <w:color w:val="auto"/>
              </w:rPr>
              <w:t>(8,285)</w:t>
            </w:r>
          </w:p>
        </w:tc>
        <w:tc>
          <w:tcPr>
            <w:tcW w:w="180" w:type="dxa"/>
            <w:vAlign w:val="bottom"/>
            <w:gridSpan w:val="2"/>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EAF9E8"/>
          </w:tcPr>
          <w:p>
            <w:pPr>
              <w:jc w:val="right"/>
              <w:spacing w:after="0"/>
              <w:rPr>
                <w:sz w:val="20"/>
                <w:szCs w:val="20"/>
                <w:color w:val="auto"/>
              </w:rPr>
            </w:pPr>
            <w:r>
              <w:rPr>
                <w:rFonts w:ascii="Arial" w:cs="Arial" w:eastAsia="Arial" w:hAnsi="Arial"/>
                <w:sz w:val="14"/>
                <w:szCs w:val="14"/>
                <w:color w:val="auto"/>
              </w:rPr>
              <w:t>121,261</w:t>
            </w:r>
          </w:p>
        </w:tc>
        <w:tc>
          <w:tcPr>
            <w:tcW w:w="120" w:type="dxa"/>
            <w:vAlign w:val="bottom"/>
            <w:shd w:val="clear" w:color="auto" w:fill="EAF9E8"/>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60" w:type="dxa"/>
            <w:vAlign w:val="bottom"/>
          </w:tcPr>
          <w:p>
            <w:pPr>
              <w:spacing w:after="0"/>
              <w:rPr>
                <w:sz w:val="21"/>
                <w:szCs w:val="21"/>
                <w:color w:val="auto"/>
              </w:rPr>
            </w:pPr>
          </w:p>
        </w:tc>
        <w:tc>
          <w:tcPr>
            <w:tcW w:w="2400" w:type="dxa"/>
            <w:vAlign w:val="bottom"/>
            <w:gridSpan w:val="5"/>
          </w:tcPr>
          <w:p>
            <w:pPr>
              <w:spacing w:after="0"/>
              <w:rPr>
                <w:sz w:val="20"/>
                <w:szCs w:val="20"/>
                <w:color w:val="auto"/>
              </w:rPr>
            </w:pPr>
            <w:r>
              <w:rPr>
                <w:rFonts w:ascii="Arial" w:cs="Arial" w:eastAsia="Arial" w:hAnsi="Arial"/>
                <w:sz w:val="14"/>
                <w:szCs w:val="14"/>
                <w:color w:val="auto"/>
              </w:rPr>
              <w:t>Operating expenses (1) (3) (4)</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40,218</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812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885</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9,674</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gridSpan w:val="2"/>
          </w:tcPr>
          <w:p>
            <w:pPr>
              <w:jc w:val="right"/>
              <w:ind w:right="81"/>
              <w:spacing w:after="0"/>
              <w:rPr>
                <w:sz w:val="20"/>
                <w:szCs w:val="20"/>
                <w:color w:val="auto"/>
              </w:rPr>
            </w:pPr>
            <w:r>
              <w:rPr>
                <w:rFonts w:ascii="Arial" w:cs="Arial" w:eastAsia="Arial" w:hAnsi="Arial"/>
                <w:sz w:val="14"/>
                <w:szCs w:val="14"/>
                <w:color w:val="auto"/>
                <w:w w:val="97"/>
              </w:rPr>
              <w:t>22,003</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9,528</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2,225</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4"/>
                <w:szCs w:val="14"/>
                <w:color w:val="auto"/>
              </w:rPr>
              <w:t>(7,887)</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77,458</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60" w:type="dxa"/>
            <w:vAlign w:val="bottom"/>
            <w:shd w:val="clear" w:color="auto" w:fill="EAF9E8"/>
          </w:tcPr>
          <w:p>
            <w:pPr>
              <w:spacing w:after="0"/>
              <w:rPr>
                <w:sz w:val="20"/>
                <w:szCs w:val="20"/>
                <w:color w:val="auto"/>
              </w:rPr>
            </w:pPr>
          </w:p>
        </w:tc>
        <w:tc>
          <w:tcPr>
            <w:tcW w:w="2400" w:type="dxa"/>
            <w:vAlign w:val="bottom"/>
            <w:gridSpan w:val="5"/>
            <w:shd w:val="clear" w:color="auto" w:fill="EAF9E8"/>
          </w:tcPr>
          <w:p>
            <w:pPr>
              <w:spacing w:after="0"/>
              <w:rPr>
                <w:sz w:val="20"/>
                <w:szCs w:val="20"/>
                <w:color w:val="auto"/>
              </w:rPr>
            </w:pPr>
            <w:r>
              <w:rPr>
                <w:rFonts w:ascii="Arial" w:cs="Arial" w:eastAsia="Arial" w:hAnsi="Arial"/>
                <w:sz w:val="14"/>
                <w:szCs w:val="14"/>
                <w:color w:val="auto"/>
              </w:rPr>
              <w:t>Income (loss) from operations</w:t>
            </w:r>
          </w:p>
        </w:tc>
        <w:tc>
          <w:tcPr>
            <w:tcW w:w="120" w:type="dxa"/>
            <w:vAlign w:val="bottom"/>
            <w:shd w:val="clear" w:color="auto" w:fill="EAF9E8"/>
          </w:tcPr>
          <w:p>
            <w:pPr>
              <w:spacing w:after="0"/>
              <w:rPr>
                <w:sz w:val="20"/>
                <w:szCs w:val="20"/>
                <w:color w:val="auto"/>
              </w:rPr>
            </w:pPr>
          </w:p>
        </w:tc>
        <w:tc>
          <w:tcPr>
            <w:tcW w:w="80" w:type="dxa"/>
            <w:vAlign w:val="bottom"/>
            <w:shd w:val="clear" w:color="auto" w:fill="EAF9E8"/>
          </w:tcPr>
          <w:p>
            <w:pPr>
              <w:spacing w:after="0"/>
              <w:rPr>
                <w:sz w:val="20"/>
                <w:szCs w:val="20"/>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4"/>
                <w:szCs w:val="14"/>
                <w:color w:val="auto"/>
              </w:rPr>
              <w:t>45,840</w:t>
            </w:r>
          </w:p>
        </w:tc>
        <w:tc>
          <w:tcPr>
            <w:tcW w:w="200" w:type="dxa"/>
            <w:vAlign w:val="bottom"/>
            <w:shd w:val="clear" w:color="auto" w:fill="EAF9E8"/>
          </w:tcPr>
          <w:p>
            <w:pPr>
              <w:spacing w:after="0"/>
              <w:rPr>
                <w:sz w:val="20"/>
                <w:szCs w:val="20"/>
                <w:color w:val="auto"/>
              </w:rPr>
            </w:pPr>
          </w:p>
        </w:tc>
        <w:tc>
          <w:tcPr>
            <w:tcW w:w="120" w:type="dxa"/>
            <w:vAlign w:val="bottom"/>
            <w:shd w:val="clear" w:color="auto" w:fill="EAF9E8"/>
          </w:tcPr>
          <w:p>
            <w:pPr>
              <w:spacing w:after="0"/>
              <w:rPr>
                <w:sz w:val="20"/>
                <w:szCs w:val="20"/>
                <w:color w:val="auto"/>
              </w:rPr>
            </w:pPr>
          </w:p>
        </w:tc>
        <w:tc>
          <w:tcPr>
            <w:tcW w:w="940" w:type="dxa"/>
            <w:vAlign w:val="bottom"/>
            <w:gridSpan w:val="2"/>
            <w:shd w:val="clear" w:color="auto" w:fill="EAF9E8"/>
          </w:tcPr>
          <w:p>
            <w:pPr>
              <w:jc w:val="right"/>
              <w:ind w:right="80"/>
              <w:spacing w:after="0"/>
              <w:rPr>
                <w:sz w:val="20"/>
                <w:szCs w:val="20"/>
                <w:color w:val="auto"/>
              </w:rPr>
            </w:pPr>
            <w:r>
              <w:rPr>
                <w:rFonts w:ascii="Arial" w:cs="Arial" w:eastAsia="Arial" w:hAnsi="Arial"/>
                <w:sz w:val="14"/>
                <w:szCs w:val="14"/>
                <w:color w:val="auto"/>
              </w:rPr>
              <w:t>(812)</w:t>
            </w:r>
          </w:p>
        </w:tc>
        <w:tc>
          <w:tcPr>
            <w:tcW w:w="100" w:type="dxa"/>
            <w:vAlign w:val="bottom"/>
            <w:shd w:val="clear" w:color="auto" w:fill="EAF9E8"/>
          </w:tcPr>
          <w:p>
            <w:pPr>
              <w:spacing w:after="0"/>
              <w:rPr>
                <w:sz w:val="20"/>
                <w:szCs w:val="20"/>
                <w:color w:val="auto"/>
              </w:rPr>
            </w:pPr>
          </w:p>
        </w:tc>
        <w:tc>
          <w:tcPr>
            <w:tcW w:w="80" w:type="dxa"/>
            <w:vAlign w:val="bottom"/>
            <w:shd w:val="clear" w:color="auto" w:fill="EAF9E8"/>
          </w:tcPr>
          <w:p>
            <w:pPr>
              <w:spacing w:after="0"/>
              <w:rPr>
                <w:sz w:val="20"/>
                <w:szCs w:val="20"/>
                <w:color w:val="auto"/>
              </w:rPr>
            </w:pPr>
          </w:p>
        </w:tc>
        <w:tc>
          <w:tcPr>
            <w:tcW w:w="980" w:type="dxa"/>
            <w:vAlign w:val="bottom"/>
            <w:gridSpan w:val="2"/>
            <w:shd w:val="clear" w:color="auto" w:fill="EAF9E8"/>
          </w:tcPr>
          <w:p>
            <w:pPr>
              <w:jc w:val="right"/>
              <w:ind w:right="80"/>
              <w:spacing w:after="0"/>
              <w:rPr>
                <w:sz w:val="20"/>
                <w:szCs w:val="20"/>
                <w:color w:val="auto"/>
              </w:rPr>
            </w:pPr>
            <w:r>
              <w:rPr>
                <w:rFonts w:ascii="Arial" w:cs="Arial" w:eastAsia="Arial" w:hAnsi="Arial"/>
                <w:sz w:val="14"/>
                <w:szCs w:val="14"/>
                <w:color w:val="auto"/>
              </w:rPr>
              <w:t>(66)</w:t>
            </w:r>
          </w:p>
        </w:tc>
        <w:tc>
          <w:tcPr>
            <w:tcW w:w="80" w:type="dxa"/>
            <w:vAlign w:val="bottom"/>
            <w:shd w:val="clear" w:color="auto" w:fill="EAF9E8"/>
          </w:tcPr>
          <w:p>
            <w:pPr>
              <w:spacing w:after="0"/>
              <w:rPr>
                <w:sz w:val="20"/>
                <w:szCs w:val="20"/>
                <w:color w:val="auto"/>
              </w:rPr>
            </w:pPr>
          </w:p>
        </w:tc>
        <w:tc>
          <w:tcPr>
            <w:tcW w:w="140" w:type="dxa"/>
            <w:vAlign w:val="bottom"/>
            <w:shd w:val="clear" w:color="auto" w:fill="EAF9E8"/>
          </w:tcPr>
          <w:p>
            <w:pPr>
              <w:spacing w:after="0"/>
              <w:rPr>
                <w:sz w:val="20"/>
                <w:szCs w:val="20"/>
                <w:color w:val="auto"/>
              </w:rPr>
            </w:pPr>
          </w:p>
        </w:tc>
        <w:tc>
          <w:tcPr>
            <w:tcW w:w="440" w:type="dxa"/>
            <w:vAlign w:val="bottom"/>
            <w:shd w:val="clear" w:color="auto" w:fill="EAF9E8"/>
          </w:tcPr>
          <w:p>
            <w:pPr>
              <w:jc w:val="right"/>
              <w:spacing w:after="0"/>
              <w:rPr>
                <w:sz w:val="20"/>
                <w:szCs w:val="20"/>
                <w:color w:val="auto"/>
              </w:rPr>
            </w:pPr>
            <w:r>
              <w:rPr>
                <w:rFonts w:ascii="Arial" w:cs="Arial" w:eastAsia="Arial" w:hAnsi="Arial"/>
                <w:sz w:val="14"/>
                <w:szCs w:val="14"/>
                <w:color w:val="auto"/>
              </w:rPr>
              <w:t>2,657</w:t>
            </w:r>
          </w:p>
        </w:tc>
        <w:tc>
          <w:tcPr>
            <w:tcW w:w="80" w:type="dxa"/>
            <w:vAlign w:val="bottom"/>
            <w:shd w:val="clear" w:color="auto" w:fill="EAF9E8"/>
          </w:tcPr>
          <w:p>
            <w:pPr>
              <w:spacing w:after="0"/>
              <w:rPr>
                <w:sz w:val="20"/>
                <w:szCs w:val="20"/>
                <w:color w:val="auto"/>
              </w:rPr>
            </w:pPr>
          </w:p>
        </w:tc>
        <w:tc>
          <w:tcPr>
            <w:tcW w:w="120" w:type="dxa"/>
            <w:vAlign w:val="bottom"/>
            <w:shd w:val="clear" w:color="auto" w:fill="EAF9E8"/>
          </w:tcPr>
          <w:p>
            <w:pPr>
              <w:spacing w:after="0"/>
              <w:rPr>
                <w:sz w:val="20"/>
                <w:szCs w:val="20"/>
                <w:color w:val="auto"/>
              </w:rPr>
            </w:pPr>
          </w:p>
        </w:tc>
        <w:tc>
          <w:tcPr>
            <w:tcW w:w="140" w:type="dxa"/>
            <w:vAlign w:val="bottom"/>
            <w:shd w:val="clear" w:color="auto" w:fill="EAF9E8"/>
          </w:tcPr>
          <w:p>
            <w:pPr>
              <w:spacing w:after="0"/>
              <w:rPr>
                <w:sz w:val="20"/>
                <w:szCs w:val="20"/>
                <w:color w:val="auto"/>
              </w:rPr>
            </w:pPr>
          </w:p>
        </w:tc>
        <w:tc>
          <w:tcPr>
            <w:tcW w:w="560" w:type="dxa"/>
            <w:vAlign w:val="bottom"/>
            <w:gridSpan w:val="2"/>
            <w:shd w:val="clear" w:color="auto" w:fill="EAF9E8"/>
          </w:tcPr>
          <w:p>
            <w:pPr>
              <w:jc w:val="right"/>
              <w:ind w:right="41"/>
              <w:spacing w:after="0"/>
              <w:rPr>
                <w:sz w:val="20"/>
                <w:szCs w:val="20"/>
                <w:color w:val="auto"/>
              </w:rPr>
            </w:pPr>
            <w:r>
              <w:rPr>
                <w:rFonts w:ascii="Arial" w:cs="Arial" w:eastAsia="Arial" w:hAnsi="Arial"/>
                <w:sz w:val="14"/>
                <w:szCs w:val="14"/>
                <w:color w:val="auto"/>
              </w:rPr>
              <w:t>(3,349)</w:t>
            </w:r>
          </w:p>
        </w:tc>
        <w:tc>
          <w:tcPr>
            <w:tcW w:w="80" w:type="dxa"/>
            <w:vAlign w:val="bottom"/>
            <w:shd w:val="clear" w:color="auto" w:fill="EAF9E8"/>
          </w:tcPr>
          <w:p>
            <w:pPr>
              <w:spacing w:after="0"/>
              <w:rPr>
                <w:sz w:val="20"/>
                <w:szCs w:val="20"/>
                <w:color w:val="auto"/>
              </w:rPr>
            </w:pPr>
          </w:p>
        </w:tc>
        <w:tc>
          <w:tcPr>
            <w:tcW w:w="80" w:type="dxa"/>
            <w:vAlign w:val="bottom"/>
            <w:shd w:val="clear" w:color="auto" w:fill="EAF9E8"/>
          </w:tcPr>
          <w:p>
            <w:pPr>
              <w:spacing w:after="0"/>
              <w:rPr>
                <w:sz w:val="20"/>
                <w:szCs w:val="20"/>
                <w:color w:val="auto"/>
              </w:rPr>
            </w:pPr>
          </w:p>
        </w:tc>
        <w:tc>
          <w:tcPr>
            <w:tcW w:w="880" w:type="dxa"/>
            <w:vAlign w:val="bottom"/>
            <w:gridSpan w:val="2"/>
            <w:shd w:val="clear" w:color="auto" w:fill="EAF9E8"/>
          </w:tcPr>
          <w:p>
            <w:pPr>
              <w:jc w:val="right"/>
              <w:ind w:right="140"/>
              <w:spacing w:after="0"/>
              <w:rPr>
                <w:sz w:val="20"/>
                <w:szCs w:val="20"/>
                <w:color w:val="auto"/>
              </w:rPr>
            </w:pPr>
            <w:r>
              <w:rPr>
                <w:rFonts w:ascii="Arial" w:cs="Arial" w:eastAsia="Arial" w:hAnsi="Arial"/>
                <w:sz w:val="14"/>
                <w:szCs w:val="14"/>
                <w:color w:val="auto"/>
              </w:rPr>
              <w:t>2,144</w:t>
            </w:r>
          </w:p>
        </w:tc>
        <w:tc>
          <w:tcPr>
            <w:tcW w:w="80" w:type="dxa"/>
            <w:vAlign w:val="bottom"/>
            <w:shd w:val="clear" w:color="auto" w:fill="EAF9E8"/>
          </w:tcPr>
          <w:p>
            <w:pPr>
              <w:spacing w:after="0"/>
              <w:rPr>
                <w:sz w:val="20"/>
                <w:szCs w:val="20"/>
                <w:color w:val="auto"/>
              </w:rPr>
            </w:pPr>
          </w:p>
        </w:tc>
        <w:tc>
          <w:tcPr>
            <w:tcW w:w="120" w:type="dxa"/>
            <w:vAlign w:val="bottom"/>
            <w:shd w:val="clear" w:color="auto" w:fill="EAF9E8"/>
          </w:tcPr>
          <w:p>
            <w:pPr>
              <w:spacing w:after="0"/>
              <w:rPr>
                <w:sz w:val="20"/>
                <w:szCs w:val="20"/>
                <w:color w:val="auto"/>
              </w:rPr>
            </w:pPr>
          </w:p>
        </w:tc>
        <w:tc>
          <w:tcPr>
            <w:tcW w:w="720" w:type="dxa"/>
            <w:vAlign w:val="bottom"/>
            <w:gridSpan w:val="2"/>
            <w:shd w:val="clear" w:color="auto" w:fill="EAF9E8"/>
          </w:tcPr>
          <w:p>
            <w:pPr>
              <w:jc w:val="right"/>
              <w:ind w:right="61"/>
              <w:spacing w:after="0"/>
              <w:rPr>
                <w:sz w:val="20"/>
                <w:szCs w:val="20"/>
                <w:color w:val="auto"/>
              </w:rPr>
            </w:pPr>
            <w:r>
              <w:rPr>
                <w:rFonts w:ascii="Arial" w:cs="Arial" w:eastAsia="Arial" w:hAnsi="Arial"/>
                <w:sz w:val="14"/>
                <w:szCs w:val="14"/>
                <w:color w:val="auto"/>
              </w:rPr>
              <w:t>(2,213)</w:t>
            </w:r>
          </w:p>
        </w:tc>
        <w:tc>
          <w:tcPr>
            <w:tcW w:w="80" w:type="dxa"/>
            <w:vAlign w:val="bottom"/>
            <w:shd w:val="clear" w:color="auto" w:fill="EAF9E8"/>
          </w:tcPr>
          <w:p>
            <w:pPr>
              <w:spacing w:after="0"/>
              <w:rPr>
                <w:sz w:val="20"/>
                <w:szCs w:val="20"/>
                <w:color w:val="auto"/>
              </w:rPr>
            </w:pPr>
          </w:p>
        </w:tc>
        <w:tc>
          <w:tcPr>
            <w:tcW w:w="100" w:type="dxa"/>
            <w:vAlign w:val="bottom"/>
            <w:shd w:val="clear" w:color="auto" w:fill="EAF9E8"/>
          </w:tcPr>
          <w:p>
            <w:pPr>
              <w:spacing w:after="0"/>
              <w:rPr>
                <w:sz w:val="20"/>
                <w:szCs w:val="20"/>
                <w:color w:val="auto"/>
              </w:rPr>
            </w:pPr>
          </w:p>
        </w:tc>
        <w:tc>
          <w:tcPr>
            <w:tcW w:w="860" w:type="dxa"/>
            <w:vAlign w:val="bottom"/>
            <w:gridSpan w:val="2"/>
            <w:shd w:val="clear" w:color="auto" w:fill="EAF9E8"/>
          </w:tcPr>
          <w:p>
            <w:pPr>
              <w:jc w:val="right"/>
              <w:ind w:right="80"/>
              <w:spacing w:after="0"/>
              <w:rPr>
                <w:sz w:val="20"/>
                <w:szCs w:val="20"/>
                <w:color w:val="auto"/>
              </w:rPr>
            </w:pPr>
            <w:r>
              <w:rPr>
                <w:rFonts w:ascii="Arial" w:cs="Arial" w:eastAsia="Arial" w:hAnsi="Arial"/>
                <w:sz w:val="14"/>
                <w:szCs w:val="14"/>
                <w:color w:val="auto"/>
              </w:rPr>
              <w:t>(398)</w:t>
            </w:r>
          </w:p>
        </w:tc>
        <w:tc>
          <w:tcPr>
            <w:tcW w:w="100" w:type="dxa"/>
            <w:vAlign w:val="bottom"/>
            <w:shd w:val="clear" w:color="auto" w:fill="EAF9E8"/>
          </w:tcPr>
          <w:p>
            <w:pPr>
              <w:spacing w:after="0"/>
              <w:rPr>
                <w:sz w:val="20"/>
                <w:szCs w:val="20"/>
                <w:color w:val="auto"/>
              </w:rPr>
            </w:pPr>
          </w:p>
        </w:tc>
        <w:tc>
          <w:tcPr>
            <w:tcW w:w="80" w:type="dxa"/>
            <w:vAlign w:val="bottom"/>
            <w:shd w:val="clear" w:color="auto" w:fill="EAF9E8"/>
          </w:tcPr>
          <w:p>
            <w:pPr>
              <w:spacing w:after="0"/>
              <w:rPr>
                <w:sz w:val="20"/>
                <w:szCs w:val="20"/>
                <w:color w:val="auto"/>
              </w:rPr>
            </w:pPr>
          </w:p>
        </w:tc>
        <w:tc>
          <w:tcPr>
            <w:tcW w:w="760" w:type="dxa"/>
            <w:vAlign w:val="bottom"/>
            <w:shd w:val="clear" w:color="auto" w:fill="EAF9E8"/>
          </w:tcPr>
          <w:p>
            <w:pPr>
              <w:jc w:val="right"/>
              <w:spacing w:after="0"/>
              <w:rPr>
                <w:sz w:val="20"/>
                <w:szCs w:val="20"/>
                <w:color w:val="auto"/>
              </w:rPr>
            </w:pPr>
            <w:r>
              <w:rPr>
                <w:rFonts w:ascii="Arial" w:cs="Arial" w:eastAsia="Arial" w:hAnsi="Arial"/>
                <w:sz w:val="14"/>
                <w:szCs w:val="14"/>
                <w:color w:val="auto"/>
              </w:rPr>
              <w:t>43,803</w:t>
            </w:r>
          </w:p>
        </w:tc>
        <w:tc>
          <w:tcPr>
            <w:tcW w:w="120" w:type="dxa"/>
            <w:vAlign w:val="bottom"/>
            <w:shd w:val="clear" w:color="auto" w:fill="EAF9E8"/>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60" w:type="dxa"/>
            <w:vAlign w:val="bottom"/>
            <w:tcBorders>
              <w:top w:val="single" w:sz="8" w:color="EAF9E8"/>
            </w:tcBorders>
          </w:tcPr>
          <w:p>
            <w:pPr>
              <w:spacing w:after="0"/>
              <w:rPr>
                <w:sz w:val="20"/>
                <w:szCs w:val="20"/>
                <w:color w:val="auto"/>
              </w:rPr>
            </w:pPr>
          </w:p>
        </w:tc>
        <w:tc>
          <w:tcPr>
            <w:tcW w:w="2400" w:type="dxa"/>
            <w:vAlign w:val="bottom"/>
            <w:tcBorders>
              <w:top w:val="single" w:sz="8" w:color="EAF9E8"/>
            </w:tcBorders>
            <w:gridSpan w:val="5"/>
          </w:tcPr>
          <w:p>
            <w:pPr>
              <w:spacing w:after="0"/>
              <w:rPr>
                <w:sz w:val="20"/>
                <w:szCs w:val="20"/>
                <w:color w:val="auto"/>
              </w:rPr>
            </w:pPr>
            <w:r>
              <w:rPr>
                <w:rFonts w:ascii="Arial" w:cs="Arial" w:eastAsia="Arial" w:hAnsi="Arial"/>
                <w:sz w:val="14"/>
                <w:szCs w:val="14"/>
                <w:color w:val="auto"/>
              </w:rPr>
              <w:t>Other income (expense), net:</w:t>
            </w:r>
          </w:p>
        </w:tc>
        <w:tc>
          <w:tcPr>
            <w:tcW w:w="120" w:type="dxa"/>
            <w:vAlign w:val="bottom"/>
            <w:tcBorders>
              <w:top w:val="single" w:sz="8" w:color="EAF9E8"/>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200" w:type="dxa"/>
            <w:vAlign w:val="bottom"/>
            <w:tcBorders>
              <w:top w:val="single" w:sz="8" w:color="EAF9E8"/>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20" w:type="dxa"/>
            <w:vAlign w:val="bottom"/>
            <w:tcBorders>
              <w:top w:val="single" w:sz="8" w:color="EAF9E8"/>
            </w:tcBorders>
          </w:tcPr>
          <w:p>
            <w:pPr>
              <w:spacing w:after="0"/>
              <w:rPr>
                <w:sz w:val="20"/>
                <w:szCs w:val="20"/>
                <w:color w:val="auto"/>
              </w:rPr>
            </w:pPr>
          </w:p>
        </w:tc>
        <w:tc>
          <w:tcPr>
            <w:tcW w:w="100" w:type="dxa"/>
            <w:vAlign w:val="bottom"/>
            <w:tcBorders>
              <w:top w:val="single" w:sz="8" w:color="EAF9E8"/>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40" w:type="dxa"/>
            <w:vAlign w:val="bottom"/>
            <w:tcBorders>
              <w:top w:val="single" w:sz="8" w:color="EAF9E8"/>
            </w:tcBorders>
          </w:tcPr>
          <w:p>
            <w:pPr>
              <w:spacing w:after="0"/>
              <w:rPr>
                <w:sz w:val="20"/>
                <w:szCs w:val="20"/>
                <w:color w:val="auto"/>
              </w:rPr>
            </w:pPr>
          </w:p>
        </w:tc>
        <w:tc>
          <w:tcPr>
            <w:tcW w:w="80" w:type="dxa"/>
            <w:vAlign w:val="bottom"/>
            <w:tcBorders>
              <w:top w:val="single" w:sz="8" w:color="EAF9E8"/>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0" w:type="dxa"/>
            <w:vAlign w:val="bottom"/>
            <w:tcBorders>
              <w:top w:val="single" w:sz="8" w:color="EAF9E8"/>
            </w:tcBorders>
          </w:tcPr>
          <w:p>
            <w:pPr>
              <w:spacing w:after="0"/>
              <w:rPr>
                <w:sz w:val="20"/>
                <w:szCs w:val="20"/>
                <w:color w:val="auto"/>
              </w:rPr>
            </w:pPr>
          </w:p>
        </w:tc>
        <w:tc>
          <w:tcPr>
            <w:tcW w:w="120" w:type="dxa"/>
            <w:vAlign w:val="bottom"/>
            <w:tcBorders>
              <w:top w:val="single" w:sz="8" w:color="EAF9E8"/>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20" w:type="dxa"/>
            <w:vAlign w:val="bottom"/>
            <w:tcBorders>
              <w:top w:val="single" w:sz="8" w:color="EAF9E8"/>
            </w:tcBorders>
          </w:tcPr>
          <w:p>
            <w:pPr>
              <w:spacing w:after="0"/>
              <w:rPr>
                <w:sz w:val="20"/>
                <w:szCs w:val="20"/>
                <w:color w:val="auto"/>
              </w:rPr>
            </w:pPr>
          </w:p>
        </w:tc>
        <w:tc>
          <w:tcPr>
            <w:tcW w:w="80" w:type="dxa"/>
            <w:vAlign w:val="bottom"/>
            <w:tcBorders>
              <w:top w:val="single" w:sz="8" w:color="EAF9E8"/>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40" w:type="dxa"/>
            <w:vAlign w:val="bottom"/>
            <w:tcBorders>
              <w:top w:val="single" w:sz="8" w:color="EAF9E8"/>
            </w:tcBorders>
          </w:tcPr>
          <w:p>
            <w:pPr>
              <w:spacing w:after="0"/>
              <w:rPr>
                <w:sz w:val="20"/>
                <w:szCs w:val="20"/>
                <w:color w:val="auto"/>
              </w:rPr>
            </w:pPr>
          </w:p>
        </w:tc>
        <w:tc>
          <w:tcPr>
            <w:tcW w:w="80" w:type="dxa"/>
            <w:vAlign w:val="bottom"/>
            <w:tcBorders>
              <w:top w:val="single" w:sz="8" w:color="EAF9E8"/>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40" w:type="dxa"/>
            <w:vAlign w:val="bottom"/>
            <w:tcBorders>
              <w:top w:val="single" w:sz="8" w:color="EAF9E8"/>
            </w:tcBorders>
          </w:tcPr>
          <w:p>
            <w:pPr>
              <w:spacing w:after="0"/>
              <w:rPr>
                <w:sz w:val="20"/>
                <w:szCs w:val="20"/>
                <w:color w:val="auto"/>
              </w:rPr>
            </w:pPr>
          </w:p>
        </w:tc>
        <w:tc>
          <w:tcPr>
            <w:tcW w:w="80" w:type="dxa"/>
            <w:vAlign w:val="bottom"/>
            <w:tcBorders>
              <w:top w:val="single" w:sz="8" w:color="EAF9E8"/>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20" w:type="dxa"/>
            <w:vAlign w:val="bottom"/>
            <w:tcBorders>
              <w:top w:val="single" w:sz="8" w:color="EAF9E8"/>
            </w:tcBorders>
          </w:tcPr>
          <w:p>
            <w:pPr>
              <w:spacing w:after="0"/>
              <w:rPr>
                <w:sz w:val="20"/>
                <w:szCs w:val="20"/>
                <w:color w:val="auto"/>
              </w:rPr>
            </w:pPr>
          </w:p>
        </w:tc>
        <w:tc>
          <w:tcPr>
            <w:tcW w:w="100" w:type="dxa"/>
            <w:vAlign w:val="bottom"/>
            <w:tcBorders>
              <w:top w:val="single" w:sz="8" w:color="EAF9E8"/>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20" w:type="dxa"/>
            <w:vAlign w:val="bottom"/>
            <w:tcBorders>
              <w:top w:val="single" w:sz="8" w:color="EAF9E8"/>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60" w:type="dxa"/>
            <w:vAlign w:val="bottom"/>
            <w:shd w:val="clear" w:color="auto" w:fill="EAF9E8"/>
          </w:tcPr>
          <w:p>
            <w:pPr>
              <w:spacing w:after="0"/>
              <w:rPr>
                <w:sz w:val="21"/>
                <w:szCs w:val="21"/>
                <w:color w:val="auto"/>
              </w:rPr>
            </w:pPr>
          </w:p>
        </w:tc>
        <w:tc>
          <w:tcPr>
            <w:tcW w:w="2400" w:type="dxa"/>
            <w:vAlign w:val="bottom"/>
            <w:gridSpan w:val="5"/>
            <w:shd w:val="clear" w:color="auto" w:fill="EAF9E8"/>
          </w:tcPr>
          <w:p>
            <w:pPr>
              <w:ind w:left="160"/>
              <w:spacing w:after="0"/>
              <w:rPr>
                <w:sz w:val="20"/>
                <w:szCs w:val="20"/>
                <w:color w:val="auto"/>
              </w:rPr>
            </w:pPr>
            <w:r>
              <w:rPr>
                <w:rFonts w:ascii="Arial" w:cs="Arial" w:eastAsia="Arial" w:hAnsi="Arial"/>
                <w:sz w:val="14"/>
                <w:szCs w:val="14"/>
                <w:color w:val="auto"/>
              </w:rPr>
              <w:t>Interest income</w:t>
            </w:r>
          </w:p>
        </w:tc>
        <w:tc>
          <w:tcPr>
            <w:tcW w:w="12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4"/>
                <w:szCs w:val="14"/>
                <w:color w:val="auto"/>
              </w:rPr>
              <w:t>195</w:t>
            </w:r>
          </w:p>
        </w:tc>
        <w:tc>
          <w:tcPr>
            <w:tcW w:w="20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940" w:type="dxa"/>
            <w:vAlign w:val="bottom"/>
            <w:gridSpan w:val="2"/>
            <w:shd w:val="clear" w:color="auto" w:fill="EAF9E8"/>
          </w:tcPr>
          <w:p>
            <w:pPr>
              <w:jc w:val="right"/>
              <w:ind w:right="120"/>
              <w:spacing w:after="0"/>
              <w:rPr>
                <w:sz w:val="20"/>
                <w:szCs w:val="20"/>
                <w:color w:val="auto"/>
              </w:rPr>
            </w:pPr>
            <w:r>
              <w:rPr>
                <w:rFonts w:ascii="Arial" w:cs="Arial" w:eastAsia="Arial" w:hAnsi="Arial"/>
                <w:sz w:val="14"/>
                <w:szCs w:val="14"/>
                <w:color w:val="auto"/>
              </w:rPr>
              <w:t>2,344</w:t>
            </w:r>
          </w:p>
        </w:tc>
        <w:tc>
          <w:tcPr>
            <w:tcW w:w="10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980" w:type="dxa"/>
            <w:vAlign w:val="bottom"/>
            <w:gridSpan w:val="2"/>
            <w:shd w:val="clear" w:color="auto" w:fill="EAF9E8"/>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440" w:type="dxa"/>
            <w:vAlign w:val="bottom"/>
            <w:shd w:val="clear" w:color="auto" w:fill="EAF9E8"/>
          </w:tcPr>
          <w:p>
            <w:pPr>
              <w:jc w:val="right"/>
              <w:spacing w:after="0"/>
              <w:rPr>
                <w:sz w:val="20"/>
                <w:szCs w:val="20"/>
                <w:color w:val="auto"/>
              </w:rPr>
            </w:pPr>
            <w:r>
              <w:rPr>
                <w:rFonts w:ascii="Arial" w:cs="Arial" w:eastAsia="Arial" w:hAnsi="Arial"/>
                <w:sz w:val="14"/>
                <w:szCs w:val="14"/>
                <w:color w:val="auto"/>
              </w:rPr>
              <w:t>50</w:t>
            </w:r>
          </w:p>
        </w:tc>
        <w:tc>
          <w:tcPr>
            <w:tcW w:w="8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560" w:type="dxa"/>
            <w:vAlign w:val="bottom"/>
            <w:gridSpan w:val="2"/>
            <w:shd w:val="clear" w:color="auto" w:fill="EAF9E8"/>
          </w:tcPr>
          <w:p>
            <w:pPr>
              <w:jc w:val="right"/>
              <w:ind w:right="81"/>
              <w:spacing w:after="0"/>
              <w:rPr>
                <w:sz w:val="20"/>
                <w:szCs w:val="20"/>
                <w:color w:val="auto"/>
              </w:rPr>
            </w:pPr>
            <w:r>
              <w:rPr>
                <w:rFonts w:ascii="Arial" w:cs="Arial" w:eastAsia="Arial" w:hAnsi="Arial"/>
                <w:sz w:val="14"/>
                <w:szCs w:val="14"/>
                <w:color w:val="auto"/>
              </w:rPr>
              <w:t>—</w:t>
            </w:r>
          </w:p>
        </w:tc>
        <w:tc>
          <w:tcPr>
            <w:tcW w:w="8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880" w:type="dxa"/>
            <w:vAlign w:val="bottom"/>
            <w:gridSpan w:val="2"/>
            <w:shd w:val="clear" w:color="auto" w:fill="EAF9E8"/>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580" w:type="dxa"/>
            <w:vAlign w:val="bottom"/>
            <w:shd w:val="clear" w:color="auto" w:fill="EAF9E8"/>
          </w:tcPr>
          <w:p>
            <w:pPr>
              <w:jc w:val="right"/>
              <w:spacing w:after="0"/>
              <w:rPr>
                <w:sz w:val="20"/>
                <w:szCs w:val="20"/>
                <w:color w:val="auto"/>
              </w:rPr>
            </w:pPr>
            <w:r>
              <w:rPr>
                <w:rFonts w:ascii="Arial" w:cs="Arial" w:eastAsia="Arial" w:hAnsi="Arial"/>
                <w:sz w:val="14"/>
                <w:szCs w:val="14"/>
                <w:color w:val="auto"/>
              </w:rPr>
              <w:t>859</w:t>
            </w:r>
          </w:p>
        </w:tc>
        <w:tc>
          <w:tcPr>
            <w:tcW w:w="14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860" w:type="dxa"/>
            <w:vAlign w:val="bottom"/>
            <w:gridSpan w:val="2"/>
            <w:shd w:val="clear" w:color="auto" w:fill="EAF9E8"/>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760" w:type="dxa"/>
            <w:vAlign w:val="bottom"/>
            <w:shd w:val="clear" w:color="auto" w:fill="EAF9E8"/>
          </w:tcPr>
          <w:p>
            <w:pPr>
              <w:jc w:val="right"/>
              <w:spacing w:after="0"/>
              <w:rPr>
                <w:sz w:val="20"/>
                <w:szCs w:val="20"/>
                <w:color w:val="auto"/>
              </w:rPr>
            </w:pPr>
            <w:r>
              <w:rPr>
                <w:rFonts w:ascii="Arial" w:cs="Arial" w:eastAsia="Arial" w:hAnsi="Arial"/>
                <w:sz w:val="14"/>
                <w:szCs w:val="14"/>
                <w:color w:val="auto"/>
              </w:rPr>
              <w:t>3,448</w:t>
            </w: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60" w:type="dxa"/>
            <w:vAlign w:val="bottom"/>
          </w:tcPr>
          <w:p>
            <w:pPr>
              <w:spacing w:after="0"/>
              <w:rPr>
                <w:sz w:val="21"/>
                <w:szCs w:val="21"/>
                <w:color w:val="auto"/>
              </w:rPr>
            </w:pPr>
          </w:p>
        </w:tc>
        <w:tc>
          <w:tcPr>
            <w:tcW w:w="2400" w:type="dxa"/>
            <w:vAlign w:val="bottom"/>
            <w:gridSpan w:val="5"/>
          </w:tcPr>
          <w:p>
            <w:pPr>
              <w:ind w:left="160"/>
              <w:spacing w:after="0"/>
              <w:rPr>
                <w:sz w:val="20"/>
                <w:szCs w:val="20"/>
                <w:color w:val="auto"/>
              </w:rPr>
            </w:pPr>
            <w:r>
              <w:rPr>
                <w:rFonts w:ascii="Arial" w:cs="Arial" w:eastAsia="Arial" w:hAnsi="Arial"/>
                <w:sz w:val="14"/>
                <w:szCs w:val="14"/>
                <w:color w:val="auto"/>
              </w:rPr>
              <w:t>Interest expense</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gridSpan w:val="2"/>
          </w:tcPr>
          <w:p>
            <w:pPr>
              <w:jc w:val="right"/>
              <w:ind w:right="92"/>
              <w:spacing w:after="0"/>
              <w:rPr>
                <w:sz w:val="20"/>
                <w:szCs w:val="20"/>
                <w:color w:val="auto"/>
              </w:rPr>
            </w:pPr>
            <w:r>
              <w:rPr>
                <w:rFonts w:ascii="Arial" w:cs="Arial" w:eastAsia="Arial" w:hAnsi="Arial"/>
                <w:sz w:val="14"/>
                <w:szCs w:val="14"/>
                <w:color w:val="auto"/>
              </w:rPr>
              <w:t>(16,901)</w:t>
            </w:r>
          </w:p>
        </w:tc>
        <w:tc>
          <w:tcPr>
            <w:tcW w:w="120" w:type="dxa"/>
            <w:vAlign w:val="bottom"/>
          </w:tcPr>
          <w:p>
            <w:pPr>
              <w:spacing w:after="0"/>
              <w:rPr>
                <w:sz w:val="21"/>
                <w:szCs w:val="21"/>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4"/>
                <w:szCs w:val="14"/>
                <w:color w:val="auto"/>
              </w:rPr>
              <w:t>(785)</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gridSpan w:val="2"/>
          </w:tcPr>
          <w:p>
            <w:pPr>
              <w:jc w:val="right"/>
              <w:ind w:right="41"/>
              <w:spacing w:after="0"/>
              <w:rPr>
                <w:sz w:val="20"/>
                <w:szCs w:val="20"/>
                <w:color w:val="auto"/>
              </w:rPr>
            </w:pPr>
            <w:r>
              <w:rPr>
                <w:rFonts w:ascii="Arial" w:cs="Arial" w:eastAsia="Arial" w:hAnsi="Arial"/>
                <w:sz w:val="14"/>
                <w:szCs w:val="14"/>
                <w:color w:val="auto"/>
              </w:rPr>
              <w:t>(468)</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(129)</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gridSpan w:val="2"/>
          </w:tcPr>
          <w:p>
            <w:pPr>
              <w:jc w:val="right"/>
              <w:ind w:right="61"/>
              <w:spacing w:after="0"/>
              <w:rPr>
                <w:sz w:val="20"/>
                <w:szCs w:val="20"/>
                <w:color w:val="auto"/>
              </w:rPr>
            </w:pPr>
            <w:r>
              <w:rPr>
                <w:rFonts w:ascii="Arial" w:cs="Arial" w:eastAsia="Arial" w:hAnsi="Arial"/>
                <w:sz w:val="14"/>
                <w:szCs w:val="14"/>
                <w:color w:val="auto"/>
              </w:rPr>
              <w:t>(1,040)</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4"/>
                <w:szCs w:val="14"/>
                <w:color w:val="auto"/>
              </w:rPr>
              <w:t>(19,334)</w:t>
            </w:r>
          </w:p>
        </w:tc>
        <w:tc>
          <w:tcPr>
            <w:tcW w:w="0" w:type="dxa"/>
            <w:vAlign w:val="bottom"/>
          </w:tcPr>
          <w:p>
            <w:pPr>
              <w:spacing w:after="0"/>
              <w:rPr>
                <w:sz w:val="1"/>
                <w:szCs w:val="1"/>
                <w:color w:val="auto"/>
              </w:rPr>
            </w:pPr>
          </w:p>
        </w:tc>
      </w:tr>
      <w:tr>
        <w:trPr>
          <w:trHeight w:val="243"/>
        </w:trPr>
        <w:tc>
          <w:tcPr>
            <w:tcW w:w="160" w:type="dxa"/>
            <w:vAlign w:val="bottom"/>
            <w:shd w:val="clear" w:color="auto" w:fill="EAF9E8"/>
          </w:tcPr>
          <w:p>
            <w:pPr>
              <w:spacing w:after="0"/>
              <w:rPr>
                <w:sz w:val="21"/>
                <w:szCs w:val="21"/>
                <w:color w:val="auto"/>
              </w:rPr>
            </w:pPr>
          </w:p>
        </w:tc>
        <w:tc>
          <w:tcPr>
            <w:tcW w:w="2400" w:type="dxa"/>
            <w:vAlign w:val="bottom"/>
            <w:gridSpan w:val="5"/>
            <w:shd w:val="clear" w:color="auto" w:fill="EAF9E8"/>
          </w:tcPr>
          <w:p>
            <w:pPr>
              <w:ind w:left="160"/>
              <w:spacing w:after="0"/>
              <w:rPr>
                <w:sz w:val="20"/>
                <w:szCs w:val="20"/>
                <w:color w:val="auto"/>
              </w:rPr>
            </w:pPr>
            <w:r>
              <w:rPr>
                <w:rFonts w:ascii="Arial" w:cs="Arial" w:eastAsia="Arial" w:hAnsi="Arial"/>
                <w:sz w:val="14"/>
                <w:szCs w:val="14"/>
                <w:color w:val="auto"/>
              </w:rPr>
              <w:t>Other (1) (2)</w:t>
            </w:r>
          </w:p>
        </w:tc>
        <w:tc>
          <w:tcPr>
            <w:tcW w:w="12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820" w:type="dxa"/>
            <w:vAlign w:val="bottom"/>
            <w:gridSpan w:val="2"/>
            <w:shd w:val="clear" w:color="auto" w:fill="EAF9E8"/>
          </w:tcPr>
          <w:p>
            <w:pPr>
              <w:jc w:val="right"/>
              <w:ind w:right="92"/>
              <w:spacing w:after="0"/>
              <w:rPr>
                <w:sz w:val="20"/>
                <w:szCs w:val="20"/>
                <w:color w:val="auto"/>
              </w:rPr>
            </w:pPr>
            <w:r>
              <w:rPr>
                <w:rFonts w:ascii="Arial" w:cs="Arial" w:eastAsia="Arial" w:hAnsi="Arial"/>
                <w:sz w:val="14"/>
                <w:szCs w:val="14"/>
                <w:color w:val="auto"/>
              </w:rPr>
              <w:t>(110)</w:t>
            </w:r>
          </w:p>
        </w:tc>
        <w:tc>
          <w:tcPr>
            <w:tcW w:w="120" w:type="dxa"/>
            <w:vAlign w:val="bottom"/>
            <w:shd w:val="clear" w:color="auto" w:fill="EAF9E8"/>
          </w:tcPr>
          <w:p>
            <w:pPr>
              <w:spacing w:after="0"/>
              <w:rPr>
                <w:sz w:val="21"/>
                <w:szCs w:val="21"/>
                <w:color w:val="auto"/>
              </w:rPr>
            </w:pPr>
          </w:p>
        </w:tc>
        <w:tc>
          <w:tcPr>
            <w:tcW w:w="940" w:type="dxa"/>
            <w:vAlign w:val="bottom"/>
            <w:gridSpan w:val="2"/>
            <w:shd w:val="clear" w:color="auto" w:fill="EAF9E8"/>
          </w:tcPr>
          <w:p>
            <w:pPr>
              <w:jc w:val="right"/>
              <w:ind w:right="80"/>
              <w:spacing w:after="0"/>
              <w:rPr>
                <w:sz w:val="20"/>
                <w:szCs w:val="20"/>
                <w:color w:val="auto"/>
              </w:rPr>
            </w:pPr>
            <w:r>
              <w:rPr>
                <w:rFonts w:ascii="Arial" w:cs="Arial" w:eastAsia="Arial" w:hAnsi="Arial"/>
                <w:sz w:val="14"/>
                <w:szCs w:val="14"/>
                <w:color w:val="auto"/>
              </w:rPr>
              <w:t>(1,268)</w:t>
            </w:r>
          </w:p>
        </w:tc>
        <w:tc>
          <w:tcPr>
            <w:tcW w:w="10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980" w:type="dxa"/>
            <w:vAlign w:val="bottom"/>
            <w:gridSpan w:val="2"/>
            <w:shd w:val="clear" w:color="auto" w:fill="EAF9E8"/>
          </w:tcPr>
          <w:p>
            <w:pPr>
              <w:jc w:val="right"/>
              <w:ind w:right="80"/>
              <w:spacing w:after="0"/>
              <w:rPr>
                <w:sz w:val="20"/>
                <w:szCs w:val="20"/>
                <w:color w:val="auto"/>
              </w:rPr>
            </w:pPr>
            <w:r>
              <w:rPr>
                <w:rFonts w:ascii="Arial" w:cs="Arial" w:eastAsia="Arial" w:hAnsi="Arial"/>
                <w:sz w:val="14"/>
                <w:szCs w:val="14"/>
                <w:color w:val="auto"/>
              </w:rPr>
              <w:t>(3,258)</w:t>
            </w:r>
          </w:p>
        </w:tc>
        <w:tc>
          <w:tcPr>
            <w:tcW w:w="8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440" w:type="dxa"/>
            <w:vAlign w:val="bottom"/>
            <w:shd w:val="clear" w:color="auto" w:fill="EAF9E8"/>
          </w:tcPr>
          <w:p>
            <w:pPr>
              <w:jc w:val="right"/>
              <w:spacing w:after="0"/>
              <w:rPr>
                <w:sz w:val="20"/>
                <w:szCs w:val="20"/>
                <w:color w:val="auto"/>
              </w:rPr>
            </w:pPr>
            <w:r>
              <w:rPr>
                <w:rFonts w:ascii="Arial" w:cs="Arial" w:eastAsia="Arial" w:hAnsi="Arial"/>
                <w:sz w:val="14"/>
                <w:szCs w:val="14"/>
                <w:color w:val="auto"/>
              </w:rPr>
              <w:t>10</w:t>
            </w:r>
          </w:p>
        </w:tc>
        <w:tc>
          <w:tcPr>
            <w:tcW w:w="8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560" w:type="dxa"/>
            <w:vAlign w:val="bottom"/>
            <w:gridSpan w:val="2"/>
            <w:shd w:val="clear" w:color="auto" w:fill="EAF9E8"/>
          </w:tcPr>
          <w:p>
            <w:pPr>
              <w:jc w:val="right"/>
              <w:ind w:right="81"/>
              <w:spacing w:after="0"/>
              <w:rPr>
                <w:sz w:val="20"/>
                <w:szCs w:val="20"/>
                <w:color w:val="auto"/>
              </w:rPr>
            </w:pPr>
            <w:r>
              <w:rPr>
                <w:rFonts w:ascii="Arial" w:cs="Arial" w:eastAsia="Arial" w:hAnsi="Arial"/>
                <w:sz w:val="14"/>
                <w:szCs w:val="14"/>
                <w:color w:val="auto"/>
              </w:rPr>
              <w:t>1</w:t>
            </w:r>
          </w:p>
        </w:tc>
        <w:tc>
          <w:tcPr>
            <w:tcW w:w="8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880" w:type="dxa"/>
            <w:vAlign w:val="bottom"/>
            <w:gridSpan w:val="2"/>
            <w:shd w:val="clear" w:color="auto" w:fill="EAF9E8"/>
          </w:tcPr>
          <w:p>
            <w:pPr>
              <w:jc w:val="right"/>
              <w:ind w:right="140"/>
              <w:spacing w:after="0"/>
              <w:rPr>
                <w:sz w:val="20"/>
                <w:szCs w:val="20"/>
                <w:color w:val="auto"/>
              </w:rPr>
            </w:pPr>
            <w:r>
              <w:rPr>
                <w:rFonts w:ascii="Arial" w:cs="Arial" w:eastAsia="Arial" w:hAnsi="Arial"/>
                <w:sz w:val="14"/>
                <w:szCs w:val="14"/>
                <w:color w:val="auto"/>
              </w:rPr>
              <w:t>42</w:t>
            </w:r>
          </w:p>
        </w:tc>
        <w:tc>
          <w:tcPr>
            <w:tcW w:w="8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720" w:type="dxa"/>
            <w:vAlign w:val="bottom"/>
            <w:gridSpan w:val="2"/>
            <w:shd w:val="clear" w:color="auto" w:fill="EAF9E8"/>
          </w:tcPr>
          <w:p>
            <w:pPr>
              <w:jc w:val="right"/>
              <w:ind w:right="61"/>
              <w:spacing w:after="0"/>
              <w:rPr>
                <w:sz w:val="20"/>
                <w:szCs w:val="20"/>
                <w:color w:val="auto"/>
              </w:rPr>
            </w:pPr>
            <w:r>
              <w:rPr>
                <w:rFonts w:ascii="Arial" w:cs="Arial" w:eastAsia="Arial" w:hAnsi="Arial"/>
                <w:sz w:val="14"/>
                <w:szCs w:val="14"/>
                <w:color w:val="auto"/>
              </w:rPr>
              <w:t>(322)</w:t>
            </w:r>
          </w:p>
        </w:tc>
        <w:tc>
          <w:tcPr>
            <w:tcW w:w="8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740" w:type="dxa"/>
            <w:vAlign w:val="bottom"/>
            <w:shd w:val="clear" w:color="auto" w:fill="EAF9E8"/>
          </w:tcPr>
          <w:p>
            <w:pPr>
              <w:jc w:val="right"/>
              <w:spacing w:after="0"/>
              <w:rPr>
                <w:sz w:val="20"/>
                <w:szCs w:val="20"/>
                <w:color w:val="auto"/>
              </w:rPr>
            </w:pPr>
            <w:r>
              <w:rPr>
                <w:rFonts w:ascii="Arial" w:cs="Arial" w:eastAsia="Arial" w:hAnsi="Arial"/>
                <w:sz w:val="14"/>
                <w:szCs w:val="14"/>
                <w:color w:val="auto"/>
              </w:rPr>
              <w:t>398</w:t>
            </w:r>
          </w:p>
        </w:tc>
        <w:tc>
          <w:tcPr>
            <w:tcW w:w="12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880" w:type="dxa"/>
            <w:vAlign w:val="bottom"/>
            <w:gridSpan w:val="2"/>
            <w:shd w:val="clear" w:color="auto" w:fill="EAF9E8"/>
          </w:tcPr>
          <w:p>
            <w:pPr>
              <w:jc w:val="right"/>
              <w:ind w:right="80"/>
              <w:spacing w:after="0"/>
              <w:rPr>
                <w:sz w:val="20"/>
                <w:szCs w:val="20"/>
                <w:color w:val="auto"/>
              </w:rPr>
            </w:pPr>
            <w:r>
              <w:rPr>
                <w:rFonts w:ascii="Arial" w:cs="Arial" w:eastAsia="Arial" w:hAnsi="Arial"/>
                <w:sz w:val="14"/>
                <w:szCs w:val="14"/>
                <w:color w:val="auto"/>
              </w:rPr>
              <w:t>(4,507)</w:t>
            </w:r>
          </w:p>
        </w:tc>
        <w:tc>
          <w:tcPr>
            <w:tcW w:w="0" w:type="dxa"/>
            <w:vAlign w:val="bottom"/>
          </w:tcPr>
          <w:p>
            <w:pPr>
              <w:spacing w:after="0"/>
              <w:rPr>
                <w:sz w:val="1"/>
                <w:szCs w:val="1"/>
                <w:color w:val="auto"/>
              </w:rPr>
            </w:pPr>
          </w:p>
        </w:tc>
      </w:tr>
      <w:tr>
        <w:trPr>
          <w:trHeight w:val="20"/>
        </w:trPr>
        <w:tc>
          <w:tcPr>
            <w:tcW w:w="160" w:type="dxa"/>
            <w:vAlign w:val="bottom"/>
            <w:shd w:val="clear" w:color="auto" w:fill="EAF9E8"/>
          </w:tcPr>
          <w:p>
            <w:pPr>
              <w:spacing w:after="0" w:line="20" w:lineRule="exact"/>
              <w:rPr>
                <w:sz w:val="1"/>
                <w:szCs w:val="1"/>
                <w:color w:val="auto"/>
              </w:rPr>
            </w:pPr>
          </w:p>
        </w:tc>
        <w:tc>
          <w:tcPr>
            <w:tcW w:w="160" w:type="dxa"/>
            <w:vAlign w:val="bottom"/>
            <w:shd w:val="clear" w:color="auto" w:fill="EAF9E8"/>
          </w:tcPr>
          <w:p>
            <w:pPr>
              <w:spacing w:after="0" w:line="20" w:lineRule="exact"/>
              <w:rPr>
                <w:sz w:val="1"/>
                <w:szCs w:val="1"/>
                <w:color w:val="auto"/>
              </w:rPr>
            </w:pPr>
          </w:p>
        </w:tc>
        <w:tc>
          <w:tcPr>
            <w:tcW w:w="260" w:type="dxa"/>
            <w:vAlign w:val="bottom"/>
            <w:shd w:val="clear" w:color="auto" w:fill="EAF9E8"/>
          </w:tcPr>
          <w:p>
            <w:pPr>
              <w:spacing w:after="0" w:line="20" w:lineRule="exact"/>
              <w:rPr>
                <w:sz w:val="1"/>
                <w:szCs w:val="1"/>
                <w:color w:val="auto"/>
              </w:rPr>
            </w:pPr>
          </w:p>
        </w:tc>
        <w:tc>
          <w:tcPr>
            <w:tcW w:w="1840" w:type="dxa"/>
            <w:vAlign w:val="bottom"/>
            <w:tcBorders>
              <w:left w:val="single" w:sz="8" w:color="EAF9E8"/>
            </w:tcBorders>
            <w:shd w:val="clear" w:color="auto" w:fill="EAF9E8"/>
          </w:tcPr>
          <w:p>
            <w:pPr>
              <w:spacing w:after="0" w:line="20" w:lineRule="exact"/>
              <w:rPr>
                <w:sz w:val="1"/>
                <w:szCs w:val="1"/>
                <w:color w:val="auto"/>
              </w:rPr>
            </w:pPr>
          </w:p>
        </w:tc>
        <w:tc>
          <w:tcPr>
            <w:tcW w:w="40" w:type="dxa"/>
            <w:vAlign w:val="bottom"/>
            <w:shd w:val="clear" w:color="auto" w:fill="EAF9E8"/>
          </w:tcPr>
          <w:p>
            <w:pPr>
              <w:spacing w:after="0" w:line="20" w:lineRule="exact"/>
              <w:rPr>
                <w:sz w:val="1"/>
                <w:szCs w:val="1"/>
                <w:color w:val="auto"/>
              </w:rPr>
            </w:pPr>
          </w:p>
        </w:tc>
        <w:tc>
          <w:tcPr>
            <w:tcW w:w="100" w:type="dxa"/>
            <w:vAlign w:val="bottom"/>
            <w:shd w:val="clear" w:color="auto" w:fill="EAF9E8"/>
          </w:tcPr>
          <w:p>
            <w:pPr>
              <w:spacing w:after="0" w:line="20" w:lineRule="exact"/>
              <w:rPr>
                <w:sz w:val="1"/>
                <w:szCs w:val="1"/>
                <w:color w:val="auto"/>
              </w:rPr>
            </w:pPr>
          </w:p>
        </w:tc>
        <w:tc>
          <w:tcPr>
            <w:tcW w:w="120" w:type="dxa"/>
            <w:vAlign w:val="bottom"/>
            <w:shd w:val="clear" w:color="auto" w:fill="EAF9E8"/>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shd w:val="clear" w:color="auto" w:fill="EAF9E8"/>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EAF9E8"/>
          </w:tcPr>
          <w:p>
            <w:pPr>
              <w:spacing w:after="0" w:line="20" w:lineRule="exact"/>
              <w:rPr>
                <w:sz w:val="1"/>
                <w:szCs w:val="1"/>
                <w:color w:val="auto"/>
              </w:rPr>
            </w:pPr>
          </w:p>
        </w:tc>
        <w:tc>
          <w:tcPr>
            <w:tcW w:w="100" w:type="dxa"/>
            <w:vAlign w:val="bottom"/>
            <w:shd w:val="clear" w:color="auto" w:fill="EAF9E8"/>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EAF9E8"/>
          </w:tcPr>
          <w:p>
            <w:pPr>
              <w:spacing w:after="0" w:line="20" w:lineRule="exact"/>
              <w:rPr>
                <w:sz w:val="1"/>
                <w:szCs w:val="1"/>
                <w:color w:val="auto"/>
              </w:rPr>
            </w:pPr>
          </w:p>
        </w:tc>
        <w:tc>
          <w:tcPr>
            <w:tcW w:w="80" w:type="dxa"/>
            <w:vAlign w:val="bottom"/>
            <w:shd w:val="clear" w:color="auto" w:fill="EAF9E8"/>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shd w:val="clear" w:color="auto" w:fill="EAF9E8"/>
          </w:tcPr>
          <w:p>
            <w:pPr>
              <w:spacing w:after="0" w:line="20" w:lineRule="exact"/>
              <w:rPr>
                <w:sz w:val="1"/>
                <w:szCs w:val="1"/>
                <w:color w:val="auto"/>
              </w:rPr>
            </w:pPr>
          </w:p>
        </w:tc>
        <w:tc>
          <w:tcPr>
            <w:tcW w:w="120" w:type="dxa"/>
            <w:vAlign w:val="bottom"/>
            <w:shd w:val="clear" w:color="auto" w:fill="EAF9E8"/>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shd w:val="clear" w:color="auto" w:fill="EAF9E8"/>
          </w:tcPr>
          <w:p>
            <w:pPr>
              <w:spacing w:after="0" w:line="20" w:lineRule="exact"/>
              <w:rPr>
                <w:sz w:val="1"/>
                <w:szCs w:val="1"/>
                <w:color w:val="auto"/>
              </w:rPr>
            </w:pPr>
          </w:p>
        </w:tc>
        <w:tc>
          <w:tcPr>
            <w:tcW w:w="80" w:type="dxa"/>
            <w:vAlign w:val="bottom"/>
            <w:shd w:val="clear" w:color="auto" w:fill="EAF9E8"/>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EAF9E8"/>
          </w:tcPr>
          <w:p>
            <w:pPr>
              <w:spacing w:after="0" w:line="20" w:lineRule="exact"/>
              <w:rPr>
                <w:sz w:val="1"/>
                <w:szCs w:val="1"/>
                <w:color w:val="auto"/>
              </w:rPr>
            </w:pPr>
          </w:p>
        </w:tc>
        <w:tc>
          <w:tcPr>
            <w:tcW w:w="80" w:type="dxa"/>
            <w:vAlign w:val="bottom"/>
            <w:shd w:val="clear" w:color="auto" w:fill="EAF9E8"/>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EAF9E8"/>
          </w:tcPr>
          <w:p>
            <w:pPr>
              <w:spacing w:after="0" w:line="20" w:lineRule="exact"/>
              <w:rPr>
                <w:sz w:val="1"/>
                <w:szCs w:val="1"/>
                <w:color w:val="auto"/>
              </w:rPr>
            </w:pPr>
          </w:p>
        </w:tc>
        <w:tc>
          <w:tcPr>
            <w:tcW w:w="80" w:type="dxa"/>
            <w:vAlign w:val="bottom"/>
            <w:shd w:val="clear" w:color="auto" w:fill="EAF9E8"/>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EAF9E8"/>
          </w:tcPr>
          <w:p>
            <w:pPr>
              <w:spacing w:after="0" w:line="20" w:lineRule="exact"/>
              <w:rPr>
                <w:sz w:val="1"/>
                <w:szCs w:val="1"/>
                <w:color w:val="auto"/>
              </w:rPr>
            </w:pPr>
          </w:p>
        </w:tc>
        <w:tc>
          <w:tcPr>
            <w:tcW w:w="100" w:type="dxa"/>
            <w:vAlign w:val="bottom"/>
            <w:shd w:val="clear" w:color="auto" w:fill="EAF9E8"/>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EAF9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40" w:type="dxa"/>
            <w:vAlign w:val="bottom"/>
            <w:gridSpan w:val="4"/>
          </w:tcPr>
          <w:p>
            <w:pPr>
              <w:ind w:left="160"/>
              <w:spacing w:after="0"/>
              <w:rPr>
                <w:sz w:val="20"/>
                <w:szCs w:val="20"/>
                <w:color w:val="auto"/>
              </w:rPr>
            </w:pPr>
            <w:r>
              <w:rPr>
                <w:rFonts w:ascii="Arial" w:cs="Arial" w:eastAsia="Arial" w:hAnsi="Arial"/>
                <w:sz w:val="14"/>
                <w:szCs w:val="14"/>
                <w:color w:val="auto"/>
              </w:rPr>
              <w:t>Other income (expense), net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gridSpan w:val="2"/>
          </w:tcPr>
          <w:p>
            <w:pPr>
              <w:jc w:val="right"/>
              <w:ind w:right="92"/>
              <w:spacing w:after="0"/>
              <w:rPr>
                <w:sz w:val="20"/>
                <w:szCs w:val="20"/>
                <w:color w:val="auto"/>
              </w:rPr>
            </w:pPr>
            <w:r>
              <w:rPr>
                <w:rFonts w:ascii="Arial" w:cs="Arial" w:eastAsia="Arial" w:hAnsi="Arial"/>
                <w:sz w:val="14"/>
                <w:szCs w:val="14"/>
                <w:color w:val="auto"/>
              </w:rPr>
              <w:t>(16,816)</w:t>
            </w:r>
          </w:p>
        </w:tc>
        <w:tc>
          <w:tcPr>
            <w:tcW w:w="12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291</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4"/>
                <w:szCs w:val="14"/>
                <w:color w:val="auto"/>
              </w:rPr>
              <w:t>(3,258)</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49</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gridSpan w:val="2"/>
          </w:tcPr>
          <w:p>
            <w:pPr>
              <w:jc w:val="right"/>
              <w:ind w:right="41"/>
              <w:spacing w:after="0"/>
              <w:rPr>
                <w:sz w:val="20"/>
                <w:szCs w:val="20"/>
                <w:color w:val="auto"/>
              </w:rPr>
            </w:pPr>
            <w:r>
              <w:rPr>
                <w:rFonts w:ascii="Arial" w:cs="Arial" w:eastAsia="Arial" w:hAnsi="Arial"/>
                <w:sz w:val="14"/>
                <w:szCs w:val="14"/>
                <w:color w:val="auto"/>
              </w:rPr>
              <w:t>(467)</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(87)</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2"/>
          </w:tcPr>
          <w:p>
            <w:pPr>
              <w:jc w:val="right"/>
              <w:ind w:right="61"/>
              <w:spacing w:after="0"/>
              <w:rPr>
                <w:sz w:val="20"/>
                <w:szCs w:val="20"/>
                <w:color w:val="auto"/>
              </w:rPr>
            </w:pPr>
            <w:r>
              <w:rPr>
                <w:rFonts w:ascii="Arial" w:cs="Arial" w:eastAsia="Arial" w:hAnsi="Arial"/>
                <w:sz w:val="14"/>
                <w:szCs w:val="14"/>
                <w:color w:val="auto"/>
              </w:rPr>
              <w:t>(503)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398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4"/>
                <w:szCs w:val="14"/>
                <w:color w:val="auto"/>
              </w:rPr>
              <w:t>(20,393)</w:t>
            </w:r>
          </w:p>
        </w:tc>
        <w:tc>
          <w:tcPr>
            <w:tcW w:w="0" w:type="dxa"/>
            <w:vAlign w:val="bottom"/>
          </w:tcPr>
          <w:p>
            <w:pPr>
              <w:spacing w:after="0"/>
              <w:rPr>
                <w:sz w:val="1"/>
                <w:szCs w:val="1"/>
                <w:color w:val="auto"/>
              </w:rPr>
            </w:pPr>
          </w:p>
        </w:tc>
      </w:tr>
      <w:tr>
        <w:trPr>
          <w:trHeight w:val="131"/>
        </w:trPr>
        <w:tc>
          <w:tcPr>
            <w:tcW w:w="160" w:type="dxa"/>
            <w:vAlign w:val="bottom"/>
            <w:shd w:val="clear" w:color="auto" w:fill="EAF9E8"/>
          </w:tcPr>
          <w:p>
            <w:pPr>
              <w:spacing w:after="0"/>
              <w:rPr>
                <w:sz w:val="11"/>
                <w:szCs w:val="11"/>
                <w:color w:val="auto"/>
              </w:rPr>
            </w:pPr>
          </w:p>
        </w:tc>
        <w:tc>
          <w:tcPr>
            <w:tcW w:w="2400" w:type="dxa"/>
            <w:vAlign w:val="bottom"/>
            <w:gridSpan w:val="5"/>
            <w:shd w:val="clear" w:color="auto" w:fill="EAF9E8"/>
          </w:tcPr>
          <w:p>
            <w:pPr>
              <w:spacing w:after="0" w:line="131" w:lineRule="exact"/>
              <w:rPr>
                <w:sz w:val="20"/>
                <w:szCs w:val="20"/>
                <w:color w:val="auto"/>
              </w:rPr>
            </w:pPr>
            <w:r>
              <w:rPr>
                <w:rFonts w:ascii="Arial" w:cs="Arial" w:eastAsia="Arial" w:hAnsi="Arial"/>
                <w:sz w:val="14"/>
                <w:szCs w:val="14"/>
                <w:color w:val="auto"/>
                <w:w w:val="94"/>
              </w:rPr>
              <w:t>Income (loss) from continuing operations</w:t>
            </w:r>
          </w:p>
        </w:tc>
        <w:tc>
          <w:tcPr>
            <w:tcW w:w="120" w:type="dxa"/>
            <w:vAlign w:val="bottom"/>
            <w:shd w:val="clear" w:color="auto" w:fill="EAF9E8"/>
          </w:tcPr>
          <w:p>
            <w:pPr>
              <w:spacing w:after="0"/>
              <w:rPr>
                <w:sz w:val="11"/>
                <w:szCs w:val="11"/>
                <w:color w:val="auto"/>
              </w:rPr>
            </w:pPr>
          </w:p>
        </w:tc>
        <w:tc>
          <w:tcPr>
            <w:tcW w:w="80" w:type="dxa"/>
            <w:vAlign w:val="bottom"/>
            <w:tcBorders>
              <w:top w:val="single" w:sz="8" w:color="auto"/>
            </w:tcBorders>
            <w:vMerge w:val="restart"/>
            <w:shd w:val="clear" w:color="auto" w:fill="EAF9E8"/>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tcBorders>
            <w:vMerge w:val="restart"/>
            <w:shd w:val="clear" w:color="auto" w:fill="EAF9E8"/>
          </w:tcPr>
          <w:p>
            <w:pPr>
              <w:jc w:val="right"/>
              <w:spacing w:after="0"/>
              <w:rPr>
                <w:sz w:val="20"/>
                <w:szCs w:val="20"/>
                <w:color w:val="auto"/>
              </w:rPr>
            </w:pPr>
            <w:r>
              <w:rPr>
                <w:rFonts w:ascii="Arial" w:cs="Arial" w:eastAsia="Arial" w:hAnsi="Arial"/>
                <w:sz w:val="14"/>
                <w:szCs w:val="14"/>
                <w:color w:val="auto"/>
              </w:rPr>
              <w:t>29,024</w:t>
            </w:r>
          </w:p>
        </w:tc>
        <w:tc>
          <w:tcPr>
            <w:tcW w:w="200" w:type="dxa"/>
            <w:vAlign w:val="bottom"/>
            <w:shd w:val="clear" w:color="auto" w:fill="EAF9E8"/>
          </w:tcPr>
          <w:p>
            <w:pPr>
              <w:spacing w:after="0"/>
              <w:rPr>
                <w:sz w:val="11"/>
                <w:szCs w:val="11"/>
                <w:color w:val="auto"/>
              </w:rPr>
            </w:pPr>
          </w:p>
        </w:tc>
        <w:tc>
          <w:tcPr>
            <w:tcW w:w="120" w:type="dxa"/>
            <w:vAlign w:val="bottom"/>
            <w:tcBorders>
              <w:top w:val="single" w:sz="8" w:color="auto"/>
            </w:tcBorders>
            <w:vMerge w:val="restart"/>
            <w:shd w:val="clear" w:color="auto" w:fill="EAF9E8"/>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vMerge w:val="restart"/>
            <w:shd w:val="clear" w:color="auto" w:fill="EAF9E8"/>
          </w:tcPr>
          <w:p>
            <w:pPr>
              <w:jc w:val="right"/>
              <w:spacing w:after="0"/>
              <w:rPr>
                <w:sz w:val="20"/>
                <w:szCs w:val="20"/>
                <w:color w:val="auto"/>
              </w:rPr>
            </w:pPr>
            <w:r>
              <w:rPr>
                <w:rFonts w:ascii="Arial" w:cs="Arial" w:eastAsia="Arial" w:hAnsi="Arial"/>
                <w:sz w:val="14"/>
                <w:szCs w:val="14"/>
                <w:color w:val="auto"/>
              </w:rPr>
              <w:t>(521)</w:t>
            </w:r>
          </w:p>
        </w:tc>
        <w:tc>
          <w:tcPr>
            <w:tcW w:w="12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80" w:type="dxa"/>
            <w:vAlign w:val="bottom"/>
            <w:tcBorders>
              <w:top w:val="single" w:sz="8" w:color="auto"/>
            </w:tcBorders>
            <w:vMerge w:val="restart"/>
            <w:shd w:val="clear" w:color="auto" w:fill="EAF9E8"/>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vMerge w:val="restart"/>
            <w:shd w:val="clear" w:color="auto" w:fill="EAF9E8"/>
          </w:tcPr>
          <w:p>
            <w:pPr>
              <w:jc w:val="right"/>
              <w:spacing w:after="0"/>
              <w:rPr>
                <w:sz w:val="20"/>
                <w:szCs w:val="20"/>
                <w:color w:val="auto"/>
              </w:rPr>
            </w:pPr>
            <w:r>
              <w:rPr>
                <w:rFonts w:ascii="Arial" w:cs="Arial" w:eastAsia="Arial" w:hAnsi="Arial"/>
                <w:sz w:val="14"/>
                <w:szCs w:val="14"/>
                <w:color w:val="auto"/>
              </w:rPr>
              <w:t>(3,324)</w:t>
            </w:r>
          </w:p>
        </w:tc>
        <w:tc>
          <w:tcPr>
            <w:tcW w:w="140" w:type="dxa"/>
            <w:vAlign w:val="bottom"/>
            <w:shd w:val="clear" w:color="auto" w:fill="EAF9E8"/>
          </w:tcPr>
          <w:p>
            <w:pPr>
              <w:spacing w:after="0"/>
              <w:rPr>
                <w:sz w:val="11"/>
                <w:szCs w:val="11"/>
                <w:color w:val="auto"/>
              </w:rPr>
            </w:pPr>
          </w:p>
        </w:tc>
        <w:tc>
          <w:tcPr>
            <w:tcW w:w="80" w:type="dxa"/>
            <w:vAlign w:val="bottom"/>
            <w:shd w:val="clear" w:color="auto" w:fill="EAF9E8"/>
          </w:tcPr>
          <w:p>
            <w:pPr>
              <w:spacing w:after="0"/>
              <w:rPr>
                <w:sz w:val="11"/>
                <w:szCs w:val="11"/>
                <w:color w:val="auto"/>
              </w:rPr>
            </w:pPr>
          </w:p>
        </w:tc>
        <w:tc>
          <w:tcPr>
            <w:tcW w:w="140" w:type="dxa"/>
            <w:vAlign w:val="bottom"/>
            <w:tcBorders>
              <w:top w:val="single" w:sz="8" w:color="auto"/>
            </w:tcBorders>
            <w:vMerge w:val="restart"/>
            <w:shd w:val="clear" w:color="auto" w:fill="EAF9E8"/>
          </w:tcPr>
          <w:p>
            <w:pPr>
              <w:spacing w:after="0"/>
              <w:rPr>
                <w:sz w:val="20"/>
                <w:szCs w:val="20"/>
                <w:color w:val="auto"/>
              </w:rPr>
            </w:pPr>
            <w:r>
              <w:rPr>
                <w:rFonts w:ascii="Arial" w:cs="Arial" w:eastAsia="Arial" w:hAnsi="Arial"/>
                <w:sz w:val="14"/>
                <w:szCs w:val="14"/>
                <w:color w:val="auto"/>
              </w:rPr>
              <w:t>$</w:t>
            </w:r>
          </w:p>
        </w:tc>
        <w:tc>
          <w:tcPr>
            <w:tcW w:w="440" w:type="dxa"/>
            <w:vAlign w:val="bottom"/>
            <w:tcBorders>
              <w:top w:val="single" w:sz="8" w:color="auto"/>
            </w:tcBorders>
            <w:vMerge w:val="restart"/>
            <w:shd w:val="clear" w:color="auto" w:fill="EAF9E8"/>
          </w:tcPr>
          <w:p>
            <w:pPr>
              <w:jc w:val="right"/>
              <w:spacing w:after="0"/>
              <w:rPr>
                <w:sz w:val="20"/>
                <w:szCs w:val="20"/>
                <w:color w:val="auto"/>
              </w:rPr>
            </w:pPr>
            <w:r>
              <w:rPr>
                <w:rFonts w:ascii="Arial" w:cs="Arial" w:eastAsia="Arial" w:hAnsi="Arial"/>
                <w:sz w:val="14"/>
                <w:szCs w:val="14"/>
                <w:color w:val="auto"/>
              </w:rPr>
              <w:t>2,706</w:t>
            </w:r>
          </w:p>
        </w:tc>
        <w:tc>
          <w:tcPr>
            <w:tcW w:w="80" w:type="dxa"/>
            <w:vAlign w:val="bottom"/>
            <w:shd w:val="clear" w:color="auto" w:fill="EAF9E8"/>
          </w:tcPr>
          <w:p>
            <w:pPr>
              <w:spacing w:after="0"/>
              <w:rPr>
                <w:sz w:val="11"/>
                <w:szCs w:val="11"/>
                <w:color w:val="auto"/>
              </w:rPr>
            </w:pPr>
          </w:p>
        </w:tc>
        <w:tc>
          <w:tcPr>
            <w:tcW w:w="120" w:type="dxa"/>
            <w:vAlign w:val="bottom"/>
            <w:shd w:val="clear" w:color="auto" w:fill="EAF9E8"/>
          </w:tcPr>
          <w:p>
            <w:pPr>
              <w:spacing w:after="0"/>
              <w:rPr>
                <w:sz w:val="11"/>
                <w:szCs w:val="11"/>
                <w:color w:val="auto"/>
              </w:rPr>
            </w:pPr>
          </w:p>
        </w:tc>
        <w:tc>
          <w:tcPr>
            <w:tcW w:w="140" w:type="dxa"/>
            <w:vAlign w:val="bottom"/>
            <w:tcBorders>
              <w:top w:val="single" w:sz="8" w:color="auto"/>
            </w:tcBorders>
            <w:vMerge w:val="restart"/>
            <w:shd w:val="clear" w:color="auto" w:fill="EAF9E8"/>
          </w:tcPr>
          <w:p>
            <w:pPr>
              <w:spacing w:after="0"/>
              <w:rPr>
                <w:sz w:val="20"/>
                <w:szCs w:val="20"/>
                <w:color w:val="auto"/>
              </w:rPr>
            </w:pPr>
            <w:r>
              <w:rPr>
                <w:rFonts w:ascii="Arial" w:cs="Arial" w:eastAsia="Arial" w:hAnsi="Arial"/>
                <w:sz w:val="14"/>
                <w:szCs w:val="14"/>
                <w:color w:val="auto"/>
              </w:rPr>
              <w:t>$</w:t>
            </w:r>
          </w:p>
        </w:tc>
        <w:tc>
          <w:tcPr>
            <w:tcW w:w="440" w:type="dxa"/>
            <w:vAlign w:val="bottom"/>
            <w:tcBorders>
              <w:top w:val="single" w:sz="8" w:color="auto"/>
            </w:tcBorders>
            <w:vMerge w:val="restart"/>
            <w:shd w:val="clear" w:color="auto" w:fill="EAF9E8"/>
          </w:tcPr>
          <w:p>
            <w:pPr>
              <w:jc w:val="right"/>
              <w:spacing w:after="0"/>
              <w:rPr>
                <w:sz w:val="20"/>
                <w:szCs w:val="20"/>
                <w:color w:val="auto"/>
              </w:rPr>
            </w:pPr>
            <w:r>
              <w:rPr>
                <w:rFonts w:ascii="Arial" w:cs="Arial" w:eastAsia="Arial" w:hAnsi="Arial"/>
                <w:sz w:val="14"/>
                <w:szCs w:val="14"/>
                <w:color w:val="auto"/>
              </w:rPr>
              <w:t>(3,816</w:t>
            </w:r>
          </w:p>
        </w:tc>
        <w:tc>
          <w:tcPr>
            <w:tcW w:w="120" w:type="dxa"/>
            <w:vAlign w:val="bottom"/>
            <w:vMerge w:val="restart"/>
            <w:shd w:val="clear" w:color="auto" w:fill="EAF9E8"/>
          </w:tcPr>
          <w:p>
            <w:pPr>
              <w:jc w:val="right"/>
              <w:ind w:right="41"/>
              <w:spacing w:after="0"/>
              <w:rPr>
                <w:sz w:val="20"/>
                <w:szCs w:val="20"/>
                <w:color w:val="auto"/>
              </w:rPr>
            </w:pPr>
            <w:r>
              <w:rPr>
                <w:rFonts w:ascii="Arial" w:cs="Arial" w:eastAsia="Arial" w:hAnsi="Arial"/>
                <w:sz w:val="8"/>
                <w:szCs w:val="8"/>
                <w:color w:val="auto"/>
                <w:w w:val="73"/>
              </w:rPr>
              <w:t>)</w:t>
            </w:r>
          </w:p>
        </w:tc>
        <w:tc>
          <w:tcPr>
            <w:tcW w:w="80" w:type="dxa"/>
            <w:vAlign w:val="bottom"/>
            <w:shd w:val="clear" w:color="auto" w:fill="EAF9E8"/>
          </w:tcPr>
          <w:p>
            <w:pPr>
              <w:spacing w:after="0"/>
              <w:rPr>
                <w:sz w:val="11"/>
                <w:szCs w:val="11"/>
                <w:color w:val="auto"/>
              </w:rPr>
            </w:pPr>
          </w:p>
        </w:tc>
        <w:tc>
          <w:tcPr>
            <w:tcW w:w="80" w:type="dxa"/>
            <w:vAlign w:val="bottom"/>
            <w:tcBorders>
              <w:top w:val="single" w:sz="8" w:color="auto"/>
            </w:tcBorders>
            <w:vMerge w:val="restart"/>
            <w:shd w:val="clear" w:color="auto" w:fill="EAF9E8"/>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vMerge w:val="restart"/>
            <w:shd w:val="clear" w:color="auto" w:fill="EAF9E8"/>
          </w:tcPr>
          <w:p>
            <w:pPr>
              <w:jc w:val="right"/>
              <w:spacing w:after="0"/>
              <w:rPr>
                <w:sz w:val="20"/>
                <w:szCs w:val="20"/>
                <w:color w:val="auto"/>
              </w:rPr>
            </w:pPr>
            <w:r>
              <w:rPr>
                <w:rFonts w:ascii="Arial" w:cs="Arial" w:eastAsia="Arial" w:hAnsi="Arial"/>
                <w:sz w:val="14"/>
                <w:szCs w:val="14"/>
                <w:color w:val="auto"/>
              </w:rPr>
              <w:t>2,057</w:t>
            </w:r>
          </w:p>
        </w:tc>
        <w:tc>
          <w:tcPr>
            <w:tcW w:w="140" w:type="dxa"/>
            <w:vAlign w:val="bottom"/>
            <w:shd w:val="clear" w:color="auto" w:fill="EAF9E8"/>
          </w:tcPr>
          <w:p>
            <w:pPr>
              <w:spacing w:after="0"/>
              <w:rPr>
                <w:sz w:val="11"/>
                <w:szCs w:val="11"/>
                <w:color w:val="auto"/>
              </w:rPr>
            </w:pPr>
          </w:p>
        </w:tc>
        <w:tc>
          <w:tcPr>
            <w:tcW w:w="80" w:type="dxa"/>
            <w:vAlign w:val="bottom"/>
            <w:shd w:val="clear" w:color="auto" w:fill="EAF9E8"/>
          </w:tcPr>
          <w:p>
            <w:pPr>
              <w:spacing w:after="0"/>
              <w:rPr>
                <w:sz w:val="11"/>
                <w:szCs w:val="11"/>
                <w:color w:val="auto"/>
              </w:rPr>
            </w:pPr>
          </w:p>
        </w:tc>
        <w:tc>
          <w:tcPr>
            <w:tcW w:w="120" w:type="dxa"/>
            <w:vAlign w:val="bottom"/>
            <w:tcBorders>
              <w:top w:val="single" w:sz="8" w:color="auto"/>
            </w:tcBorders>
            <w:vMerge w:val="restart"/>
            <w:shd w:val="clear" w:color="auto" w:fill="EAF9E8"/>
          </w:tcPr>
          <w:p>
            <w:pPr>
              <w:jc w:val="right"/>
              <w:ind w:right="4"/>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vMerge w:val="restart"/>
            <w:shd w:val="clear" w:color="auto" w:fill="EAF9E8"/>
          </w:tcPr>
          <w:p>
            <w:pPr>
              <w:jc w:val="right"/>
              <w:spacing w:after="0"/>
              <w:rPr>
                <w:sz w:val="20"/>
                <w:szCs w:val="20"/>
                <w:color w:val="auto"/>
              </w:rPr>
            </w:pPr>
            <w:r>
              <w:rPr>
                <w:rFonts w:ascii="Arial" w:cs="Arial" w:eastAsia="Arial" w:hAnsi="Arial"/>
                <w:sz w:val="14"/>
                <w:szCs w:val="14"/>
                <w:color w:val="auto"/>
              </w:rPr>
              <w:t>(2,716)</w:t>
            </w:r>
          </w:p>
        </w:tc>
        <w:tc>
          <w:tcPr>
            <w:tcW w:w="140" w:type="dxa"/>
            <w:vAlign w:val="bottom"/>
            <w:shd w:val="clear" w:color="auto" w:fill="EAF9E8"/>
          </w:tcPr>
          <w:p>
            <w:pPr>
              <w:spacing w:after="0"/>
              <w:rPr>
                <w:sz w:val="11"/>
                <w:szCs w:val="11"/>
                <w:color w:val="auto"/>
              </w:rPr>
            </w:pPr>
          </w:p>
        </w:tc>
        <w:tc>
          <w:tcPr>
            <w:tcW w:w="80" w:type="dxa"/>
            <w:vAlign w:val="bottom"/>
            <w:shd w:val="clear" w:color="auto" w:fill="EAF9E8"/>
          </w:tcPr>
          <w:p>
            <w:pPr>
              <w:spacing w:after="0"/>
              <w:rPr>
                <w:sz w:val="11"/>
                <w:szCs w:val="11"/>
                <w:color w:val="auto"/>
              </w:rPr>
            </w:pPr>
          </w:p>
        </w:tc>
        <w:tc>
          <w:tcPr>
            <w:tcW w:w="100" w:type="dxa"/>
            <w:vAlign w:val="bottom"/>
            <w:tcBorders>
              <w:top w:val="single" w:sz="8" w:color="auto"/>
            </w:tcBorders>
            <w:vMerge w:val="restart"/>
            <w:shd w:val="clear" w:color="auto" w:fill="EAF9E8"/>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vMerge w:val="restart"/>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80" w:type="dxa"/>
            <w:vAlign w:val="bottom"/>
            <w:tcBorders>
              <w:top w:val="single" w:sz="8" w:color="auto"/>
            </w:tcBorders>
            <w:vMerge w:val="restart"/>
            <w:shd w:val="clear" w:color="auto" w:fill="EAF9E8"/>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tcBorders>
            <w:vMerge w:val="restart"/>
            <w:shd w:val="clear" w:color="auto" w:fill="EAF9E8"/>
          </w:tcPr>
          <w:p>
            <w:pPr>
              <w:jc w:val="right"/>
              <w:spacing w:after="0"/>
              <w:rPr>
                <w:sz w:val="20"/>
                <w:szCs w:val="20"/>
                <w:color w:val="auto"/>
              </w:rPr>
            </w:pPr>
            <w:r>
              <w:rPr>
                <w:rFonts w:ascii="Arial" w:cs="Arial" w:eastAsia="Arial" w:hAnsi="Arial"/>
                <w:sz w:val="14"/>
                <w:szCs w:val="14"/>
                <w:color w:val="auto"/>
              </w:rPr>
              <w:t>23,410</w:t>
            </w:r>
          </w:p>
        </w:tc>
        <w:tc>
          <w:tcPr>
            <w:tcW w:w="120" w:type="dxa"/>
            <w:vAlign w:val="bottom"/>
            <w:shd w:val="clear" w:color="auto" w:fill="EAF9E8"/>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60" w:type="dxa"/>
            <w:vAlign w:val="bottom"/>
            <w:tcBorders>
              <w:bottom w:val="single" w:sz="8" w:color="EAF9E8"/>
            </w:tcBorders>
            <w:shd w:val="clear" w:color="auto" w:fill="EAF9E8"/>
          </w:tcPr>
          <w:p>
            <w:pPr>
              <w:spacing w:after="0"/>
              <w:rPr>
                <w:sz w:val="13"/>
                <w:szCs w:val="13"/>
                <w:color w:val="auto"/>
              </w:rPr>
            </w:pPr>
          </w:p>
        </w:tc>
        <w:tc>
          <w:tcPr>
            <w:tcW w:w="160" w:type="dxa"/>
            <w:vAlign w:val="bottom"/>
            <w:tcBorders>
              <w:bottom w:val="single" w:sz="8" w:color="EAF9E8"/>
            </w:tcBorders>
            <w:shd w:val="clear" w:color="auto" w:fill="EAF9E8"/>
          </w:tcPr>
          <w:p>
            <w:pPr>
              <w:spacing w:after="0"/>
              <w:rPr>
                <w:sz w:val="13"/>
                <w:szCs w:val="13"/>
                <w:color w:val="auto"/>
              </w:rPr>
            </w:pPr>
          </w:p>
        </w:tc>
        <w:tc>
          <w:tcPr>
            <w:tcW w:w="2240" w:type="dxa"/>
            <w:vAlign w:val="bottom"/>
            <w:tcBorders>
              <w:bottom w:val="single" w:sz="8" w:color="EAF9E8"/>
            </w:tcBorders>
            <w:gridSpan w:val="4"/>
            <w:shd w:val="clear" w:color="auto" w:fill="EAF9E8"/>
          </w:tcPr>
          <w:p>
            <w:pPr>
              <w:spacing w:after="0" w:line="113" w:lineRule="exact"/>
              <w:rPr>
                <w:sz w:val="20"/>
                <w:szCs w:val="20"/>
                <w:color w:val="auto"/>
              </w:rPr>
            </w:pPr>
            <w:r>
              <w:rPr>
                <w:rFonts w:ascii="Arial" w:cs="Arial" w:eastAsia="Arial" w:hAnsi="Arial"/>
                <w:sz w:val="12"/>
                <w:szCs w:val="12"/>
                <w:color w:val="auto"/>
              </w:rPr>
              <w:t>before income taxes</w:t>
            </w:r>
          </w:p>
        </w:tc>
        <w:tc>
          <w:tcPr>
            <w:tcW w:w="120" w:type="dxa"/>
            <w:vAlign w:val="bottom"/>
            <w:tcBorders>
              <w:bottom w:val="single" w:sz="8" w:color="EAF9E8"/>
            </w:tcBorders>
            <w:shd w:val="clear" w:color="auto" w:fill="EAF9E8"/>
          </w:tcPr>
          <w:p>
            <w:pPr>
              <w:spacing w:after="0"/>
              <w:rPr>
                <w:sz w:val="13"/>
                <w:szCs w:val="13"/>
                <w:color w:val="auto"/>
              </w:rPr>
            </w:pPr>
          </w:p>
        </w:tc>
        <w:tc>
          <w:tcPr>
            <w:tcW w:w="80" w:type="dxa"/>
            <w:vAlign w:val="bottom"/>
            <w:tcBorders>
              <w:bottom w:val="single" w:sz="8" w:color="auto"/>
            </w:tcBorders>
            <w:vMerge w:val="continue"/>
            <w:shd w:val="clear" w:color="auto" w:fill="EAF9E8"/>
          </w:tcPr>
          <w:p>
            <w:pPr>
              <w:spacing w:after="0"/>
              <w:rPr>
                <w:sz w:val="13"/>
                <w:szCs w:val="13"/>
                <w:color w:val="auto"/>
              </w:rPr>
            </w:pPr>
          </w:p>
        </w:tc>
        <w:tc>
          <w:tcPr>
            <w:tcW w:w="620" w:type="dxa"/>
            <w:vAlign w:val="bottom"/>
            <w:tcBorders>
              <w:bottom w:val="single" w:sz="8" w:color="auto"/>
            </w:tcBorders>
            <w:vMerge w:val="continue"/>
            <w:shd w:val="clear" w:color="auto" w:fill="EAF9E8"/>
          </w:tcPr>
          <w:p>
            <w:pPr>
              <w:spacing w:after="0"/>
              <w:rPr>
                <w:sz w:val="13"/>
                <w:szCs w:val="13"/>
                <w:color w:val="auto"/>
              </w:rPr>
            </w:pPr>
          </w:p>
        </w:tc>
        <w:tc>
          <w:tcPr>
            <w:tcW w:w="200" w:type="dxa"/>
            <w:vAlign w:val="bottom"/>
            <w:tcBorders>
              <w:bottom w:val="single" w:sz="8" w:color="EAF9E8"/>
            </w:tcBorders>
            <w:shd w:val="clear" w:color="auto" w:fill="EAF9E8"/>
          </w:tcPr>
          <w:p>
            <w:pPr>
              <w:spacing w:after="0"/>
              <w:rPr>
                <w:sz w:val="13"/>
                <w:szCs w:val="13"/>
                <w:color w:val="auto"/>
              </w:rPr>
            </w:pPr>
          </w:p>
        </w:tc>
        <w:tc>
          <w:tcPr>
            <w:tcW w:w="120" w:type="dxa"/>
            <w:vAlign w:val="bottom"/>
            <w:tcBorders>
              <w:bottom w:val="single" w:sz="8" w:color="auto"/>
            </w:tcBorders>
            <w:vMerge w:val="continue"/>
            <w:shd w:val="clear" w:color="auto" w:fill="EAF9E8"/>
          </w:tcPr>
          <w:p>
            <w:pPr>
              <w:spacing w:after="0"/>
              <w:rPr>
                <w:sz w:val="13"/>
                <w:szCs w:val="13"/>
                <w:color w:val="auto"/>
              </w:rPr>
            </w:pPr>
          </w:p>
        </w:tc>
        <w:tc>
          <w:tcPr>
            <w:tcW w:w="820" w:type="dxa"/>
            <w:vAlign w:val="bottom"/>
            <w:tcBorders>
              <w:bottom w:val="single" w:sz="8" w:color="auto"/>
            </w:tcBorders>
            <w:vMerge w:val="continue"/>
            <w:shd w:val="clear" w:color="auto" w:fill="EAF9E8"/>
          </w:tcPr>
          <w:p>
            <w:pPr>
              <w:spacing w:after="0"/>
              <w:rPr>
                <w:sz w:val="13"/>
                <w:szCs w:val="13"/>
                <w:color w:val="auto"/>
              </w:rPr>
            </w:pPr>
          </w:p>
        </w:tc>
        <w:tc>
          <w:tcPr>
            <w:tcW w:w="120" w:type="dxa"/>
            <w:vAlign w:val="bottom"/>
            <w:tcBorders>
              <w:bottom w:val="single" w:sz="8" w:color="EAF9E8"/>
            </w:tcBorders>
            <w:shd w:val="clear" w:color="auto" w:fill="EAF9E8"/>
          </w:tcPr>
          <w:p>
            <w:pPr>
              <w:spacing w:after="0"/>
              <w:rPr>
                <w:sz w:val="13"/>
                <w:szCs w:val="13"/>
                <w:color w:val="auto"/>
              </w:rPr>
            </w:pPr>
          </w:p>
        </w:tc>
        <w:tc>
          <w:tcPr>
            <w:tcW w:w="100" w:type="dxa"/>
            <w:vAlign w:val="bottom"/>
            <w:tcBorders>
              <w:bottom w:val="single" w:sz="8" w:color="EAF9E8"/>
            </w:tcBorders>
            <w:shd w:val="clear" w:color="auto" w:fill="EAF9E8"/>
          </w:tcPr>
          <w:p>
            <w:pPr>
              <w:spacing w:after="0"/>
              <w:rPr>
                <w:sz w:val="13"/>
                <w:szCs w:val="13"/>
                <w:color w:val="auto"/>
              </w:rPr>
            </w:pPr>
          </w:p>
        </w:tc>
        <w:tc>
          <w:tcPr>
            <w:tcW w:w="80" w:type="dxa"/>
            <w:vAlign w:val="bottom"/>
            <w:tcBorders>
              <w:bottom w:val="single" w:sz="8" w:color="auto"/>
            </w:tcBorders>
            <w:vMerge w:val="continue"/>
            <w:shd w:val="clear" w:color="auto" w:fill="EAF9E8"/>
          </w:tcPr>
          <w:p>
            <w:pPr>
              <w:spacing w:after="0"/>
              <w:rPr>
                <w:sz w:val="13"/>
                <w:szCs w:val="13"/>
                <w:color w:val="auto"/>
              </w:rPr>
            </w:pPr>
          </w:p>
        </w:tc>
        <w:tc>
          <w:tcPr>
            <w:tcW w:w="840" w:type="dxa"/>
            <w:vAlign w:val="bottom"/>
            <w:tcBorders>
              <w:bottom w:val="single" w:sz="8" w:color="auto"/>
            </w:tcBorders>
            <w:vMerge w:val="continue"/>
            <w:shd w:val="clear" w:color="auto" w:fill="EAF9E8"/>
          </w:tcPr>
          <w:p>
            <w:pPr>
              <w:spacing w:after="0"/>
              <w:rPr>
                <w:sz w:val="13"/>
                <w:szCs w:val="13"/>
                <w:color w:val="auto"/>
              </w:rPr>
            </w:pPr>
          </w:p>
        </w:tc>
        <w:tc>
          <w:tcPr>
            <w:tcW w:w="140" w:type="dxa"/>
            <w:vAlign w:val="bottom"/>
            <w:tcBorders>
              <w:bottom w:val="single" w:sz="8" w:color="EAF9E8"/>
            </w:tcBorders>
            <w:shd w:val="clear" w:color="auto" w:fill="EAF9E8"/>
          </w:tcPr>
          <w:p>
            <w:pPr>
              <w:spacing w:after="0"/>
              <w:rPr>
                <w:sz w:val="13"/>
                <w:szCs w:val="13"/>
                <w:color w:val="auto"/>
              </w:rPr>
            </w:pPr>
          </w:p>
        </w:tc>
        <w:tc>
          <w:tcPr>
            <w:tcW w:w="80" w:type="dxa"/>
            <w:vAlign w:val="bottom"/>
            <w:tcBorders>
              <w:bottom w:val="single" w:sz="8" w:color="EAF9E8"/>
            </w:tcBorders>
            <w:shd w:val="clear" w:color="auto" w:fill="EAF9E8"/>
          </w:tcPr>
          <w:p>
            <w:pPr>
              <w:spacing w:after="0"/>
              <w:rPr>
                <w:sz w:val="13"/>
                <w:szCs w:val="13"/>
                <w:color w:val="auto"/>
              </w:rPr>
            </w:pPr>
          </w:p>
        </w:tc>
        <w:tc>
          <w:tcPr>
            <w:tcW w:w="140" w:type="dxa"/>
            <w:vAlign w:val="bottom"/>
            <w:tcBorders>
              <w:bottom w:val="single" w:sz="8" w:color="auto"/>
            </w:tcBorders>
            <w:vMerge w:val="continue"/>
            <w:shd w:val="clear" w:color="auto" w:fill="EAF9E8"/>
          </w:tcPr>
          <w:p>
            <w:pPr>
              <w:spacing w:after="0"/>
              <w:rPr>
                <w:sz w:val="13"/>
                <w:szCs w:val="13"/>
                <w:color w:val="auto"/>
              </w:rPr>
            </w:pPr>
          </w:p>
        </w:tc>
        <w:tc>
          <w:tcPr>
            <w:tcW w:w="440" w:type="dxa"/>
            <w:vAlign w:val="bottom"/>
            <w:tcBorders>
              <w:bottom w:val="single" w:sz="8" w:color="auto"/>
            </w:tcBorders>
            <w:vMerge w:val="continue"/>
            <w:shd w:val="clear" w:color="auto" w:fill="EAF9E8"/>
          </w:tcPr>
          <w:p>
            <w:pPr>
              <w:spacing w:after="0"/>
              <w:rPr>
                <w:sz w:val="13"/>
                <w:szCs w:val="13"/>
                <w:color w:val="auto"/>
              </w:rPr>
            </w:pPr>
          </w:p>
        </w:tc>
        <w:tc>
          <w:tcPr>
            <w:tcW w:w="80" w:type="dxa"/>
            <w:vAlign w:val="bottom"/>
            <w:tcBorders>
              <w:bottom w:val="single" w:sz="8" w:color="EAF9E8"/>
            </w:tcBorders>
            <w:shd w:val="clear" w:color="auto" w:fill="EAF9E8"/>
          </w:tcPr>
          <w:p>
            <w:pPr>
              <w:spacing w:after="0"/>
              <w:rPr>
                <w:sz w:val="13"/>
                <w:szCs w:val="13"/>
                <w:color w:val="auto"/>
              </w:rPr>
            </w:pPr>
          </w:p>
        </w:tc>
        <w:tc>
          <w:tcPr>
            <w:tcW w:w="120" w:type="dxa"/>
            <w:vAlign w:val="bottom"/>
            <w:tcBorders>
              <w:bottom w:val="single" w:sz="8" w:color="EAF9E8"/>
            </w:tcBorders>
            <w:shd w:val="clear" w:color="auto" w:fill="EAF9E8"/>
          </w:tcPr>
          <w:p>
            <w:pPr>
              <w:spacing w:after="0"/>
              <w:rPr>
                <w:sz w:val="13"/>
                <w:szCs w:val="13"/>
                <w:color w:val="auto"/>
              </w:rPr>
            </w:pPr>
          </w:p>
        </w:tc>
        <w:tc>
          <w:tcPr>
            <w:tcW w:w="140" w:type="dxa"/>
            <w:vAlign w:val="bottom"/>
            <w:tcBorders>
              <w:bottom w:val="single" w:sz="8" w:color="auto"/>
            </w:tcBorders>
            <w:vMerge w:val="continue"/>
            <w:shd w:val="clear" w:color="auto" w:fill="EAF9E8"/>
          </w:tcPr>
          <w:p>
            <w:pPr>
              <w:spacing w:after="0"/>
              <w:rPr>
                <w:sz w:val="13"/>
                <w:szCs w:val="13"/>
                <w:color w:val="auto"/>
              </w:rPr>
            </w:pPr>
          </w:p>
        </w:tc>
        <w:tc>
          <w:tcPr>
            <w:tcW w:w="440" w:type="dxa"/>
            <w:vAlign w:val="bottom"/>
            <w:tcBorders>
              <w:bottom w:val="single" w:sz="8" w:color="auto"/>
            </w:tcBorders>
            <w:vMerge w:val="continue"/>
            <w:shd w:val="clear" w:color="auto" w:fill="EAF9E8"/>
          </w:tcPr>
          <w:p>
            <w:pPr>
              <w:spacing w:after="0"/>
              <w:rPr>
                <w:sz w:val="13"/>
                <w:szCs w:val="13"/>
                <w:color w:val="auto"/>
              </w:rPr>
            </w:pPr>
          </w:p>
        </w:tc>
        <w:tc>
          <w:tcPr>
            <w:tcW w:w="120" w:type="dxa"/>
            <w:vAlign w:val="bottom"/>
            <w:tcBorders>
              <w:bottom w:val="single" w:sz="8" w:color="EAF9E8"/>
            </w:tcBorders>
            <w:vMerge w:val="continue"/>
            <w:shd w:val="clear" w:color="auto" w:fill="EAF9E8"/>
          </w:tcPr>
          <w:p>
            <w:pPr>
              <w:spacing w:after="0"/>
              <w:rPr>
                <w:sz w:val="13"/>
                <w:szCs w:val="13"/>
                <w:color w:val="auto"/>
              </w:rPr>
            </w:pPr>
          </w:p>
        </w:tc>
        <w:tc>
          <w:tcPr>
            <w:tcW w:w="80" w:type="dxa"/>
            <w:vAlign w:val="bottom"/>
            <w:tcBorders>
              <w:bottom w:val="single" w:sz="8" w:color="EAF9E8"/>
            </w:tcBorders>
            <w:shd w:val="clear" w:color="auto" w:fill="EAF9E8"/>
          </w:tcPr>
          <w:p>
            <w:pPr>
              <w:spacing w:after="0"/>
              <w:rPr>
                <w:sz w:val="13"/>
                <w:szCs w:val="13"/>
                <w:color w:val="auto"/>
              </w:rPr>
            </w:pPr>
          </w:p>
        </w:tc>
        <w:tc>
          <w:tcPr>
            <w:tcW w:w="80" w:type="dxa"/>
            <w:vAlign w:val="bottom"/>
            <w:tcBorders>
              <w:bottom w:val="single" w:sz="8" w:color="auto"/>
            </w:tcBorders>
            <w:vMerge w:val="continue"/>
            <w:shd w:val="clear" w:color="auto" w:fill="EAF9E8"/>
          </w:tcPr>
          <w:p>
            <w:pPr>
              <w:spacing w:after="0"/>
              <w:rPr>
                <w:sz w:val="13"/>
                <w:szCs w:val="13"/>
                <w:color w:val="auto"/>
              </w:rPr>
            </w:pPr>
          </w:p>
        </w:tc>
        <w:tc>
          <w:tcPr>
            <w:tcW w:w="740" w:type="dxa"/>
            <w:vAlign w:val="bottom"/>
            <w:tcBorders>
              <w:bottom w:val="single" w:sz="8" w:color="auto"/>
            </w:tcBorders>
            <w:vMerge w:val="continue"/>
            <w:shd w:val="clear" w:color="auto" w:fill="EAF9E8"/>
          </w:tcPr>
          <w:p>
            <w:pPr>
              <w:spacing w:after="0"/>
              <w:rPr>
                <w:sz w:val="13"/>
                <w:szCs w:val="13"/>
                <w:color w:val="auto"/>
              </w:rPr>
            </w:pPr>
          </w:p>
        </w:tc>
        <w:tc>
          <w:tcPr>
            <w:tcW w:w="140" w:type="dxa"/>
            <w:vAlign w:val="bottom"/>
            <w:tcBorders>
              <w:bottom w:val="single" w:sz="8" w:color="EAF9E8"/>
            </w:tcBorders>
            <w:shd w:val="clear" w:color="auto" w:fill="EAF9E8"/>
          </w:tcPr>
          <w:p>
            <w:pPr>
              <w:spacing w:after="0"/>
              <w:rPr>
                <w:sz w:val="13"/>
                <w:szCs w:val="13"/>
                <w:color w:val="auto"/>
              </w:rPr>
            </w:pPr>
          </w:p>
        </w:tc>
        <w:tc>
          <w:tcPr>
            <w:tcW w:w="80" w:type="dxa"/>
            <w:vAlign w:val="bottom"/>
            <w:tcBorders>
              <w:bottom w:val="single" w:sz="8" w:color="EAF9E8"/>
            </w:tcBorders>
            <w:shd w:val="clear" w:color="auto" w:fill="EAF9E8"/>
          </w:tcPr>
          <w:p>
            <w:pPr>
              <w:spacing w:after="0"/>
              <w:rPr>
                <w:sz w:val="13"/>
                <w:szCs w:val="13"/>
                <w:color w:val="auto"/>
              </w:rPr>
            </w:pPr>
          </w:p>
        </w:tc>
        <w:tc>
          <w:tcPr>
            <w:tcW w:w="120" w:type="dxa"/>
            <w:vAlign w:val="bottom"/>
            <w:tcBorders>
              <w:bottom w:val="single" w:sz="8" w:color="auto"/>
            </w:tcBorders>
            <w:vMerge w:val="continue"/>
            <w:shd w:val="clear" w:color="auto" w:fill="EAF9E8"/>
          </w:tcPr>
          <w:p>
            <w:pPr>
              <w:spacing w:after="0"/>
              <w:rPr>
                <w:sz w:val="13"/>
                <w:szCs w:val="13"/>
                <w:color w:val="auto"/>
              </w:rPr>
            </w:pPr>
          </w:p>
        </w:tc>
        <w:tc>
          <w:tcPr>
            <w:tcW w:w="580" w:type="dxa"/>
            <w:vAlign w:val="bottom"/>
            <w:tcBorders>
              <w:bottom w:val="single" w:sz="8" w:color="auto"/>
            </w:tcBorders>
            <w:vMerge w:val="continue"/>
            <w:shd w:val="clear" w:color="auto" w:fill="EAF9E8"/>
          </w:tcPr>
          <w:p>
            <w:pPr>
              <w:spacing w:after="0"/>
              <w:rPr>
                <w:sz w:val="13"/>
                <w:szCs w:val="13"/>
                <w:color w:val="auto"/>
              </w:rPr>
            </w:pPr>
          </w:p>
        </w:tc>
        <w:tc>
          <w:tcPr>
            <w:tcW w:w="140" w:type="dxa"/>
            <w:vAlign w:val="bottom"/>
            <w:tcBorders>
              <w:bottom w:val="single" w:sz="8" w:color="EAF9E8"/>
            </w:tcBorders>
            <w:shd w:val="clear" w:color="auto" w:fill="EAF9E8"/>
          </w:tcPr>
          <w:p>
            <w:pPr>
              <w:spacing w:after="0"/>
              <w:rPr>
                <w:sz w:val="13"/>
                <w:szCs w:val="13"/>
                <w:color w:val="auto"/>
              </w:rPr>
            </w:pPr>
          </w:p>
        </w:tc>
        <w:tc>
          <w:tcPr>
            <w:tcW w:w="80" w:type="dxa"/>
            <w:vAlign w:val="bottom"/>
            <w:tcBorders>
              <w:bottom w:val="single" w:sz="8" w:color="EAF9E8"/>
            </w:tcBorders>
            <w:shd w:val="clear" w:color="auto" w:fill="EAF9E8"/>
          </w:tcPr>
          <w:p>
            <w:pPr>
              <w:spacing w:after="0"/>
              <w:rPr>
                <w:sz w:val="13"/>
                <w:szCs w:val="13"/>
                <w:color w:val="auto"/>
              </w:rPr>
            </w:pPr>
          </w:p>
        </w:tc>
        <w:tc>
          <w:tcPr>
            <w:tcW w:w="100" w:type="dxa"/>
            <w:vAlign w:val="bottom"/>
            <w:tcBorders>
              <w:bottom w:val="single" w:sz="8" w:color="auto"/>
            </w:tcBorders>
            <w:vMerge w:val="continue"/>
            <w:shd w:val="clear" w:color="auto" w:fill="EAF9E8"/>
          </w:tcPr>
          <w:p>
            <w:pPr>
              <w:spacing w:after="0"/>
              <w:rPr>
                <w:sz w:val="13"/>
                <w:szCs w:val="13"/>
                <w:color w:val="auto"/>
              </w:rPr>
            </w:pPr>
          </w:p>
        </w:tc>
        <w:tc>
          <w:tcPr>
            <w:tcW w:w="740" w:type="dxa"/>
            <w:vAlign w:val="bottom"/>
            <w:tcBorders>
              <w:bottom w:val="single" w:sz="8" w:color="auto"/>
            </w:tcBorders>
            <w:vMerge w:val="continue"/>
            <w:shd w:val="clear" w:color="auto" w:fill="EAF9E8"/>
          </w:tcPr>
          <w:p>
            <w:pPr>
              <w:spacing w:after="0"/>
              <w:rPr>
                <w:sz w:val="13"/>
                <w:szCs w:val="13"/>
                <w:color w:val="auto"/>
              </w:rPr>
            </w:pPr>
          </w:p>
        </w:tc>
        <w:tc>
          <w:tcPr>
            <w:tcW w:w="120" w:type="dxa"/>
            <w:vAlign w:val="bottom"/>
            <w:tcBorders>
              <w:bottom w:val="single" w:sz="8" w:color="EAF9E8"/>
            </w:tcBorders>
            <w:shd w:val="clear" w:color="auto" w:fill="EAF9E8"/>
          </w:tcPr>
          <w:p>
            <w:pPr>
              <w:spacing w:after="0"/>
              <w:rPr>
                <w:sz w:val="13"/>
                <w:szCs w:val="13"/>
                <w:color w:val="auto"/>
              </w:rPr>
            </w:pPr>
          </w:p>
        </w:tc>
        <w:tc>
          <w:tcPr>
            <w:tcW w:w="100" w:type="dxa"/>
            <w:vAlign w:val="bottom"/>
            <w:tcBorders>
              <w:bottom w:val="single" w:sz="8" w:color="EAF9E8"/>
            </w:tcBorders>
            <w:shd w:val="clear" w:color="auto" w:fill="EAF9E8"/>
          </w:tcPr>
          <w:p>
            <w:pPr>
              <w:spacing w:after="0"/>
              <w:rPr>
                <w:sz w:val="13"/>
                <w:szCs w:val="13"/>
                <w:color w:val="auto"/>
              </w:rPr>
            </w:pPr>
          </w:p>
        </w:tc>
        <w:tc>
          <w:tcPr>
            <w:tcW w:w="80" w:type="dxa"/>
            <w:vAlign w:val="bottom"/>
            <w:tcBorders>
              <w:bottom w:val="single" w:sz="8" w:color="auto"/>
            </w:tcBorders>
            <w:vMerge w:val="continue"/>
            <w:shd w:val="clear" w:color="auto" w:fill="EAF9E8"/>
          </w:tcPr>
          <w:p>
            <w:pPr>
              <w:spacing w:after="0"/>
              <w:rPr>
                <w:sz w:val="13"/>
                <w:szCs w:val="13"/>
                <w:color w:val="auto"/>
              </w:rPr>
            </w:pPr>
          </w:p>
        </w:tc>
        <w:tc>
          <w:tcPr>
            <w:tcW w:w="760" w:type="dxa"/>
            <w:vAlign w:val="bottom"/>
            <w:tcBorders>
              <w:bottom w:val="single" w:sz="8" w:color="auto"/>
            </w:tcBorders>
            <w:vMerge w:val="continue"/>
            <w:shd w:val="clear" w:color="auto" w:fill="EAF9E8"/>
          </w:tcPr>
          <w:p>
            <w:pPr>
              <w:spacing w:after="0"/>
              <w:rPr>
                <w:sz w:val="13"/>
                <w:szCs w:val="13"/>
                <w:color w:val="auto"/>
              </w:rPr>
            </w:pPr>
          </w:p>
        </w:tc>
        <w:tc>
          <w:tcPr>
            <w:tcW w:w="120" w:type="dxa"/>
            <w:vAlign w:val="bottom"/>
            <w:tcBorders>
              <w:bottom w:val="single" w:sz="8" w:color="EAF9E8"/>
            </w:tcBorders>
            <w:shd w:val="clear" w:color="auto" w:fill="EAF9E8"/>
          </w:tcPr>
          <w:p>
            <w:pPr>
              <w:spacing w:after="0"/>
              <w:rPr>
                <w:sz w:val="13"/>
                <w:szCs w:val="13"/>
                <w:color w:val="auto"/>
              </w:rPr>
            </w:pPr>
          </w:p>
        </w:tc>
        <w:tc>
          <w:tcPr>
            <w:tcW w:w="0" w:type="dxa"/>
            <w:vAlign w:val="bottom"/>
          </w:tcPr>
          <w:p>
            <w:pPr>
              <w:spacing w:after="0"/>
              <w:rPr>
                <w:sz w:val="1"/>
                <w:szCs w:val="1"/>
                <w:color w:val="auto"/>
              </w:rPr>
            </w:pPr>
          </w:p>
        </w:tc>
      </w:tr>
      <w:tr>
        <w:trPr>
          <w:trHeight w:val="359"/>
        </w:trPr>
        <w:tc>
          <w:tcPr>
            <w:tcW w:w="160" w:type="dxa"/>
            <w:vAlign w:val="bottom"/>
          </w:tcPr>
          <w:p>
            <w:pPr>
              <w:spacing w:after="0"/>
              <w:rPr>
                <w:sz w:val="24"/>
                <w:szCs w:val="24"/>
                <w:color w:val="auto"/>
              </w:rPr>
            </w:pPr>
          </w:p>
        </w:tc>
        <w:tc>
          <w:tcPr>
            <w:tcW w:w="2400" w:type="dxa"/>
            <w:vAlign w:val="bottom"/>
            <w:gridSpan w:val="5"/>
          </w:tcPr>
          <w:p>
            <w:pPr>
              <w:spacing w:after="0"/>
              <w:rPr>
                <w:sz w:val="20"/>
                <w:szCs w:val="20"/>
                <w:color w:val="auto"/>
              </w:rPr>
            </w:pPr>
            <w:r>
              <w:rPr>
                <w:rFonts w:ascii="Arial" w:cs="Arial" w:eastAsia="Arial" w:hAnsi="Arial"/>
                <w:sz w:val="14"/>
                <w:szCs w:val="14"/>
                <w:color w:val="auto"/>
                <w:w w:val="90"/>
              </w:rPr>
              <w:t>For the nine months ended September 30,</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160" w:type="dxa"/>
            <w:vAlign w:val="bottom"/>
          </w:tcPr>
          <w:p>
            <w:pPr>
              <w:spacing w:after="0"/>
              <w:rPr>
                <w:sz w:val="11"/>
                <w:szCs w:val="11"/>
                <w:color w:val="auto"/>
              </w:rPr>
            </w:pPr>
          </w:p>
        </w:tc>
        <w:tc>
          <w:tcPr>
            <w:tcW w:w="420" w:type="dxa"/>
            <w:vAlign w:val="bottom"/>
            <w:tcBorders>
              <w:top w:val="single" w:sz="8" w:color="auto"/>
            </w:tcBorders>
            <w:gridSpan w:val="2"/>
          </w:tcPr>
          <w:p>
            <w:pPr>
              <w:ind w:left="160"/>
              <w:spacing w:after="0" w:line="129" w:lineRule="exact"/>
              <w:rPr>
                <w:sz w:val="20"/>
                <w:szCs w:val="20"/>
                <w:color w:val="auto"/>
              </w:rPr>
            </w:pPr>
            <w:r>
              <w:rPr>
                <w:rFonts w:ascii="Arial" w:cs="Arial" w:eastAsia="Arial" w:hAnsi="Arial"/>
                <w:sz w:val="14"/>
                <w:szCs w:val="14"/>
                <w:color w:val="auto"/>
                <w:w w:val="70"/>
              </w:rPr>
              <w:t>2009</w:t>
            </w:r>
          </w:p>
        </w:tc>
        <w:tc>
          <w:tcPr>
            <w:tcW w:w="184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60" w:type="dxa"/>
            <w:vAlign w:val="bottom"/>
            <w:shd w:val="clear" w:color="auto" w:fill="EAF9E8"/>
          </w:tcPr>
          <w:p>
            <w:pPr>
              <w:spacing w:after="0"/>
              <w:rPr>
                <w:sz w:val="20"/>
                <w:szCs w:val="20"/>
                <w:color w:val="auto"/>
              </w:rPr>
            </w:pPr>
          </w:p>
        </w:tc>
        <w:tc>
          <w:tcPr>
            <w:tcW w:w="2400" w:type="dxa"/>
            <w:vAlign w:val="bottom"/>
            <w:gridSpan w:val="5"/>
            <w:shd w:val="clear" w:color="auto" w:fill="EAF9E8"/>
          </w:tcPr>
          <w:p>
            <w:pPr>
              <w:spacing w:after="0"/>
              <w:rPr>
                <w:sz w:val="20"/>
                <w:szCs w:val="20"/>
                <w:color w:val="auto"/>
              </w:rPr>
            </w:pPr>
            <w:r>
              <w:rPr>
                <w:rFonts w:ascii="Arial" w:cs="Arial" w:eastAsia="Arial" w:hAnsi="Arial"/>
                <w:sz w:val="14"/>
                <w:szCs w:val="14"/>
                <w:color w:val="auto"/>
              </w:rPr>
              <w:t>Revenue (1) (2)</w:t>
            </w:r>
          </w:p>
        </w:tc>
        <w:tc>
          <w:tcPr>
            <w:tcW w:w="200" w:type="dxa"/>
            <w:vAlign w:val="bottom"/>
            <w:gridSpan w:val="2"/>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EAF9E8"/>
          </w:tcPr>
          <w:p>
            <w:pPr>
              <w:jc w:val="right"/>
              <w:spacing w:after="0"/>
              <w:rPr>
                <w:sz w:val="20"/>
                <w:szCs w:val="20"/>
                <w:color w:val="auto"/>
              </w:rPr>
            </w:pPr>
            <w:r>
              <w:rPr>
                <w:rFonts w:ascii="Arial" w:cs="Arial" w:eastAsia="Arial" w:hAnsi="Arial"/>
                <w:sz w:val="14"/>
                <w:szCs w:val="14"/>
                <w:color w:val="auto"/>
              </w:rPr>
              <w:t>199,539</w:t>
            </w:r>
          </w:p>
        </w:tc>
        <w:tc>
          <w:tcPr>
            <w:tcW w:w="200" w:type="dxa"/>
            <w:vAlign w:val="bottom"/>
            <w:shd w:val="clear" w:color="auto" w:fill="EAF9E8"/>
          </w:tcPr>
          <w:p>
            <w:pPr>
              <w:spacing w:after="0"/>
              <w:rPr>
                <w:sz w:val="20"/>
                <w:szCs w:val="20"/>
                <w:color w:val="auto"/>
              </w:rPr>
            </w:pPr>
          </w:p>
        </w:tc>
        <w:tc>
          <w:tcPr>
            <w:tcW w:w="120" w:type="dxa"/>
            <w:vAlign w:val="bottom"/>
            <w:shd w:val="clear" w:color="auto" w:fill="EAF9E8"/>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EAF9E8"/>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gridSpan w:val="2"/>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EAF9E8"/>
          </w:tcPr>
          <w:p>
            <w:pPr>
              <w:jc w:val="right"/>
              <w:ind w:right="140"/>
              <w:spacing w:after="0"/>
              <w:rPr>
                <w:sz w:val="20"/>
                <w:szCs w:val="20"/>
                <w:color w:val="auto"/>
              </w:rPr>
            </w:pPr>
            <w:r>
              <w:rPr>
                <w:rFonts w:ascii="Arial" w:cs="Arial" w:eastAsia="Arial" w:hAnsi="Arial"/>
                <w:sz w:val="14"/>
                <w:szCs w:val="14"/>
                <w:color w:val="auto"/>
              </w:rPr>
              <w:t>1,429</w:t>
            </w:r>
          </w:p>
        </w:tc>
        <w:tc>
          <w:tcPr>
            <w:tcW w:w="220" w:type="dxa"/>
            <w:vAlign w:val="bottom"/>
            <w:gridSpan w:val="2"/>
            <w:shd w:val="clear" w:color="auto" w:fill="EAF9E8"/>
          </w:tcPr>
          <w:p>
            <w:pPr>
              <w:ind w:left="80"/>
              <w:spacing w:after="0"/>
              <w:rPr>
                <w:sz w:val="20"/>
                <w:szCs w:val="20"/>
                <w:color w:val="auto"/>
              </w:rPr>
            </w:pPr>
            <w:r>
              <w:rPr>
                <w:rFonts w:ascii="Arial" w:cs="Arial" w:eastAsia="Arial" w:hAnsi="Arial"/>
                <w:sz w:val="14"/>
                <w:szCs w:val="14"/>
                <w:color w:val="auto"/>
              </w:rPr>
              <w:t>$</w:t>
            </w:r>
          </w:p>
        </w:tc>
        <w:tc>
          <w:tcPr>
            <w:tcW w:w="440" w:type="dxa"/>
            <w:vAlign w:val="bottom"/>
            <w:shd w:val="clear" w:color="auto" w:fill="EAF9E8"/>
          </w:tcPr>
          <w:p>
            <w:pPr>
              <w:jc w:val="right"/>
              <w:spacing w:after="0"/>
              <w:rPr>
                <w:sz w:val="20"/>
                <w:szCs w:val="20"/>
                <w:color w:val="auto"/>
              </w:rPr>
            </w:pPr>
            <w:r>
              <w:rPr>
                <w:rFonts w:ascii="Arial" w:cs="Arial" w:eastAsia="Arial" w:hAnsi="Arial"/>
                <w:sz w:val="14"/>
                <w:szCs w:val="14"/>
                <w:color w:val="auto"/>
                <w:w w:val="97"/>
              </w:rPr>
              <w:t>54,052</w:t>
            </w:r>
          </w:p>
        </w:tc>
        <w:tc>
          <w:tcPr>
            <w:tcW w:w="80" w:type="dxa"/>
            <w:vAlign w:val="bottom"/>
            <w:shd w:val="clear" w:color="auto" w:fill="EAF9E8"/>
          </w:tcPr>
          <w:p>
            <w:pPr>
              <w:spacing w:after="0"/>
              <w:rPr>
                <w:sz w:val="20"/>
                <w:szCs w:val="20"/>
                <w:color w:val="auto"/>
              </w:rPr>
            </w:pPr>
          </w:p>
        </w:tc>
        <w:tc>
          <w:tcPr>
            <w:tcW w:w="260" w:type="dxa"/>
            <w:vAlign w:val="bottom"/>
            <w:gridSpan w:val="2"/>
            <w:shd w:val="clear" w:color="auto" w:fill="EAF9E8"/>
          </w:tcPr>
          <w:p>
            <w:pPr>
              <w:ind w:left="120"/>
              <w:spacing w:after="0"/>
              <w:rPr>
                <w:sz w:val="20"/>
                <w:szCs w:val="20"/>
                <w:color w:val="auto"/>
              </w:rPr>
            </w:pPr>
            <w:r>
              <w:rPr>
                <w:rFonts w:ascii="Arial" w:cs="Arial" w:eastAsia="Arial" w:hAnsi="Arial"/>
                <w:sz w:val="14"/>
                <w:szCs w:val="14"/>
                <w:color w:val="auto"/>
              </w:rPr>
              <w:t>$</w:t>
            </w:r>
          </w:p>
        </w:tc>
        <w:tc>
          <w:tcPr>
            <w:tcW w:w="560" w:type="dxa"/>
            <w:vAlign w:val="bottom"/>
            <w:gridSpan w:val="2"/>
            <w:shd w:val="clear" w:color="auto" w:fill="EAF9E8"/>
          </w:tcPr>
          <w:p>
            <w:pPr>
              <w:jc w:val="right"/>
              <w:ind w:right="81"/>
              <w:spacing w:after="0"/>
              <w:rPr>
                <w:sz w:val="20"/>
                <w:szCs w:val="20"/>
                <w:color w:val="auto"/>
              </w:rPr>
            </w:pPr>
            <w:r>
              <w:rPr>
                <w:rFonts w:ascii="Arial" w:cs="Arial" w:eastAsia="Arial" w:hAnsi="Arial"/>
                <w:sz w:val="14"/>
                <w:szCs w:val="14"/>
                <w:color w:val="auto"/>
                <w:w w:val="97"/>
              </w:rPr>
              <w:t>40,293</w:t>
            </w:r>
          </w:p>
        </w:tc>
        <w:tc>
          <w:tcPr>
            <w:tcW w:w="160" w:type="dxa"/>
            <w:vAlign w:val="bottom"/>
            <w:gridSpan w:val="2"/>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EAF9E8"/>
          </w:tcPr>
          <w:p>
            <w:pPr>
              <w:jc w:val="right"/>
              <w:ind w:right="140"/>
              <w:spacing w:after="0"/>
              <w:rPr>
                <w:sz w:val="20"/>
                <w:szCs w:val="20"/>
                <w:color w:val="auto"/>
              </w:rPr>
            </w:pPr>
            <w:r>
              <w:rPr>
                <w:rFonts w:ascii="Arial" w:cs="Arial" w:eastAsia="Arial" w:hAnsi="Arial"/>
                <w:sz w:val="14"/>
                <w:szCs w:val="14"/>
                <w:color w:val="auto"/>
              </w:rPr>
              <w:t>28,331</w:t>
            </w:r>
          </w:p>
        </w:tc>
        <w:tc>
          <w:tcPr>
            <w:tcW w:w="200" w:type="dxa"/>
            <w:vAlign w:val="bottom"/>
            <w:gridSpan w:val="2"/>
            <w:shd w:val="clear" w:color="auto" w:fill="EAF9E8"/>
          </w:tcPr>
          <w:p>
            <w:pPr>
              <w:jc w:val="right"/>
              <w:ind w:right="4"/>
              <w:spacing w:after="0"/>
              <w:rPr>
                <w:sz w:val="20"/>
                <w:szCs w:val="20"/>
                <w:color w:val="auto"/>
              </w:rPr>
            </w:pPr>
            <w:r>
              <w:rPr>
                <w:rFonts w:ascii="Arial" w:cs="Arial" w:eastAsia="Arial" w:hAnsi="Arial"/>
                <w:sz w:val="14"/>
                <w:szCs w:val="14"/>
                <w:color w:val="auto"/>
              </w:rPr>
              <w:t>$</w:t>
            </w:r>
          </w:p>
        </w:tc>
        <w:tc>
          <w:tcPr>
            <w:tcW w:w="580" w:type="dxa"/>
            <w:vAlign w:val="bottom"/>
            <w:shd w:val="clear" w:color="auto" w:fill="EAF9E8"/>
          </w:tcPr>
          <w:p>
            <w:pPr>
              <w:jc w:val="right"/>
              <w:spacing w:after="0"/>
              <w:rPr>
                <w:sz w:val="20"/>
                <w:szCs w:val="20"/>
                <w:color w:val="auto"/>
              </w:rPr>
            </w:pPr>
            <w:r>
              <w:rPr>
                <w:rFonts w:ascii="Arial" w:cs="Arial" w:eastAsia="Arial" w:hAnsi="Arial"/>
                <w:sz w:val="14"/>
                <w:szCs w:val="14"/>
                <w:color w:val="auto"/>
              </w:rPr>
              <w:t>681</w:t>
            </w:r>
          </w:p>
        </w:tc>
        <w:tc>
          <w:tcPr>
            <w:tcW w:w="140" w:type="dxa"/>
            <w:vAlign w:val="bottom"/>
            <w:shd w:val="clear" w:color="auto" w:fill="EAF9E8"/>
          </w:tcPr>
          <w:p>
            <w:pPr>
              <w:spacing w:after="0"/>
              <w:rPr>
                <w:sz w:val="20"/>
                <w:szCs w:val="20"/>
                <w:color w:val="auto"/>
              </w:rPr>
            </w:pPr>
          </w:p>
        </w:tc>
        <w:tc>
          <w:tcPr>
            <w:tcW w:w="180" w:type="dxa"/>
            <w:vAlign w:val="bottom"/>
            <w:gridSpan w:val="2"/>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EAF9E8"/>
          </w:tcPr>
          <w:p>
            <w:pPr>
              <w:jc w:val="right"/>
              <w:ind w:right="80"/>
              <w:spacing w:after="0"/>
              <w:rPr>
                <w:sz w:val="20"/>
                <w:szCs w:val="20"/>
                <w:color w:val="auto"/>
              </w:rPr>
            </w:pPr>
            <w:r>
              <w:rPr>
                <w:rFonts w:ascii="Arial" w:cs="Arial" w:eastAsia="Arial" w:hAnsi="Arial"/>
                <w:sz w:val="14"/>
                <w:szCs w:val="14"/>
                <w:color w:val="auto"/>
              </w:rPr>
              <w:t>(17,204)</w:t>
            </w:r>
          </w:p>
        </w:tc>
        <w:tc>
          <w:tcPr>
            <w:tcW w:w="180" w:type="dxa"/>
            <w:vAlign w:val="bottom"/>
            <w:gridSpan w:val="2"/>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EAF9E8"/>
          </w:tcPr>
          <w:p>
            <w:pPr>
              <w:jc w:val="right"/>
              <w:spacing w:after="0"/>
              <w:rPr>
                <w:sz w:val="20"/>
                <w:szCs w:val="20"/>
                <w:color w:val="auto"/>
              </w:rPr>
            </w:pPr>
            <w:r>
              <w:rPr>
                <w:rFonts w:ascii="Arial" w:cs="Arial" w:eastAsia="Arial" w:hAnsi="Arial"/>
                <w:sz w:val="14"/>
                <w:szCs w:val="14"/>
                <w:color w:val="auto"/>
              </w:rPr>
              <w:t>307,121</w:t>
            </w:r>
          </w:p>
        </w:tc>
        <w:tc>
          <w:tcPr>
            <w:tcW w:w="120" w:type="dxa"/>
            <w:vAlign w:val="bottom"/>
            <w:shd w:val="clear" w:color="auto" w:fill="EAF9E8"/>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60" w:type="dxa"/>
            <w:vAlign w:val="bottom"/>
          </w:tcPr>
          <w:p>
            <w:pPr>
              <w:spacing w:after="0"/>
              <w:rPr>
                <w:sz w:val="21"/>
                <w:szCs w:val="21"/>
                <w:color w:val="auto"/>
              </w:rPr>
            </w:pPr>
          </w:p>
        </w:tc>
        <w:tc>
          <w:tcPr>
            <w:tcW w:w="2400" w:type="dxa"/>
            <w:vAlign w:val="bottom"/>
            <w:gridSpan w:val="5"/>
          </w:tcPr>
          <w:p>
            <w:pPr>
              <w:spacing w:after="0"/>
              <w:rPr>
                <w:sz w:val="20"/>
                <w:szCs w:val="20"/>
                <w:color w:val="auto"/>
              </w:rPr>
            </w:pPr>
            <w:r>
              <w:rPr>
                <w:rFonts w:ascii="Arial" w:cs="Arial" w:eastAsia="Arial" w:hAnsi="Arial"/>
                <w:sz w:val="14"/>
                <w:szCs w:val="14"/>
                <w:color w:val="auto"/>
              </w:rPr>
              <w:t>Operating expenses (1) (3) (4)</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97,922</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2,202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2,530</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w w:val="97"/>
              </w:rPr>
              <w:t>37,039</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gridSpan w:val="2"/>
          </w:tcPr>
          <w:p>
            <w:pPr>
              <w:jc w:val="right"/>
              <w:ind w:right="81"/>
              <w:spacing w:after="0"/>
              <w:rPr>
                <w:sz w:val="20"/>
                <w:szCs w:val="20"/>
                <w:color w:val="auto"/>
              </w:rPr>
            </w:pPr>
            <w:r>
              <w:rPr>
                <w:rFonts w:ascii="Arial" w:cs="Arial" w:eastAsia="Arial" w:hAnsi="Arial"/>
                <w:sz w:val="14"/>
                <w:szCs w:val="14"/>
                <w:color w:val="auto"/>
                <w:w w:val="97"/>
              </w:rPr>
              <w:t>45,001</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18,638</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gridSpan w:val="2"/>
          </w:tcPr>
          <w:p>
            <w:pPr>
              <w:jc w:val="right"/>
              <w:ind w:right="101"/>
              <w:spacing w:after="0"/>
              <w:rPr>
                <w:sz w:val="20"/>
                <w:szCs w:val="20"/>
                <w:color w:val="auto"/>
              </w:rPr>
            </w:pPr>
            <w:r>
              <w:rPr>
                <w:rFonts w:ascii="Arial" w:cs="Arial" w:eastAsia="Arial" w:hAnsi="Arial"/>
                <w:sz w:val="14"/>
                <w:szCs w:val="14"/>
                <w:color w:val="auto"/>
              </w:rPr>
              <w:t>11,367</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4"/>
                <w:szCs w:val="14"/>
                <w:color w:val="auto"/>
              </w:rPr>
              <w:t>(16,410)</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198,289</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60" w:type="dxa"/>
            <w:vAlign w:val="bottom"/>
            <w:shd w:val="clear" w:color="auto" w:fill="EAF9E8"/>
          </w:tcPr>
          <w:p>
            <w:pPr>
              <w:spacing w:after="0"/>
              <w:rPr>
                <w:sz w:val="20"/>
                <w:szCs w:val="20"/>
                <w:color w:val="auto"/>
              </w:rPr>
            </w:pPr>
          </w:p>
        </w:tc>
        <w:tc>
          <w:tcPr>
            <w:tcW w:w="2400" w:type="dxa"/>
            <w:vAlign w:val="bottom"/>
            <w:gridSpan w:val="5"/>
            <w:shd w:val="clear" w:color="auto" w:fill="EAF9E8"/>
          </w:tcPr>
          <w:p>
            <w:pPr>
              <w:spacing w:after="0"/>
              <w:rPr>
                <w:sz w:val="20"/>
                <w:szCs w:val="20"/>
                <w:color w:val="auto"/>
              </w:rPr>
            </w:pPr>
            <w:r>
              <w:rPr>
                <w:rFonts w:ascii="Arial" w:cs="Arial" w:eastAsia="Arial" w:hAnsi="Arial"/>
                <w:sz w:val="14"/>
                <w:szCs w:val="14"/>
                <w:color w:val="auto"/>
              </w:rPr>
              <w:t>Income (loss) from operations</w:t>
            </w:r>
          </w:p>
        </w:tc>
        <w:tc>
          <w:tcPr>
            <w:tcW w:w="120" w:type="dxa"/>
            <w:vAlign w:val="bottom"/>
            <w:shd w:val="clear" w:color="auto" w:fill="EAF9E8"/>
          </w:tcPr>
          <w:p>
            <w:pPr>
              <w:spacing w:after="0"/>
              <w:rPr>
                <w:sz w:val="20"/>
                <w:szCs w:val="20"/>
                <w:color w:val="auto"/>
              </w:rPr>
            </w:pPr>
          </w:p>
        </w:tc>
        <w:tc>
          <w:tcPr>
            <w:tcW w:w="80" w:type="dxa"/>
            <w:vAlign w:val="bottom"/>
            <w:shd w:val="clear" w:color="auto" w:fill="EAF9E8"/>
          </w:tcPr>
          <w:p>
            <w:pPr>
              <w:spacing w:after="0"/>
              <w:rPr>
                <w:sz w:val="20"/>
                <w:szCs w:val="20"/>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4"/>
                <w:szCs w:val="14"/>
                <w:color w:val="auto"/>
              </w:rPr>
              <w:t>101,617</w:t>
            </w:r>
          </w:p>
        </w:tc>
        <w:tc>
          <w:tcPr>
            <w:tcW w:w="200" w:type="dxa"/>
            <w:vAlign w:val="bottom"/>
            <w:shd w:val="clear" w:color="auto" w:fill="EAF9E8"/>
          </w:tcPr>
          <w:p>
            <w:pPr>
              <w:spacing w:after="0"/>
              <w:rPr>
                <w:sz w:val="20"/>
                <w:szCs w:val="20"/>
                <w:color w:val="auto"/>
              </w:rPr>
            </w:pPr>
          </w:p>
        </w:tc>
        <w:tc>
          <w:tcPr>
            <w:tcW w:w="120" w:type="dxa"/>
            <w:vAlign w:val="bottom"/>
            <w:shd w:val="clear" w:color="auto" w:fill="EAF9E8"/>
          </w:tcPr>
          <w:p>
            <w:pPr>
              <w:spacing w:after="0"/>
              <w:rPr>
                <w:sz w:val="20"/>
                <w:szCs w:val="20"/>
                <w:color w:val="auto"/>
              </w:rPr>
            </w:pPr>
          </w:p>
        </w:tc>
        <w:tc>
          <w:tcPr>
            <w:tcW w:w="940" w:type="dxa"/>
            <w:vAlign w:val="bottom"/>
            <w:gridSpan w:val="2"/>
            <w:shd w:val="clear" w:color="auto" w:fill="EAF9E8"/>
          </w:tcPr>
          <w:p>
            <w:pPr>
              <w:jc w:val="right"/>
              <w:ind w:right="80"/>
              <w:spacing w:after="0"/>
              <w:rPr>
                <w:sz w:val="20"/>
                <w:szCs w:val="20"/>
                <w:color w:val="auto"/>
              </w:rPr>
            </w:pPr>
            <w:r>
              <w:rPr>
                <w:rFonts w:ascii="Arial" w:cs="Arial" w:eastAsia="Arial" w:hAnsi="Arial"/>
                <w:sz w:val="14"/>
                <w:szCs w:val="14"/>
                <w:color w:val="auto"/>
              </w:rPr>
              <w:t>(2,202)</w:t>
            </w:r>
          </w:p>
        </w:tc>
        <w:tc>
          <w:tcPr>
            <w:tcW w:w="100" w:type="dxa"/>
            <w:vAlign w:val="bottom"/>
            <w:shd w:val="clear" w:color="auto" w:fill="EAF9E8"/>
          </w:tcPr>
          <w:p>
            <w:pPr>
              <w:spacing w:after="0"/>
              <w:rPr>
                <w:sz w:val="20"/>
                <w:szCs w:val="20"/>
                <w:color w:val="auto"/>
              </w:rPr>
            </w:pPr>
          </w:p>
        </w:tc>
        <w:tc>
          <w:tcPr>
            <w:tcW w:w="80" w:type="dxa"/>
            <w:vAlign w:val="bottom"/>
            <w:shd w:val="clear" w:color="auto" w:fill="EAF9E8"/>
          </w:tcPr>
          <w:p>
            <w:pPr>
              <w:spacing w:after="0"/>
              <w:rPr>
                <w:sz w:val="20"/>
                <w:szCs w:val="20"/>
                <w:color w:val="auto"/>
              </w:rPr>
            </w:pPr>
          </w:p>
        </w:tc>
        <w:tc>
          <w:tcPr>
            <w:tcW w:w="980" w:type="dxa"/>
            <w:vAlign w:val="bottom"/>
            <w:gridSpan w:val="2"/>
            <w:shd w:val="clear" w:color="auto" w:fill="EAF9E8"/>
          </w:tcPr>
          <w:p>
            <w:pPr>
              <w:jc w:val="right"/>
              <w:ind w:right="80"/>
              <w:spacing w:after="0"/>
              <w:rPr>
                <w:sz w:val="20"/>
                <w:szCs w:val="20"/>
                <w:color w:val="auto"/>
              </w:rPr>
            </w:pPr>
            <w:r>
              <w:rPr>
                <w:rFonts w:ascii="Arial" w:cs="Arial" w:eastAsia="Arial" w:hAnsi="Arial"/>
                <w:sz w:val="14"/>
                <w:szCs w:val="14"/>
                <w:color w:val="auto"/>
              </w:rPr>
              <w:t>(1,101)</w:t>
            </w:r>
          </w:p>
        </w:tc>
        <w:tc>
          <w:tcPr>
            <w:tcW w:w="80" w:type="dxa"/>
            <w:vAlign w:val="bottom"/>
            <w:shd w:val="clear" w:color="auto" w:fill="EAF9E8"/>
          </w:tcPr>
          <w:p>
            <w:pPr>
              <w:spacing w:after="0"/>
              <w:rPr>
                <w:sz w:val="20"/>
                <w:szCs w:val="20"/>
                <w:color w:val="auto"/>
              </w:rPr>
            </w:pPr>
          </w:p>
        </w:tc>
        <w:tc>
          <w:tcPr>
            <w:tcW w:w="140" w:type="dxa"/>
            <w:vAlign w:val="bottom"/>
            <w:shd w:val="clear" w:color="auto" w:fill="EAF9E8"/>
          </w:tcPr>
          <w:p>
            <w:pPr>
              <w:spacing w:after="0"/>
              <w:rPr>
                <w:sz w:val="20"/>
                <w:szCs w:val="20"/>
                <w:color w:val="auto"/>
              </w:rPr>
            </w:pPr>
          </w:p>
        </w:tc>
        <w:tc>
          <w:tcPr>
            <w:tcW w:w="440" w:type="dxa"/>
            <w:vAlign w:val="bottom"/>
            <w:shd w:val="clear" w:color="auto" w:fill="EAF9E8"/>
          </w:tcPr>
          <w:p>
            <w:pPr>
              <w:jc w:val="right"/>
              <w:spacing w:after="0"/>
              <w:rPr>
                <w:sz w:val="20"/>
                <w:szCs w:val="20"/>
                <w:color w:val="auto"/>
              </w:rPr>
            </w:pPr>
            <w:r>
              <w:rPr>
                <w:rFonts w:ascii="Arial" w:cs="Arial" w:eastAsia="Arial" w:hAnsi="Arial"/>
                <w:sz w:val="14"/>
                <w:szCs w:val="14"/>
                <w:color w:val="auto"/>
                <w:w w:val="97"/>
              </w:rPr>
              <w:t>17,013</w:t>
            </w:r>
          </w:p>
        </w:tc>
        <w:tc>
          <w:tcPr>
            <w:tcW w:w="80" w:type="dxa"/>
            <w:vAlign w:val="bottom"/>
            <w:shd w:val="clear" w:color="auto" w:fill="EAF9E8"/>
          </w:tcPr>
          <w:p>
            <w:pPr>
              <w:spacing w:after="0"/>
              <w:rPr>
                <w:sz w:val="20"/>
                <w:szCs w:val="20"/>
                <w:color w:val="auto"/>
              </w:rPr>
            </w:pPr>
          </w:p>
        </w:tc>
        <w:tc>
          <w:tcPr>
            <w:tcW w:w="120" w:type="dxa"/>
            <w:vAlign w:val="bottom"/>
            <w:shd w:val="clear" w:color="auto" w:fill="EAF9E8"/>
          </w:tcPr>
          <w:p>
            <w:pPr>
              <w:spacing w:after="0"/>
              <w:rPr>
                <w:sz w:val="20"/>
                <w:szCs w:val="20"/>
                <w:color w:val="auto"/>
              </w:rPr>
            </w:pPr>
          </w:p>
        </w:tc>
        <w:tc>
          <w:tcPr>
            <w:tcW w:w="140" w:type="dxa"/>
            <w:vAlign w:val="bottom"/>
            <w:shd w:val="clear" w:color="auto" w:fill="EAF9E8"/>
          </w:tcPr>
          <w:p>
            <w:pPr>
              <w:spacing w:after="0"/>
              <w:rPr>
                <w:sz w:val="20"/>
                <w:szCs w:val="20"/>
                <w:color w:val="auto"/>
              </w:rPr>
            </w:pPr>
          </w:p>
        </w:tc>
        <w:tc>
          <w:tcPr>
            <w:tcW w:w="560" w:type="dxa"/>
            <w:vAlign w:val="bottom"/>
            <w:gridSpan w:val="2"/>
            <w:shd w:val="clear" w:color="auto" w:fill="EAF9E8"/>
          </w:tcPr>
          <w:p>
            <w:pPr>
              <w:jc w:val="right"/>
              <w:ind w:right="41"/>
              <w:spacing w:after="0"/>
              <w:rPr>
                <w:sz w:val="20"/>
                <w:szCs w:val="20"/>
                <w:color w:val="auto"/>
              </w:rPr>
            </w:pPr>
            <w:r>
              <w:rPr>
                <w:rFonts w:ascii="Arial" w:cs="Arial" w:eastAsia="Arial" w:hAnsi="Arial"/>
                <w:sz w:val="14"/>
                <w:szCs w:val="14"/>
                <w:color w:val="auto"/>
              </w:rPr>
              <w:t>(4,708)</w:t>
            </w:r>
          </w:p>
        </w:tc>
        <w:tc>
          <w:tcPr>
            <w:tcW w:w="80" w:type="dxa"/>
            <w:vAlign w:val="bottom"/>
            <w:shd w:val="clear" w:color="auto" w:fill="EAF9E8"/>
          </w:tcPr>
          <w:p>
            <w:pPr>
              <w:spacing w:after="0"/>
              <w:rPr>
                <w:sz w:val="20"/>
                <w:szCs w:val="20"/>
                <w:color w:val="auto"/>
              </w:rPr>
            </w:pPr>
          </w:p>
        </w:tc>
        <w:tc>
          <w:tcPr>
            <w:tcW w:w="80" w:type="dxa"/>
            <w:vAlign w:val="bottom"/>
            <w:shd w:val="clear" w:color="auto" w:fill="EAF9E8"/>
          </w:tcPr>
          <w:p>
            <w:pPr>
              <w:spacing w:after="0"/>
              <w:rPr>
                <w:sz w:val="20"/>
                <w:szCs w:val="20"/>
                <w:color w:val="auto"/>
              </w:rPr>
            </w:pPr>
          </w:p>
        </w:tc>
        <w:tc>
          <w:tcPr>
            <w:tcW w:w="880" w:type="dxa"/>
            <w:vAlign w:val="bottom"/>
            <w:gridSpan w:val="2"/>
            <w:shd w:val="clear" w:color="auto" w:fill="EAF9E8"/>
          </w:tcPr>
          <w:p>
            <w:pPr>
              <w:jc w:val="right"/>
              <w:ind w:right="140"/>
              <w:spacing w:after="0"/>
              <w:rPr>
                <w:sz w:val="20"/>
                <w:szCs w:val="20"/>
                <w:color w:val="auto"/>
              </w:rPr>
            </w:pPr>
            <w:r>
              <w:rPr>
                <w:rFonts w:ascii="Arial" w:cs="Arial" w:eastAsia="Arial" w:hAnsi="Arial"/>
                <w:sz w:val="14"/>
                <w:szCs w:val="14"/>
                <w:color w:val="auto"/>
              </w:rPr>
              <w:t>9,693</w:t>
            </w:r>
          </w:p>
        </w:tc>
        <w:tc>
          <w:tcPr>
            <w:tcW w:w="80" w:type="dxa"/>
            <w:vAlign w:val="bottom"/>
            <w:shd w:val="clear" w:color="auto" w:fill="EAF9E8"/>
          </w:tcPr>
          <w:p>
            <w:pPr>
              <w:spacing w:after="0"/>
              <w:rPr>
                <w:sz w:val="20"/>
                <w:szCs w:val="20"/>
                <w:color w:val="auto"/>
              </w:rPr>
            </w:pPr>
          </w:p>
        </w:tc>
        <w:tc>
          <w:tcPr>
            <w:tcW w:w="120" w:type="dxa"/>
            <w:vAlign w:val="bottom"/>
            <w:shd w:val="clear" w:color="auto" w:fill="EAF9E8"/>
          </w:tcPr>
          <w:p>
            <w:pPr>
              <w:spacing w:after="0"/>
              <w:rPr>
                <w:sz w:val="20"/>
                <w:szCs w:val="20"/>
                <w:color w:val="auto"/>
              </w:rPr>
            </w:pPr>
          </w:p>
        </w:tc>
        <w:tc>
          <w:tcPr>
            <w:tcW w:w="720" w:type="dxa"/>
            <w:vAlign w:val="bottom"/>
            <w:gridSpan w:val="2"/>
            <w:shd w:val="clear" w:color="auto" w:fill="EAF9E8"/>
          </w:tcPr>
          <w:p>
            <w:pPr>
              <w:jc w:val="right"/>
              <w:ind w:right="61"/>
              <w:spacing w:after="0"/>
              <w:rPr>
                <w:sz w:val="20"/>
                <w:szCs w:val="20"/>
                <w:color w:val="auto"/>
              </w:rPr>
            </w:pPr>
            <w:r>
              <w:rPr>
                <w:rFonts w:ascii="Arial" w:cs="Arial" w:eastAsia="Arial" w:hAnsi="Arial"/>
                <w:sz w:val="14"/>
                <w:szCs w:val="14"/>
                <w:color w:val="auto"/>
              </w:rPr>
              <w:t>(10,686)</w:t>
            </w:r>
          </w:p>
        </w:tc>
        <w:tc>
          <w:tcPr>
            <w:tcW w:w="80" w:type="dxa"/>
            <w:vAlign w:val="bottom"/>
            <w:shd w:val="clear" w:color="auto" w:fill="EAF9E8"/>
          </w:tcPr>
          <w:p>
            <w:pPr>
              <w:spacing w:after="0"/>
              <w:rPr>
                <w:sz w:val="20"/>
                <w:szCs w:val="20"/>
                <w:color w:val="auto"/>
              </w:rPr>
            </w:pPr>
          </w:p>
        </w:tc>
        <w:tc>
          <w:tcPr>
            <w:tcW w:w="100" w:type="dxa"/>
            <w:vAlign w:val="bottom"/>
            <w:shd w:val="clear" w:color="auto" w:fill="EAF9E8"/>
          </w:tcPr>
          <w:p>
            <w:pPr>
              <w:spacing w:after="0"/>
              <w:rPr>
                <w:sz w:val="20"/>
                <w:szCs w:val="20"/>
                <w:color w:val="auto"/>
              </w:rPr>
            </w:pPr>
          </w:p>
        </w:tc>
        <w:tc>
          <w:tcPr>
            <w:tcW w:w="860" w:type="dxa"/>
            <w:vAlign w:val="bottom"/>
            <w:gridSpan w:val="2"/>
            <w:shd w:val="clear" w:color="auto" w:fill="EAF9E8"/>
          </w:tcPr>
          <w:p>
            <w:pPr>
              <w:jc w:val="right"/>
              <w:ind w:right="80"/>
              <w:spacing w:after="0"/>
              <w:rPr>
                <w:sz w:val="20"/>
                <w:szCs w:val="20"/>
                <w:color w:val="auto"/>
              </w:rPr>
            </w:pPr>
            <w:r>
              <w:rPr>
                <w:rFonts w:ascii="Arial" w:cs="Arial" w:eastAsia="Arial" w:hAnsi="Arial"/>
                <w:sz w:val="14"/>
                <w:szCs w:val="14"/>
                <w:color w:val="auto"/>
              </w:rPr>
              <w:t>(794)</w:t>
            </w:r>
          </w:p>
        </w:tc>
        <w:tc>
          <w:tcPr>
            <w:tcW w:w="100" w:type="dxa"/>
            <w:vAlign w:val="bottom"/>
            <w:shd w:val="clear" w:color="auto" w:fill="EAF9E8"/>
          </w:tcPr>
          <w:p>
            <w:pPr>
              <w:spacing w:after="0"/>
              <w:rPr>
                <w:sz w:val="20"/>
                <w:szCs w:val="20"/>
                <w:color w:val="auto"/>
              </w:rPr>
            </w:pPr>
          </w:p>
        </w:tc>
        <w:tc>
          <w:tcPr>
            <w:tcW w:w="80" w:type="dxa"/>
            <w:vAlign w:val="bottom"/>
            <w:shd w:val="clear" w:color="auto" w:fill="EAF9E8"/>
          </w:tcPr>
          <w:p>
            <w:pPr>
              <w:spacing w:after="0"/>
              <w:rPr>
                <w:sz w:val="20"/>
                <w:szCs w:val="20"/>
                <w:color w:val="auto"/>
              </w:rPr>
            </w:pPr>
          </w:p>
        </w:tc>
        <w:tc>
          <w:tcPr>
            <w:tcW w:w="760" w:type="dxa"/>
            <w:vAlign w:val="bottom"/>
            <w:shd w:val="clear" w:color="auto" w:fill="EAF9E8"/>
          </w:tcPr>
          <w:p>
            <w:pPr>
              <w:jc w:val="right"/>
              <w:spacing w:after="0"/>
              <w:rPr>
                <w:sz w:val="20"/>
                <w:szCs w:val="20"/>
                <w:color w:val="auto"/>
              </w:rPr>
            </w:pPr>
            <w:r>
              <w:rPr>
                <w:rFonts w:ascii="Arial" w:cs="Arial" w:eastAsia="Arial" w:hAnsi="Arial"/>
                <w:sz w:val="14"/>
                <w:szCs w:val="14"/>
                <w:color w:val="auto"/>
              </w:rPr>
              <w:t>108,832</w:t>
            </w:r>
          </w:p>
        </w:tc>
        <w:tc>
          <w:tcPr>
            <w:tcW w:w="120" w:type="dxa"/>
            <w:vAlign w:val="bottom"/>
            <w:shd w:val="clear" w:color="auto" w:fill="EAF9E8"/>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60" w:type="dxa"/>
            <w:vAlign w:val="bottom"/>
            <w:tcBorders>
              <w:top w:val="single" w:sz="8" w:color="EAF9E8"/>
            </w:tcBorders>
          </w:tcPr>
          <w:p>
            <w:pPr>
              <w:spacing w:after="0"/>
              <w:rPr>
                <w:sz w:val="20"/>
                <w:szCs w:val="20"/>
                <w:color w:val="auto"/>
              </w:rPr>
            </w:pPr>
          </w:p>
        </w:tc>
        <w:tc>
          <w:tcPr>
            <w:tcW w:w="2400" w:type="dxa"/>
            <w:vAlign w:val="bottom"/>
            <w:tcBorders>
              <w:top w:val="single" w:sz="8" w:color="EAF9E8"/>
            </w:tcBorders>
            <w:gridSpan w:val="5"/>
          </w:tcPr>
          <w:p>
            <w:pPr>
              <w:spacing w:after="0"/>
              <w:rPr>
                <w:sz w:val="20"/>
                <w:szCs w:val="20"/>
                <w:color w:val="auto"/>
              </w:rPr>
            </w:pPr>
            <w:r>
              <w:rPr>
                <w:rFonts w:ascii="Arial" w:cs="Arial" w:eastAsia="Arial" w:hAnsi="Arial"/>
                <w:sz w:val="14"/>
                <w:szCs w:val="14"/>
                <w:color w:val="auto"/>
              </w:rPr>
              <w:t>Other income (expense), net</w:t>
            </w:r>
          </w:p>
        </w:tc>
        <w:tc>
          <w:tcPr>
            <w:tcW w:w="120" w:type="dxa"/>
            <w:vAlign w:val="bottom"/>
            <w:tcBorders>
              <w:top w:val="single" w:sz="8" w:color="EAF9E8"/>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200" w:type="dxa"/>
            <w:vAlign w:val="bottom"/>
            <w:tcBorders>
              <w:top w:val="single" w:sz="8" w:color="EAF9E8"/>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20" w:type="dxa"/>
            <w:vAlign w:val="bottom"/>
            <w:tcBorders>
              <w:top w:val="single" w:sz="8" w:color="EAF9E8"/>
            </w:tcBorders>
          </w:tcPr>
          <w:p>
            <w:pPr>
              <w:spacing w:after="0"/>
              <w:rPr>
                <w:sz w:val="20"/>
                <w:szCs w:val="20"/>
                <w:color w:val="auto"/>
              </w:rPr>
            </w:pPr>
          </w:p>
        </w:tc>
        <w:tc>
          <w:tcPr>
            <w:tcW w:w="100" w:type="dxa"/>
            <w:vAlign w:val="bottom"/>
            <w:tcBorders>
              <w:top w:val="single" w:sz="8" w:color="EAF9E8"/>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40" w:type="dxa"/>
            <w:vAlign w:val="bottom"/>
            <w:tcBorders>
              <w:top w:val="single" w:sz="8" w:color="EAF9E8"/>
            </w:tcBorders>
          </w:tcPr>
          <w:p>
            <w:pPr>
              <w:spacing w:after="0"/>
              <w:rPr>
                <w:sz w:val="20"/>
                <w:szCs w:val="20"/>
                <w:color w:val="auto"/>
              </w:rPr>
            </w:pPr>
          </w:p>
        </w:tc>
        <w:tc>
          <w:tcPr>
            <w:tcW w:w="80" w:type="dxa"/>
            <w:vAlign w:val="bottom"/>
            <w:tcBorders>
              <w:top w:val="single" w:sz="8" w:color="EAF9E8"/>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0" w:type="dxa"/>
            <w:vAlign w:val="bottom"/>
            <w:tcBorders>
              <w:top w:val="single" w:sz="8" w:color="EAF9E8"/>
            </w:tcBorders>
          </w:tcPr>
          <w:p>
            <w:pPr>
              <w:spacing w:after="0"/>
              <w:rPr>
                <w:sz w:val="20"/>
                <w:szCs w:val="20"/>
                <w:color w:val="auto"/>
              </w:rPr>
            </w:pPr>
          </w:p>
        </w:tc>
        <w:tc>
          <w:tcPr>
            <w:tcW w:w="120" w:type="dxa"/>
            <w:vAlign w:val="bottom"/>
            <w:tcBorders>
              <w:top w:val="single" w:sz="8" w:color="EAF9E8"/>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20" w:type="dxa"/>
            <w:vAlign w:val="bottom"/>
            <w:tcBorders>
              <w:top w:val="single" w:sz="8" w:color="EAF9E8"/>
            </w:tcBorders>
          </w:tcPr>
          <w:p>
            <w:pPr>
              <w:spacing w:after="0"/>
              <w:rPr>
                <w:sz w:val="20"/>
                <w:szCs w:val="20"/>
                <w:color w:val="auto"/>
              </w:rPr>
            </w:pPr>
          </w:p>
        </w:tc>
        <w:tc>
          <w:tcPr>
            <w:tcW w:w="80" w:type="dxa"/>
            <w:vAlign w:val="bottom"/>
            <w:tcBorders>
              <w:top w:val="single" w:sz="8" w:color="EAF9E8"/>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40" w:type="dxa"/>
            <w:vAlign w:val="bottom"/>
            <w:tcBorders>
              <w:top w:val="single" w:sz="8" w:color="EAF9E8"/>
            </w:tcBorders>
          </w:tcPr>
          <w:p>
            <w:pPr>
              <w:spacing w:after="0"/>
              <w:rPr>
                <w:sz w:val="20"/>
                <w:szCs w:val="20"/>
                <w:color w:val="auto"/>
              </w:rPr>
            </w:pPr>
          </w:p>
        </w:tc>
        <w:tc>
          <w:tcPr>
            <w:tcW w:w="80" w:type="dxa"/>
            <w:vAlign w:val="bottom"/>
            <w:tcBorders>
              <w:top w:val="single" w:sz="8" w:color="EAF9E8"/>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40" w:type="dxa"/>
            <w:vAlign w:val="bottom"/>
            <w:tcBorders>
              <w:top w:val="single" w:sz="8" w:color="EAF9E8"/>
            </w:tcBorders>
          </w:tcPr>
          <w:p>
            <w:pPr>
              <w:spacing w:after="0"/>
              <w:rPr>
                <w:sz w:val="20"/>
                <w:szCs w:val="20"/>
                <w:color w:val="auto"/>
              </w:rPr>
            </w:pPr>
          </w:p>
        </w:tc>
        <w:tc>
          <w:tcPr>
            <w:tcW w:w="80" w:type="dxa"/>
            <w:vAlign w:val="bottom"/>
            <w:tcBorders>
              <w:top w:val="single" w:sz="8" w:color="EAF9E8"/>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20" w:type="dxa"/>
            <w:vAlign w:val="bottom"/>
            <w:tcBorders>
              <w:top w:val="single" w:sz="8" w:color="EAF9E8"/>
            </w:tcBorders>
          </w:tcPr>
          <w:p>
            <w:pPr>
              <w:spacing w:after="0"/>
              <w:rPr>
                <w:sz w:val="20"/>
                <w:szCs w:val="20"/>
                <w:color w:val="auto"/>
              </w:rPr>
            </w:pPr>
          </w:p>
        </w:tc>
        <w:tc>
          <w:tcPr>
            <w:tcW w:w="100" w:type="dxa"/>
            <w:vAlign w:val="bottom"/>
            <w:tcBorders>
              <w:top w:val="single" w:sz="8" w:color="EAF9E8"/>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20" w:type="dxa"/>
            <w:vAlign w:val="bottom"/>
            <w:tcBorders>
              <w:top w:val="single" w:sz="8" w:color="EAF9E8"/>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60" w:type="dxa"/>
            <w:vAlign w:val="bottom"/>
            <w:shd w:val="clear" w:color="auto" w:fill="EAF9E8"/>
          </w:tcPr>
          <w:p>
            <w:pPr>
              <w:spacing w:after="0"/>
              <w:rPr>
                <w:sz w:val="21"/>
                <w:szCs w:val="21"/>
                <w:color w:val="auto"/>
              </w:rPr>
            </w:pPr>
          </w:p>
        </w:tc>
        <w:tc>
          <w:tcPr>
            <w:tcW w:w="2400" w:type="dxa"/>
            <w:vAlign w:val="bottom"/>
            <w:gridSpan w:val="5"/>
            <w:shd w:val="clear" w:color="auto" w:fill="EAF9E8"/>
          </w:tcPr>
          <w:p>
            <w:pPr>
              <w:ind w:left="160"/>
              <w:spacing w:after="0"/>
              <w:rPr>
                <w:sz w:val="20"/>
                <w:szCs w:val="20"/>
                <w:color w:val="auto"/>
              </w:rPr>
            </w:pPr>
            <w:r>
              <w:rPr>
                <w:rFonts w:ascii="Arial" w:cs="Arial" w:eastAsia="Arial" w:hAnsi="Arial"/>
                <w:sz w:val="14"/>
                <w:szCs w:val="14"/>
                <w:color w:val="auto"/>
              </w:rPr>
              <w:t>Interest income</w:t>
            </w:r>
          </w:p>
        </w:tc>
        <w:tc>
          <w:tcPr>
            <w:tcW w:w="12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4"/>
                <w:szCs w:val="14"/>
                <w:color w:val="auto"/>
              </w:rPr>
              <w:t>205</w:t>
            </w:r>
          </w:p>
        </w:tc>
        <w:tc>
          <w:tcPr>
            <w:tcW w:w="20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940" w:type="dxa"/>
            <w:vAlign w:val="bottom"/>
            <w:gridSpan w:val="2"/>
            <w:shd w:val="clear" w:color="auto" w:fill="EAF9E8"/>
          </w:tcPr>
          <w:p>
            <w:pPr>
              <w:jc w:val="right"/>
              <w:ind w:right="120"/>
              <w:spacing w:after="0"/>
              <w:rPr>
                <w:sz w:val="20"/>
                <w:szCs w:val="20"/>
                <w:color w:val="auto"/>
              </w:rPr>
            </w:pPr>
            <w:r>
              <w:rPr>
                <w:rFonts w:ascii="Arial" w:cs="Arial" w:eastAsia="Arial" w:hAnsi="Arial"/>
                <w:sz w:val="14"/>
                <w:szCs w:val="14"/>
                <w:color w:val="auto"/>
              </w:rPr>
              <w:t>5,253</w:t>
            </w:r>
          </w:p>
        </w:tc>
        <w:tc>
          <w:tcPr>
            <w:tcW w:w="10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980" w:type="dxa"/>
            <w:vAlign w:val="bottom"/>
            <w:gridSpan w:val="2"/>
            <w:shd w:val="clear" w:color="auto" w:fill="EAF9E8"/>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440" w:type="dxa"/>
            <w:vAlign w:val="bottom"/>
            <w:shd w:val="clear" w:color="auto" w:fill="EAF9E8"/>
          </w:tcPr>
          <w:p>
            <w:pPr>
              <w:jc w:val="right"/>
              <w:spacing w:after="0"/>
              <w:rPr>
                <w:sz w:val="20"/>
                <w:szCs w:val="20"/>
                <w:color w:val="auto"/>
              </w:rPr>
            </w:pPr>
            <w:r>
              <w:rPr>
                <w:rFonts w:ascii="Arial" w:cs="Arial" w:eastAsia="Arial" w:hAnsi="Arial"/>
                <w:sz w:val="14"/>
                <w:szCs w:val="14"/>
                <w:color w:val="auto"/>
              </w:rPr>
              <w:t>2</w:t>
            </w:r>
          </w:p>
        </w:tc>
        <w:tc>
          <w:tcPr>
            <w:tcW w:w="8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560" w:type="dxa"/>
            <w:vAlign w:val="bottom"/>
            <w:gridSpan w:val="2"/>
            <w:shd w:val="clear" w:color="auto" w:fill="EAF9E8"/>
          </w:tcPr>
          <w:p>
            <w:pPr>
              <w:jc w:val="right"/>
              <w:ind w:right="81"/>
              <w:spacing w:after="0"/>
              <w:rPr>
                <w:sz w:val="20"/>
                <w:szCs w:val="20"/>
                <w:color w:val="auto"/>
              </w:rPr>
            </w:pPr>
            <w:r>
              <w:rPr>
                <w:rFonts w:ascii="Arial" w:cs="Arial" w:eastAsia="Arial" w:hAnsi="Arial"/>
                <w:sz w:val="14"/>
                <w:szCs w:val="14"/>
                <w:color w:val="auto"/>
              </w:rPr>
              <w:t>—</w:t>
            </w:r>
          </w:p>
        </w:tc>
        <w:tc>
          <w:tcPr>
            <w:tcW w:w="8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880" w:type="dxa"/>
            <w:vAlign w:val="bottom"/>
            <w:gridSpan w:val="2"/>
            <w:shd w:val="clear" w:color="auto" w:fill="EAF9E8"/>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580" w:type="dxa"/>
            <w:vAlign w:val="bottom"/>
            <w:shd w:val="clear" w:color="auto" w:fill="EAF9E8"/>
          </w:tcPr>
          <w:p>
            <w:pPr>
              <w:jc w:val="right"/>
              <w:spacing w:after="0"/>
              <w:rPr>
                <w:sz w:val="20"/>
                <w:szCs w:val="20"/>
                <w:color w:val="auto"/>
              </w:rPr>
            </w:pPr>
            <w:r>
              <w:rPr>
                <w:rFonts w:ascii="Arial" w:cs="Arial" w:eastAsia="Arial" w:hAnsi="Arial"/>
                <w:sz w:val="14"/>
                <w:szCs w:val="14"/>
                <w:color w:val="auto"/>
              </w:rPr>
              <w:t>951</w:t>
            </w:r>
          </w:p>
        </w:tc>
        <w:tc>
          <w:tcPr>
            <w:tcW w:w="14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860" w:type="dxa"/>
            <w:vAlign w:val="bottom"/>
            <w:gridSpan w:val="2"/>
            <w:shd w:val="clear" w:color="auto" w:fill="EAF9E8"/>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760" w:type="dxa"/>
            <w:vAlign w:val="bottom"/>
            <w:shd w:val="clear" w:color="auto" w:fill="EAF9E8"/>
          </w:tcPr>
          <w:p>
            <w:pPr>
              <w:jc w:val="right"/>
              <w:spacing w:after="0"/>
              <w:rPr>
                <w:sz w:val="20"/>
                <w:szCs w:val="20"/>
                <w:color w:val="auto"/>
              </w:rPr>
            </w:pPr>
            <w:r>
              <w:rPr>
                <w:rFonts w:ascii="Arial" w:cs="Arial" w:eastAsia="Arial" w:hAnsi="Arial"/>
                <w:sz w:val="14"/>
                <w:szCs w:val="14"/>
                <w:color w:val="auto"/>
              </w:rPr>
              <w:t>6,411</w:t>
            </w: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60" w:type="dxa"/>
            <w:vAlign w:val="bottom"/>
          </w:tcPr>
          <w:p>
            <w:pPr>
              <w:spacing w:after="0"/>
              <w:rPr>
                <w:sz w:val="21"/>
                <w:szCs w:val="21"/>
                <w:color w:val="auto"/>
              </w:rPr>
            </w:pPr>
          </w:p>
        </w:tc>
        <w:tc>
          <w:tcPr>
            <w:tcW w:w="2400" w:type="dxa"/>
            <w:vAlign w:val="bottom"/>
            <w:gridSpan w:val="5"/>
          </w:tcPr>
          <w:p>
            <w:pPr>
              <w:ind w:left="160"/>
              <w:spacing w:after="0"/>
              <w:rPr>
                <w:sz w:val="20"/>
                <w:szCs w:val="20"/>
                <w:color w:val="auto"/>
              </w:rPr>
            </w:pPr>
            <w:r>
              <w:rPr>
                <w:rFonts w:ascii="Arial" w:cs="Arial" w:eastAsia="Arial" w:hAnsi="Arial"/>
                <w:sz w:val="14"/>
                <w:szCs w:val="14"/>
                <w:color w:val="auto"/>
              </w:rPr>
              <w:t>Interest expense</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gridSpan w:val="2"/>
          </w:tcPr>
          <w:p>
            <w:pPr>
              <w:jc w:val="right"/>
              <w:ind w:right="92"/>
              <w:spacing w:after="0"/>
              <w:rPr>
                <w:sz w:val="20"/>
                <w:szCs w:val="20"/>
                <w:color w:val="auto"/>
              </w:rPr>
            </w:pPr>
            <w:r>
              <w:rPr>
                <w:rFonts w:ascii="Arial" w:cs="Arial" w:eastAsia="Arial" w:hAnsi="Arial"/>
                <w:sz w:val="14"/>
                <w:szCs w:val="14"/>
                <w:color w:val="auto"/>
              </w:rPr>
              <w:t>(46,829)</w:t>
            </w:r>
          </w:p>
        </w:tc>
        <w:tc>
          <w:tcPr>
            <w:tcW w:w="120" w:type="dxa"/>
            <w:vAlign w:val="bottom"/>
          </w:tcPr>
          <w:p>
            <w:pPr>
              <w:spacing w:after="0"/>
              <w:rPr>
                <w:sz w:val="21"/>
                <w:szCs w:val="21"/>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4"/>
                <w:szCs w:val="14"/>
                <w:color w:val="auto"/>
              </w:rPr>
              <w:t>(1,437)</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4"/>
                <w:szCs w:val="14"/>
                <w:color w:val="auto"/>
              </w:rPr>
              <w:t>(28)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gridSpan w:val="2"/>
          </w:tcPr>
          <w:p>
            <w:pPr>
              <w:jc w:val="right"/>
              <w:ind w:right="41"/>
              <w:spacing w:after="0"/>
              <w:rPr>
                <w:sz w:val="20"/>
                <w:szCs w:val="20"/>
                <w:color w:val="auto"/>
              </w:rPr>
            </w:pPr>
            <w:r>
              <w:rPr>
                <w:rFonts w:ascii="Arial" w:cs="Arial" w:eastAsia="Arial" w:hAnsi="Arial"/>
                <w:sz w:val="14"/>
                <w:szCs w:val="14"/>
                <w:color w:val="auto"/>
              </w:rPr>
              <w:t>(1,285)</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(289)</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gridSpan w:val="2"/>
          </w:tcPr>
          <w:p>
            <w:pPr>
              <w:jc w:val="right"/>
              <w:ind w:right="61"/>
              <w:spacing w:after="0"/>
              <w:rPr>
                <w:sz w:val="20"/>
                <w:szCs w:val="20"/>
                <w:color w:val="auto"/>
              </w:rPr>
            </w:pPr>
            <w:r>
              <w:rPr>
                <w:rFonts w:ascii="Arial" w:cs="Arial" w:eastAsia="Arial" w:hAnsi="Arial"/>
                <w:sz w:val="14"/>
                <w:szCs w:val="14"/>
                <w:color w:val="auto"/>
              </w:rPr>
              <w:t>(240)</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4"/>
                <w:szCs w:val="14"/>
                <w:color w:val="auto"/>
              </w:rPr>
              <w:t>(50,108)</w:t>
            </w:r>
          </w:p>
        </w:tc>
        <w:tc>
          <w:tcPr>
            <w:tcW w:w="0" w:type="dxa"/>
            <w:vAlign w:val="bottom"/>
          </w:tcPr>
          <w:p>
            <w:pPr>
              <w:spacing w:after="0"/>
              <w:rPr>
                <w:sz w:val="1"/>
                <w:szCs w:val="1"/>
                <w:color w:val="auto"/>
              </w:rPr>
            </w:pPr>
          </w:p>
        </w:tc>
      </w:tr>
      <w:tr>
        <w:trPr>
          <w:trHeight w:val="243"/>
        </w:trPr>
        <w:tc>
          <w:tcPr>
            <w:tcW w:w="160" w:type="dxa"/>
            <w:vAlign w:val="bottom"/>
            <w:shd w:val="clear" w:color="auto" w:fill="EAF9E8"/>
          </w:tcPr>
          <w:p>
            <w:pPr>
              <w:spacing w:after="0"/>
              <w:rPr>
                <w:sz w:val="21"/>
                <w:szCs w:val="21"/>
                <w:color w:val="auto"/>
              </w:rPr>
            </w:pPr>
          </w:p>
        </w:tc>
        <w:tc>
          <w:tcPr>
            <w:tcW w:w="2400" w:type="dxa"/>
            <w:vAlign w:val="bottom"/>
            <w:gridSpan w:val="5"/>
            <w:shd w:val="clear" w:color="auto" w:fill="EAF9E8"/>
          </w:tcPr>
          <w:p>
            <w:pPr>
              <w:ind w:left="160"/>
              <w:spacing w:after="0"/>
              <w:rPr>
                <w:sz w:val="20"/>
                <w:szCs w:val="20"/>
                <w:color w:val="auto"/>
              </w:rPr>
            </w:pPr>
            <w:r>
              <w:rPr>
                <w:rFonts w:ascii="Arial" w:cs="Arial" w:eastAsia="Arial" w:hAnsi="Arial"/>
                <w:sz w:val="14"/>
                <w:szCs w:val="14"/>
                <w:color w:val="auto"/>
              </w:rPr>
              <w:t>Other (1) (2)</w:t>
            </w:r>
          </w:p>
        </w:tc>
        <w:tc>
          <w:tcPr>
            <w:tcW w:w="12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4"/>
                <w:szCs w:val="14"/>
                <w:color w:val="auto"/>
              </w:rPr>
              <w:t>3,388</w:t>
            </w:r>
          </w:p>
        </w:tc>
        <w:tc>
          <w:tcPr>
            <w:tcW w:w="20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940" w:type="dxa"/>
            <w:vAlign w:val="bottom"/>
            <w:gridSpan w:val="2"/>
            <w:shd w:val="clear" w:color="auto" w:fill="EAF9E8"/>
          </w:tcPr>
          <w:p>
            <w:pPr>
              <w:jc w:val="right"/>
              <w:ind w:right="80"/>
              <w:spacing w:after="0"/>
              <w:rPr>
                <w:sz w:val="20"/>
                <w:szCs w:val="20"/>
                <w:color w:val="auto"/>
              </w:rPr>
            </w:pPr>
            <w:r>
              <w:rPr>
                <w:rFonts w:ascii="Arial" w:cs="Arial" w:eastAsia="Arial" w:hAnsi="Arial"/>
                <w:sz w:val="14"/>
                <w:szCs w:val="14"/>
                <w:color w:val="auto"/>
              </w:rPr>
              <w:t>(8,677)</w:t>
            </w:r>
          </w:p>
        </w:tc>
        <w:tc>
          <w:tcPr>
            <w:tcW w:w="10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980" w:type="dxa"/>
            <w:vAlign w:val="bottom"/>
            <w:gridSpan w:val="2"/>
            <w:shd w:val="clear" w:color="auto" w:fill="EAF9E8"/>
          </w:tcPr>
          <w:p>
            <w:pPr>
              <w:jc w:val="right"/>
              <w:ind w:right="80"/>
              <w:spacing w:after="0"/>
              <w:rPr>
                <w:sz w:val="20"/>
                <w:szCs w:val="20"/>
                <w:color w:val="auto"/>
              </w:rPr>
            </w:pPr>
            <w:r>
              <w:rPr>
                <w:rFonts w:ascii="Arial" w:cs="Arial" w:eastAsia="Arial" w:hAnsi="Arial"/>
                <w:sz w:val="14"/>
                <w:szCs w:val="14"/>
                <w:color w:val="auto"/>
              </w:rPr>
              <w:t>(2,466)</w:t>
            </w:r>
          </w:p>
        </w:tc>
        <w:tc>
          <w:tcPr>
            <w:tcW w:w="8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440" w:type="dxa"/>
            <w:vAlign w:val="bottom"/>
            <w:shd w:val="clear" w:color="auto" w:fill="EAF9E8"/>
          </w:tcPr>
          <w:p>
            <w:pPr>
              <w:jc w:val="right"/>
              <w:spacing w:after="0"/>
              <w:rPr>
                <w:sz w:val="20"/>
                <w:szCs w:val="20"/>
                <w:color w:val="auto"/>
              </w:rPr>
            </w:pPr>
            <w:r>
              <w:rPr>
                <w:rFonts w:ascii="Arial" w:cs="Arial" w:eastAsia="Arial" w:hAnsi="Arial"/>
                <w:sz w:val="14"/>
                <w:szCs w:val="14"/>
                <w:color w:val="auto"/>
              </w:rPr>
              <w:t>828</w:t>
            </w:r>
          </w:p>
        </w:tc>
        <w:tc>
          <w:tcPr>
            <w:tcW w:w="8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560" w:type="dxa"/>
            <w:vAlign w:val="bottom"/>
            <w:gridSpan w:val="2"/>
            <w:shd w:val="clear" w:color="auto" w:fill="EAF9E8"/>
          </w:tcPr>
          <w:p>
            <w:pPr>
              <w:jc w:val="right"/>
              <w:ind w:right="81"/>
              <w:spacing w:after="0"/>
              <w:rPr>
                <w:sz w:val="20"/>
                <w:szCs w:val="20"/>
                <w:color w:val="auto"/>
              </w:rPr>
            </w:pPr>
            <w:r>
              <w:rPr>
                <w:rFonts w:ascii="Arial" w:cs="Arial" w:eastAsia="Arial" w:hAnsi="Arial"/>
                <w:sz w:val="14"/>
                <w:szCs w:val="14"/>
                <w:color w:val="auto"/>
              </w:rPr>
              <w:t>24</w:t>
            </w:r>
          </w:p>
        </w:tc>
        <w:tc>
          <w:tcPr>
            <w:tcW w:w="8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880" w:type="dxa"/>
            <w:vAlign w:val="bottom"/>
            <w:gridSpan w:val="2"/>
            <w:shd w:val="clear" w:color="auto" w:fill="EAF9E8"/>
          </w:tcPr>
          <w:p>
            <w:pPr>
              <w:jc w:val="right"/>
              <w:ind w:right="140"/>
              <w:spacing w:after="0"/>
              <w:rPr>
                <w:sz w:val="20"/>
                <w:szCs w:val="20"/>
                <w:color w:val="auto"/>
              </w:rPr>
            </w:pPr>
            <w:r>
              <w:rPr>
                <w:rFonts w:ascii="Arial" w:cs="Arial" w:eastAsia="Arial" w:hAnsi="Arial"/>
                <w:sz w:val="14"/>
                <w:szCs w:val="14"/>
                <w:color w:val="auto"/>
              </w:rPr>
              <w:t>186</w:t>
            </w:r>
          </w:p>
        </w:tc>
        <w:tc>
          <w:tcPr>
            <w:tcW w:w="8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580" w:type="dxa"/>
            <w:vAlign w:val="bottom"/>
            <w:shd w:val="clear" w:color="auto" w:fill="EAF9E8"/>
          </w:tcPr>
          <w:p>
            <w:pPr>
              <w:jc w:val="right"/>
              <w:spacing w:after="0"/>
              <w:rPr>
                <w:sz w:val="20"/>
                <w:szCs w:val="20"/>
                <w:color w:val="auto"/>
              </w:rPr>
            </w:pPr>
            <w:r>
              <w:rPr>
                <w:rFonts w:ascii="Arial" w:cs="Arial" w:eastAsia="Arial" w:hAnsi="Arial"/>
                <w:sz w:val="14"/>
                <w:szCs w:val="14"/>
                <w:color w:val="auto"/>
              </w:rPr>
              <w:t>13,855</w:t>
            </w:r>
          </w:p>
        </w:tc>
        <w:tc>
          <w:tcPr>
            <w:tcW w:w="14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740" w:type="dxa"/>
            <w:vAlign w:val="bottom"/>
            <w:shd w:val="clear" w:color="auto" w:fill="EAF9E8"/>
          </w:tcPr>
          <w:p>
            <w:pPr>
              <w:jc w:val="right"/>
              <w:spacing w:after="0"/>
              <w:rPr>
                <w:sz w:val="20"/>
                <w:szCs w:val="20"/>
                <w:color w:val="auto"/>
              </w:rPr>
            </w:pPr>
            <w:r>
              <w:rPr>
                <w:rFonts w:ascii="Arial" w:cs="Arial" w:eastAsia="Arial" w:hAnsi="Arial"/>
                <w:sz w:val="14"/>
                <w:szCs w:val="14"/>
                <w:color w:val="auto"/>
              </w:rPr>
              <w:t>794</w:t>
            </w:r>
          </w:p>
        </w:tc>
        <w:tc>
          <w:tcPr>
            <w:tcW w:w="12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760" w:type="dxa"/>
            <w:vAlign w:val="bottom"/>
            <w:shd w:val="clear" w:color="auto" w:fill="EAF9E8"/>
          </w:tcPr>
          <w:p>
            <w:pPr>
              <w:jc w:val="right"/>
              <w:spacing w:after="0"/>
              <w:rPr>
                <w:sz w:val="20"/>
                <w:szCs w:val="20"/>
                <w:color w:val="auto"/>
              </w:rPr>
            </w:pPr>
            <w:r>
              <w:rPr>
                <w:rFonts w:ascii="Arial" w:cs="Arial" w:eastAsia="Arial" w:hAnsi="Arial"/>
                <w:sz w:val="14"/>
                <w:szCs w:val="14"/>
                <w:color w:val="auto"/>
              </w:rPr>
              <w:t>7,932</w:t>
            </w: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60" w:type="dxa"/>
            <w:vAlign w:val="bottom"/>
            <w:shd w:val="clear" w:color="auto" w:fill="EAF9E8"/>
          </w:tcPr>
          <w:p>
            <w:pPr>
              <w:spacing w:after="0" w:line="20" w:lineRule="exact"/>
              <w:rPr>
                <w:sz w:val="1"/>
                <w:szCs w:val="1"/>
                <w:color w:val="auto"/>
              </w:rPr>
            </w:pPr>
          </w:p>
        </w:tc>
        <w:tc>
          <w:tcPr>
            <w:tcW w:w="160" w:type="dxa"/>
            <w:vAlign w:val="bottom"/>
            <w:shd w:val="clear" w:color="auto" w:fill="EAF9E8"/>
          </w:tcPr>
          <w:p>
            <w:pPr>
              <w:spacing w:after="0" w:line="20" w:lineRule="exact"/>
              <w:rPr>
                <w:sz w:val="1"/>
                <w:szCs w:val="1"/>
                <w:color w:val="auto"/>
              </w:rPr>
            </w:pPr>
          </w:p>
        </w:tc>
        <w:tc>
          <w:tcPr>
            <w:tcW w:w="260" w:type="dxa"/>
            <w:vAlign w:val="bottom"/>
            <w:shd w:val="clear" w:color="auto" w:fill="EAF9E8"/>
          </w:tcPr>
          <w:p>
            <w:pPr>
              <w:spacing w:after="0" w:line="20" w:lineRule="exact"/>
              <w:rPr>
                <w:sz w:val="1"/>
                <w:szCs w:val="1"/>
                <w:color w:val="auto"/>
              </w:rPr>
            </w:pPr>
          </w:p>
        </w:tc>
        <w:tc>
          <w:tcPr>
            <w:tcW w:w="1840" w:type="dxa"/>
            <w:vAlign w:val="bottom"/>
            <w:tcBorders>
              <w:left w:val="single" w:sz="8" w:color="EAF9E8"/>
            </w:tcBorders>
            <w:shd w:val="clear" w:color="auto" w:fill="EAF9E8"/>
          </w:tcPr>
          <w:p>
            <w:pPr>
              <w:spacing w:after="0" w:line="20" w:lineRule="exact"/>
              <w:rPr>
                <w:sz w:val="1"/>
                <w:szCs w:val="1"/>
                <w:color w:val="auto"/>
              </w:rPr>
            </w:pPr>
          </w:p>
        </w:tc>
        <w:tc>
          <w:tcPr>
            <w:tcW w:w="40" w:type="dxa"/>
            <w:vAlign w:val="bottom"/>
            <w:shd w:val="clear" w:color="auto" w:fill="EAF9E8"/>
          </w:tcPr>
          <w:p>
            <w:pPr>
              <w:spacing w:after="0" w:line="20" w:lineRule="exact"/>
              <w:rPr>
                <w:sz w:val="1"/>
                <w:szCs w:val="1"/>
                <w:color w:val="auto"/>
              </w:rPr>
            </w:pPr>
          </w:p>
        </w:tc>
        <w:tc>
          <w:tcPr>
            <w:tcW w:w="100" w:type="dxa"/>
            <w:vAlign w:val="bottom"/>
            <w:shd w:val="clear" w:color="auto" w:fill="EAF9E8"/>
          </w:tcPr>
          <w:p>
            <w:pPr>
              <w:spacing w:after="0" w:line="20" w:lineRule="exact"/>
              <w:rPr>
                <w:sz w:val="1"/>
                <w:szCs w:val="1"/>
                <w:color w:val="auto"/>
              </w:rPr>
            </w:pPr>
          </w:p>
        </w:tc>
        <w:tc>
          <w:tcPr>
            <w:tcW w:w="120" w:type="dxa"/>
            <w:vAlign w:val="bottom"/>
            <w:shd w:val="clear" w:color="auto" w:fill="EAF9E8"/>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shd w:val="clear" w:color="auto" w:fill="EAF9E8"/>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EAF9E8"/>
          </w:tcPr>
          <w:p>
            <w:pPr>
              <w:spacing w:after="0" w:line="20" w:lineRule="exact"/>
              <w:rPr>
                <w:sz w:val="1"/>
                <w:szCs w:val="1"/>
                <w:color w:val="auto"/>
              </w:rPr>
            </w:pPr>
          </w:p>
        </w:tc>
        <w:tc>
          <w:tcPr>
            <w:tcW w:w="100" w:type="dxa"/>
            <w:vAlign w:val="bottom"/>
            <w:shd w:val="clear" w:color="auto" w:fill="EAF9E8"/>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EAF9E8"/>
          </w:tcPr>
          <w:p>
            <w:pPr>
              <w:spacing w:after="0" w:line="20" w:lineRule="exact"/>
              <w:rPr>
                <w:sz w:val="1"/>
                <w:szCs w:val="1"/>
                <w:color w:val="auto"/>
              </w:rPr>
            </w:pPr>
          </w:p>
        </w:tc>
        <w:tc>
          <w:tcPr>
            <w:tcW w:w="80" w:type="dxa"/>
            <w:vAlign w:val="bottom"/>
            <w:shd w:val="clear" w:color="auto" w:fill="EAF9E8"/>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shd w:val="clear" w:color="auto" w:fill="EAF9E8"/>
          </w:tcPr>
          <w:p>
            <w:pPr>
              <w:spacing w:after="0" w:line="20" w:lineRule="exact"/>
              <w:rPr>
                <w:sz w:val="1"/>
                <w:szCs w:val="1"/>
                <w:color w:val="auto"/>
              </w:rPr>
            </w:pPr>
          </w:p>
        </w:tc>
        <w:tc>
          <w:tcPr>
            <w:tcW w:w="120" w:type="dxa"/>
            <w:vAlign w:val="bottom"/>
            <w:shd w:val="clear" w:color="auto" w:fill="EAF9E8"/>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shd w:val="clear" w:color="auto" w:fill="EAF9E8"/>
          </w:tcPr>
          <w:p>
            <w:pPr>
              <w:spacing w:after="0" w:line="20" w:lineRule="exact"/>
              <w:rPr>
                <w:sz w:val="1"/>
                <w:szCs w:val="1"/>
                <w:color w:val="auto"/>
              </w:rPr>
            </w:pPr>
          </w:p>
        </w:tc>
        <w:tc>
          <w:tcPr>
            <w:tcW w:w="80" w:type="dxa"/>
            <w:vAlign w:val="bottom"/>
            <w:shd w:val="clear" w:color="auto" w:fill="EAF9E8"/>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EAF9E8"/>
          </w:tcPr>
          <w:p>
            <w:pPr>
              <w:spacing w:after="0" w:line="20" w:lineRule="exact"/>
              <w:rPr>
                <w:sz w:val="1"/>
                <w:szCs w:val="1"/>
                <w:color w:val="auto"/>
              </w:rPr>
            </w:pPr>
          </w:p>
        </w:tc>
        <w:tc>
          <w:tcPr>
            <w:tcW w:w="80" w:type="dxa"/>
            <w:vAlign w:val="bottom"/>
            <w:shd w:val="clear" w:color="auto" w:fill="EAF9E8"/>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EAF9E8"/>
          </w:tcPr>
          <w:p>
            <w:pPr>
              <w:spacing w:after="0" w:line="20" w:lineRule="exact"/>
              <w:rPr>
                <w:sz w:val="1"/>
                <w:szCs w:val="1"/>
                <w:color w:val="auto"/>
              </w:rPr>
            </w:pPr>
          </w:p>
        </w:tc>
        <w:tc>
          <w:tcPr>
            <w:tcW w:w="80" w:type="dxa"/>
            <w:vAlign w:val="bottom"/>
            <w:shd w:val="clear" w:color="auto" w:fill="EAF9E8"/>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EAF9E8"/>
          </w:tcPr>
          <w:p>
            <w:pPr>
              <w:spacing w:after="0" w:line="20" w:lineRule="exact"/>
              <w:rPr>
                <w:sz w:val="1"/>
                <w:szCs w:val="1"/>
                <w:color w:val="auto"/>
              </w:rPr>
            </w:pPr>
          </w:p>
        </w:tc>
        <w:tc>
          <w:tcPr>
            <w:tcW w:w="100" w:type="dxa"/>
            <w:vAlign w:val="bottom"/>
            <w:shd w:val="clear" w:color="auto" w:fill="EAF9E8"/>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EAF9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60" w:type="dxa"/>
            <w:vAlign w:val="bottom"/>
          </w:tcPr>
          <w:p>
            <w:pPr>
              <w:spacing w:after="0"/>
              <w:rPr>
                <w:sz w:val="20"/>
                <w:szCs w:val="20"/>
                <w:color w:val="auto"/>
              </w:rPr>
            </w:pPr>
          </w:p>
        </w:tc>
        <w:tc>
          <w:tcPr>
            <w:tcW w:w="2400" w:type="dxa"/>
            <w:vAlign w:val="bottom"/>
            <w:gridSpan w:val="5"/>
          </w:tcPr>
          <w:p>
            <w:pPr>
              <w:ind w:left="160"/>
              <w:spacing w:after="0"/>
              <w:rPr>
                <w:sz w:val="20"/>
                <w:szCs w:val="20"/>
                <w:color w:val="auto"/>
              </w:rPr>
            </w:pPr>
            <w:r>
              <w:rPr>
                <w:rFonts w:ascii="Arial" w:cs="Arial" w:eastAsia="Arial" w:hAnsi="Arial"/>
                <w:sz w:val="14"/>
                <w:szCs w:val="14"/>
                <w:color w:val="auto"/>
              </w:rPr>
              <w:t>Other income (expense), net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gridSpan w:val="2"/>
          </w:tcPr>
          <w:p>
            <w:pPr>
              <w:jc w:val="right"/>
              <w:ind w:right="92"/>
              <w:spacing w:after="0"/>
              <w:rPr>
                <w:sz w:val="20"/>
                <w:szCs w:val="20"/>
                <w:color w:val="auto"/>
              </w:rPr>
            </w:pPr>
            <w:r>
              <w:rPr>
                <w:rFonts w:ascii="Arial" w:cs="Arial" w:eastAsia="Arial" w:hAnsi="Arial"/>
                <w:sz w:val="14"/>
                <w:szCs w:val="14"/>
                <w:color w:val="auto"/>
              </w:rPr>
              <w:t>(43,236)</w:t>
            </w:r>
          </w:p>
        </w:tc>
        <w:tc>
          <w:tcPr>
            <w:tcW w:w="12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4"/>
                <w:szCs w:val="14"/>
                <w:color w:val="auto"/>
              </w:rPr>
              <w:t>(4,861)</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4"/>
                <w:szCs w:val="14"/>
                <w:color w:val="auto"/>
              </w:rPr>
              <w:t>(2,466)</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802</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gridSpan w:val="2"/>
          </w:tcPr>
          <w:p>
            <w:pPr>
              <w:jc w:val="right"/>
              <w:ind w:right="41"/>
              <w:spacing w:after="0"/>
              <w:rPr>
                <w:sz w:val="20"/>
                <w:szCs w:val="20"/>
                <w:color w:val="auto"/>
              </w:rPr>
            </w:pPr>
            <w:r>
              <w:rPr>
                <w:rFonts w:ascii="Arial" w:cs="Arial" w:eastAsia="Arial" w:hAnsi="Arial"/>
                <w:sz w:val="14"/>
                <w:szCs w:val="14"/>
                <w:color w:val="auto"/>
              </w:rPr>
              <w:t>(1,261)</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(103)</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14,566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794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4"/>
                <w:szCs w:val="14"/>
                <w:color w:val="auto"/>
              </w:rPr>
              <w:t>(35,765)</w:t>
            </w:r>
          </w:p>
        </w:tc>
        <w:tc>
          <w:tcPr>
            <w:tcW w:w="0" w:type="dxa"/>
            <w:vAlign w:val="bottom"/>
          </w:tcPr>
          <w:p>
            <w:pPr>
              <w:spacing w:after="0"/>
              <w:rPr>
                <w:sz w:val="1"/>
                <w:szCs w:val="1"/>
                <w:color w:val="auto"/>
              </w:rPr>
            </w:pPr>
          </w:p>
        </w:tc>
      </w:tr>
      <w:tr>
        <w:trPr>
          <w:trHeight w:val="131"/>
        </w:trPr>
        <w:tc>
          <w:tcPr>
            <w:tcW w:w="160" w:type="dxa"/>
            <w:vAlign w:val="bottom"/>
            <w:shd w:val="clear" w:color="auto" w:fill="EAF9E8"/>
          </w:tcPr>
          <w:p>
            <w:pPr>
              <w:spacing w:after="0"/>
              <w:rPr>
                <w:sz w:val="11"/>
                <w:szCs w:val="11"/>
                <w:color w:val="auto"/>
              </w:rPr>
            </w:pPr>
          </w:p>
        </w:tc>
        <w:tc>
          <w:tcPr>
            <w:tcW w:w="2400" w:type="dxa"/>
            <w:vAlign w:val="bottom"/>
            <w:gridSpan w:val="5"/>
            <w:shd w:val="clear" w:color="auto" w:fill="EAF9E8"/>
          </w:tcPr>
          <w:p>
            <w:pPr>
              <w:spacing w:after="0" w:line="131" w:lineRule="exact"/>
              <w:rPr>
                <w:sz w:val="20"/>
                <w:szCs w:val="20"/>
                <w:color w:val="auto"/>
              </w:rPr>
            </w:pPr>
            <w:r>
              <w:rPr>
                <w:rFonts w:ascii="Arial" w:cs="Arial" w:eastAsia="Arial" w:hAnsi="Arial"/>
                <w:sz w:val="14"/>
                <w:szCs w:val="14"/>
                <w:color w:val="auto"/>
                <w:w w:val="94"/>
              </w:rPr>
              <w:t>Income (loss) from continuing operations</w:t>
            </w:r>
          </w:p>
        </w:tc>
        <w:tc>
          <w:tcPr>
            <w:tcW w:w="120" w:type="dxa"/>
            <w:vAlign w:val="bottom"/>
            <w:shd w:val="clear" w:color="auto" w:fill="EAF9E8"/>
          </w:tcPr>
          <w:p>
            <w:pPr>
              <w:spacing w:after="0"/>
              <w:rPr>
                <w:sz w:val="11"/>
                <w:szCs w:val="11"/>
                <w:color w:val="auto"/>
              </w:rPr>
            </w:pPr>
          </w:p>
        </w:tc>
        <w:tc>
          <w:tcPr>
            <w:tcW w:w="80" w:type="dxa"/>
            <w:vAlign w:val="bottom"/>
            <w:tcBorders>
              <w:top w:val="single" w:sz="8" w:color="auto"/>
            </w:tcBorders>
            <w:vMerge w:val="restart"/>
            <w:shd w:val="clear" w:color="auto" w:fill="EAF9E8"/>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tcBorders>
            <w:vMerge w:val="restart"/>
            <w:shd w:val="clear" w:color="auto" w:fill="EAF9E8"/>
          </w:tcPr>
          <w:p>
            <w:pPr>
              <w:jc w:val="right"/>
              <w:spacing w:after="0"/>
              <w:rPr>
                <w:sz w:val="20"/>
                <w:szCs w:val="20"/>
                <w:color w:val="auto"/>
              </w:rPr>
            </w:pPr>
            <w:r>
              <w:rPr>
                <w:rFonts w:ascii="Arial" w:cs="Arial" w:eastAsia="Arial" w:hAnsi="Arial"/>
                <w:sz w:val="14"/>
                <w:szCs w:val="14"/>
                <w:color w:val="auto"/>
              </w:rPr>
              <w:t>58,381</w:t>
            </w:r>
          </w:p>
        </w:tc>
        <w:tc>
          <w:tcPr>
            <w:tcW w:w="200" w:type="dxa"/>
            <w:vAlign w:val="bottom"/>
            <w:shd w:val="clear" w:color="auto" w:fill="EAF9E8"/>
          </w:tcPr>
          <w:p>
            <w:pPr>
              <w:spacing w:after="0"/>
              <w:rPr>
                <w:sz w:val="11"/>
                <w:szCs w:val="11"/>
                <w:color w:val="auto"/>
              </w:rPr>
            </w:pPr>
          </w:p>
        </w:tc>
        <w:tc>
          <w:tcPr>
            <w:tcW w:w="120" w:type="dxa"/>
            <w:vAlign w:val="bottom"/>
            <w:tcBorders>
              <w:top w:val="single" w:sz="8" w:color="auto"/>
            </w:tcBorders>
            <w:vMerge w:val="restart"/>
            <w:shd w:val="clear" w:color="auto" w:fill="EAF9E8"/>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vMerge w:val="restart"/>
            <w:shd w:val="clear" w:color="auto" w:fill="EAF9E8"/>
          </w:tcPr>
          <w:p>
            <w:pPr>
              <w:jc w:val="right"/>
              <w:spacing w:after="0"/>
              <w:rPr>
                <w:sz w:val="20"/>
                <w:szCs w:val="20"/>
                <w:color w:val="auto"/>
              </w:rPr>
            </w:pPr>
            <w:r>
              <w:rPr>
                <w:rFonts w:ascii="Arial" w:cs="Arial" w:eastAsia="Arial" w:hAnsi="Arial"/>
                <w:sz w:val="14"/>
                <w:szCs w:val="14"/>
                <w:color w:val="auto"/>
              </w:rPr>
              <w:t>(7,063)</w:t>
            </w:r>
          </w:p>
        </w:tc>
        <w:tc>
          <w:tcPr>
            <w:tcW w:w="12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80" w:type="dxa"/>
            <w:vAlign w:val="bottom"/>
            <w:tcBorders>
              <w:top w:val="single" w:sz="8" w:color="auto"/>
            </w:tcBorders>
            <w:vMerge w:val="restart"/>
            <w:shd w:val="clear" w:color="auto" w:fill="EAF9E8"/>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vMerge w:val="restart"/>
            <w:shd w:val="clear" w:color="auto" w:fill="EAF9E8"/>
          </w:tcPr>
          <w:p>
            <w:pPr>
              <w:jc w:val="right"/>
              <w:spacing w:after="0"/>
              <w:rPr>
                <w:sz w:val="20"/>
                <w:szCs w:val="20"/>
                <w:color w:val="auto"/>
              </w:rPr>
            </w:pPr>
            <w:r>
              <w:rPr>
                <w:rFonts w:ascii="Arial" w:cs="Arial" w:eastAsia="Arial" w:hAnsi="Arial"/>
                <w:sz w:val="14"/>
                <w:szCs w:val="14"/>
                <w:color w:val="auto"/>
              </w:rPr>
              <w:t>(3,567)</w:t>
            </w:r>
          </w:p>
        </w:tc>
        <w:tc>
          <w:tcPr>
            <w:tcW w:w="140" w:type="dxa"/>
            <w:vAlign w:val="bottom"/>
            <w:shd w:val="clear" w:color="auto" w:fill="EAF9E8"/>
          </w:tcPr>
          <w:p>
            <w:pPr>
              <w:spacing w:after="0"/>
              <w:rPr>
                <w:sz w:val="11"/>
                <w:szCs w:val="11"/>
                <w:color w:val="auto"/>
              </w:rPr>
            </w:pPr>
          </w:p>
        </w:tc>
        <w:tc>
          <w:tcPr>
            <w:tcW w:w="80" w:type="dxa"/>
            <w:vAlign w:val="bottom"/>
            <w:shd w:val="clear" w:color="auto" w:fill="EAF9E8"/>
          </w:tcPr>
          <w:p>
            <w:pPr>
              <w:spacing w:after="0"/>
              <w:rPr>
                <w:sz w:val="11"/>
                <w:szCs w:val="11"/>
                <w:color w:val="auto"/>
              </w:rPr>
            </w:pPr>
          </w:p>
        </w:tc>
        <w:tc>
          <w:tcPr>
            <w:tcW w:w="140" w:type="dxa"/>
            <w:vAlign w:val="bottom"/>
            <w:tcBorders>
              <w:top w:val="single" w:sz="8" w:color="auto"/>
            </w:tcBorders>
            <w:vMerge w:val="restart"/>
            <w:shd w:val="clear" w:color="auto" w:fill="EAF9E8"/>
          </w:tcPr>
          <w:p>
            <w:pPr>
              <w:spacing w:after="0"/>
              <w:rPr>
                <w:sz w:val="20"/>
                <w:szCs w:val="20"/>
                <w:color w:val="auto"/>
              </w:rPr>
            </w:pPr>
            <w:r>
              <w:rPr>
                <w:rFonts w:ascii="Arial" w:cs="Arial" w:eastAsia="Arial" w:hAnsi="Arial"/>
                <w:sz w:val="14"/>
                <w:szCs w:val="14"/>
                <w:color w:val="auto"/>
              </w:rPr>
              <w:t>$</w:t>
            </w:r>
          </w:p>
        </w:tc>
        <w:tc>
          <w:tcPr>
            <w:tcW w:w="440" w:type="dxa"/>
            <w:vAlign w:val="bottom"/>
            <w:tcBorders>
              <w:top w:val="single" w:sz="8" w:color="auto"/>
            </w:tcBorders>
            <w:vMerge w:val="restart"/>
            <w:shd w:val="clear" w:color="auto" w:fill="EAF9E8"/>
          </w:tcPr>
          <w:p>
            <w:pPr>
              <w:jc w:val="right"/>
              <w:spacing w:after="0"/>
              <w:rPr>
                <w:sz w:val="20"/>
                <w:szCs w:val="20"/>
                <w:color w:val="auto"/>
              </w:rPr>
            </w:pPr>
            <w:r>
              <w:rPr>
                <w:rFonts w:ascii="Arial" w:cs="Arial" w:eastAsia="Arial" w:hAnsi="Arial"/>
                <w:sz w:val="14"/>
                <w:szCs w:val="14"/>
                <w:color w:val="auto"/>
                <w:w w:val="97"/>
              </w:rPr>
              <w:t>17,815</w:t>
            </w:r>
          </w:p>
        </w:tc>
        <w:tc>
          <w:tcPr>
            <w:tcW w:w="80" w:type="dxa"/>
            <w:vAlign w:val="bottom"/>
            <w:shd w:val="clear" w:color="auto" w:fill="EAF9E8"/>
          </w:tcPr>
          <w:p>
            <w:pPr>
              <w:spacing w:after="0"/>
              <w:rPr>
                <w:sz w:val="11"/>
                <w:szCs w:val="11"/>
                <w:color w:val="auto"/>
              </w:rPr>
            </w:pPr>
          </w:p>
        </w:tc>
        <w:tc>
          <w:tcPr>
            <w:tcW w:w="120" w:type="dxa"/>
            <w:vAlign w:val="bottom"/>
            <w:shd w:val="clear" w:color="auto" w:fill="EAF9E8"/>
          </w:tcPr>
          <w:p>
            <w:pPr>
              <w:spacing w:after="0"/>
              <w:rPr>
                <w:sz w:val="11"/>
                <w:szCs w:val="11"/>
                <w:color w:val="auto"/>
              </w:rPr>
            </w:pPr>
          </w:p>
        </w:tc>
        <w:tc>
          <w:tcPr>
            <w:tcW w:w="140" w:type="dxa"/>
            <w:vAlign w:val="bottom"/>
            <w:tcBorders>
              <w:top w:val="single" w:sz="8" w:color="auto"/>
            </w:tcBorders>
            <w:vMerge w:val="restart"/>
            <w:shd w:val="clear" w:color="auto" w:fill="EAF9E8"/>
          </w:tcPr>
          <w:p>
            <w:pPr>
              <w:spacing w:after="0"/>
              <w:rPr>
                <w:sz w:val="20"/>
                <w:szCs w:val="20"/>
                <w:color w:val="auto"/>
              </w:rPr>
            </w:pPr>
            <w:r>
              <w:rPr>
                <w:rFonts w:ascii="Arial" w:cs="Arial" w:eastAsia="Arial" w:hAnsi="Arial"/>
                <w:sz w:val="14"/>
                <w:szCs w:val="14"/>
                <w:color w:val="auto"/>
              </w:rPr>
              <w:t>$</w:t>
            </w:r>
          </w:p>
        </w:tc>
        <w:tc>
          <w:tcPr>
            <w:tcW w:w="440" w:type="dxa"/>
            <w:vAlign w:val="bottom"/>
            <w:tcBorders>
              <w:top w:val="single" w:sz="8" w:color="auto"/>
            </w:tcBorders>
            <w:vMerge w:val="restart"/>
            <w:shd w:val="clear" w:color="auto" w:fill="EAF9E8"/>
          </w:tcPr>
          <w:p>
            <w:pPr>
              <w:jc w:val="right"/>
              <w:spacing w:after="0"/>
              <w:rPr>
                <w:sz w:val="20"/>
                <w:szCs w:val="20"/>
                <w:color w:val="auto"/>
              </w:rPr>
            </w:pPr>
            <w:r>
              <w:rPr>
                <w:rFonts w:ascii="Arial" w:cs="Arial" w:eastAsia="Arial" w:hAnsi="Arial"/>
                <w:sz w:val="14"/>
                <w:szCs w:val="14"/>
                <w:color w:val="auto"/>
              </w:rPr>
              <w:t>(5,969</w:t>
            </w:r>
          </w:p>
        </w:tc>
        <w:tc>
          <w:tcPr>
            <w:tcW w:w="120" w:type="dxa"/>
            <w:vAlign w:val="bottom"/>
            <w:vMerge w:val="restart"/>
            <w:shd w:val="clear" w:color="auto" w:fill="EAF9E8"/>
          </w:tcPr>
          <w:p>
            <w:pPr>
              <w:jc w:val="right"/>
              <w:ind w:right="41"/>
              <w:spacing w:after="0"/>
              <w:rPr>
                <w:sz w:val="20"/>
                <w:szCs w:val="20"/>
                <w:color w:val="auto"/>
              </w:rPr>
            </w:pPr>
            <w:r>
              <w:rPr>
                <w:rFonts w:ascii="Arial" w:cs="Arial" w:eastAsia="Arial" w:hAnsi="Arial"/>
                <w:sz w:val="8"/>
                <w:szCs w:val="8"/>
                <w:color w:val="auto"/>
                <w:w w:val="73"/>
              </w:rPr>
              <w:t>)</w:t>
            </w:r>
          </w:p>
        </w:tc>
        <w:tc>
          <w:tcPr>
            <w:tcW w:w="80" w:type="dxa"/>
            <w:vAlign w:val="bottom"/>
            <w:shd w:val="clear" w:color="auto" w:fill="EAF9E8"/>
          </w:tcPr>
          <w:p>
            <w:pPr>
              <w:spacing w:after="0"/>
              <w:rPr>
                <w:sz w:val="11"/>
                <w:szCs w:val="11"/>
                <w:color w:val="auto"/>
              </w:rPr>
            </w:pPr>
          </w:p>
        </w:tc>
        <w:tc>
          <w:tcPr>
            <w:tcW w:w="80" w:type="dxa"/>
            <w:vAlign w:val="bottom"/>
            <w:tcBorders>
              <w:top w:val="single" w:sz="8" w:color="auto"/>
            </w:tcBorders>
            <w:vMerge w:val="restart"/>
            <w:shd w:val="clear" w:color="auto" w:fill="EAF9E8"/>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vMerge w:val="restart"/>
            <w:shd w:val="clear" w:color="auto" w:fill="EAF9E8"/>
          </w:tcPr>
          <w:p>
            <w:pPr>
              <w:jc w:val="right"/>
              <w:spacing w:after="0"/>
              <w:rPr>
                <w:sz w:val="20"/>
                <w:szCs w:val="20"/>
                <w:color w:val="auto"/>
              </w:rPr>
            </w:pPr>
            <w:r>
              <w:rPr>
                <w:rFonts w:ascii="Arial" w:cs="Arial" w:eastAsia="Arial" w:hAnsi="Arial"/>
                <w:sz w:val="14"/>
                <w:szCs w:val="14"/>
                <w:color w:val="auto"/>
              </w:rPr>
              <w:t>9,590</w:t>
            </w:r>
          </w:p>
        </w:tc>
        <w:tc>
          <w:tcPr>
            <w:tcW w:w="140" w:type="dxa"/>
            <w:vAlign w:val="bottom"/>
            <w:shd w:val="clear" w:color="auto" w:fill="EAF9E8"/>
          </w:tcPr>
          <w:p>
            <w:pPr>
              <w:spacing w:after="0"/>
              <w:rPr>
                <w:sz w:val="11"/>
                <w:szCs w:val="11"/>
                <w:color w:val="auto"/>
              </w:rPr>
            </w:pPr>
          </w:p>
        </w:tc>
        <w:tc>
          <w:tcPr>
            <w:tcW w:w="80" w:type="dxa"/>
            <w:vAlign w:val="bottom"/>
            <w:shd w:val="clear" w:color="auto" w:fill="EAF9E8"/>
          </w:tcPr>
          <w:p>
            <w:pPr>
              <w:spacing w:after="0"/>
              <w:rPr>
                <w:sz w:val="11"/>
                <w:szCs w:val="11"/>
                <w:color w:val="auto"/>
              </w:rPr>
            </w:pPr>
          </w:p>
        </w:tc>
        <w:tc>
          <w:tcPr>
            <w:tcW w:w="120" w:type="dxa"/>
            <w:vAlign w:val="bottom"/>
            <w:tcBorders>
              <w:top w:val="single" w:sz="8" w:color="auto"/>
            </w:tcBorders>
            <w:vMerge w:val="restart"/>
            <w:shd w:val="clear" w:color="auto" w:fill="EAF9E8"/>
          </w:tcPr>
          <w:p>
            <w:pPr>
              <w:jc w:val="right"/>
              <w:ind w:right="4"/>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vMerge w:val="restart"/>
            <w:shd w:val="clear" w:color="auto" w:fill="EAF9E8"/>
          </w:tcPr>
          <w:p>
            <w:pPr>
              <w:jc w:val="right"/>
              <w:spacing w:after="0"/>
              <w:rPr>
                <w:sz w:val="20"/>
                <w:szCs w:val="20"/>
                <w:color w:val="auto"/>
              </w:rPr>
            </w:pPr>
            <w:r>
              <w:rPr>
                <w:rFonts w:ascii="Arial" w:cs="Arial" w:eastAsia="Arial" w:hAnsi="Arial"/>
                <w:sz w:val="14"/>
                <w:szCs w:val="14"/>
                <w:color w:val="auto"/>
              </w:rPr>
              <w:t>3,880</w:t>
            </w:r>
          </w:p>
        </w:tc>
        <w:tc>
          <w:tcPr>
            <w:tcW w:w="140" w:type="dxa"/>
            <w:vAlign w:val="bottom"/>
            <w:shd w:val="clear" w:color="auto" w:fill="EAF9E8"/>
          </w:tcPr>
          <w:p>
            <w:pPr>
              <w:spacing w:after="0"/>
              <w:rPr>
                <w:sz w:val="11"/>
                <w:szCs w:val="11"/>
                <w:color w:val="auto"/>
              </w:rPr>
            </w:pPr>
          </w:p>
        </w:tc>
        <w:tc>
          <w:tcPr>
            <w:tcW w:w="80" w:type="dxa"/>
            <w:vAlign w:val="bottom"/>
            <w:shd w:val="clear" w:color="auto" w:fill="EAF9E8"/>
          </w:tcPr>
          <w:p>
            <w:pPr>
              <w:spacing w:after="0"/>
              <w:rPr>
                <w:sz w:val="11"/>
                <w:szCs w:val="11"/>
                <w:color w:val="auto"/>
              </w:rPr>
            </w:pPr>
          </w:p>
        </w:tc>
        <w:tc>
          <w:tcPr>
            <w:tcW w:w="100" w:type="dxa"/>
            <w:vAlign w:val="bottom"/>
            <w:tcBorders>
              <w:top w:val="single" w:sz="8" w:color="auto"/>
            </w:tcBorders>
            <w:vMerge w:val="restart"/>
            <w:shd w:val="clear" w:color="auto" w:fill="EAF9E8"/>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vMerge w:val="restart"/>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80" w:type="dxa"/>
            <w:vAlign w:val="bottom"/>
            <w:tcBorders>
              <w:top w:val="single" w:sz="8" w:color="auto"/>
            </w:tcBorders>
            <w:vMerge w:val="restart"/>
            <w:shd w:val="clear" w:color="auto" w:fill="EAF9E8"/>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tcBorders>
            <w:vMerge w:val="restart"/>
            <w:shd w:val="clear" w:color="auto" w:fill="EAF9E8"/>
          </w:tcPr>
          <w:p>
            <w:pPr>
              <w:jc w:val="right"/>
              <w:spacing w:after="0"/>
              <w:rPr>
                <w:sz w:val="20"/>
                <w:szCs w:val="20"/>
                <w:color w:val="auto"/>
              </w:rPr>
            </w:pPr>
            <w:r>
              <w:rPr>
                <w:rFonts w:ascii="Arial" w:cs="Arial" w:eastAsia="Arial" w:hAnsi="Arial"/>
                <w:sz w:val="14"/>
                <w:szCs w:val="14"/>
                <w:color w:val="auto"/>
              </w:rPr>
              <w:t>73,067</w:t>
            </w:r>
          </w:p>
        </w:tc>
        <w:tc>
          <w:tcPr>
            <w:tcW w:w="120" w:type="dxa"/>
            <w:vAlign w:val="bottom"/>
            <w:shd w:val="clear" w:color="auto" w:fill="EAF9E8"/>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60" w:type="dxa"/>
            <w:vAlign w:val="bottom"/>
            <w:tcBorders>
              <w:bottom w:val="single" w:sz="8" w:color="EAF9E8"/>
            </w:tcBorders>
            <w:shd w:val="clear" w:color="auto" w:fill="EAF9E8"/>
          </w:tcPr>
          <w:p>
            <w:pPr>
              <w:spacing w:after="0"/>
              <w:rPr>
                <w:sz w:val="13"/>
                <w:szCs w:val="13"/>
                <w:color w:val="auto"/>
              </w:rPr>
            </w:pPr>
          </w:p>
        </w:tc>
        <w:tc>
          <w:tcPr>
            <w:tcW w:w="160" w:type="dxa"/>
            <w:vAlign w:val="bottom"/>
            <w:tcBorders>
              <w:bottom w:val="single" w:sz="8" w:color="EAF9E8"/>
            </w:tcBorders>
            <w:shd w:val="clear" w:color="auto" w:fill="EAF9E8"/>
          </w:tcPr>
          <w:p>
            <w:pPr>
              <w:spacing w:after="0"/>
              <w:rPr>
                <w:sz w:val="13"/>
                <w:szCs w:val="13"/>
                <w:color w:val="auto"/>
              </w:rPr>
            </w:pPr>
          </w:p>
        </w:tc>
        <w:tc>
          <w:tcPr>
            <w:tcW w:w="2240" w:type="dxa"/>
            <w:vAlign w:val="bottom"/>
            <w:tcBorders>
              <w:bottom w:val="single" w:sz="8" w:color="EAF9E8"/>
            </w:tcBorders>
            <w:gridSpan w:val="4"/>
            <w:shd w:val="clear" w:color="auto" w:fill="EAF9E8"/>
          </w:tcPr>
          <w:p>
            <w:pPr>
              <w:spacing w:after="0" w:line="113" w:lineRule="exact"/>
              <w:rPr>
                <w:sz w:val="20"/>
                <w:szCs w:val="20"/>
                <w:color w:val="auto"/>
              </w:rPr>
            </w:pPr>
            <w:r>
              <w:rPr>
                <w:rFonts w:ascii="Arial" w:cs="Arial" w:eastAsia="Arial" w:hAnsi="Arial"/>
                <w:sz w:val="12"/>
                <w:szCs w:val="12"/>
                <w:color w:val="auto"/>
              </w:rPr>
              <w:t>before income taxes</w:t>
            </w:r>
          </w:p>
        </w:tc>
        <w:tc>
          <w:tcPr>
            <w:tcW w:w="120" w:type="dxa"/>
            <w:vAlign w:val="bottom"/>
            <w:tcBorders>
              <w:bottom w:val="single" w:sz="8" w:color="EAF9E8"/>
            </w:tcBorders>
            <w:shd w:val="clear" w:color="auto" w:fill="EAF9E8"/>
          </w:tcPr>
          <w:p>
            <w:pPr>
              <w:spacing w:after="0"/>
              <w:rPr>
                <w:sz w:val="13"/>
                <w:szCs w:val="13"/>
                <w:color w:val="auto"/>
              </w:rPr>
            </w:pPr>
          </w:p>
        </w:tc>
        <w:tc>
          <w:tcPr>
            <w:tcW w:w="80" w:type="dxa"/>
            <w:vAlign w:val="bottom"/>
            <w:tcBorders>
              <w:bottom w:val="single" w:sz="8" w:color="auto"/>
            </w:tcBorders>
            <w:vMerge w:val="continue"/>
            <w:shd w:val="clear" w:color="auto" w:fill="EAF9E8"/>
          </w:tcPr>
          <w:p>
            <w:pPr>
              <w:spacing w:after="0"/>
              <w:rPr>
                <w:sz w:val="13"/>
                <w:szCs w:val="13"/>
                <w:color w:val="auto"/>
              </w:rPr>
            </w:pPr>
          </w:p>
        </w:tc>
        <w:tc>
          <w:tcPr>
            <w:tcW w:w="620" w:type="dxa"/>
            <w:vAlign w:val="bottom"/>
            <w:tcBorders>
              <w:bottom w:val="single" w:sz="8" w:color="auto"/>
            </w:tcBorders>
            <w:vMerge w:val="continue"/>
            <w:shd w:val="clear" w:color="auto" w:fill="EAF9E8"/>
          </w:tcPr>
          <w:p>
            <w:pPr>
              <w:spacing w:after="0"/>
              <w:rPr>
                <w:sz w:val="13"/>
                <w:szCs w:val="13"/>
                <w:color w:val="auto"/>
              </w:rPr>
            </w:pPr>
          </w:p>
        </w:tc>
        <w:tc>
          <w:tcPr>
            <w:tcW w:w="200" w:type="dxa"/>
            <w:vAlign w:val="bottom"/>
            <w:tcBorders>
              <w:bottom w:val="single" w:sz="8" w:color="EAF9E8"/>
            </w:tcBorders>
            <w:shd w:val="clear" w:color="auto" w:fill="EAF9E8"/>
          </w:tcPr>
          <w:p>
            <w:pPr>
              <w:spacing w:after="0"/>
              <w:rPr>
                <w:sz w:val="13"/>
                <w:szCs w:val="13"/>
                <w:color w:val="auto"/>
              </w:rPr>
            </w:pPr>
          </w:p>
        </w:tc>
        <w:tc>
          <w:tcPr>
            <w:tcW w:w="120" w:type="dxa"/>
            <w:vAlign w:val="bottom"/>
            <w:tcBorders>
              <w:bottom w:val="single" w:sz="8" w:color="auto"/>
            </w:tcBorders>
            <w:vMerge w:val="continue"/>
            <w:shd w:val="clear" w:color="auto" w:fill="EAF9E8"/>
          </w:tcPr>
          <w:p>
            <w:pPr>
              <w:spacing w:after="0"/>
              <w:rPr>
                <w:sz w:val="13"/>
                <w:szCs w:val="13"/>
                <w:color w:val="auto"/>
              </w:rPr>
            </w:pPr>
          </w:p>
        </w:tc>
        <w:tc>
          <w:tcPr>
            <w:tcW w:w="820" w:type="dxa"/>
            <w:vAlign w:val="bottom"/>
            <w:tcBorders>
              <w:bottom w:val="single" w:sz="8" w:color="auto"/>
            </w:tcBorders>
            <w:vMerge w:val="continue"/>
            <w:shd w:val="clear" w:color="auto" w:fill="EAF9E8"/>
          </w:tcPr>
          <w:p>
            <w:pPr>
              <w:spacing w:after="0"/>
              <w:rPr>
                <w:sz w:val="13"/>
                <w:szCs w:val="13"/>
                <w:color w:val="auto"/>
              </w:rPr>
            </w:pPr>
          </w:p>
        </w:tc>
        <w:tc>
          <w:tcPr>
            <w:tcW w:w="120" w:type="dxa"/>
            <w:vAlign w:val="bottom"/>
            <w:tcBorders>
              <w:bottom w:val="single" w:sz="8" w:color="EAF9E8"/>
            </w:tcBorders>
            <w:shd w:val="clear" w:color="auto" w:fill="EAF9E8"/>
          </w:tcPr>
          <w:p>
            <w:pPr>
              <w:spacing w:after="0"/>
              <w:rPr>
                <w:sz w:val="13"/>
                <w:szCs w:val="13"/>
                <w:color w:val="auto"/>
              </w:rPr>
            </w:pPr>
          </w:p>
        </w:tc>
        <w:tc>
          <w:tcPr>
            <w:tcW w:w="100" w:type="dxa"/>
            <w:vAlign w:val="bottom"/>
            <w:tcBorders>
              <w:bottom w:val="single" w:sz="8" w:color="EAF9E8"/>
            </w:tcBorders>
            <w:shd w:val="clear" w:color="auto" w:fill="EAF9E8"/>
          </w:tcPr>
          <w:p>
            <w:pPr>
              <w:spacing w:after="0"/>
              <w:rPr>
                <w:sz w:val="13"/>
                <w:szCs w:val="13"/>
                <w:color w:val="auto"/>
              </w:rPr>
            </w:pPr>
          </w:p>
        </w:tc>
        <w:tc>
          <w:tcPr>
            <w:tcW w:w="80" w:type="dxa"/>
            <w:vAlign w:val="bottom"/>
            <w:tcBorders>
              <w:bottom w:val="single" w:sz="8" w:color="auto"/>
            </w:tcBorders>
            <w:vMerge w:val="continue"/>
            <w:shd w:val="clear" w:color="auto" w:fill="EAF9E8"/>
          </w:tcPr>
          <w:p>
            <w:pPr>
              <w:spacing w:after="0"/>
              <w:rPr>
                <w:sz w:val="13"/>
                <w:szCs w:val="13"/>
                <w:color w:val="auto"/>
              </w:rPr>
            </w:pPr>
          </w:p>
        </w:tc>
        <w:tc>
          <w:tcPr>
            <w:tcW w:w="840" w:type="dxa"/>
            <w:vAlign w:val="bottom"/>
            <w:tcBorders>
              <w:bottom w:val="single" w:sz="8" w:color="auto"/>
            </w:tcBorders>
            <w:vMerge w:val="continue"/>
            <w:shd w:val="clear" w:color="auto" w:fill="EAF9E8"/>
          </w:tcPr>
          <w:p>
            <w:pPr>
              <w:spacing w:after="0"/>
              <w:rPr>
                <w:sz w:val="13"/>
                <w:szCs w:val="13"/>
                <w:color w:val="auto"/>
              </w:rPr>
            </w:pPr>
          </w:p>
        </w:tc>
        <w:tc>
          <w:tcPr>
            <w:tcW w:w="140" w:type="dxa"/>
            <w:vAlign w:val="bottom"/>
            <w:tcBorders>
              <w:bottom w:val="single" w:sz="8" w:color="EAF9E8"/>
            </w:tcBorders>
            <w:shd w:val="clear" w:color="auto" w:fill="EAF9E8"/>
          </w:tcPr>
          <w:p>
            <w:pPr>
              <w:spacing w:after="0"/>
              <w:rPr>
                <w:sz w:val="13"/>
                <w:szCs w:val="13"/>
                <w:color w:val="auto"/>
              </w:rPr>
            </w:pPr>
          </w:p>
        </w:tc>
        <w:tc>
          <w:tcPr>
            <w:tcW w:w="80" w:type="dxa"/>
            <w:vAlign w:val="bottom"/>
            <w:tcBorders>
              <w:bottom w:val="single" w:sz="8" w:color="EAF9E8"/>
            </w:tcBorders>
            <w:shd w:val="clear" w:color="auto" w:fill="EAF9E8"/>
          </w:tcPr>
          <w:p>
            <w:pPr>
              <w:spacing w:after="0"/>
              <w:rPr>
                <w:sz w:val="13"/>
                <w:szCs w:val="13"/>
                <w:color w:val="auto"/>
              </w:rPr>
            </w:pPr>
          </w:p>
        </w:tc>
        <w:tc>
          <w:tcPr>
            <w:tcW w:w="140" w:type="dxa"/>
            <w:vAlign w:val="bottom"/>
            <w:tcBorders>
              <w:bottom w:val="single" w:sz="8" w:color="auto"/>
            </w:tcBorders>
            <w:vMerge w:val="continue"/>
            <w:shd w:val="clear" w:color="auto" w:fill="EAF9E8"/>
          </w:tcPr>
          <w:p>
            <w:pPr>
              <w:spacing w:after="0"/>
              <w:rPr>
                <w:sz w:val="13"/>
                <w:szCs w:val="13"/>
                <w:color w:val="auto"/>
              </w:rPr>
            </w:pPr>
          </w:p>
        </w:tc>
        <w:tc>
          <w:tcPr>
            <w:tcW w:w="440" w:type="dxa"/>
            <w:vAlign w:val="bottom"/>
            <w:tcBorders>
              <w:bottom w:val="single" w:sz="8" w:color="auto"/>
            </w:tcBorders>
            <w:vMerge w:val="continue"/>
            <w:shd w:val="clear" w:color="auto" w:fill="EAF9E8"/>
          </w:tcPr>
          <w:p>
            <w:pPr>
              <w:spacing w:after="0"/>
              <w:rPr>
                <w:sz w:val="13"/>
                <w:szCs w:val="13"/>
                <w:color w:val="auto"/>
              </w:rPr>
            </w:pPr>
          </w:p>
        </w:tc>
        <w:tc>
          <w:tcPr>
            <w:tcW w:w="80" w:type="dxa"/>
            <w:vAlign w:val="bottom"/>
            <w:tcBorders>
              <w:bottom w:val="single" w:sz="8" w:color="EAF9E8"/>
            </w:tcBorders>
            <w:shd w:val="clear" w:color="auto" w:fill="EAF9E8"/>
          </w:tcPr>
          <w:p>
            <w:pPr>
              <w:spacing w:after="0"/>
              <w:rPr>
                <w:sz w:val="13"/>
                <w:szCs w:val="13"/>
                <w:color w:val="auto"/>
              </w:rPr>
            </w:pPr>
          </w:p>
        </w:tc>
        <w:tc>
          <w:tcPr>
            <w:tcW w:w="120" w:type="dxa"/>
            <w:vAlign w:val="bottom"/>
            <w:tcBorders>
              <w:bottom w:val="single" w:sz="8" w:color="EAF9E8"/>
            </w:tcBorders>
            <w:shd w:val="clear" w:color="auto" w:fill="EAF9E8"/>
          </w:tcPr>
          <w:p>
            <w:pPr>
              <w:spacing w:after="0"/>
              <w:rPr>
                <w:sz w:val="13"/>
                <w:szCs w:val="13"/>
                <w:color w:val="auto"/>
              </w:rPr>
            </w:pPr>
          </w:p>
        </w:tc>
        <w:tc>
          <w:tcPr>
            <w:tcW w:w="140" w:type="dxa"/>
            <w:vAlign w:val="bottom"/>
            <w:tcBorders>
              <w:bottom w:val="single" w:sz="8" w:color="auto"/>
            </w:tcBorders>
            <w:vMerge w:val="continue"/>
            <w:shd w:val="clear" w:color="auto" w:fill="EAF9E8"/>
          </w:tcPr>
          <w:p>
            <w:pPr>
              <w:spacing w:after="0"/>
              <w:rPr>
                <w:sz w:val="13"/>
                <w:szCs w:val="13"/>
                <w:color w:val="auto"/>
              </w:rPr>
            </w:pPr>
          </w:p>
        </w:tc>
        <w:tc>
          <w:tcPr>
            <w:tcW w:w="440" w:type="dxa"/>
            <w:vAlign w:val="bottom"/>
            <w:tcBorders>
              <w:bottom w:val="single" w:sz="8" w:color="auto"/>
            </w:tcBorders>
            <w:vMerge w:val="continue"/>
            <w:shd w:val="clear" w:color="auto" w:fill="EAF9E8"/>
          </w:tcPr>
          <w:p>
            <w:pPr>
              <w:spacing w:after="0"/>
              <w:rPr>
                <w:sz w:val="13"/>
                <w:szCs w:val="13"/>
                <w:color w:val="auto"/>
              </w:rPr>
            </w:pPr>
          </w:p>
        </w:tc>
        <w:tc>
          <w:tcPr>
            <w:tcW w:w="120" w:type="dxa"/>
            <w:vAlign w:val="bottom"/>
            <w:tcBorders>
              <w:bottom w:val="single" w:sz="8" w:color="EAF9E8"/>
            </w:tcBorders>
            <w:vMerge w:val="continue"/>
            <w:shd w:val="clear" w:color="auto" w:fill="EAF9E8"/>
          </w:tcPr>
          <w:p>
            <w:pPr>
              <w:spacing w:after="0"/>
              <w:rPr>
                <w:sz w:val="13"/>
                <w:szCs w:val="13"/>
                <w:color w:val="auto"/>
              </w:rPr>
            </w:pPr>
          </w:p>
        </w:tc>
        <w:tc>
          <w:tcPr>
            <w:tcW w:w="80" w:type="dxa"/>
            <w:vAlign w:val="bottom"/>
            <w:tcBorders>
              <w:bottom w:val="single" w:sz="8" w:color="EAF9E8"/>
            </w:tcBorders>
            <w:shd w:val="clear" w:color="auto" w:fill="EAF9E8"/>
          </w:tcPr>
          <w:p>
            <w:pPr>
              <w:spacing w:after="0"/>
              <w:rPr>
                <w:sz w:val="13"/>
                <w:szCs w:val="13"/>
                <w:color w:val="auto"/>
              </w:rPr>
            </w:pPr>
          </w:p>
        </w:tc>
        <w:tc>
          <w:tcPr>
            <w:tcW w:w="80" w:type="dxa"/>
            <w:vAlign w:val="bottom"/>
            <w:tcBorders>
              <w:bottom w:val="single" w:sz="8" w:color="auto"/>
            </w:tcBorders>
            <w:vMerge w:val="continue"/>
            <w:shd w:val="clear" w:color="auto" w:fill="EAF9E8"/>
          </w:tcPr>
          <w:p>
            <w:pPr>
              <w:spacing w:after="0"/>
              <w:rPr>
                <w:sz w:val="13"/>
                <w:szCs w:val="13"/>
                <w:color w:val="auto"/>
              </w:rPr>
            </w:pPr>
          </w:p>
        </w:tc>
        <w:tc>
          <w:tcPr>
            <w:tcW w:w="740" w:type="dxa"/>
            <w:vAlign w:val="bottom"/>
            <w:tcBorders>
              <w:bottom w:val="single" w:sz="8" w:color="auto"/>
            </w:tcBorders>
            <w:vMerge w:val="continue"/>
            <w:shd w:val="clear" w:color="auto" w:fill="EAF9E8"/>
          </w:tcPr>
          <w:p>
            <w:pPr>
              <w:spacing w:after="0"/>
              <w:rPr>
                <w:sz w:val="13"/>
                <w:szCs w:val="13"/>
                <w:color w:val="auto"/>
              </w:rPr>
            </w:pPr>
          </w:p>
        </w:tc>
        <w:tc>
          <w:tcPr>
            <w:tcW w:w="140" w:type="dxa"/>
            <w:vAlign w:val="bottom"/>
            <w:tcBorders>
              <w:bottom w:val="single" w:sz="8" w:color="EAF9E8"/>
            </w:tcBorders>
            <w:shd w:val="clear" w:color="auto" w:fill="EAF9E8"/>
          </w:tcPr>
          <w:p>
            <w:pPr>
              <w:spacing w:after="0"/>
              <w:rPr>
                <w:sz w:val="13"/>
                <w:szCs w:val="13"/>
                <w:color w:val="auto"/>
              </w:rPr>
            </w:pPr>
          </w:p>
        </w:tc>
        <w:tc>
          <w:tcPr>
            <w:tcW w:w="80" w:type="dxa"/>
            <w:vAlign w:val="bottom"/>
            <w:tcBorders>
              <w:bottom w:val="single" w:sz="8" w:color="EAF9E8"/>
            </w:tcBorders>
            <w:shd w:val="clear" w:color="auto" w:fill="EAF9E8"/>
          </w:tcPr>
          <w:p>
            <w:pPr>
              <w:spacing w:after="0"/>
              <w:rPr>
                <w:sz w:val="13"/>
                <w:szCs w:val="13"/>
                <w:color w:val="auto"/>
              </w:rPr>
            </w:pPr>
          </w:p>
        </w:tc>
        <w:tc>
          <w:tcPr>
            <w:tcW w:w="120" w:type="dxa"/>
            <w:vAlign w:val="bottom"/>
            <w:tcBorders>
              <w:bottom w:val="single" w:sz="8" w:color="auto"/>
            </w:tcBorders>
            <w:vMerge w:val="continue"/>
            <w:shd w:val="clear" w:color="auto" w:fill="EAF9E8"/>
          </w:tcPr>
          <w:p>
            <w:pPr>
              <w:spacing w:after="0"/>
              <w:rPr>
                <w:sz w:val="13"/>
                <w:szCs w:val="13"/>
                <w:color w:val="auto"/>
              </w:rPr>
            </w:pPr>
          </w:p>
        </w:tc>
        <w:tc>
          <w:tcPr>
            <w:tcW w:w="580" w:type="dxa"/>
            <w:vAlign w:val="bottom"/>
            <w:tcBorders>
              <w:bottom w:val="single" w:sz="8" w:color="auto"/>
            </w:tcBorders>
            <w:vMerge w:val="continue"/>
            <w:shd w:val="clear" w:color="auto" w:fill="EAF9E8"/>
          </w:tcPr>
          <w:p>
            <w:pPr>
              <w:spacing w:after="0"/>
              <w:rPr>
                <w:sz w:val="13"/>
                <w:szCs w:val="13"/>
                <w:color w:val="auto"/>
              </w:rPr>
            </w:pPr>
          </w:p>
        </w:tc>
        <w:tc>
          <w:tcPr>
            <w:tcW w:w="140" w:type="dxa"/>
            <w:vAlign w:val="bottom"/>
            <w:tcBorders>
              <w:bottom w:val="single" w:sz="8" w:color="EAF9E8"/>
            </w:tcBorders>
            <w:shd w:val="clear" w:color="auto" w:fill="EAF9E8"/>
          </w:tcPr>
          <w:p>
            <w:pPr>
              <w:spacing w:after="0"/>
              <w:rPr>
                <w:sz w:val="13"/>
                <w:szCs w:val="13"/>
                <w:color w:val="auto"/>
              </w:rPr>
            </w:pPr>
          </w:p>
        </w:tc>
        <w:tc>
          <w:tcPr>
            <w:tcW w:w="80" w:type="dxa"/>
            <w:vAlign w:val="bottom"/>
            <w:tcBorders>
              <w:bottom w:val="single" w:sz="8" w:color="EAF9E8"/>
            </w:tcBorders>
            <w:shd w:val="clear" w:color="auto" w:fill="EAF9E8"/>
          </w:tcPr>
          <w:p>
            <w:pPr>
              <w:spacing w:after="0"/>
              <w:rPr>
                <w:sz w:val="13"/>
                <w:szCs w:val="13"/>
                <w:color w:val="auto"/>
              </w:rPr>
            </w:pPr>
          </w:p>
        </w:tc>
        <w:tc>
          <w:tcPr>
            <w:tcW w:w="100" w:type="dxa"/>
            <w:vAlign w:val="bottom"/>
            <w:tcBorders>
              <w:bottom w:val="single" w:sz="8" w:color="auto"/>
            </w:tcBorders>
            <w:vMerge w:val="continue"/>
            <w:shd w:val="clear" w:color="auto" w:fill="EAF9E8"/>
          </w:tcPr>
          <w:p>
            <w:pPr>
              <w:spacing w:after="0"/>
              <w:rPr>
                <w:sz w:val="13"/>
                <w:szCs w:val="13"/>
                <w:color w:val="auto"/>
              </w:rPr>
            </w:pPr>
          </w:p>
        </w:tc>
        <w:tc>
          <w:tcPr>
            <w:tcW w:w="740" w:type="dxa"/>
            <w:vAlign w:val="bottom"/>
            <w:tcBorders>
              <w:bottom w:val="single" w:sz="8" w:color="auto"/>
            </w:tcBorders>
            <w:vMerge w:val="continue"/>
            <w:shd w:val="clear" w:color="auto" w:fill="EAF9E8"/>
          </w:tcPr>
          <w:p>
            <w:pPr>
              <w:spacing w:after="0"/>
              <w:rPr>
                <w:sz w:val="13"/>
                <w:szCs w:val="13"/>
                <w:color w:val="auto"/>
              </w:rPr>
            </w:pPr>
          </w:p>
        </w:tc>
        <w:tc>
          <w:tcPr>
            <w:tcW w:w="120" w:type="dxa"/>
            <w:vAlign w:val="bottom"/>
            <w:tcBorders>
              <w:bottom w:val="single" w:sz="8" w:color="EAF9E8"/>
            </w:tcBorders>
            <w:shd w:val="clear" w:color="auto" w:fill="EAF9E8"/>
          </w:tcPr>
          <w:p>
            <w:pPr>
              <w:spacing w:after="0"/>
              <w:rPr>
                <w:sz w:val="13"/>
                <w:szCs w:val="13"/>
                <w:color w:val="auto"/>
              </w:rPr>
            </w:pPr>
          </w:p>
        </w:tc>
        <w:tc>
          <w:tcPr>
            <w:tcW w:w="100" w:type="dxa"/>
            <w:vAlign w:val="bottom"/>
            <w:tcBorders>
              <w:bottom w:val="single" w:sz="8" w:color="EAF9E8"/>
            </w:tcBorders>
            <w:shd w:val="clear" w:color="auto" w:fill="EAF9E8"/>
          </w:tcPr>
          <w:p>
            <w:pPr>
              <w:spacing w:after="0"/>
              <w:rPr>
                <w:sz w:val="13"/>
                <w:szCs w:val="13"/>
                <w:color w:val="auto"/>
              </w:rPr>
            </w:pPr>
          </w:p>
        </w:tc>
        <w:tc>
          <w:tcPr>
            <w:tcW w:w="80" w:type="dxa"/>
            <w:vAlign w:val="bottom"/>
            <w:tcBorders>
              <w:bottom w:val="single" w:sz="8" w:color="auto"/>
            </w:tcBorders>
            <w:vMerge w:val="continue"/>
            <w:shd w:val="clear" w:color="auto" w:fill="EAF9E8"/>
          </w:tcPr>
          <w:p>
            <w:pPr>
              <w:spacing w:after="0"/>
              <w:rPr>
                <w:sz w:val="13"/>
                <w:szCs w:val="13"/>
                <w:color w:val="auto"/>
              </w:rPr>
            </w:pPr>
          </w:p>
        </w:tc>
        <w:tc>
          <w:tcPr>
            <w:tcW w:w="760" w:type="dxa"/>
            <w:vAlign w:val="bottom"/>
            <w:tcBorders>
              <w:bottom w:val="single" w:sz="8" w:color="auto"/>
            </w:tcBorders>
            <w:vMerge w:val="continue"/>
            <w:shd w:val="clear" w:color="auto" w:fill="EAF9E8"/>
          </w:tcPr>
          <w:p>
            <w:pPr>
              <w:spacing w:after="0"/>
              <w:rPr>
                <w:sz w:val="13"/>
                <w:szCs w:val="13"/>
                <w:color w:val="auto"/>
              </w:rPr>
            </w:pPr>
          </w:p>
        </w:tc>
        <w:tc>
          <w:tcPr>
            <w:tcW w:w="120" w:type="dxa"/>
            <w:vAlign w:val="bottom"/>
            <w:tcBorders>
              <w:bottom w:val="single" w:sz="8" w:color="EAF9E8"/>
            </w:tcBorders>
            <w:shd w:val="clear" w:color="auto" w:fill="EAF9E8"/>
          </w:tcPr>
          <w:p>
            <w:pPr>
              <w:spacing w:after="0"/>
              <w:rPr>
                <w:sz w:val="13"/>
                <w:szCs w:val="13"/>
                <w:color w:val="auto"/>
              </w:rPr>
            </w:pPr>
          </w:p>
        </w:tc>
        <w:tc>
          <w:tcPr>
            <w:tcW w:w="0" w:type="dxa"/>
            <w:vAlign w:val="bottom"/>
          </w:tcPr>
          <w:p>
            <w:pPr>
              <w:spacing w:after="0"/>
              <w:rPr>
                <w:sz w:val="1"/>
                <w:szCs w:val="1"/>
                <w:color w:val="auto"/>
              </w:rPr>
            </w:pPr>
          </w:p>
        </w:tc>
      </w:tr>
      <w:tr>
        <w:trPr>
          <w:trHeight w:val="359"/>
        </w:trPr>
        <w:tc>
          <w:tcPr>
            <w:tcW w:w="160" w:type="dxa"/>
            <w:vAlign w:val="bottom"/>
          </w:tcPr>
          <w:p>
            <w:pPr>
              <w:spacing w:after="0"/>
              <w:rPr>
                <w:sz w:val="24"/>
                <w:szCs w:val="24"/>
                <w:color w:val="auto"/>
              </w:rPr>
            </w:pPr>
          </w:p>
        </w:tc>
        <w:tc>
          <w:tcPr>
            <w:tcW w:w="2400" w:type="dxa"/>
            <w:vAlign w:val="bottom"/>
            <w:gridSpan w:val="5"/>
          </w:tcPr>
          <w:p>
            <w:pPr>
              <w:spacing w:after="0"/>
              <w:rPr>
                <w:sz w:val="20"/>
                <w:szCs w:val="20"/>
                <w:color w:val="auto"/>
              </w:rPr>
            </w:pPr>
            <w:r>
              <w:rPr>
                <w:rFonts w:ascii="Arial" w:cs="Arial" w:eastAsia="Arial" w:hAnsi="Arial"/>
                <w:sz w:val="14"/>
                <w:szCs w:val="14"/>
                <w:color w:val="auto"/>
                <w:w w:val="90"/>
              </w:rPr>
              <w:t>For the nine months ended September 30,</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160" w:type="dxa"/>
            <w:vAlign w:val="bottom"/>
          </w:tcPr>
          <w:p>
            <w:pPr>
              <w:spacing w:after="0"/>
              <w:rPr>
                <w:sz w:val="11"/>
                <w:szCs w:val="11"/>
                <w:color w:val="auto"/>
              </w:rPr>
            </w:pPr>
          </w:p>
        </w:tc>
        <w:tc>
          <w:tcPr>
            <w:tcW w:w="420" w:type="dxa"/>
            <w:vAlign w:val="bottom"/>
            <w:tcBorders>
              <w:top w:val="single" w:sz="8" w:color="auto"/>
            </w:tcBorders>
            <w:gridSpan w:val="2"/>
          </w:tcPr>
          <w:p>
            <w:pPr>
              <w:ind w:left="160"/>
              <w:spacing w:after="0" w:line="129" w:lineRule="exact"/>
              <w:rPr>
                <w:sz w:val="20"/>
                <w:szCs w:val="20"/>
                <w:color w:val="auto"/>
              </w:rPr>
            </w:pPr>
            <w:r>
              <w:rPr>
                <w:rFonts w:ascii="Arial" w:cs="Arial" w:eastAsia="Arial" w:hAnsi="Arial"/>
                <w:sz w:val="14"/>
                <w:szCs w:val="14"/>
                <w:color w:val="auto"/>
                <w:w w:val="70"/>
              </w:rPr>
              <w:t>2008</w:t>
            </w:r>
          </w:p>
        </w:tc>
        <w:tc>
          <w:tcPr>
            <w:tcW w:w="184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60" w:type="dxa"/>
            <w:vAlign w:val="bottom"/>
            <w:shd w:val="clear" w:color="auto" w:fill="EAF9E8"/>
          </w:tcPr>
          <w:p>
            <w:pPr>
              <w:spacing w:after="0"/>
              <w:rPr>
                <w:sz w:val="20"/>
                <w:szCs w:val="20"/>
                <w:color w:val="auto"/>
              </w:rPr>
            </w:pPr>
          </w:p>
        </w:tc>
        <w:tc>
          <w:tcPr>
            <w:tcW w:w="2400" w:type="dxa"/>
            <w:vAlign w:val="bottom"/>
            <w:gridSpan w:val="5"/>
            <w:shd w:val="clear" w:color="auto" w:fill="EAF9E8"/>
          </w:tcPr>
          <w:p>
            <w:pPr>
              <w:spacing w:after="0"/>
              <w:rPr>
                <w:sz w:val="20"/>
                <w:szCs w:val="20"/>
                <w:color w:val="auto"/>
              </w:rPr>
            </w:pPr>
            <w:r>
              <w:rPr>
                <w:rFonts w:ascii="Arial" w:cs="Arial" w:eastAsia="Arial" w:hAnsi="Arial"/>
                <w:sz w:val="14"/>
                <w:szCs w:val="14"/>
                <w:color w:val="auto"/>
              </w:rPr>
              <w:t>Revenue (1) (2)</w:t>
            </w:r>
          </w:p>
        </w:tc>
        <w:tc>
          <w:tcPr>
            <w:tcW w:w="200" w:type="dxa"/>
            <w:vAlign w:val="bottom"/>
            <w:gridSpan w:val="2"/>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EAF9E8"/>
          </w:tcPr>
          <w:p>
            <w:pPr>
              <w:jc w:val="right"/>
              <w:spacing w:after="0"/>
              <w:rPr>
                <w:sz w:val="20"/>
                <w:szCs w:val="20"/>
                <w:color w:val="auto"/>
              </w:rPr>
            </w:pPr>
            <w:r>
              <w:rPr>
                <w:rFonts w:ascii="Arial" w:cs="Arial" w:eastAsia="Arial" w:hAnsi="Arial"/>
                <w:sz w:val="14"/>
                <w:szCs w:val="14"/>
                <w:color w:val="auto"/>
              </w:rPr>
              <w:t>264,985</w:t>
            </w:r>
          </w:p>
        </w:tc>
        <w:tc>
          <w:tcPr>
            <w:tcW w:w="200" w:type="dxa"/>
            <w:vAlign w:val="bottom"/>
            <w:shd w:val="clear" w:color="auto" w:fill="EAF9E8"/>
          </w:tcPr>
          <w:p>
            <w:pPr>
              <w:spacing w:after="0"/>
              <w:rPr>
                <w:sz w:val="20"/>
                <w:szCs w:val="20"/>
                <w:color w:val="auto"/>
              </w:rPr>
            </w:pPr>
          </w:p>
        </w:tc>
        <w:tc>
          <w:tcPr>
            <w:tcW w:w="120" w:type="dxa"/>
            <w:vAlign w:val="bottom"/>
            <w:shd w:val="clear" w:color="auto" w:fill="EAF9E8"/>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EAF9E8"/>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gridSpan w:val="2"/>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EAF9E8"/>
          </w:tcPr>
          <w:p>
            <w:pPr>
              <w:jc w:val="right"/>
              <w:ind w:right="140"/>
              <w:spacing w:after="0"/>
              <w:rPr>
                <w:sz w:val="20"/>
                <w:szCs w:val="20"/>
                <w:color w:val="auto"/>
              </w:rPr>
            </w:pPr>
            <w:r>
              <w:rPr>
                <w:rFonts w:ascii="Arial" w:cs="Arial" w:eastAsia="Arial" w:hAnsi="Arial"/>
                <w:sz w:val="14"/>
                <w:szCs w:val="14"/>
                <w:color w:val="auto"/>
              </w:rPr>
              <w:t>2,997</w:t>
            </w:r>
          </w:p>
        </w:tc>
        <w:tc>
          <w:tcPr>
            <w:tcW w:w="220" w:type="dxa"/>
            <w:vAlign w:val="bottom"/>
            <w:gridSpan w:val="2"/>
            <w:shd w:val="clear" w:color="auto" w:fill="EAF9E8"/>
          </w:tcPr>
          <w:p>
            <w:pPr>
              <w:ind w:left="80"/>
              <w:spacing w:after="0"/>
              <w:rPr>
                <w:sz w:val="20"/>
                <w:szCs w:val="20"/>
                <w:color w:val="auto"/>
              </w:rPr>
            </w:pPr>
            <w:r>
              <w:rPr>
                <w:rFonts w:ascii="Arial" w:cs="Arial" w:eastAsia="Arial" w:hAnsi="Arial"/>
                <w:sz w:val="14"/>
                <w:szCs w:val="14"/>
                <w:color w:val="auto"/>
              </w:rPr>
              <w:t>$</w:t>
            </w:r>
          </w:p>
        </w:tc>
        <w:tc>
          <w:tcPr>
            <w:tcW w:w="440" w:type="dxa"/>
            <w:vAlign w:val="bottom"/>
            <w:shd w:val="clear" w:color="auto" w:fill="EAF9E8"/>
          </w:tcPr>
          <w:p>
            <w:pPr>
              <w:jc w:val="right"/>
              <w:spacing w:after="0"/>
              <w:rPr>
                <w:sz w:val="20"/>
                <w:szCs w:val="20"/>
                <w:color w:val="auto"/>
              </w:rPr>
            </w:pPr>
            <w:r>
              <w:rPr>
                <w:rFonts w:ascii="Arial" w:cs="Arial" w:eastAsia="Arial" w:hAnsi="Arial"/>
                <w:sz w:val="14"/>
                <w:szCs w:val="14"/>
                <w:color w:val="auto"/>
                <w:w w:val="97"/>
              </w:rPr>
              <w:t>43,580</w:t>
            </w:r>
          </w:p>
        </w:tc>
        <w:tc>
          <w:tcPr>
            <w:tcW w:w="80" w:type="dxa"/>
            <w:vAlign w:val="bottom"/>
            <w:shd w:val="clear" w:color="auto" w:fill="EAF9E8"/>
          </w:tcPr>
          <w:p>
            <w:pPr>
              <w:spacing w:after="0"/>
              <w:rPr>
                <w:sz w:val="20"/>
                <w:szCs w:val="20"/>
                <w:color w:val="auto"/>
              </w:rPr>
            </w:pPr>
          </w:p>
        </w:tc>
        <w:tc>
          <w:tcPr>
            <w:tcW w:w="260" w:type="dxa"/>
            <w:vAlign w:val="bottom"/>
            <w:gridSpan w:val="2"/>
            <w:shd w:val="clear" w:color="auto" w:fill="EAF9E8"/>
          </w:tcPr>
          <w:p>
            <w:pPr>
              <w:ind w:left="120"/>
              <w:spacing w:after="0"/>
              <w:rPr>
                <w:sz w:val="20"/>
                <w:szCs w:val="20"/>
                <w:color w:val="auto"/>
              </w:rPr>
            </w:pPr>
            <w:r>
              <w:rPr>
                <w:rFonts w:ascii="Arial" w:cs="Arial" w:eastAsia="Arial" w:hAnsi="Arial"/>
                <w:sz w:val="14"/>
                <w:szCs w:val="14"/>
                <w:color w:val="auto"/>
              </w:rPr>
              <w:t>$</w:t>
            </w:r>
          </w:p>
        </w:tc>
        <w:tc>
          <w:tcPr>
            <w:tcW w:w="560" w:type="dxa"/>
            <w:vAlign w:val="bottom"/>
            <w:gridSpan w:val="2"/>
            <w:shd w:val="clear" w:color="auto" w:fill="EAF9E8"/>
          </w:tcPr>
          <w:p>
            <w:pPr>
              <w:jc w:val="right"/>
              <w:ind w:right="81"/>
              <w:spacing w:after="0"/>
              <w:rPr>
                <w:sz w:val="20"/>
                <w:szCs w:val="20"/>
                <w:color w:val="auto"/>
              </w:rPr>
            </w:pPr>
            <w:r>
              <w:rPr>
                <w:rFonts w:ascii="Arial" w:cs="Arial" w:eastAsia="Arial" w:hAnsi="Arial"/>
                <w:sz w:val="14"/>
                <w:szCs w:val="14"/>
                <w:color w:val="auto"/>
                <w:w w:val="97"/>
              </w:rPr>
              <w:t>57,182</w:t>
            </w:r>
          </w:p>
        </w:tc>
        <w:tc>
          <w:tcPr>
            <w:tcW w:w="160" w:type="dxa"/>
            <w:vAlign w:val="bottom"/>
            <w:gridSpan w:val="2"/>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EAF9E8"/>
          </w:tcPr>
          <w:p>
            <w:pPr>
              <w:jc w:val="right"/>
              <w:ind w:right="140"/>
              <w:spacing w:after="0"/>
              <w:rPr>
                <w:sz w:val="20"/>
                <w:szCs w:val="20"/>
                <w:color w:val="auto"/>
              </w:rPr>
            </w:pPr>
            <w:r>
              <w:rPr>
                <w:rFonts w:ascii="Arial" w:cs="Arial" w:eastAsia="Arial" w:hAnsi="Arial"/>
                <w:sz w:val="14"/>
                <w:szCs w:val="14"/>
                <w:color w:val="auto"/>
              </w:rPr>
              <w:t>34,566</w:t>
            </w:r>
          </w:p>
        </w:tc>
        <w:tc>
          <w:tcPr>
            <w:tcW w:w="200" w:type="dxa"/>
            <w:vAlign w:val="bottom"/>
            <w:gridSpan w:val="2"/>
            <w:shd w:val="clear" w:color="auto" w:fill="EAF9E8"/>
          </w:tcPr>
          <w:p>
            <w:pPr>
              <w:jc w:val="right"/>
              <w:ind w:right="4"/>
              <w:spacing w:after="0"/>
              <w:rPr>
                <w:sz w:val="20"/>
                <w:szCs w:val="20"/>
                <w:color w:val="auto"/>
              </w:rPr>
            </w:pPr>
            <w:r>
              <w:rPr>
                <w:rFonts w:ascii="Arial" w:cs="Arial" w:eastAsia="Arial" w:hAnsi="Arial"/>
                <w:sz w:val="14"/>
                <w:szCs w:val="14"/>
                <w:color w:val="auto"/>
              </w:rPr>
              <w:t>$</w:t>
            </w:r>
          </w:p>
        </w:tc>
        <w:tc>
          <w:tcPr>
            <w:tcW w:w="580" w:type="dxa"/>
            <w:vAlign w:val="bottom"/>
            <w:shd w:val="clear" w:color="auto" w:fill="EAF9E8"/>
          </w:tcPr>
          <w:p>
            <w:pPr>
              <w:jc w:val="right"/>
              <w:spacing w:after="0"/>
              <w:rPr>
                <w:sz w:val="20"/>
                <w:szCs w:val="20"/>
                <w:color w:val="auto"/>
              </w:rPr>
            </w:pPr>
            <w:r>
              <w:rPr>
                <w:rFonts w:ascii="Arial" w:cs="Arial" w:eastAsia="Arial" w:hAnsi="Arial"/>
                <w:sz w:val="14"/>
                <w:szCs w:val="14"/>
                <w:color w:val="auto"/>
              </w:rPr>
              <w:t>154</w:t>
            </w:r>
          </w:p>
        </w:tc>
        <w:tc>
          <w:tcPr>
            <w:tcW w:w="140" w:type="dxa"/>
            <w:vAlign w:val="bottom"/>
            <w:shd w:val="clear" w:color="auto" w:fill="EAF9E8"/>
          </w:tcPr>
          <w:p>
            <w:pPr>
              <w:spacing w:after="0"/>
              <w:rPr>
                <w:sz w:val="20"/>
                <w:szCs w:val="20"/>
                <w:color w:val="auto"/>
              </w:rPr>
            </w:pPr>
          </w:p>
        </w:tc>
        <w:tc>
          <w:tcPr>
            <w:tcW w:w="180" w:type="dxa"/>
            <w:vAlign w:val="bottom"/>
            <w:gridSpan w:val="2"/>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EAF9E8"/>
          </w:tcPr>
          <w:p>
            <w:pPr>
              <w:jc w:val="right"/>
              <w:ind w:right="80"/>
              <w:spacing w:after="0"/>
              <w:rPr>
                <w:sz w:val="20"/>
                <w:szCs w:val="20"/>
                <w:color w:val="auto"/>
              </w:rPr>
            </w:pPr>
            <w:r>
              <w:rPr>
                <w:rFonts w:ascii="Arial" w:cs="Arial" w:eastAsia="Arial" w:hAnsi="Arial"/>
                <w:sz w:val="14"/>
                <w:szCs w:val="14"/>
                <w:color w:val="auto"/>
              </w:rPr>
              <w:t>(22,727)</w:t>
            </w:r>
          </w:p>
        </w:tc>
        <w:tc>
          <w:tcPr>
            <w:tcW w:w="180" w:type="dxa"/>
            <w:vAlign w:val="bottom"/>
            <w:gridSpan w:val="2"/>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EAF9E8"/>
          </w:tcPr>
          <w:p>
            <w:pPr>
              <w:jc w:val="right"/>
              <w:spacing w:after="0"/>
              <w:rPr>
                <w:sz w:val="20"/>
                <w:szCs w:val="20"/>
                <w:color w:val="auto"/>
              </w:rPr>
            </w:pPr>
            <w:r>
              <w:rPr>
                <w:rFonts w:ascii="Arial" w:cs="Arial" w:eastAsia="Arial" w:hAnsi="Arial"/>
                <w:sz w:val="14"/>
                <w:szCs w:val="14"/>
                <w:color w:val="auto"/>
              </w:rPr>
              <w:t>380,737</w:t>
            </w:r>
          </w:p>
        </w:tc>
        <w:tc>
          <w:tcPr>
            <w:tcW w:w="120" w:type="dxa"/>
            <w:vAlign w:val="bottom"/>
            <w:shd w:val="clear" w:color="auto" w:fill="EAF9E8"/>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60" w:type="dxa"/>
            <w:vAlign w:val="bottom"/>
          </w:tcPr>
          <w:p>
            <w:pPr>
              <w:spacing w:after="0"/>
              <w:rPr>
                <w:sz w:val="21"/>
                <w:szCs w:val="21"/>
                <w:color w:val="auto"/>
              </w:rPr>
            </w:pPr>
          </w:p>
        </w:tc>
        <w:tc>
          <w:tcPr>
            <w:tcW w:w="2400" w:type="dxa"/>
            <w:vAlign w:val="bottom"/>
            <w:gridSpan w:val="5"/>
          </w:tcPr>
          <w:p>
            <w:pPr>
              <w:spacing w:after="0"/>
              <w:rPr>
                <w:sz w:val="20"/>
                <w:szCs w:val="20"/>
                <w:color w:val="auto"/>
              </w:rPr>
            </w:pPr>
            <w:r>
              <w:rPr>
                <w:rFonts w:ascii="Arial" w:cs="Arial" w:eastAsia="Arial" w:hAnsi="Arial"/>
                <w:sz w:val="14"/>
                <w:szCs w:val="14"/>
                <w:color w:val="auto"/>
              </w:rPr>
              <w:t>Operating expenses (1) (3) (4) (5)</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124,893</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2,280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2,501</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w w:val="97"/>
              </w:rPr>
              <w:t>34,137</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gridSpan w:val="2"/>
          </w:tcPr>
          <w:p>
            <w:pPr>
              <w:jc w:val="right"/>
              <w:ind w:right="81"/>
              <w:spacing w:after="0"/>
              <w:rPr>
                <w:sz w:val="20"/>
                <w:szCs w:val="20"/>
                <w:color w:val="auto"/>
              </w:rPr>
            </w:pPr>
            <w:r>
              <w:rPr>
                <w:rFonts w:ascii="Arial" w:cs="Arial" w:eastAsia="Arial" w:hAnsi="Arial"/>
                <w:sz w:val="14"/>
                <w:szCs w:val="14"/>
                <w:color w:val="auto"/>
                <w:w w:val="97"/>
              </w:rPr>
              <w:t>62,140</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28,210</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14,206</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4"/>
                <w:szCs w:val="14"/>
                <w:color w:val="auto"/>
              </w:rPr>
              <w:t>(21,568)</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246,799</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60" w:type="dxa"/>
            <w:vAlign w:val="bottom"/>
            <w:shd w:val="clear" w:color="auto" w:fill="EAF9E8"/>
          </w:tcPr>
          <w:p>
            <w:pPr>
              <w:spacing w:after="0"/>
              <w:rPr>
                <w:sz w:val="20"/>
                <w:szCs w:val="20"/>
                <w:color w:val="auto"/>
              </w:rPr>
            </w:pPr>
          </w:p>
        </w:tc>
        <w:tc>
          <w:tcPr>
            <w:tcW w:w="2400" w:type="dxa"/>
            <w:vAlign w:val="bottom"/>
            <w:gridSpan w:val="5"/>
            <w:shd w:val="clear" w:color="auto" w:fill="EAF9E8"/>
          </w:tcPr>
          <w:p>
            <w:pPr>
              <w:spacing w:after="0"/>
              <w:rPr>
                <w:sz w:val="20"/>
                <w:szCs w:val="20"/>
                <w:color w:val="auto"/>
              </w:rPr>
            </w:pPr>
            <w:r>
              <w:rPr>
                <w:rFonts w:ascii="Arial" w:cs="Arial" w:eastAsia="Arial" w:hAnsi="Arial"/>
                <w:sz w:val="14"/>
                <w:szCs w:val="14"/>
                <w:color w:val="auto"/>
              </w:rPr>
              <w:t>Income (loss) from operations</w:t>
            </w:r>
          </w:p>
        </w:tc>
        <w:tc>
          <w:tcPr>
            <w:tcW w:w="120" w:type="dxa"/>
            <w:vAlign w:val="bottom"/>
            <w:shd w:val="clear" w:color="auto" w:fill="EAF9E8"/>
          </w:tcPr>
          <w:p>
            <w:pPr>
              <w:spacing w:after="0"/>
              <w:rPr>
                <w:sz w:val="20"/>
                <w:szCs w:val="20"/>
                <w:color w:val="auto"/>
              </w:rPr>
            </w:pPr>
          </w:p>
        </w:tc>
        <w:tc>
          <w:tcPr>
            <w:tcW w:w="80" w:type="dxa"/>
            <w:vAlign w:val="bottom"/>
            <w:shd w:val="clear" w:color="auto" w:fill="EAF9E8"/>
          </w:tcPr>
          <w:p>
            <w:pPr>
              <w:spacing w:after="0"/>
              <w:rPr>
                <w:sz w:val="20"/>
                <w:szCs w:val="20"/>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4"/>
                <w:szCs w:val="14"/>
                <w:color w:val="auto"/>
              </w:rPr>
              <w:t>140,092</w:t>
            </w:r>
          </w:p>
        </w:tc>
        <w:tc>
          <w:tcPr>
            <w:tcW w:w="200" w:type="dxa"/>
            <w:vAlign w:val="bottom"/>
            <w:shd w:val="clear" w:color="auto" w:fill="EAF9E8"/>
          </w:tcPr>
          <w:p>
            <w:pPr>
              <w:spacing w:after="0"/>
              <w:rPr>
                <w:sz w:val="20"/>
                <w:szCs w:val="20"/>
                <w:color w:val="auto"/>
              </w:rPr>
            </w:pPr>
          </w:p>
        </w:tc>
        <w:tc>
          <w:tcPr>
            <w:tcW w:w="120" w:type="dxa"/>
            <w:vAlign w:val="bottom"/>
            <w:shd w:val="clear" w:color="auto" w:fill="EAF9E8"/>
          </w:tcPr>
          <w:p>
            <w:pPr>
              <w:spacing w:after="0"/>
              <w:rPr>
                <w:sz w:val="20"/>
                <w:szCs w:val="20"/>
                <w:color w:val="auto"/>
              </w:rPr>
            </w:pPr>
          </w:p>
        </w:tc>
        <w:tc>
          <w:tcPr>
            <w:tcW w:w="940" w:type="dxa"/>
            <w:vAlign w:val="bottom"/>
            <w:gridSpan w:val="2"/>
            <w:shd w:val="clear" w:color="auto" w:fill="EAF9E8"/>
          </w:tcPr>
          <w:p>
            <w:pPr>
              <w:jc w:val="right"/>
              <w:ind w:right="80"/>
              <w:spacing w:after="0"/>
              <w:rPr>
                <w:sz w:val="20"/>
                <w:szCs w:val="20"/>
                <w:color w:val="auto"/>
              </w:rPr>
            </w:pPr>
            <w:r>
              <w:rPr>
                <w:rFonts w:ascii="Arial" w:cs="Arial" w:eastAsia="Arial" w:hAnsi="Arial"/>
                <w:sz w:val="14"/>
                <w:szCs w:val="14"/>
                <w:color w:val="auto"/>
              </w:rPr>
              <w:t>(2,280)</w:t>
            </w:r>
          </w:p>
        </w:tc>
        <w:tc>
          <w:tcPr>
            <w:tcW w:w="100" w:type="dxa"/>
            <w:vAlign w:val="bottom"/>
            <w:shd w:val="clear" w:color="auto" w:fill="EAF9E8"/>
          </w:tcPr>
          <w:p>
            <w:pPr>
              <w:spacing w:after="0"/>
              <w:rPr>
                <w:sz w:val="20"/>
                <w:szCs w:val="20"/>
                <w:color w:val="auto"/>
              </w:rPr>
            </w:pPr>
          </w:p>
        </w:tc>
        <w:tc>
          <w:tcPr>
            <w:tcW w:w="80" w:type="dxa"/>
            <w:vAlign w:val="bottom"/>
            <w:shd w:val="clear" w:color="auto" w:fill="EAF9E8"/>
          </w:tcPr>
          <w:p>
            <w:pPr>
              <w:spacing w:after="0"/>
              <w:rPr>
                <w:sz w:val="20"/>
                <w:szCs w:val="20"/>
                <w:color w:val="auto"/>
              </w:rPr>
            </w:pPr>
          </w:p>
        </w:tc>
        <w:tc>
          <w:tcPr>
            <w:tcW w:w="980" w:type="dxa"/>
            <w:vAlign w:val="bottom"/>
            <w:gridSpan w:val="2"/>
            <w:shd w:val="clear" w:color="auto" w:fill="EAF9E8"/>
          </w:tcPr>
          <w:p>
            <w:pPr>
              <w:jc w:val="right"/>
              <w:ind w:right="140"/>
              <w:spacing w:after="0"/>
              <w:rPr>
                <w:sz w:val="20"/>
                <w:szCs w:val="20"/>
                <w:color w:val="auto"/>
              </w:rPr>
            </w:pPr>
            <w:r>
              <w:rPr>
                <w:rFonts w:ascii="Arial" w:cs="Arial" w:eastAsia="Arial" w:hAnsi="Arial"/>
                <w:sz w:val="14"/>
                <w:szCs w:val="14"/>
                <w:color w:val="auto"/>
              </w:rPr>
              <w:t>496</w:t>
            </w:r>
          </w:p>
        </w:tc>
        <w:tc>
          <w:tcPr>
            <w:tcW w:w="80" w:type="dxa"/>
            <w:vAlign w:val="bottom"/>
            <w:shd w:val="clear" w:color="auto" w:fill="EAF9E8"/>
          </w:tcPr>
          <w:p>
            <w:pPr>
              <w:spacing w:after="0"/>
              <w:rPr>
                <w:sz w:val="20"/>
                <w:szCs w:val="20"/>
                <w:color w:val="auto"/>
              </w:rPr>
            </w:pPr>
          </w:p>
        </w:tc>
        <w:tc>
          <w:tcPr>
            <w:tcW w:w="140" w:type="dxa"/>
            <w:vAlign w:val="bottom"/>
            <w:shd w:val="clear" w:color="auto" w:fill="EAF9E8"/>
          </w:tcPr>
          <w:p>
            <w:pPr>
              <w:spacing w:after="0"/>
              <w:rPr>
                <w:sz w:val="20"/>
                <w:szCs w:val="20"/>
                <w:color w:val="auto"/>
              </w:rPr>
            </w:pPr>
          </w:p>
        </w:tc>
        <w:tc>
          <w:tcPr>
            <w:tcW w:w="440" w:type="dxa"/>
            <w:vAlign w:val="bottom"/>
            <w:shd w:val="clear" w:color="auto" w:fill="EAF9E8"/>
          </w:tcPr>
          <w:p>
            <w:pPr>
              <w:jc w:val="right"/>
              <w:spacing w:after="0"/>
              <w:rPr>
                <w:sz w:val="20"/>
                <w:szCs w:val="20"/>
                <w:color w:val="auto"/>
              </w:rPr>
            </w:pPr>
            <w:r>
              <w:rPr>
                <w:rFonts w:ascii="Arial" w:cs="Arial" w:eastAsia="Arial" w:hAnsi="Arial"/>
                <w:sz w:val="14"/>
                <w:szCs w:val="14"/>
                <w:color w:val="auto"/>
              </w:rPr>
              <w:t>9,443</w:t>
            </w:r>
          </w:p>
        </w:tc>
        <w:tc>
          <w:tcPr>
            <w:tcW w:w="80" w:type="dxa"/>
            <w:vAlign w:val="bottom"/>
            <w:shd w:val="clear" w:color="auto" w:fill="EAF9E8"/>
          </w:tcPr>
          <w:p>
            <w:pPr>
              <w:spacing w:after="0"/>
              <w:rPr>
                <w:sz w:val="20"/>
                <w:szCs w:val="20"/>
                <w:color w:val="auto"/>
              </w:rPr>
            </w:pPr>
          </w:p>
        </w:tc>
        <w:tc>
          <w:tcPr>
            <w:tcW w:w="120" w:type="dxa"/>
            <w:vAlign w:val="bottom"/>
            <w:shd w:val="clear" w:color="auto" w:fill="EAF9E8"/>
          </w:tcPr>
          <w:p>
            <w:pPr>
              <w:spacing w:after="0"/>
              <w:rPr>
                <w:sz w:val="20"/>
                <w:szCs w:val="20"/>
                <w:color w:val="auto"/>
              </w:rPr>
            </w:pPr>
          </w:p>
        </w:tc>
        <w:tc>
          <w:tcPr>
            <w:tcW w:w="140" w:type="dxa"/>
            <w:vAlign w:val="bottom"/>
            <w:shd w:val="clear" w:color="auto" w:fill="EAF9E8"/>
          </w:tcPr>
          <w:p>
            <w:pPr>
              <w:spacing w:after="0"/>
              <w:rPr>
                <w:sz w:val="20"/>
                <w:szCs w:val="20"/>
                <w:color w:val="auto"/>
              </w:rPr>
            </w:pPr>
          </w:p>
        </w:tc>
        <w:tc>
          <w:tcPr>
            <w:tcW w:w="560" w:type="dxa"/>
            <w:vAlign w:val="bottom"/>
            <w:gridSpan w:val="2"/>
            <w:shd w:val="clear" w:color="auto" w:fill="EAF9E8"/>
          </w:tcPr>
          <w:p>
            <w:pPr>
              <w:jc w:val="right"/>
              <w:ind w:right="41"/>
              <w:spacing w:after="0"/>
              <w:rPr>
                <w:sz w:val="20"/>
                <w:szCs w:val="20"/>
                <w:color w:val="auto"/>
              </w:rPr>
            </w:pPr>
            <w:r>
              <w:rPr>
                <w:rFonts w:ascii="Arial" w:cs="Arial" w:eastAsia="Arial" w:hAnsi="Arial"/>
                <w:sz w:val="14"/>
                <w:szCs w:val="14"/>
                <w:color w:val="auto"/>
              </w:rPr>
              <w:t>(4,958)</w:t>
            </w:r>
          </w:p>
        </w:tc>
        <w:tc>
          <w:tcPr>
            <w:tcW w:w="80" w:type="dxa"/>
            <w:vAlign w:val="bottom"/>
            <w:shd w:val="clear" w:color="auto" w:fill="EAF9E8"/>
          </w:tcPr>
          <w:p>
            <w:pPr>
              <w:spacing w:after="0"/>
              <w:rPr>
                <w:sz w:val="20"/>
                <w:szCs w:val="20"/>
                <w:color w:val="auto"/>
              </w:rPr>
            </w:pPr>
          </w:p>
        </w:tc>
        <w:tc>
          <w:tcPr>
            <w:tcW w:w="80" w:type="dxa"/>
            <w:vAlign w:val="bottom"/>
            <w:shd w:val="clear" w:color="auto" w:fill="EAF9E8"/>
          </w:tcPr>
          <w:p>
            <w:pPr>
              <w:spacing w:after="0"/>
              <w:rPr>
                <w:sz w:val="20"/>
                <w:szCs w:val="20"/>
                <w:color w:val="auto"/>
              </w:rPr>
            </w:pPr>
          </w:p>
        </w:tc>
        <w:tc>
          <w:tcPr>
            <w:tcW w:w="880" w:type="dxa"/>
            <w:vAlign w:val="bottom"/>
            <w:gridSpan w:val="2"/>
            <w:shd w:val="clear" w:color="auto" w:fill="EAF9E8"/>
          </w:tcPr>
          <w:p>
            <w:pPr>
              <w:jc w:val="right"/>
              <w:ind w:right="140"/>
              <w:spacing w:after="0"/>
              <w:rPr>
                <w:sz w:val="20"/>
                <w:szCs w:val="20"/>
                <w:color w:val="auto"/>
              </w:rPr>
            </w:pPr>
            <w:r>
              <w:rPr>
                <w:rFonts w:ascii="Arial" w:cs="Arial" w:eastAsia="Arial" w:hAnsi="Arial"/>
                <w:sz w:val="14"/>
                <w:szCs w:val="14"/>
                <w:color w:val="auto"/>
              </w:rPr>
              <w:t>6,356</w:t>
            </w:r>
          </w:p>
        </w:tc>
        <w:tc>
          <w:tcPr>
            <w:tcW w:w="80" w:type="dxa"/>
            <w:vAlign w:val="bottom"/>
            <w:shd w:val="clear" w:color="auto" w:fill="EAF9E8"/>
          </w:tcPr>
          <w:p>
            <w:pPr>
              <w:spacing w:after="0"/>
              <w:rPr>
                <w:sz w:val="20"/>
                <w:szCs w:val="20"/>
                <w:color w:val="auto"/>
              </w:rPr>
            </w:pPr>
          </w:p>
        </w:tc>
        <w:tc>
          <w:tcPr>
            <w:tcW w:w="120" w:type="dxa"/>
            <w:vAlign w:val="bottom"/>
            <w:shd w:val="clear" w:color="auto" w:fill="EAF9E8"/>
          </w:tcPr>
          <w:p>
            <w:pPr>
              <w:spacing w:after="0"/>
              <w:rPr>
                <w:sz w:val="20"/>
                <w:szCs w:val="20"/>
                <w:color w:val="auto"/>
              </w:rPr>
            </w:pPr>
          </w:p>
        </w:tc>
        <w:tc>
          <w:tcPr>
            <w:tcW w:w="720" w:type="dxa"/>
            <w:vAlign w:val="bottom"/>
            <w:gridSpan w:val="2"/>
            <w:shd w:val="clear" w:color="auto" w:fill="EAF9E8"/>
          </w:tcPr>
          <w:p>
            <w:pPr>
              <w:jc w:val="right"/>
              <w:ind w:right="61"/>
              <w:spacing w:after="0"/>
              <w:rPr>
                <w:sz w:val="20"/>
                <w:szCs w:val="20"/>
                <w:color w:val="auto"/>
              </w:rPr>
            </w:pPr>
            <w:r>
              <w:rPr>
                <w:rFonts w:ascii="Arial" w:cs="Arial" w:eastAsia="Arial" w:hAnsi="Arial"/>
                <w:sz w:val="14"/>
                <w:szCs w:val="14"/>
                <w:color w:val="auto"/>
              </w:rPr>
              <w:t>(14,052)</w:t>
            </w:r>
          </w:p>
        </w:tc>
        <w:tc>
          <w:tcPr>
            <w:tcW w:w="80" w:type="dxa"/>
            <w:vAlign w:val="bottom"/>
            <w:shd w:val="clear" w:color="auto" w:fill="EAF9E8"/>
          </w:tcPr>
          <w:p>
            <w:pPr>
              <w:spacing w:after="0"/>
              <w:rPr>
                <w:sz w:val="20"/>
                <w:szCs w:val="20"/>
                <w:color w:val="auto"/>
              </w:rPr>
            </w:pPr>
          </w:p>
        </w:tc>
        <w:tc>
          <w:tcPr>
            <w:tcW w:w="100" w:type="dxa"/>
            <w:vAlign w:val="bottom"/>
            <w:shd w:val="clear" w:color="auto" w:fill="EAF9E8"/>
          </w:tcPr>
          <w:p>
            <w:pPr>
              <w:spacing w:after="0"/>
              <w:rPr>
                <w:sz w:val="20"/>
                <w:szCs w:val="20"/>
                <w:color w:val="auto"/>
              </w:rPr>
            </w:pPr>
          </w:p>
        </w:tc>
        <w:tc>
          <w:tcPr>
            <w:tcW w:w="860" w:type="dxa"/>
            <w:vAlign w:val="bottom"/>
            <w:gridSpan w:val="2"/>
            <w:shd w:val="clear" w:color="auto" w:fill="EAF9E8"/>
          </w:tcPr>
          <w:p>
            <w:pPr>
              <w:jc w:val="right"/>
              <w:ind w:right="80"/>
              <w:spacing w:after="0"/>
              <w:rPr>
                <w:sz w:val="20"/>
                <w:szCs w:val="20"/>
                <w:color w:val="auto"/>
              </w:rPr>
            </w:pPr>
            <w:r>
              <w:rPr>
                <w:rFonts w:ascii="Arial" w:cs="Arial" w:eastAsia="Arial" w:hAnsi="Arial"/>
                <w:sz w:val="14"/>
                <w:szCs w:val="14"/>
                <w:color w:val="auto"/>
              </w:rPr>
              <w:t>(1,159)</w:t>
            </w:r>
          </w:p>
        </w:tc>
        <w:tc>
          <w:tcPr>
            <w:tcW w:w="100" w:type="dxa"/>
            <w:vAlign w:val="bottom"/>
            <w:shd w:val="clear" w:color="auto" w:fill="EAF9E8"/>
          </w:tcPr>
          <w:p>
            <w:pPr>
              <w:spacing w:after="0"/>
              <w:rPr>
                <w:sz w:val="20"/>
                <w:szCs w:val="20"/>
                <w:color w:val="auto"/>
              </w:rPr>
            </w:pPr>
          </w:p>
        </w:tc>
        <w:tc>
          <w:tcPr>
            <w:tcW w:w="80" w:type="dxa"/>
            <w:vAlign w:val="bottom"/>
            <w:shd w:val="clear" w:color="auto" w:fill="EAF9E8"/>
          </w:tcPr>
          <w:p>
            <w:pPr>
              <w:spacing w:after="0"/>
              <w:rPr>
                <w:sz w:val="20"/>
                <w:szCs w:val="20"/>
                <w:color w:val="auto"/>
              </w:rPr>
            </w:pPr>
          </w:p>
        </w:tc>
        <w:tc>
          <w:tcPr>
            <w:tcW w:w="760" w:type="dxa"/>
            <w:vAlign w:val="bottom"/>
            <w:shd w:val="clear" w:color="auto" w:fill="EAF9E8"/>
          </w:tcPr>
          <w:p>
            <w:pPr>
              <w:jc w:val="right"/>
              <w:spacing w:after="0"/>
              <w:rPr>
                <w:sz w:val="20"/>
                <w:szCs w:val="20"/>
                <w:color w:val="auto"/>
              </w:rPr>
            </w:pPr>
            <w:r>
              <w:rPr>
                <w:rFonts w:ascii="Arial" w:cs="Arial" w:eastAsia="Arial" w:hAnsi="Arial"/>
                <w:sz w:val="14"/>
                <w:szCs w:val="14"/>
                <w:color w:val="auto"/>
              </w:rPr>
              <w:t>133,938</w:t>
            </w:r>
          </w:p>
        </w:tc>
        <w:tc>
          <w:tcPr>
            <w:tcW w:w="120" w:type="dxa"/>
            <w:vAlign w:val="bottom"/>
            <w:shd w:val="clear" w:color="auto" w:fill="EAF9E8"/>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60" w:type="dxa"/>
            <w:vAlign w:val="bottom"/>
            <w:tcBorders>
              <w:top w:val="single" w:sz="8" w:color="EAF9E8"/>
            </w:tcBorders>
          </w:tcPr>
          <w:p>
            <w:pPr>
              <w:spacing w:after="0"/>
              <w:rPr>
                <w:sz w:val="20"/>
                <w:szCs w:val="20"/>
                <w:color w:val="auto"/>
              </w:rPr>
            </w:pPr>
          </w:p>
        </w:tc>
        <w:tc>
          <w:tcPr>
            <w:tcW w:w="2400" w:type="dxa"/>
            <w:vAlign w:val="bottom"/>
            <w:tcBorders>
              <w:top w:val="single" w:sz="8" w:color="EAF9E8"/>
            </w:tcBorders>
            <w:gridSpan w:val="5"/>
          </w:tcPr>
          <w:p>
            <w:pPr>
              <w:spacing w:after="0"/>
              <w:rPr>
                <w:sz w:val="20"/>
                <w:szCs w:val="20"/>
                <w:color w:val="auto"/>
              </w:rPr>
            </w:pPr>
            <w:r>
              <w:rPr>
                <w:rFonts w:ascii="Arial" w:cs="Arial" w:eastAsia="Arial" w:hAnsi="Arial"/>
                <w:sz w:val="14"/>
                <w:szCs w:val="14"/>
                <w:color w:val="auto"/>
              </w:rPr>
              <w:t>Other income (expense), net</w:t>
            </w:r>
          </w:p>
        </w:tc>
        <w:tc>
          <w:tcPr>
            <w:tcW w:w="120" w:type="dxa"/>
            <w:vAlign w:val="bottom"/>
            <w:tcBorders>
              <w:top w:val="single" w:sz="8" w:color="EAF9E8"/>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200" w:type="dxa"/>
            <w:vAlign w:val="bottom"/>
            <w:tcBorders>
              <w:top w:val="single" w:sz="8" w:color="EAF9E8"/>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20" w:type="dxa"/>
            <w:vAlign w:val="bottom"/>
            <w:tcBorders>
              <w:top w:val="single" w:sz="8" w:color="EAF9E8"/>
            </w:tcBorders>
          </w:tcPr>
          <w:p>
            <w:pPr>
              <w:spacing w:after="0"/>
              <w:rPr>
                <w:sz w:val="20"/>
                <w:szCs w:val="20"/>
                <w:color w:val="auto"/>
              </w:rPr>
            </w:pPr>
          </w:p>
        </w:tc>
        <w:tc>
          <w:tcPr>
            <w:tcW w:w="100" w:type="dxa"/>
            <w:vAlign w:val="bottom"/>
            <w:tcBorders>
              <w:top w:val="single" w:sz="8" w:color="EAF9E8"/>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40" w:type="dxa"/>
            <w:vAlign w:val="bottom"/>
            <w:tcBorders>
              <w:top w:val="single" w:sz="8" w:color="EAF9E8"/>
            </w:tcBorders>
          </w:tcPr>
          <w:p>
            <w:pPr>
              <w:spacing w:after="0"/>
              <w:rPr>
                <w:sz w:val="20"/>
                <w:szCs w:val="20"/>
                <w:color w:val="auto"/>
              </w:rPr>
            </w:pPr>
          </w:p>
        </w:tc>
        <w:tc>
          <w:tcPr>
            <w:tcW w:w="80" w:type="dxa"/>
            <w:vAlign w:val="bottom"/>
            <w:tcBorders>
              <w:top w:val="single" w:sz="8" w:color="EAF9E8"/>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0" w:type="dxa"/>
            <w:vAlign w:val="bottom"/>
            <w:tcBorders>
              <w:top w:val="single" w:sz="8" w:color="EAF9E8"/>
            </w:tcBorders>
          </w:tcPr>
          <w:p>
            <w:pPr>
              <w:spacing w:after="0"/>
              <w:rPr>
                <w:sz w:val="20"/>
                <w:szCs w:val="20"/>
                <w:color w:val="auto"/>
              </w:rPr>
            </w:pPr>
          </w:p>
        </w:tc>
        <w:tc>
          <w:tcPr>
            <w:tcW w:w="120" w:type="dxa"/>
            <w:vAlign w:val="bottom"/>
            <w:tcBorders>
              <w:top w:val="single" w:sz="8" w:color="EAF9E8"/>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20" w:type="dxa"/>
            <w:vAlign w:val="bottom"/>
            <w:tcBorders>
              <w:top w:val="single" w:sz="8" w:color="EAF9E8"/>
            </w:tcBorders>
          </w:tcPr>
          <w:p>
            <w:pPr>
              <w:spacing w:after="0"/>
              <w:rPr>
                <w:sz w:val="20"/>
                <w:szCs w:val="20"/>
                <w:color w:val="auto"/>
              </w:rPr>
            </w:pPr>
          </w:p>
        </w:tc>
        <w:tc>
          <w:tcPr>
            <w:tcW w:w="80" w:type="dxa"/>
            <w:vAlign w:val="bottom"/>
            <w:tcBorders>
              <w:top w:val="single" w:sz="8" w:color="EAF9E8"/>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40" w:type="dxa"/>
            <w:vAlign w:val="bottom"/>
            <w:tcBorders>
              <w:top w:val="single" w:sz="8" w:color="EAF9E8"/>
            </w:tcBorders>
          </w:tcPr>
          <w:p>
            <w:pPr>
              <w:spacing w:after="0"/>
              <w:rPr>
                <w:sz w:val="20"/>
                <w:szCs w:val="20"/>
                <w:color w:val="auto"/>
              </w:rPr>
            </w:pPr>
          </w:p>
        </w:tc>
        <w:tc>
          <w:tcPr>
            <w:tcW w:w="80" w:type="dxa"/>
            <w:vAlign w:val="bottom"/>
            <w:tcBorders>
              <w:top w:val="single" w:sz="8" w:color="EAF9E8"/>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40" w:type="dxa"/>
            <w:vAlign w:val="bottom"/>
            <w:tcBorders>
              <w:top w:val="single" w:sz="8" w:color="EAF9E8"/>
            </w:tcBorders>
          </w:tcPr>
          <w:p>
            <w:pPr>
              <w:spacing w:after="0"/>
              <w:rPr>
                <w:sz w:val="20"/>
                <w:szCs w:val="20"/>
                <w:color w:val="auto"/>
              </w:rPr>
            </w:pPr>
          </w:p>
        </w:tc>
        <w:tc>
          <w:tcPr>
            <w:tcW w:w="80" w:type="dxa"/>
            <w:vAlign w:val="bottom"/>
            <w:tcBorders>
              <w:top w:val="single" w:sz="8" w:color="EAF9E8"/>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20" w:type="dxa"/>
            <w:vAlign w:val="bottom"/>
            <w:tcBorders>
              <w:top w:val="single" w:sz="8" w:color="EAF9E8"/>
            </w:tcBorders>
          </w:tcPr>
          <w:p>
            <w:pPr>
              <w:spacing w:after="0"/>
              <w:rPr>
                <w:sz w:val="20"/>
                <w:szCs w:val="20"/>
                <w:color w:val="auto"/>
              </w:rPr>
            </w:pPr>
          </w:p>
        </w:tc>
        <w:tc>
          <w:tcPr>
            <w:tcW w:w="100" w:type="dxa"/>
            <w:vAlign w:val="bottom"/>
            <w:tcBorders>
              <w:top w:val="single" w:sz="8" w:color="EAF9E8"/>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20" w:type="dxa"/>
            <w:vAlign w:val="bottom"/>
            <w:tcBorders>
              <w:top w:val="single" w:sz="8" w:color="EAF9E8"/>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60" w:type="dxa"/>
            <w:vAlign w:val="bottom"/>
            <w:shd w:val="clear" w:color="auto" w:fill="EAF9E8"/>
          </w:tcPr>
          <w:p>
            <w:pPr>
              <w:spacing w:after="0"/>
              <w:rPr>
                <w:sz w:val="21"/>
                <w:szCs w:val="21"/>
                <w:color w:val="auto"/>
              </w:rPr>
            </w:pPr>
          </w:p>
        </w:tc>
        <w:tc>
          <w:tcPr>
            <w:tcW w:w="2400" w:type="dxa"/>
            <w:vAlign w:val="bottom"/>
            <w:gridSpan w:val="5"/>
            <w:shd w:val="clear" w:color="auto" w:fill="EAF9E8"/>
          </w:tcPr>
          <w:p>
            <w:pPr>
              <w:ind w:left="160"/>
              <w:spacing w:after="0"/>
              <w:rPr>
                <w:sz w:val="20"/>
                <w:szCs w:val="20"/>
                <w:color w:val="auto"/>
              </w:rPr>
            </w:pPr>
            <w:r>
              <w:rPr>
                <w:rFonts w:ascii="Arial" w:cs="Arial" w:eastAsia="Arial" w:hAnsi="Arial"/>
                <w:sz w:val="14"/>
                <w:szCs w:val="14"/>
                <w:color w:val="auto"/>
              </w:rPr>
              <w:t>Interest income</w:t>
            </w:r>
          </w:p>
        </w:tc>
        <w:tc>
          <w:tcPr>
            <w:tcW w:w="12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4"/>
                <w:szCs w:val="14"/>
                <w:color w:val="auto"/>
              </w:rPr>
              <w:t>854</w:t>
            </w:r>
          </w:p>
        </w:tc>
        <w:tc>
          <w:tcPr>
            <w:tcW w:w="20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940" w:type="dxa"/>
            <w:vAlign w:val="bottom"/>
            <w:gridSpan w:val="2"/>
            <w:shd w:val="clear" w:color="auto" w:fill="EAF9E8"/>
          </w:tcPr>
          <w:p>
            <w:pPr>
              <w:jc w:val="right"/>
              <w:ind w:right="120"/>
              <w:spacing w:after="0"/>
              <w:rPr>
                <w:sz w:val="20"/>
                <w:szCs w:val="20"/>
                <w:color w:val="auto"/>
              </w:rPr>
            </w:pPr>
            <w:r>
              <w:rPr>
                <w:rFonts w:ascii="Arial" w:cs="Arial" w:eastAsia="Arial" w:hAnsi="Arial"/>
                <w:sz w:val="14"/>
                <w:szCs w:val="14"/>
                <w:color w:val="auto"/>
              </w:rPr>
              <w:t>8,731</w:t>
            </w:r>
          </w:p>
        </w:tc>
        <w:tc>
          <w:tcPr>
            <w:tcW w:w="10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980" w:type="dxa"/>
            <w:vAlign w:val="bottom"/>
            <w:gridSpan w:val="2"/>
            <w:shd w:val="clear" w:color="auto" w:fill="EAF9E8"/>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440" w:type="dxa"/>
            <w:vAlign w:val="bottom"/>
            <w:shd w:val="clear" w:color="auto" w:fill="EAF9E8"/>
          </w:tcPr>
          <w:p>
            <w:pPr>
              <w:jc w:val="right"/>
              <w:spacing w:after="0"/>
              <w:rPr>
                <w:sz w:val="20"/>
                <w:szCs w:val="20"/>
                <w:color w:val="auto"/>
              </w:rPr>
            </w:pPr>
            <w:r>
              <w:rPr>
                <w:rFonts w:ascii="Arial" w:cs="Arial" w:eastAsia="Arial" w:hAnsi="Arial"/>
                <w:sz w:val="14"/>
                <w:szCs w:val="14"/>
                <w:color w:val="auto"/>
              </w:rPr>
              <w:t>132</w:t>
            </w:r>
          </w:p>
        </w:tc>
        <w:tc>
          <w:tcPr>
            <w:tcW w:w="8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560" w:type="dxa"/>
            <w:vAlign w:val="bottom"/>
            <w:gridSpan w:val="2"/>
            <w:shd w:val="clear" w:color="auto" w:fill="EAF9E8"/>
          </w:tcPr>
          <w:p>
            <w:pPr>
              <w:jc w:val="right"/>
              <w:ind w:right="81"/>
              <w:spacing w:after="0"/>
              <w:rPr>
                <w:sz w:val="20"/>
                <w:szCs w:val="20"/>
                <w:color w:val="auto"/>
              </w:rPr>
            </w:pPr>
            <w:r>
              <w:rPr>
                <w:rFonts w:ascii="Arial" w:cs="Arial" w:eastAsia="Arial" w:hAnsi="Arial"/>
                <w:sz w:val="14"/>
                <w:szCs w:val="14"/>
                <w:color w:val="auto"/>
              </w:rPr>
              <w:t>14</w:t>
            </w:r>
          </w:p>
        </w:tc>
        <w:tc>
          <w:tcPr>
            <w:tcW w:w="8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880" w:type="dxa"/>
            <w:vAlign w:val="bottom"/>
            <w:gridSpan w:val="2"/>
            <w:shd w:val="clear" w:color="auto" w:fill="EAF9E8"/>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580" w:type="dxa"/>
            <w:vAlign w:val="bottom"/>
            <w:shd w:val="clear" w:color="auto" w:fill="EAF9E8"/>
          </w:tcPr>
          <w:p>
            <w:pPr>
              <w:jc w:val="right"/>
              <w:spacing w:after="0"/>
              <w:rPr>
                <w:sz w:val="20"/>
                <w:szCs w:val="20"/>
                <w:color w:val="auto"/>
              </w:rPr>
            </w:pPr>
            <w:r>
              <w:rPr>
                <w:rFonts w:ascii="Arial" w:cs="Arial" w:eastAsia="Arial" w:hAnsi="Arial"/>
                <w:sz w:val="14"/>
                <w:szCs w:val="14"/>
                <w:color w:val="auto"/>
              </w:rPr>
              <w:t>1,761</w:t>
            </w:r>
          </w:p>
        </w:tc>
        <w:tc>
          <w:tcPr>
            <w:tcW w:w="14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860" w:type="dxa"/>
            <w:vAlign w:val="bottom"/>
            <w:gridSpan w:val="2"/>
            <w:shd w:val="clear" w:color="auto" w:fill="EAF9E8"/>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760" w:type="dxa"/>
            <w:vAlign w:val="bottom"/>
            <w:shd w:val="clear" w:color="auto" w:fill="EAF9E8"/>
          </w:tcPr>
          <w:p>
            <w:pPr>
              <w:jc w:val="right"/>
              <w:spacing w:after="0"/>
              <w:rPr>
                <w:sz w:val="20"/>
                <w:szCs w:val="20"/>
                <w:color w:val="auto"/>
              </w:rPr>
            </w:pPr>
            <w:r>
              <w:rPr>
                <w:rFonts w:ascii="Arial" w:cs="Arial" w:eastAsia="Arial" w:hAnsi="Arial"/>
                <w:sz w:val="14"/>
                <w:szCs w:val="14"/>
                <w:color w:val="auto"/>
              </w:rPr>
              <w:t>11,492</w:t>
            </w: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60" w:type="dxa"/>
            <w:vAlign w:val="bottom"/>
          </w:tcPr>
          <w:p>
            <w:pPr>
              <w:spacing w:after="0"/>
              <w:rPr>
                <w:sz w:val="21"/>
                <w:szCs w:val="21"/>
                <w:color w:val="auto"/>
              </w:rPr>
            </w:pPr>
          </w:p>
        </w:tc>
        <w:tc>
          <w:tcPr>
            <w:tcW w:w="2400" w:type="dxa"/>
            <w:vAlign w:val="bottom"/>
            <w:gridSpan w:val="5"/>
          </w:tcPr>
          <w:p>
            <w:pPr>
              <w:ind w:left="160"/>
              <w:spacing w:after="0"/>
              <w:rPr>
                <w:sz w:val="20"/>
                <w:szCs w:val="20"/>
                <w:color w:val="auto"/>
              </w:rPr>
            </w:pPr>
            <w:r>
              <w:rPr>
                <w:rFonts w:ascii="Arial" w:cs="Arial" w:eastAsia="Arial" w:hAnsi="Arial"/>
                <w:sz w:val="14"/>
                <w:szCs w:val="14"/>
                <w:color w:val="auto"/>
              </w:rPr>
              <w:t>Interest expense</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gridSpan w:val="2"/>
          </w:tcPr>
          <w:p>
            <w:pPr>
              <w:jc w:val="right"/>
              <w:ind w:right="92"/>
              <w:spacing w:after="0"/>
              <w:rPr>
                <w:sz w:val="20"/>
                <w:szCs w:val="20"/>
                <w:color w:val="auto"/>
              </w:rPr>
            </w:pPr>
            <w:r>
              <w:rPr>
                <w:rFonts w:ascii="Arial" w:cs="Arial" w:eastAsia="Arial" w:hAnsi="Arial"/>
                <w:sz w:val="14"/>
                <w:szCs w:val="14"/>
                <w:color w:val="auto"/>
              </w:rPr>
              <w:t>(58,741)</w:t>
            </w:r>
          </w:p>
        </w:tc>
        <w:tc>
          <w:tcPr>
            <w:tcW w:w="120" w:type="dxa"/>
            <w:vAlign w:val="bottom"/>
          </w:tcPr>
          <w:p>
            <w:pPr>
              <w:spacing w:after="0"/>
              <w:rPr>
                <w:sz w:val="21"/>
                <w:szCs w:val="21"/>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4"/>
                <w:szCs w:val="14"/>
                <w:color w:val="auto"/>
              </w:rPr>
              <w:t>(2,065)</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4"/>
                <w:szCs w:val="14"/>
                <w:color w:val="auto"/>
              </w:rPr>
              <w:t>(190)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gridSpan w:val="2"/>
          </w:tcPr>
          <w:p>
            <w:pPr>
              <w:jc w:val="right"/>
              <w:ind w:right="41"/>
              <w:spacing w:after="0"/>
              <w:rPr>
                <w:sz w:val="20"/>
                <w:szCs w:val="20"/>
                <w:color w:val="auto"/>
              </w:rPr>
            </w:pPr>
            <w:r>
              <w:rPr>
                <w:rFonts w:ascii="Arial" w:cs="Arial" w:eastAsia="Arial" w:hAnsi="Arial"/>
                <w:sz w:val="14"/>
                <w:szCs w:val="14"/>
                <w:color w:val="auto"/>
              </w:rPr>
              <w:t>(1,451)</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(447)</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gridSpan w:val="2"/>
          </w:tcPr>
          <w:p>
            <w:pPr>
              <w:jc w:val="right"/>
              <w:ind w:right="61"/>
              <w:spacing w:after="0"/>
              <w:rPr>
                <w:sz w:val="20"/>
                <w:szCs w:val="20"/>
                <w:color w:val="auto"/>
              </w:rPr>
            </w:pPr>
            <w:r>
              <w:rPr>
                <w:rFonts w:ascii="Arial" w:cs="Arial" w:eastAsia="Arial" w:hAnsi="Arial"/>
                <w:sz w:val="14"/>
                <w:szCs w:val="14"/>
                <w:color w:val="auto"/>
              </w:rPr>
              <w:t>(3,619)</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4"/>
                <w:szCs w:val="14"/>
                <w:color w:val="auto"/>
              </w:rPr>
              <w:t>(66,513)</w:t>
            </w:r>
          </w:p>
        </w:tc>
        <w:tc>
          <w:tcPr>
            <w:tcW w:w="0" w:type="dxa"/>
            <w:vAlign w:val="bottom"/>
          </w:tcPr>
          <w:p>
            <w:pPr>
              <w:spacing w:after="0"/>
              <w:rPr>
                <w:sz w:val="1"/>
                <w:szCs w:val="1"/>
                <w:color w:val="auto"/>
              </w:rPr>
            </w:pPr>
          </w:p>
        </w:tc>
      </w:tr>
      <w:tr>
        <w:trPr>
          <w:trHeight w:val="243"/>
        </w:trPr>
        <w:tc>
          <w:tcPr>
            <w:tcW w:w="160" w:type="dxa"/>
            <w:vAlign w:val="bottom"/>
            <w:shd w:val="clear" w:color="auto" w:fill="EAF9E8"/>
          </w:tcPr>
          <w:p>
            <w:pPr>
              <w:spacing w:after="0"/>
              <w:rPr>
                <w:sz w:val="21"/>
                <w:szCs w:val="21"/>
                <w:color w:val="auto"/>
              </w:rPr>
            </w:pPr>
          </w:p>
        </w:tc>
        <w:tc>
          <w:tcPr>
            <w:tcW w:w="2400" w:type="dxa"/>
            <w:vAlign w:val="bottom"/>
            <w:gridSpan w:val="5"/>
            <w:shd w:val="clear" w:color="auto" w:fill="EAF9E8"/>
          </w:tcPr>
          <w:p>
            <w:pPr>
              <w:ind w:left="160"/>
              <w:spacing w:after="0"/>
              <w:rPr>
                <w:sz w:val="20"/>
                <w:szCs w:val="20"/>
                <w:color w:val="auto"/>
              </w:rPr>
            </w:pPr>
            <w:r>
              <w:rPr>
                <w:rFonts w:ascii="Arial" w:cs="Arial" w:eastAsia="Arial" w:hAnsi="Arial"/>
                <w:sz w:val="14"/>
                <w:szCs w:val="14"/>
                <w:color w:val="auto"/>
              </w:rPr>
              <w:t>Other (1) (2)</w:t>
            </w:r>
          </w:p>
        </w:tc>
        <w:tc>
          <w:tcPr>
            <w:tcW w:w="12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4"/>
                <w:szCs w:val="14"/>
                <w:color w:val="auto"/>
              </w:rPr>
              <w:t>110</w:t>
            </w:r>
          </w:p>
        </w:tc>
        <w:tc>
          <w:tcPr>
            <w:tcW w:w="20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940" w:type="dxa"/>
            <w:vAlign w:val="bottom"/>
            <w:gridSpan w:val="2"/>
            <w:shd w:val="clear" w:color="auto" w:fill="EAF9E8"/>
          </w:tcPr>
          <w:p>
            <w:pPr>
              <w:jc w:val="right"/>
              <w:ind w:right="80"/>
              <w:spacing w:after="0"/>
              <w:rPr>
                <w:sz w:val="20"/>
                <w:szCs w:val="20"/>
                <w:color w:val="auto"/>
              </w:rPr>
            </w:pPr>
            <w:r>
              <w:rPr>
                <w:rFonts w:ascii="Arial" w:cs="Arial" w:eastAsia="Arial" w:hAnsi="Arial"/>
                <w:sz w:val="14"/>
                <w:szCs w:val="14"/>
                <w:color w:val="auto"/>
              </w:rPr>
              <w:t>(14,008)</w:t>
            </w:r>
          </w:p>
        </w:tc>
        <w:tc>
          <w:tcPr>
            <w:tcW w:w="10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980" w:type="dxa"/>
            <w:vAlign w:val="bottom"/>
            <w:gridSpan w:val="2"/>
            <w:shd w:val="clear" w:color="auto" w:fill="EAF9E8"/>
          </w:tcPr>
          <w:p>
            <w:pPr>
              <w:jc w:val="right"/>
              <w:ind w:right="80"/>
              <w:spacing w:after="0"/>
              <w:rPr>
                <w:sz w:val="20"/>
                <w:szCs w:val="20"/>
                <w:color w:val="auto"/>
              </w:rPr>
            </w:pPr>
            <w:r>
              <w:rPr>
                <w:rFonts w:ascii="Arial" w:cs="Arial" w:eastAsia="Arial" w:hAnsi="Arial"/>
                <w:sz w:val="14"/>
                <w:szCs w:val="14"/>
                <w:color w:val="auto"/>
              </w:rPr>
              <w:t>(6,542)</w:t>
            </w:r>
          </w:p>
        </w:tc>
        <w:tc>
          <w:tcPr>
            <w:tcW w:w="8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440" w:type="dxa"/>
            <w:vAlign w:val="bottom"/>
            <w:shd w:val="clear" w:color="auto" w:fill="EAF9E8"/>
          </w:tcPr>
          <w:p>
            <w:pPr>
              <w:jc w:val="right"/>
              <w:spacing w:after="0"/>
              <w:rPr>
                <w:sz w:val="20"/>
                <w:szCs w:val="20"/>
                <w:color w:val="auto"/>
              </w:rPr>
            </w:pPr>
            <w:r>
              <w:rPr>
                <w:rFonts w:ascii="Arial" w:cs="Arial" w:eastAsia="Arial" w:hAnsi="Arial"/>
                <w:sz w:val="14"/>
                <w:szCs w:val="14"/>
                <w:color w:val="auto"/>
              </w:rPr>
              <w:t>704</w:t>
            </w:r>
          </w:p>
        </w:tc>
        <w:tc>
          <w:tcPr>
            <w:tcW w:w="8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560" w:type="dxa"/>
            <w:vAlign w:val="bottom"/>
            <w:gridSpan w:val="2"/>
            <w:shd w:val="clear" w:color="auto" w:fill="EAF9E8"/>
          </w:tcPr>
          <w:p>
            <w:pPr>
              <w:jc w:val="right"/>
              <w:ind w:right="81"/>
              <w:spacing w:after="0"/>
              <w:rPr>
                <w:sz w:val="20"/>
                <w:szCs w:val="20"/>
                <w:color w:val="auto"/>
              </w:rPr>
            </w:pPr>
            <w:r>
              <w:rPr>
                <w:rFonts w:ascii="Arial" w:cs="Arial" w:eastAsia="Arial" w:hAnsi="Arial"/>
                <w:sz w:val="14"/>
                <w:szCs w:val="14"/>
                <w:color w:val="auto"/>
              </w:rPr>
              <w:t>8</w:t>
            </w:r>
          </w:p>
        </w:tc>
        <w:tc>
          <w:tcPr>
            <w:tcW w:w="8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880" w:type="dxa"/>
            <w:vAlign w:val="bottom"/>
            <w:gridSpan w:val="2"/>
            <w:shd w:val="clear" w:color="auto" w:fill="EAF9E8"/>
          </w:tcPr>
          <w:p>
            <w:pPr>
              <w:jc w:val="right"/>
              <w:ind w:right="100"/>
              <w:spacing w:after="0"/>
              <w:rPr>
                <w:sz w:val="20"/>
                <w:szCs w:val="20"/>
                <w:color w:val="auto"/>
              </w:rPr>
            </w:pPr>
            <w:r>
              <w:rPr>
                <w:rFonts w:ascii="Arial" w:cs="Arial" w:eastAsia="Arial" w:hAnsi="Arial"/>
                <w:sz w:val="14"/>
                <w:szCs w:val="14"/>
                <w:color w:val="auto"/>
              </w:rPr>
              <w:t>(5,274)</w:t>
            </w:r>
          </w:p>
        </w:tc>
        <w:tc>
          <w:tcPr>
            <w:tcW w:w="8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720" w:type="dxa"/>
            <w:vAlign w:val="bottom"/>
            <w:gridSpan w:val="2"/>
            <w:shd w:val="clear" w:color="auto" w:fill="EAF9E8"/>
          </w:tcPr>
          <w:p>
            <w:pPr>
              <w:jc w:val="right"/>
              <w:ind w:right="61"/>
              <w:spacing w:after="0"/>
              <w:rPr>
                <w:sz w:val="20"/>
                <w:szCs w:val="20"/>
                <w:color w:val="auto"/>
              </w:rPr>
            </w:pPr>
            <w:r>
              <w:rPr>
                <w:rFonts w:ascii="Arial" w:cs="Arial" w:eastAsia="Arial" w:hAnsi="Arial"/>
                <w:sz w:val="14"/>
                <w:szCs w:val="14"/>
                <w:color w:val="auto"/>
              </w:rPr>
              <w:t>(20,135)</w:t>
            </w:r>
          </w:p>
        </w:tc>
        <w:tc>
          <w:tcPr>
            <w:tcW w:w="8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740" w:type="dxa"/>
            <w:vAlign w:val="bottom"/>
            <w:shd w:val="clear" w:color="auto" w:fill="EAF9E8"/>
          </w:tcPr>
          <w:p>
            <w:pPr>
              <w:jc w:val="right"/>
              <w:spacing w:after="0"/>
              <w:rPr>
                <w:sz w:val="20"/>
                <w:szCs w:val="20"/>
                <w:color w:val="auto"/>
              </w:rPr>
            </w:pPr>
            <w:r>
              <w:rPr>
                <w:rFonts w:ascii="Arial" w:cs="Arial" w:eastAsia="Arial" w:hAnsi="Arial"/>
                <w:sz w:val="14"/>
                <w:szCs w:val="14"/>
                <w:color w:val="auto"/>
              </w:rPr>
              <w:t>1,159</w:t>
            </w:r>
          </w:p>
        </w:tc>
        <w:tc>
          <w:tcPr>
            <w:tcW w:w="12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880" w:type="dxa"/>
            <w:vAlign w:val="bottom"/>
            <w:gridSpan w:val="2"/>
            <w:shd w:val="clear" w:color="auto" w:fill="EAF9E8"/>
          </w:tcPr>
          <w:p>
            <w:pPr>
              <w:jc w:val="right"/>
              <w:ind w:right="80"/>
              <w:spacing w:after="0"/>
              <w:rPr>
                <w:sz w:val="20"/>
                <w:szCs w:val="20"/>
                <w:color w:val="auto"/>
              </w:rPr>
            </w:pPr>
            <w:r>
              <w:rPr>
                <w:rFonts w:ascii="Arial" w:cs="Arial" w:eastAsia="Arial" w:hAnsi="Arial"/>
                <w:sz w:val="14"/>
                <w:szCs w:val="14"/>
                <w:color w:val="auto"/>
              </w:rPr>
              <w:t>(43,978)</w:t>
            </w:r>
          </w:p>
        </w:tc>
        <w:tc>
          <w:tcPr>
            <w:tcW w:w="0" w:type="dxa"/>
            <w:vAlign w:val="bottom"/>
          </w:tcPr>
          <w:p>
            <w:pPr>
              <w:spacing w:after="0"/>
              <w:rPr>
                <w:sz w:val="1"/>
                <w:szCs w:val="1"/>
                <w:color w:val="auto"/>
              </w:rPr>
            </w:pPr>
          </w:p>
        </w:tc>
      </w:tr>
      <w:tr>
        <w:trPr>
          <w:trHeight w:val="20"/>
        </w:trPr>
        <w:tc>
          <w:tcPr>
            <w:tcW w:w="160" w:type="dxa"/>
            <w:vAlign w:val="bottom"/>
            <w:shd w:val="clear" w:color="auto" w:fill="EAF9E8"/>
          </w:tcPr>
          <w:p>
            <w:pPr>
              <w:spacing w:after="0" w:line="20" w:lineRule="exact"/>
              <w:rPr>
                <w:sz w:val="1"/>
                <w:szCs w:val="1"/>
                <w:color w:val="auto"/>
              </w:rPr>
            </w:pPr>
          </w:p>
        </w:tc>
        <w:tc>
          <w:tcPr>
            <w:tcW w:w="160" w:type="dxa"/>
            <w:vAlign w:val="bottom"/>
            <w:shd w:val="clear" w:color="auto" w:fill="EAF9E8"/>
          </w:tcPr>
          <w:p>
            <w:pPr>
              <w:spacing w:after="0" w:line="20" w:lineRule="exact"/>
              <w:rPr>
                <w:sz w:val="1"/>
                <w:szCs w:val="1"/>
                <w:color w:val="auto"/>
              </w:rPr>
            </w:pPr>
          </w:p>
        </w:tc>
        <w:tc>
          <w:tcPr>
            <w:tcW w:w="260" w:type="dxa"/>
            <w:vAlign w:val="bottom"/>
            <w:shd w:val="clear" w:color="auto" w:fill="EAF9E8"/>
          </w:tcPr>
          <w:p>
            <w:pPr>
              <w:spacing w:after="0" w:line="20" w:lineRule="exact"/>
              <w:rPr>
                <w:sz w:val="1"/>
                <w:szCs w:val="1"/>
                <w:color w:val="auto"/>
              </w:rPr>
            </w:pPr>
          </w:p>
        </w:tc>
        <w:tc>
          <w:tcPr>
            <w:tcW w:w="1840" w:type="dxa"/>
            <w:vAlign w:val="bottom"/>
            <w:tcBorders>
              <w:left w:val="single" w:sz="8" w:color="EAF9E8"/>
            </w:tcBorders>
            <w:shd w:val="clear" w:color="auto" w:fill="EAF9E8"/>
          </w:tcPr>
          <w:p>
            <w:pPr>
              <w:spacing w:after="0" w:line="20" w:lineRule="exact"/>
              <w:rPr>
                <w:sz w:val="1"/>
                <w:szCs w:val="1"/>
                <w:color w:val="auto"/>
              </w:rPr>
            </w:pPr>
          </w:p>
        </w:tc>
        <w:tc>
          <w:tcPr>
            <w:tcW w:w="40" w:type="dxa"/>
            <w:vAlign w:val="bottom"/>
            <w:shd w:val="clear" w:color="auto" w:fill="EAF9E8"/>
          </w:tcPr>
          <w:p>
            <w:pPr>
              <w:spacing w:after="0" w:line="20" w:lineRule="exact"/>
              <w:rPr>
                <w:sz w:val="1"/>
                <w:szCs w:val="1"/>
                <w:color w:val="auto"/>
              </w:rPr>
            </w:pPr>
          </w:p>
        </w:tc>
        <w:tc>
          <w:tcPr>
            <w:tcW w:w="100" w:type="dxa"/>
            <w:vAlign w:val="bottom"/>
            <w:shd w:val="clear" w:color="auto" w:fill="EAF9E8"/>
          </w:tcPr>
          <w:p>
            <w:pPr>
              <w:spacing w:after="0" w:line="20" w:lineRule="exact"/>
              <w:rPr>
                <w:sz w:val="1"/>
                <w:szCs w:val="1"/>
                <w:color w:val="auto"/>
              </w:rPr>
            </w:pPr>
          </w:p>
        </w:tc>
        <w:tc>
          <w:tcPr>
            <w:tcW w:w="120" w:type="dxa"/>
            <w:vAlign w:val="bottom"/>
            <w:shd w:val="clear" w:color="auto" w:fill="EAF9E8"/>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shd w:val="clear" w:color="auto" w:fill="EAF9E8"/>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EAF9E8"/>
          </w:tcPr>
          <w:p>
            <w:pPr>
              <w:spacing w:after="0" w:line="20" w:lineRule="exact"/>
              <w:rPr>
                <w:sz w:val="1"/>
                <w:szCs w:val="1"/>
                <w:color w:val="auto"/>
              </w:rPr>
            </w:pPr>
          </w:p>
        </w:tc>
        <w:tc>
          <w:tcPr>
            <w:tcW w:w="100" w:type="dxa"/>
            <w:vAlign w:val="bottom"/>
            <w:shd w:val="clear" w:color="auto" w:fill="EAF9E8"/>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EAF9E8"/>
          </w:tcPr>
          <w:p>
            <w:pPr>
              <w:spacing w:after="0" w:line="20" w:lineRule="exact"/>
              <w:rPr>
                <w:sz w:val="1"/>
                <w:szCs w:val="1"/>
                <w:color w:val="auto"/>
              </w:rPr>
            </w:pPr>
          </w:p>
        </w:tc>
        <w:tc>
          <w:tcPr>
            <w:tcW w:w="80" w:type="dxa"/>
            <w:vAlign w:val="bottom"/>
            <w:shd w:val="clear" w:color="auto" w:fill="EAF9E8"/>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shd w:val="clear" w:color="auto" w:fill="EAF9E8"/>
          </w:tcPr>
          <w:p>
            <w:pPr>
              <w:spacing w:after="0" w:line="20" w:lineRule="exact"/>
              <w:rPr>
                <w:sz w:val="1"/>
                <w:szCs w:val="1"/>
                <w:color w:val="auto"/>
              </w:rPr>
            </w:pPr>
          </w:p>
        </w:tc>
        <w:tc>
          <w:tcPr>
            <w:tcW w:w="120" w:type="dxa"/>
            <w:vAlign w:val="bottom"/>
            <w:shd w:val="clear" w:color="auto" w:fill="EAF9E8"/>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shd w:val="clear" w:color="auto" w:fill="EAF9E8"/>
          </w:tcPr>
          <w:p>
            <w:pPr>
              <w:spacing w:after="0" w:line="20" w:lineRule="exact"/>
              <w:rPr>
                <w:sz w:val="1"/>
                <w:szCs w:val="1"/>
                <w:color w:val="auto"/>
              </w:rPr>
            </w:pPr>
          </w:p>
        </w:tc>
        <w:tc>
          <w:tcPr>
            <w:tcW w:w="80" w:type="dxa"/>
            <w:vAlign w:val="bottom"/>
            <w:shd w:val="clear" w:color="auto" w:fill="EAF9E8"/>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EAF9E8"/>
          </w:tcPr>
          <w:p>
            <w:pPr>
              <w:spacing w:after="0" w:line="20" w:lineRule="exact"/>
              <w:rPr>
                <w:sz w:val="1"/>
                <w:szCs w:val="1"/>
                <w:color w:val="auto"/>
              </w:rPr>
            </w:pPr>
          </w:p>
        </w:tc>
        <w:tc>
          <w:tcPr>
            <w:tcW w:w="80" w:type="dxa"/>
            <w:vAlign w:val="bottom"/>
            <w:shd w:val="clear" w:color="auto" w:fill="EAF9E8"/>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EAF9E8"/>
          </w:tcPr>
          <w:p>
            <w:pPr>
              <w:spacing w:after="0" w:line="20" w:lineRule="exact"/>
              <w:rPr>
                <w:sz w:val="1"/>
                <w:szCs w:val="1"/>
                <w:color w:val="auto"/>
              </w:rPr>
            </w:pPr>
          </w:p>
        </w:tc>
        <w:tc>
          <w:tcPr>
            <w:tcW w:w="80" w:type="dxa"/>
            <w:vAlign w:val="bottom"/>
            <w:shd w:val="clear" w:color="auto" w:fill="EAF9E8"/>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EAF9E8"/>
          </w:tcPr>
          <w:p>
            <w:pPr>
              <w:spacing w:after="0" w:line="20" w:lineRule="exact"/>
              <w:rPr>
                <w:sz w:val="1"/>
                <w:szCs w:val="1"/>
                <w:color w:val="auto"/>
              </w:rPr>
            </w:pPr>
          </w:p>
        </w:tc>
        <w:tc>
          <w:tcPr>
            <w:tcW w:w="100" w:type="dxa"/>
            <w:vAlign w:val="bottom"/>
            <w:shd w:val="clear" w:color="auto" w:fill="EAF9E8"/>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EAF9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60" w:type="dxa"/>
            <w:vAlign w:val="bottom"/>
          </w:tcPr>
          <w:p>
            <w:pPr>
              <w:spacing w:after="0"/>
              <w:rPr>
                <w:sz w:val="20"/>
                <w:szCs w:val="20"/>
                <w:color w:val="auto"/>
              </w:rPr>
            </w:pPr>
          </w:p>
        </w:tc>
        <w:tc>
          <w:tcPr>
            <w:tcW w:w="2400" w:type="dxa"/>
            <w:vAlign w:val="bottom"/>
            <w:gridSpan w:val="5"/>
          </w:tcPr>
          <w:p>
            <w:pPr>
              <w:ind w:left="160"/>
              <w:spacing w:after="0"/>
              <w:rPr>
                <w:sz w:val="20"/>
                <w:szCs w:val="20"/>
                <w:color w:val="auto"/>
              </w:rPr>
            </w:pPr>
            <w:r>
              <w:rPr>
                <w:rFonts w:ascii="Arial" w:cs="Arial" w:eastAsia="Arial" w:hAnsi="Arial"/>
                <w:sz w:val="14"/>
                <w:szCs w:val="14"/>
                <w:color w:val="auto"/>
              </w:rPr>
              <w:t>Other income (expense), net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gridSpan w:val="2"/>
          </w:tcPr>
          <w:p>
            <w:pPr>
              <w:jc w:val="right"/>
              <w:ind w:right="92"/>
              <w:spacing w:after="0"/>
              <w:rPr>
                <w:sz w:val="20"/>
                <w:szCs w:val="20"/>
                <w:color w:val="auto"/>
              </w:rPr>
            </w:pPr>
            <w:r>
              <w:rPr>
                <w:rFonts w:ascii="Arial" w:cs="Arial" w:eastAsia="Arial" w:hAnsi="Arial"/>
                <w:sz w:val="14"/>
                <w:szCs w:val="14"/>
                <w:color w:val="auto"/>
              </w:rPr>
              <w:t>(57,777)</w:t>
            </w:r>
          </w:p>
        </w:tc>
        <w:tc>
          <w:tcPr>
            <w:tcW w:w="12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4"/>
                <w:szCs w:val="14"/>
                <w:color w:val="auto"/>
              </w:rPr>
              <w:t>(7,342)</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4"/>
                <w:szCs w:val="14"/>
                <w:color w:val="auto"/>
              </w:rPr>
              <w:t>(6,542)</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646</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gridSpan w:val="2"/>
          </w:tcPr>
          <w:p>
            <w:pPr>
              <w:jc w:val="right"/>
              <w:ind w:right="41"/>
              <w:spacing w:after="0"/>
              <w:rPr>
                <w:sz w:val="20"/>
                <w:szCs w:val="20"/>
                <w:color w:val="auto"/>
              </w:rPr>
            </w:pPr>
            <w:r>
              <w:rPr>
                <w:rFonts w:ascii="Arial" w:cs="Arial" w:eastAsia="Arial" w:hAnsi="Arial"/>
                <w:sz w:val="14"/>
                <w:szCs w:val="14"/>
                <w:color w:val="auto"/>
              </w:rPr>
              <w:t>(1,429)</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(5,721)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2"/>
          </w:tcPr>
          <w:p>
            <w:pPr>
              <w:jc w:val="right"/>
              <w:ind w:right="61"/>
              <w:spacing w:after="0"/>
              <w:rPr>
                <w:sz w:val="20"/>
                <w:szCs w:val="20"/>
                <w:color w:val="auto"/>
              </w:rPr>
            </w:pPr>
            <w:r>
              <w:rPr>
                <w:rFonts w:ascii="Arial" w:cs="Arial" w:eastAsia="Arial" w:hAnsi="Arial"/>
                <w:sz w:val="14"/>
                <w:szCs w:val="14"/>
                <w:color w:val="auto"/>
              </w:rPr>
              <w:t>(21,993)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1,159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4"/>
                <w:szCs w:val="14"/>
                <w:color w:val="auto"/>
              </w:rPr>
              <w:t>(98,999)</w:t>
            </w:r>
          </w:p>
        </w:tc>
        <w:tc>
          <w:tcPr>
            <w:tcW w:w="0" w:type="dxa"/>
            <w:vAlign w:val="bottom"/>
          </w:tcPr>
          <w:p>
            <w:pPr>
              <w:spacing w:after="0"/>
              <w:rPr>
                <w:sz w:val="1"/>
                <w:szCs w:val="1"/>
                <w:color w:val="auto"/>
              </w:rPr>
            </w:pPr>
          </w:p>
        </w:tc>
      </w:tr>
      <w:tr>
        <w:trPr>
          <w:trHeight w:val="131"/>
        </w:trPr>
        <w:tc>
          <w:tcPr>
            <w:tcW w:w="160" w:type="dxa"/>
            <w:vAlign w:val="bottom"/>
            <w:shd w:val="clear" w:color="auto" w:fill="EAF9E8"/>
          </w:tcPr>
          <w:p>
            <w:pPr>
              <w:spacing w:after="0"/>
              <w:rPr>
                <w:sz w:val="11"/>
                <w:szCs w:val="11"/>
                <w:color w:val="auto"/>
              </w:rPr>
            </w:pPr>
          </w:p>
        </w:tc>
        <w:tc>
          <w:tcPr>
            <w:tcW w:w="2400" w:type="dxa"/>
            <w:vAlign w:val="bottom"/>
            <w:gridSpan w:val="5"/>
            <w:shd w:val="clear" w:color="auto" w:fill="EAF9E8"/>
          </w:tcPr>
          <w:p>
            <w:pPr>
              <w:spacing w:after="0" w:line="131" w:lineRule="exact"/>
              <w:rPr>
                <w:sz w:val="20"/>
                <w:szCs w:val="20"/>
                <w:color w:val="auto"/>
              </w:rPr>
            </w:pPr>
            <w:r>
              <w:rPr>
                <w:rFonts w:ascii="Arial" w:cs="Arial" w:eastAsia="Arial" w:hAnsi="Arial"/>
                <w:sz w:val="14"/>
                <w:szCs w:val="14"/>
                <w:color w:val="auto"/>
                <w:w w:val="94"/>
              </w:rPr>
              <w:t>Income (loss) from continuing operations</w:t>
            </w:r>
          </w:p>
        </w:tc>
        <w:tc>
          <w:tcPr>
            <w:tcW w:w="120" w:type="dxa"/>
            <w:vAlign w:val="bottom"/>
            <w:shd w:val="clear" w:color="auto" w:fill="EAF9E8"/>
          </w:tcPr>
          <w:p>
            <w:pPr>
              <w:spacing w:after="0"/>
              <w:rPr>
                <w:sz w:val="11"/>
                <w:szCs w:val="11"/>
                <w:color w:val="auto"/>
              </w:rPr>
            </w:pPr>
          </w:p>
        </w:tc>
        <w:tc>
          <w:tcPr>
            <w:tcW w:w="80" w:type="dxa"/>
            <w:vAlign w:val="bottom"/>
            <w:tcBorders>
              <w:top w:val="single" w:sz="8" w:color="auto"/>
            </w:tcBorders>
            <w:vMerge w:val="restart"/>
            <w:shd w:val="clear" w:color="auto" w:fill="EAF9E8"/>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tcBorders>
            <w:vMerge w:val="restart"/>
            <w:shd w:val="clear" w:color="auto" w:fill="EAF9E8"/>
          </w:tcPr>
          <w:p>
            <w:pPr>
              <w:jc w:val="right"/>
              <w:spacing w:after="0"/>
              <w:rPr>
                <w:sz w:val="20"/>
                <w:szCs w:val="20"/>
                <w:color w:val="auto"/>
              </w:rPr>
            </w:pPr>
            <w:r>
              <w:rPr>
                <w:rFonts w:ascii="Arial" w:cs="Arial" w:eastAsia="Arial" w:hAnsi="Arial"/>
                <w:sz w:val="14"/>
                <w:szCs w:val="14"/>
                <w:color w:val="auto"/>
              </w:rPr>
              <w:t>82,315</w:t>
            </w:r>
          </w:p>
        </w:tc>
        <w:tc>
          <w:tcPr>
            <w:tcW w:w="200" w:type="dxa"/>
            <w:vAlign w:val="bottom"/>
            <w:shd w:val="clear" w:color="auto" w:fill="EAF9E8"/>
          </w:tcPr>
          <w:p>
            <w:pPr>
              <w:spacing w:after="0"/>
              <w:rPr>
                <w:sz w:val="11"/>
                <w:szCs w:val="11"/>
                <w:color w:val="auto"/>
              </w:rPr>
            </w:pPr>
          </w:p>
        </w:tc>
        <w:tc>
          <w:tcPr>
            <w:tcW w:w="120" w:type="dxa"/>
            <w:vAlign w:val="bottom"/>
            <w:tcBorders>
              <w:top w:val="single" w:sz="8" w:color="auto"/>
            </w:tcBorders>
            <w:vMerge w:val="restart"/>
            <w:shd w:val="clear" w:color="auto" w:fill="EAF9E8"/>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vMerge w:val="restart"/>
            <w:shd w:val="clear" w:color="auto" w:fill="EAF9E8"/>
          </w:tcPr>
          <w:p>
            <w:pPr>
              <w:jc w:val="right"/>
              <w:spacing w:after="0"/>
              <w:rPr>
                <w:sz w:val="20"/>
                <w:szCs w:val="20"/>
                <w:color w:val="auto"/>
              </w:rPr>
            </w:pPr>
            <w:r>
              <w:rPr>
                <w:rFonts w:ascii="Arial" w:cs="Arial" w:eastAsia="Arial" w:hAnsi="Arial"/>
                <w:sz w:val="14"/>
                <w:szCs w:val="14"/>
                <w:color w:val="auto"/>
              </w:rPr>
              <w:t>(9,622)</w:t>
            </w:r>
          </w:p>
        </w:tc>
        <w:tc>
          <w:tcPr>
            <w:tcW w:w="12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80" w:type="dxa"/>
            <w:vAlign w:val="bottom"/>
            <w:tcBorders>
              <w:top w:val="single" w:sz="8" w:color="auto"/>
            </w:tcBorders>
            <w:vMerge w:val="restart"/>
            <w:shd w:val="clear" w:color="auto" w:fill="EAF9E8"/>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vMerge w:val="restart"/>
            <w:shd w:val="clear" w:color="auto" w:fill="EAF9E8"/>
          </w:tcPr>
          <w:p>
            <w:pPr>
              <w:jc w:val="right"/>
              <w:spacing w:after="0"/>
              <w:rPr>
                <w:sz w:val="20"/>
                <w:szCs w:val="20"/>
                <w:color w:val="auto"/>
              </w:rPr>
            </w:pPr>
            <w:r>
              <w:rPr>
                <w:rFonts w:ascii="Arial" w:cs="Arial" w:eastAsia="Arial" w:hAnsi="Arial"/>
                <w:sz w:val="14"/>
                <w:szCs w:val="14"/>
                <w:color w:val="auto"/>
              </w:rPr>
              <w:t>(6,046)</w:t>
            </w:r>
          </w:p>
        </w:tc>
        <w:tc>
          <w:tcPr>
            <w:tcW w:w="140" w:type="dxa"/>
            <w:vAlign w:val="bottom"/>
            <w:shd w:val="clear" w:color="auto" w:fill="EAF9E8"/>
          </w:tcPr>
          <w:p>
            <w:pPr>
              <w:spacing w:after="0"/>
              <w:rPr>
                <w:sz w:val="11"/>
                <w:szCs w:val="11"/>
                <w:color w:val="auto"/>
              </w:rPr>
            </w:pPr>
          </w:p>
        </w:tc>
        <w:tc>
          <w:tcPr>
            <w:tcW w:w="80" w:type="dxa"/>
            <w:vAlign w:val="bottom"/>
            <w:shd w:val="clear" w:color="auto" w:fill="EAF9E8"/>
          </w:tcPr>
          <w:p>
            <w:pPr>
              <w:spacing w:after="0"/>
              <w:rPr>
                <w:sz w:val="11"/>
                <w:szCs w:val="11"/>
                <w:color w:val="auto"/>
              </w:rPr>
            </w:pPr>
          </w:p>
        </w:tc>
        <w:tc>
          <w:tcPr>
            <w:tcW w:w="140" w:type="dxa"/>
            <w:vAlign w:val="bottom"/>
            <w:tcBorders>
              <w:top w:val="single" w:sz="8" w:color="auto"/>
            </w:tcBorders>
            <w:vMerge w:val="restart"/>
            <w:shd w:val="clear" w:color="auto" w:fill="EAF9E8"/>
          </w:tcPr>
          <w:p>
            <w:pPr>
              <w:spacing w:after="0"/>
              <w:rPr>
                <w:sz w:val="20"/>
                <w:szCs w:val="20"/>
                <w:color w:val="auto"/>
              </w:rPr>
            </w:pPr>
            <w:r>
              <w:rPr>
                <w:rFonts w:ascii="Arial" w:cs="Arial" w:eastAsia="Arial" w:hAnsi="Arial"/>
                <w:sz w:val="14"/>
                <w:szCs w:val="14"/>
                <w:color w:val="auto"/>
              </w:rPr>
              <w:t>$</w:t>
            </w:r>
          </w:p>
        </w:tc>
        <w:tc>
          <w:tcPr>
            <w:tcW w:w="440" w:type="dxa"/>
            <w:vAlign w:val="bottom"/>
            <w:tcBorders>
              <w:top w:val="single" w:sz="8" w:color="auto"/>
            </w:tcBorders>
            <w:vMerge w:val="restart"/>
            <w:shd w:val="clear" w:color="auto" w:fill="EAF9E8"/>
          </w:tcPr>
          <w:p>
            <w:pPr>
              <w:jc w:val="right"/>
              <w:spacing w:after="0"/>
              <w:rPr>
                <w:sz w:val="20"/>
                <w:szCs w:val="20"/>
                <w:color w:val="auto"/>
              </w:rPr>
            </w:pPr>
            <w:r>
              <w:rPr>
                <w:rFonts w:ascii="Arial" w:cs="Arial" w:eastAsia="Arial" w:hAnsi="Arial"/>
                <w:sz w:val="14"/>
                <w:szCs w:val="14"/>
                <w:color w:val="auto"/>
                <w:w w:val="97"/>
              </w:rPr>
              <w:t>10,089</w:t>
            </w:r>
          </w:p>
        </w:tc>
        <w:tc>
          <w:tcPr>
            <w:tcW w:w="80" w:type="dxa"/>
            <w:vAlign w:val="bottom"/>
            <w:shd w:val="clear" w:color="auto" w:fill="EAF9E8"/>
          </w:tcPr>
          <w:p>
            <w:pPr>
              <w:spacing w:after="0"/>
              <w:rPr>
                <w:sz w:val="11"/>
                <w:szCs w:val="11"/>
                <w:color w:val="auto"/>
              </w:rPr>
            </w:pPr>
          </w:p>
        </w:tc>
        <w:tc>
          <w:tcPr>
            <w:tcW w:w="120" w:type="dxa"/>
            <w:vAlign w:val="bottom"/>
            <w:shd w:val="clear" w:color="auto" w:fill="EAF9E8"/>
          </w:tcPr>
          <w:p>
            <w:pPr>
              <w:spacing w:after="0"/>
              <w:rPr>
                <w:sz w:val="11"/>
                <w:szCs w:val="11"/>
                <w:color w:val="auto"/>
              </w:rPr>
            </w:pPr>
          </w:p>
        </w:tc>
        <w:tc>
          <w:tcPr>
            <w:tcW w:w="140" w:type="dxa"/>
            <w:vAlign w:val="bottom"/>
            <w:tcBorders>
              <w:top w:val="single" w:sz="8" w:color="auto"/>
            </w:tcBorders>
            <w:vMerge w:val="restart"/>
            <w:shd w:val="clear" w:color="auto" w:fill="EAF9E8"/>
          </w:tcPr>
          <w:p>
            <w:pPr>
              <w:spacing w:after="0"/>
              <w:rPr>
                <w:sz w:val="20"/>
                <w:szCs w:val="20"/>
                <w:color w:val="auto"/>
              </w:rPr>
            </w:pPr>
            <w:r>
              <w:rPr>
                <w:rFonts w:ascii="Arial" w:cs="Arial" w:eastAsia="Arial" w:hAnsi="Arial"/>
                <w:sz w:val="14"/>
                <w:szCs w:val="14"/>
                <w:color w:val="auto"/>
              </w:rPr>
              <w:t>$</w:t>
            </w:r>
          </w:p>
        </w:tc>
        <w:tc>
          <w:tcPr>
            <w:tcW w:w="440" w:type="dxa"/>
            <w:vAlign w:val="bottom"/>
            <w:tcBorders>
              <w:top w:val="single" w:sz="8" w:color="auto"/>
            </w:tcBorders>
            <w:vMerge w:val="restart"/>
            <w:shd w:val="clear" w:color="auto" w:fill="EAF9E8"/>
          </w:tcPr>
          <w:p>
            <w:pPr>
              <w:jc w:val="right"/>
              <w:spacing w:after="0"/>
              <w:rPr>
                <w:sz w:val="20"/>
                <w:szCs w:val="20"/>
                <w:color w:val="auto"/>
              </w:rPr>
            </w:pPr>
            <w:r>
              <w:rPr>
                <w:rFonts w:ascii="Arial" w:cs="Arial" w:eastAsia="Arial" w:hAnsi="Arial"/>
                <w:sz w:val="14"/>
                <w:szCs w:val="14"/>
                <w:color w:val="auto"/>
              </w:rPr>
              <w:t>(6,387</w:t>
            </w:r>
          </w:p>
        </w:tc>
        <w:tc>
          <w:tcPr>
            <w:tcW w:w="120" w:type="dxa"/>
            <w:vAlign w:val="bottom"/>
            <w:vMerge w:val="restart"/>
            <w:shd w:val="clear" w:color="auto" w:fill="EAF9E8"/>
          </w:tcPr>
          <w:p>
            <w:pPr>
              <w:jc w:val="right"/>
              <w:ind w:right="41"/>
              <w:spacing w:after="0"/>
              <w:rPr>
                <w:sz w:val="20"/>
                <w:szCs w:val="20"/>
                <w:color w:val="auto"/>
              </w:rPr>
            </w:pPr>
            <w:r>
              <w:rPr>
                <w:rFonts w:ascii="Arial" w:cs="Arial" w:eastAsia="Arial" w:hAnsi="Arial"/>
                <w:sz w:val="8"/>
                <w:szCs w:val="8"/>
                <w:color w:val="auto"/>
                <w:w w:val="73"/>
              </w:rPr>
              <w:t>)</w:t>
            </w:r>
          </w:p>
        </w:tc>
        <w:tc>
          <w:tcPr>
            <w:tcW w:w="80" w:type="dxa"/>
            <w:vAlign w:val="bottom"/>
            <w:shd w:val="clear" w:color="auto" w:fill="EAF9E8"/>
          </w:tcPr>
          <w:p>
            <w:pPr>
              <w:spacing w:after="0"/>
              <w:rPr>
                <w:sz w:val="11"/>
                <w:szCs w:val="11"/>
                <w:color w:val="auto"/>
              </w:rPr>
            </w:pPr>
          </w:p>
        </w:tc>
        <w:tc>
          <w:tcPr>
            <w:tcW w:w="80" w:type="dxa"/>
            <w:vAlign w:val="bottom"/>
            <w:tcBorders>
              <w:top w:val="single" w:sz="8" w:color="auto"/>
            </w:tcBorders>
            <w:vMerge w:val="restart"/>
            <w:shd w:val="clear" w:color="auto" w:fill="EAF9E8"/>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vMerge w:val="restart"/>
            <w:shd w:val="clear" w:color="auto" w:fill="EAF9E8"/>
          </w:tcPr>
          <w:p>
            <w:pPr>
              <w:jc w:val="right"/>
              <w:spacing w:after="0"/>
              <w:rPr>
                <w:sz w:val="20"/>
                <w:szCs w:val="20"/>
                <w:color w:val="auto"/>
              </w:rPr>
            </w:pPr>
            <w:r>
              <w:rPr>
                <w:rFonts w:ascii="Arial" w:cs="Arial" w:eastAsia="Arial" w:hAnsi="Arial"/>
                <w:sz w:val="14"/>
                <w:szCs w:val="14"/>
                <w:color w:val="auto"/>
              </w:rPr>
              <w:t>635</w:t>
            </w:r>
          </w:p>
        </w:tc>
        <w:tc>
          <w:tcPr>
            <w:tcW w:w="140" w:type="dxa"/>
            <w:vAlign w:val="bottom"/>
            <w:shd w:val="clear" w:color="auto" w:fill="EAF9E8"/>
          </w:tcPr>
          <w:p>
            <w:pPr>
              <w:spacing w:after="0"/>
              <w:rPr>
                <w:sz w:val="11"/>
                <w:szCs w:val="11"/>
                <w:color w:val="auto"/>
              </w:rPr>
            </w:pPr>
          </w:p>
        </w:tc>
        <w:tc>
          <w:tcPr>
            <w:tcW w:w="80" w:type="dxa"/>
            <w:vAlign w:val="bottom"/>
            <w:shd w:val="clear" w:color="auto" w:fill="EAF9E8"/>
          </w:tcPr>
          <w:p>
            <w:pPr>
              <w:spacing w:after="0"/>
              <w:rPr>
                <w:sz w:val="11"/>
                <w:szCs w:val="11"/>
                <w:color w:val="auto"/>
              </w:rPr>
            </w:pPr>
          </w:p>
        </w:tc>
        <w:tc>
          <w:tcPr>
            <w:tcW w:w="120" w:type="dxa"/>
            <w:vAlign w:val="bottom"/>
            <w:tcBorders>
              <w:top w:val="single" w:sz="8" w:color="auto"/>
            </w:tcBorders>
            <w:vMerge w:val="restart"/>
            <w:shd w:val="clear" w:color="auto" w:fill="EAF9E8"/>
          </w:tcPr>
          <w:p>
            <w:pPr>
              <w:jc w:val="right"/>
              <w:ind w:right="4"/>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vMerge w:val="restart"/>
            <w:shd w:val="clear" w:color="auto" w:fill="EAF9E8"/>
          </w:tcPr>
          <w:p>
            <w:pPr>
              <w:jc w:val="right"/>
              <w:spacing w:after="0"/>
              <w:rPr>
                <w:sz w:val="20"/>
                <w:szCs w:val="20"/>
                <w:color w:val="auto"/>
              </w:rPr>
            </w:pPr>
            <w:r>
              <w:rPr>
                <w:rFonts w:ascii="Arial" w:cs="Arial" w:eastAsia="Arial" w:hAnsi="Arial"/>
                <w:sz w:val="14"/>
                <w:szCs w:val="14"/>
                <w:color w:val="auto"/>
              </w:rPr>
              <w:t>(36,045</w:t>
            </w:r>
          </w:p>
        </w:tc>
        <w:tc>
          <w:tcPr>
            <w:tcW w:w="140" w:type="dxa"/>
            <w:vAlign w:val="bottom"/>
            <w:vMerge w:val="restart"/>
            <w:shd w:val="clear" w:color="auto" w:fill="EAF9E8"/>
          </w:tcPr>
          <w:p>
            <w:pPr>
              <w:jc w:val="right"/>
              <w:ind w:right="61"/>
              <w:spacing w:after="0"/>
              <w:rPr>
                <w:sz w:val="20"/>
                <w:szCs w:val="20"/>
                <w:color w:val="auto"/>
              </w:rPr>
            </w:pPr>
            <w:r>
              <w:rPr>
                <w:rFonts w:ascii="Arial" w:cs="Arial" w:eastAsia="Arial" w:hAnsi="Arial"/>
                <w:sz w:val="8"/>
                <w:szCs w:val="8"/>
                <w:color w:val="auto"/>
                <w:w w:val="73"/>
              </w:rPr>
              <w:t>)</w:t>
            </w:r>
          </w:p>
        </w:tc>
        <w:tc>
          <w:tcPr>
            <w:tcW w:w="80" w:type="dxa"/>
            <w:vAlign w:val="bottom"/>
            <w:shd w:val="clear" w:color="auto" w:fill="EAF9E8"/>
          </w:tcPr>
          <w:p>
            <w:pPr>
              <w:spacing w:after="0"/>
              <w:rPr>
                <w:sz w:val="11"/>
                <w:szCs w:val="11"/>
                <w:color w:val="auto"/>
              </w:rPr>
            </w:pPr>
          </w:p>
        </w:tc>
        <w:tc>
          <w:tcPr>
            <w:tcW w:w="100" w:type="dxa"/>
            <w:vAlign w:val="bottom"/>
            <w:tcBorders>
              <w:top w:val="single" w:sz="8" w:color="auto"/>
            </w:tcBorders>
            <w:vMerge w:val="restart"/>
            <w:shd w:val="clear" w:color="auto" w:fill="EAF9E8"/>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vMerge w:val="restart"/>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80" w:type="dxa"/>
            <w:vAlign w:val="bottom"/>
            <w:tcBorders>
              <w:top w:val="single" w:sz="8" w:color="auto"/>
            </w:tcBorders>
            <w:vMerge w:val="restart"/>
            <w:shd w:val="clear" w:color="auto" w:fill="EAF9E8"/>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tcBorders>
            <w:vMerge w:val="restart"/>
            <w:shd w:val="clear" w:color="auto" w:fill="EAF9E8"/>
          </w:tcPr>
          <w:p>
            <w:pPr>
              <w:jc w:val="right"/>
              <w:spacing w:after="0"/>
              <w:rPr>
                <w:sz w:val="20"/>
                <w:szCs w:val="20"/>
                <w:color w:val="auto"/>
              </w:rPr>
            </w:pPr>
            <w:r>
              <w:rPr>
                <w:rFonts w:ascii="Arial" w:cs="Arial" w:eastAsia="Arial" w:hAnsi="Arial"/>
                <w:sz w:val="14"/>
                <w:szCs w:val="14"/>
                <w:color w:val="auto"/>
              </w:rPr>
              <w:t>34,939</w:t>
            </w:r>
          </w:p>
        </w:tc>
        <w:tc>
          <w:tcPr>
            <w:tcW w:w="120" w:type="dxa"/>
            <w:vAlign w:val="bottom"/>
            <w:shd w:val="clear" w:color="auto" w:fill="EAF9E8"/>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60" w:type="dxa"/>
            <w:vAlign w:val="bottom"/>
            <w:tcBorders>
              <w:bottom w:val="single" w:sz="8" w:color="EAF9E8"/>
            </w:tcBorders>
            <w:shd w:val="clear" w:color="auto" w:fill="EAF9E8"/>
          </w:tcPr>
          <w:p>
            <w:pPr>
              <w:spacing w:after="0"/>
              <w:rPr>
                <w:sz w:val="13"/>
                <w:szCs w:val="13"/>
                <w:color w:val="auto"/>
              </w:rPr>
            </w:pPr>
          </w:p>
        </w:tc>
        <w:tc>
          <w:tcPr>
            <w:tcW w:w="160" w:type="dxa"/>
            <w:vAlign w:val="bottom"/>
            <w:tcBorders>
              <w:bottom w:val="single" w:sz="8" w:color="EAF9E8"/>
            </w:tcBorders>
            <w:shd w:val="clear" w:color="auto" w:fill="EAF9E8"/>
          </w:tcPr>
          <w:p>
            <w:pPr>
              <w:spacing w:after="0"/>
              <w:rPr>
                <w:sz w:val="13"/>
                <w:szCs w:val="13"/>
                <w:color w:val="auto"/>
              </w:rPr>
            </w:pPr>
          </w:p>
        </w:tc>
        <w:tc>
          <w:tcPr>
            <w:tcW w:w="2240" w:type="dxa"/>
            <w:vAlign w:val="bottom"/>
            <w:tcBorders>
              <w:bottom w:val="single" w:sz="8" w:color="EAF9E8"/>
            </w:tcBorders>
            <w:gridSpan w:val="4"/>
            <w:shd w:val="clear" w:color="auto" w:fill="EAF9E8"/>
          </w:tcPr>
          <w:p>
            <w:pPr>
              <w:spacing w:after="0" w:line="113" w:lineRule="exact"/>
              <w:rPr>
                <w:sz w:val="20"/>
                <w:szCs w:val="20"/>
                <w:color w:val="auto"/>
              </w:rPr>
            </w:pPr>
            <w:r>
              <w:rPr>
                <w:rFonts w:ascii="Arial" w:cs="Arial" w:eastAsia="Arial" w:hAnsi="Arial"/>
                <w:sz w:val="12"/>
                <w:szCs w:val="12"/>
                <w:color w:val="auto"/>
              </w:rPr>
              <w:t>before income taxes</w:t>
            </w:r>
          </w:p>
        </w:tc>
        <w:tc>
          <w:tcPr>
            <w:tcW w:w="120" w:type="dxa"/>
            <w:vAlign w:val="bottom"/>
            <w:tcBorders>
              <w:bottom w:val="single" w:sz="8" w:color="EAF9E8"/>
            </w:tcBorders>
            <w:shd w:val="clear" w:color="auto" w:fill="EAF9E8"/>
          </w:tcPr>
          <w:p>
            <w:pPr>
              <w:spacing w:after="0"/>
              <w:rPr>
                <w:sz w:val="13"/>
                <w:szCs w:val="13"/>
                <w:color w:val="auto"/>
              </w:rPr>
            </w:pPr>
          </w:p>
        </w:tc>
        <w:tc>
          <w:tcPr>
            <w:tcW w:w="80" w:type="dxa"/>
            <w:vAlign w:val="bottom"/>
            <w:tcBorders>
              <w:bottom w:val="single" w:sz="8" w:color="auto"/>
            </w:tcBorders>
            <w:vMerge w:val="continue"/>
            <w:shd w:val="clear" w:color="auto" w:fill="EAF9E8"/>
          </w:tcPr>
          <w:p>
            <w:pPr>
              <w:spacing w:after="0"/>
              <w:rPr>
                <w:sz w:val="13"/>
                <w:szCs w:val="13"/>
                <w:color w:val="auto"/>
              </w:rPr>
            </w:pPr>
          </w:p>
        </w:tc>
        <w:tc>
          <w:tcPr>
            <w:tcW w:w="620" w:type="dxa"/>
            <w:vAlign w:val="bottom"/>
            <w:tcBorders>
              <w:bottom w:val="single" w:sz="8" w:color="auto"/>
            </w:tcBorders>
            <w:vMerge w:val="continue"/>
            <w:shd w:val="clear" w:color="auto" w:fill="EAF9E8"/>
          </w:tcPr>
          <w:p>
            <w:pPr>
              <w:spacing w:after="0"/>
              <w:rPr>
                <w:sz w:val="13"/>
                <w:szCs w:val="13"/>
                <w:color w:val="auto"/>
              </w:rPr>
            </w:pPr>
          </w:p>
        </w:tc>
        <w:tc>
          <w:tcPr>
            <w:tcW w:w="200" w:type="dxa"/>
            <w:vAlign w:val="bottom"/>
            <w:tcBorders>
              <w:bottom w:val="single" w:sz="8" w:color="EAF9E8"/>
            </w:tcBorders>
            <w:shd w:val="clear" w:color="auto" w:fill="EAF9E8"/>
          </w:tcPr>
          <w:p>
            <w:pPr>
              <w:spacing w:after="0"/>
              <w:rPr>
                <w:sz w:val="13"/>
                <w:szCs w:val="13"/>
                <w:color w:val="auto"/>
              </w:rPr>
            </w:pPr>
          </w:p>
        </w:tc>
        <w:tc>
          <w:tcPr>
            <w:tcW w:w="120" w:type="dxa"/>
            <w:vAlign w:val="bottom"/>
            <w:tcBorders>
              <w:bottom w:val="single" w:sz="8" w:color="auto"/>
            </w:tcBorders>
            <w:vMerge w:val="continue"/>
            <w:shd w:val="clear" w:color="auto" w:fill="EAF9E8"/>
          </w:tcPr>
          <w:p>
            <w:pPr>
              <w:spacing w:after="0"/>
              <w:rPr>
                <w:sz w:val="13"/>
                <w:szCs w:val="13"/>
                <w:color w:val="auto"/>
              </w:rPr>
            </w:pPr>
          </w:p>
        </w:tc>
        <w:tc>
          <w:tcPr>
            <w:tcW w:w="820" w:type="dxa"/>
            <w:vAlign w:val="bottom"/>
            <w:tcBorders>
              <w:bottom w:val="single" w:sz="8" w:color="auto"/>
            </w:tcBorders>
            <w:vMerge w:val="continue"/>
            <w:shd w:val="clear" w:color="auto" w:fill="EAF9E8"/>
          </w:tcPr>
          <w:p>
            <w:pPr>
              <w:spacing w:after="0"/>
              <w:rPr>
                <w:sz w:val="13"/>
                <w:szCs w:val="13"/>
                <w:color w:val="auto"/>
              </w:rPr>
            </w:pPr>
          </w:p>
        </w:tc>
        <w:tc>
          <w:tcPr>
            <w:tcW w:w="120" w:type="dxa"/>
            <w:vAlign w:val="bottom"/>
            <w:tcBorders>
              <w:bottom w:val="single" w:sz="8" w:color="EAF9E8"/>
            </w:tcBorders>
            <w:shd w:val="clear" w:color="auto" w:fill="EAF9E8"/>
          </w:tcPr>
          <w:p>
            <w:pPr>
              <w:spacing w:after="0"/>
              <w:rPr>
                <w:sz w:val="13"/>
                <w:szCs w:val="13"/>
                <w:color w:val="auto"/>
              </w:rPr>
            </w:pPr>
          </w:p>
        </w:tc>
        <w:tc>
          <w:tcPr>
            <w:tcW w:w="100" w:type="dxa"/>
            <w:vAlign w:val="bottom"/>
            <w:tcBorders>
              <w:bottom w:val="single" w:sz="8" w:color="EAF9E8"/>
            </w:tcBorders>
            <w:shd w:val="clear" w:color="auto" w:fill="EAF9E8"/>
          </w:tcPr>
          <w:p>
            <w:pPr>
              <w:spacing w:after="0"/>
              <w:rPr>
                <w:sz w:val="13"/>
                <w:szCs w:val="13"/>
                <w:color w:val="auto"/>
              </w:rPr>
            </w:pPr>
          </w:p>
        </w:tc>
        <w:tc>
          <w:tcPr>
            <w:tcW w:w="80" w:type="dxa"/>
            <w:vAlign w:val="bottom"/>
            <w:tcBorders>
              <w:bottom w:val="single" w:sz="8" w:color="auto"/>
            </w:tcBorders>
            <w:vMerge w:val="continue"/>
            <w:shd w:val="clear" w:color="auto" w:fill="EAF9E8"/>
          </w:tcPr>
          <w:p>
            <w:pPr>
              <w:spacing w:after="0"/>
              <w:rPr>
                <w:sz w:val="13"/>
                <w:szCs w:val="13"/>
                <w:color w:val="auto"/>
              </w:rPr>
            </w:pPr>
          </w:p>
        </w:tc>
        <w:tc>
          <w:tcPr>
            <w:tcW w:w="840" w:type="dxa"/>
            <w:vAlign w:val="bottom"/>
            <w:tcBorders>
              <w:bottom w:val="single" w:sz="8" w:color="auto"/>
            </w:tcBorders>
            <w:vMerge w:val="continue"/>
            <w:shd w:val="clear" w:color="auto" w:fill="EAF9E8"/>
          </w:tcPr>
          <w:p>
            <w:pPr>
              <w:spacing w:after="0"/>
              <w:rPr>
                <w:sz w:val="13"/>
                <w:szCs w:val="13"/>
                <w:color w:val="auto"/>
              </w:rPr>
            </w:pPr>
          </w:p>
        </w:tc>
        <w:tc>
          <w:tcPr>
            <w:tcW w:w="140" w:type="dxa"/>
            <w:vAlign w:val="bottom"/>
            <w:tcBorders>
              <w:bottom w:val="single" w:sz="8" w:color="EAF9E8"/>
            </w:tcBorders>
            <w:shd w:val="clear" w:color="auto" w:fill="EAF9E8"/>
          </w:tcPr>
          <w:p>
            <w:pPr>
              <w:spacing w:after="0"/>
              <w:rPr>
                <w:sz w:val="13"/>
                <w:szCs w:val="13"/>
                <w:color w:val="auto"/>
              </w:rPr>
            </w:pPr>
          </w:p>
        </w:tc>
        <w:tc>
          <w:tcPr>
            <w:tcW w:w="80" w:type="dxa"/>
            <w:vAlign w:val="bottom"/>
            <w:tcBorders>
              <w:bottom w:val="single" w:sz="8" w:color="EAF9E8"/>
            </w:tcBorders>
            <w:shd w:val="clear" w:color="auto" w:fill="EAF9E8"/>
          </w:tcPr>
          <w:p>
            <w:pPr>
              <w:spacing w:after="0"/>
              <w:rPr>
                <w:sz w:val="13"/>
                <w:szCs w:val="13"/>
                <w:color w:val="auto"/>
              </w:rPr>
            </w:pPr>
          </w:p>
        </w:tc>
        <w:tc>
          <w:tcPr>
            <w:tcW w:w="140" w:type="dxa"/>
            <w:vAlign w:val="bottom"/>
            <w:tcBorders>
              <w:bottom w:val="single" w:sz="8" w:color="auto"/>
            </w:tcBorders>
            <w:vMerge w:val="continue"/>
            <w:shd w:val="clear" w:color="auto" w:fill="EAF9E8"/>
          </w:tcPr>
          <w:p>
            <w:pPr>
              <w:spacing w:after="0"/>
              <w:rPr>
                <w:sz w:val="13"/>
                <w:szCs w:val="13"/>
                <w:color w:val="auto"/>
              </w:rPr>
            </w:pPr>
          </w:p>
        </w:tc>
        <w:tc>
          <w:tcPr>
            <w:tcW w:w="440" w:type="dxa"/>
            <w:vAlign w:val="bottom"/>
            <w:tcBorders>
              <w:bottom w:val="single" w:sz="8" w:color="auto"/>
            </w:tcBorders>
            <w:vMerge w:val="continue"/>
            <w:shd w:val="clear" w:color="auto" w:fill="EAF9E8"/>
          </w:tcPr>
          <w:p>
            <w:pPr>
              <w:spacing w:after="0"/>
              <w:rPr>
                <w:sz w:val="13"/>
                <w:szCs w:val="13"/>
                <w:color w:val="auto"/>
              </w:rPr>
            </w:pPr>
          </w:p>
        </w:tc>
        <w:tc>
          <w:tcPr>
            <w:tcW w:w="80" w:type="dxa"/>
            <w:vAlign w:val="bottom"/>
            <w:tcBorders>
              <w:bottom w:val="single" w:sz="8" w:color="EAF9E8"/>
            </w:tcBorders>
            <w:shd w:val="clear" w:color="auto" w:fill="EAF9E8"/>
          </w:tcPr>
          <w:p>
            <w:pPr>
              <w:spacing w:after="0"/>
              <w:rPr>
                <w:sz w:val="13"/>
                <w:szCs w:val="13"/>
                <w:color w:val="auto"/>
              </w:rPr>
            </w:pPr>
          </w:p>
        </w:tc>
        <w:tc>
          <w:tcPr>
            <w:tcW w:w="120" w:type="dxa"/>
            <w:vAlign w:val="bottom"/>
            <w:tcBorders>
              <w:bottom w:val="single" w:sz="8" w:color="EAF9E8"/>
            </w:tcBorders>
            <w:shd w:val="clear" w:color="auto" w:fill="EAF9E8"/>
          </w:tcPr>
          <w:p>
            <w:pPr>
              <w:spacing w:after="0"/>
              <w:rPr>
                <w:sz w:val="13"/>
                <w:szCs w:val="13"/>
                <w:color w:val="auto"/>
              </w:rPr>
            </w:pPr>
          </w:p>
        </w:tc>
        <w:tc>
          <w:tcPr>
            <w:tcW w:w="140" w:type="dxa"/>
            <w:vAlign w:val="bottom"/>
            <w:tcBorders>
              <w:bottom w:val="single" w:sz="8" w:color="auto"/>
            </w:tcBorders>
            <w:vMerge w:val="continue"/>
            <w:shd w:val="clear" w:color="auto" w:fill="EAF9E8"/>
          </w:tcPr>
          <w:p>
            <w:pPr>
              <w:spacing w:after="0"/>
              <w:rPr>
                <w:sz w:val="13"/>
                <w:szCs w:val="13"/>
                <w:color w:val="auto"/>
              </w:rPr>
            </w:pPr>
          </w:p>
        </w:tc>
        <w:tc>
          <w:tcPr>
            <w:tcW w:w="440" w:type="dxa"/>
            <w:vAlign w:val="bottom"/>
            <w:tcBorders>
              <w:bottom w:val="single" w:sz="8" w:color="auto"/>
            </w:tcBorders>
            <w:vMerge w:val="continue"/>
            <w:shd w:val="clear" w:color="auto" w:fill="EAF9E8"/>
          </w:tcPr>
          <w:p>
            <w:pPr>
              <w:spacing w:after="0"/>
              <w:rPr>
                <w:sz w:val="13"/>
                <w:szCs w:val="13"/>
                <w:color w:val="auto"/>
              </w:rPr>
            </w:pPr>
          </w:p>
        </w:tc>
        <w:tc>
          <w:tcPr>
            <w:tcW w:w="120" w:type="dxa"/>
            <w:vAlign w:val="bottom"/>
            <w:tcBorders>
              <w:bottom w:val="single" w:sz="8" w:color="EAF9E8"/>
            </w:tcBorders>
            <w:vMerge w:val="continue"/>
            <w:shd w:val="clear" w:color="auto" w:fill="EAF9E8"/>
          </w:tcPr>
          <w:p>
            <w:pPr>
              <w:spacing w:after="0"/>
              <w:rPr>
                <w:sz w:val="13"/>
                <w:szCs w:val="13"/>
                <w:color w:val="auto"/>
              </w:rPr>
            </w:pPr>
          </w:p>
        </w:tc>
        <w:tc>
          <w:tcPr>
            <w:tcW w:w="80" w:type="dxa"/>
            <w:vAlign w:val="bottom"/>
            <w:tcBorders>
              <w:bottom w:val="single" w:sz="8" w:color="EAF9E8"/>
            </w:tcBorders>
            <w:shd w:val="clear" w:color="auto" w:fill="EAF9E8"/>
          </w:tcPr>
          <w:p>
            <w:pPr>
              <w:spacing w:after="0"/>
              <w:rPr>
                <w:sz w:val="13"/>
                <w:szCs w:val="13"/>
                <w:color w:val="auto"/>
              </w:rPr>
            </w:pPr>
          </w:p>
        </w:tc>
        <w:tc>
          <w:tcPr>
            <w:tcW w:w="80" w:type="dxa"/>
            <w:vAlign w:val="bottom"/>
            <w:tcBorders>
              <w:bottom w:val="single" w:sz="8" w:color="auto"/>
            </w:tcBorders>
            <w:vMerge w:val="continue"/>
            <w:shd w:val="clear" w:color="auto" w:fill="EAF9E8"/>
          </w:tcPr>
          <w:p>
            <w:pPr>
              <w:spacing w:after="0"/>
              <w:rPr>
                <w:sz w:val="13"/>
                <w:szCs w:val="13"/>
                <w:color w:val="auto"/>
              </w:rPr>
            </w:pPr>
          </w:p>
        </w:tc>
        <w:tc>
          <w:tcPr>
            <w:tcW w:w="740" w:type="dxa"/>
            <w:vAlign w:val="bottom"/>
            <w:tcBorders>
              <w:bottom w:val="single" w:sz="8" w:color="auto"/>
            </w:tcBorders>
            <w:vMerge w:val="continue"/>
            <w:shd w:val="clear" w:color="auto" w:fill="EAF9E8"/>
          </w:tcPr>
          <w:p>
            <w:pPr>
              <w:spacing w:after="0"/>
              <w:rPr>
                <w:sz w:val="13"/>
                <w:szCs w:val="13"/>
                <w:color w:val="auto"/>
              </w:rPr>
            </w:pPr>
          </w:p>
        </w:tc>
        <w:tc>
          <w:tcPr>
            <w:tcW w:w="140" w:type="dxa"/>
            <w:vAlign w:val="bottom"/>
            <w:tcBorders>
              <w:bottom w:val="single" w:sz="8" w:color="EAF9E8"/>
            </w:tcBorders>
            <w:shd w:val="clear" w:color="auto" w:fill="EAF9E8"/>
          </w:tcPr>
          <w:p>
            <w:pPr>
              <w:spacing w:after="0"/>
              <w:rPr>
                <w:sz w:val="13"/>
                <w:szCs w:val="13"/>
                <w:color w:val="auto"/>
              </w:rPr>
            </w:pPr>
          </w:p>
        </w:tc>
        <w:tc>
          <w:tcPr>
            <w:tcW w:w="80" w:type="dxa"/>
            <w:vAlign w:val="bottom"/>
            <w:tcBorders>
              <w:bottom w:val="single" w:sz="8" w:color="EAF9E8"/>
            </w:tcBorders>
            <w:shd w:val="clear" w:color="auto" w:fill="EAF9E8"/>
          </w:tcPr>
          <w:p>
            <w:pPr>
              <w:spacing w:after="0"/>
              <w:rPr>
                <w:sz w:val="13"/>
                <w:szCs w:val="13"/>
                <w:color w:val="auto"/>
              </w:rPr>
            </w:pPr>
          </w:p>
        </w:tc>
        <w:tc>
          <w:tcPr>
            <w:tcW w:w="120" w:type="dxa"/>
            <w:vAlign w:val="bottom"/>
            <w:tcBorders>
              <w:bottom w:val="single" w:sz="8" w:color="auto"/>
            </w:tcBorders>
            <w:vMerge w:val="continue"/>
            <w:shd w:val="clear" w:color="auto" w:fill="EAF9E8"/>
          </w:tcPr>
          <w:p>
            <w:pPr>
              <w:spacing w:after="0"/>
              <w:rPr>
                <w:sz w:val="13"/>
                <w:szCs w:val="13"/>
                <w:color w:val="auto"/>
              </w:rPr>
            </w:pPr>
          </w:p>
        </w:tc>
        <w:tc>
          <w:tcPr>
            <w:tcW w:w="580" w:type="dxa"/>
            <w:vAlign w:val="bottom"/>
            <w:tcBorders>
              <w:bottom w:val="single" w:sz="8" w:color="auto"/>
            </w:tcBorders>
            <w:vMerge w:val="continue"/>
            <w:shd w:val="clear" w:color="auto" w:fill="EAF9E8"/>
          </w:tcPr>
          <w:p>
            <w:pPr>
              <w:spacing w:after="0"/>
              <w:rPr>
                <w:sz w:val="13"/>
                <w:szCs w:val="13"/>
                <w:color w:val="auto"/>
              </w:rPr>
            </w:pPr>
          </w:p>
        </w:tc>
        <w:tc>
          <w:tcPr>
            <w:tcW w:w="140" w:type="dxa"/>
            <w:vAlign w:val="bottom"/>
            <w:tcBorders>
              <w:bottom w:val="single" w:sz="8" w:color="EAF9E8"/>
            </w:tcBorders>
            <w:vMerge w:val="continue"/>
            <w:shd w:val="clear" w:color="auto" w:fill="EAF9E8"/>
          </w:tcPr>
          <w:p>
            <w:pPr>
              <w:spacing w:after="0"/>
              <w:rPr>
                <w:sz w:val="13"/>
                <w:szCs w:val="13"/>
                <w:color w:val="auto"/>
              </w:rPr>
            </w:pPr>
          </w:p>
        </w:tc>
        <w:tc>
          <w:tcPr>
            <w:tcW w:w="80" w:type="dxa"/>
            <w:vAlign w:val="bottom"/>
            <w:tcBorders>
              <w:bottom w:val="single" w:sz="8" w:color="EAF9E8"/>
            </w:tcBorders>
            <w:shd w:val="clear" w:color="auto" w:fill="EAF9E8"/>
          </w:tcPr>
          <w:p>
            <w:pPr>
              <w:spacing w:after="0"/>
              <w:rPr>
                <w:sz w:val="13"/>
                <w:szCs w:val="13"/>
                <w:color w:val="auto"/>
              </w:rPr>
            </w:pPr>
          </w:p>
        </w:tc>
        <w:tc>
          <w:tcPr>
            <w:tcW w:w="100" w:type="dxa"/>
            <w:vAlign w:val="bottom"/>
            <w:tcBorders>
              <w:bottom w:val="single" w:sz="8" w:color="auto"/>
            </w:tcBorders>
            <w:vMerge w:val="continue"/>
            <w:shd w:val="clear" w:color="auto" w:fill="EAF9E8"/>
          </w:tcPr>
          <w:p>
            <w:pPr>
              <w:spacing w:after="0"/>
              <w:rPr>
                <w:sz w:val="13"/>
                <w:szCs w:val="13"/>
                <w:color w:val="auto"/>
              </w:rPr>
            </w:pPr>
          </w:p>
        </w:tc>
        <w:tc>
          <w:tcPr>
            <w:tcW w:w="740" w:type="dxa"/>
            <w:vAlign w:val="bottom"/>
            <w:tcBorders>
              <w:bottom w:val="single" w:sz="8" w:color="auto"/>
            </w:tcBorders>
            <w:vMerge w:val="continue"/>
            <w:shd w:val="clear" w:color="auto" w:fill="EAF9E8"/>
          </w:tcPr>
          <w:p>
            <w:pPr>
              <w:spacing w:after="0"/>
              <w:rPr>
                <w:sz w:val="13"/>
                <w:szCs w:val="13"/>
                <w:color w:val="auto"/>
              </w:rPr>
            </w:pPr>
          </w:p>
        </w:tc>
        <w:tc>
          <w:tcPr>
            <w:tcW w:w="120" w:type="dxa"/>
            <w:vAlign w:val="bottom"/>
            <w:tcBorders>
              <w:bottom w:val="single" w:sz="8" w:color="EAF9E8"/>
            </w:tcBorders>
            <w:shd w:val="clear" w:color="auto" w:fill="EAF9E8"/>
          </w:tcPr>
          <w:p>
            <w:pPr>
              <w:spacing w:after="0"/>
              <w:rPr>
                <w:sz w:val="13"/>
                <w:szCs w:val="13"/>
                <w:color w:val="auto"/>
              </w:rPr>
            </w:pPr>
          </w:p>
        </w:tc>
        <w:tc>
          <w:tcPr>
            <w:tcW w:w="100" w:type="dxa"/>
            <w:vAlign w:val="bottom"/>
            <w:tcBorders>
              <w:bottom w:val="single" w:sz="8" w:color="EAF9E8"/>
            </w:tcBorders>
            <w:shd w:val="clear" w:color="auto" w:fill="EAF9E8"/>
          </w:tcPr>
          <w:p>
            <w:pPr>
              <w:spacing w:after="0"/>
              <w:rPr>
                <w:sz w:val="13"/>
                <w:szCs w:val="13"/>
                <w:color w:val="auto"/>
              </w:rPr>
            </w:pPr>
          </w:p>
        </w:tc>
        <w:tc>
          <w:tcPr>
            <w:tcW w:w="80" w:type="dxa"/>
            <w:vAlign w:val="bottom"/>
            <w:tcBorders>
              <w:bottom w:val="single" w:sz="8" w:color="auto"/>
            </w:tcBorders>
            <w:vMerge w:val="continue"/>
            <w:shd w:val="clear" w:color="auto" w:fill="EAF9E8"/>
          </w:tcPr>
          <w:p>
            <w:pPr>
              <w:spacing w:after="0"/>
              <w:rPr>
                <w:sz w:val="13"/>
                <w:szCs w:val="13"/>
                <w:color w:val="auto"/>
              </w:rPr>
            </w:pPr>
          </w:p>
        </w:tc>
        <w:tc>
          <w:tcPr>
            <w:tcW w:w="760" w:type="dxa"/>
            <w:vAlign w:val="bottom"/>
            <w:tcBorders>
              <w:bottom w:val="single" w:sz="8" w:color="auto"/>
            </w:tcBorders>
            <w:vMerge w:val="continue"/>
            <w:shd w:val="clear" w:color="auto" w:fill="EAF9E8"/>
          </w:tcPr>
          <w:p>
            <w:pPr>
              <w:spacing w:after="0"/>
              <w:rPr>
                <w:sz w:val="13"/>
                <w:szCs w:val="13"/>
                <w:color w:val="auto"/>
              </w:rPr>
            </w:pPr>
          </w:p>
        </w:tc>
        <w:tc>
          <w:tcPr>
            <w:tcW w:w="120" w:type="dxa"/>
            <w:vAlign w:val="bottom"/>
            <w:tcBorders>
              <w:bottom w:val="single" w:sz="8" w:color="EAF9E8"/>
            </w:tcBorders>
            <w:shd w:val="clear" w:color="auto" w:fill="EAF9E8"/>
          </w:tcPr>
          <w:p>
            <w:pPr>
              <w:spacing w:after="0"/>
              <w:rPr>
                <w:sz w:val="13"/>
                <w:szCs w:val="13"/>
                <w:color w:val="auto"/>
              </w:rPr>
            </w:pPr>
          </w:p>
        </w:tc>
        <w:tc>
          <w:tcPr>
            <w:tcW w:w="0" w:type="dxa"/>
            <w:vAlign w:val="bottom"/>
          </w:tcPr>
          <w:p>
            <w:pPr>
              <w:spacing w:after="0"/>
              <w:rPr>
                <w:sz w:val="1"/>
                <w:szCs w:val="1"/>
                <w:color w:val="auto"/>
              </w:rPr>
            </w:pPr>
          </w:p>
        </w:tc>
      </w:tr>
      <w:tr>
        <w:trPr>
          <w:trHeight w:val="467"/>
        </w:trPr>
        <w:tc>
          <w:tcPr>
            <w:tcW w:w="2560" w:type="dxa"/>
            <w:vAlign w:val="bottom"/>
            <w:gridSpan w:val="6"/>
          </w:tcPr>
          <w:p>
            <w:pPr>
              <w:spacing w:after="0"/>
              <w:rPr>
                <w:sz w:val="20"/>
                <w:szCs w:val="20"/>
                <w:color w:val="auto"/>
              </w:rPr>
            </w:pPr>
            <w:r>
              <w:rPr>
                <w:rFonts w:ascii="Arial" w:cs="Arial" w:eastAsia="Arial" w:hAnsi="Arial"/>
                <w:sz w:val="14"/>
                <w:szCs w:val="14"/>
                <w:b w:val="1"/>
                <w:bCs w:val="1"/>
                <w:color w:val="auto"/>
              </w:rPr>
              <w:t>Total Assets</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60" w:type="dxa"/>
            <w:vAlign w:val="bottom"/>
            <w:shd w:val="clear" w:color="auto" w:fill="EAF9E8"/>
          </w:tcPr>
          <w:p>
            <w:pPr>
              <w:spacing w:after="0"/>
              <w:rPr>
                <w:sz w:val="21"/>
                <w:szCs w:val="21"/>
                <w:color w:val="auto"/>
              </w:rPr>
            </w:pPr>
          </w:p>
        </w:tc>
        <w:tc>
          <w:tcPr>
            <w:tcW w:w="2400" w:type="dxa"/>
            <w:vAlign w:val="bottom"/>
            <w:gridSpan w:val="5"/>
            <w:shd w:val="clear" w:color="auto" w:fill="EAF9E8"/>
          </w:tcPr>
          <w:p>
            <w:pPr>
              <w:ind w:left="60"/>
              <w:spacing w:after="0"/>
              <w:rPr>
                <w:sz w:val="20"/>
                <w:szCs w:val="20"/>
                <w:color w:val="auto"/>
              </w:rPr>
            </w:pPr>
            <w:r>
              <w:rPr>
                <w:rFonts w:ascii="Arial" w:cs="Arial" w:eastAsia="Arial" w:hAnsi="Arial"/>
                <w:sz w:val="14"/>
                <w:szCs w:val="14"/>
                <w:color w:val="auto"/>
              </w:rPr>
              <w:t>September 30, 2009</w:t>
            </w:r>
          </w:p>
        </w:tc>
        <w:tc>
          <w:tcPr>
            <w:tcW w:w="200" w:type="dxa"/>
            <w:vAlign w:val="bottom"/>
            <w:gridSpan w:val="2"/>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EAF9E8"/>
          </w:tcPr>
          <w:p>
            <w:pPr>
              <w:jc w:val="right"/>
              <w:spacing w:after="0"/>
              <w:rPr>
                <w:sz w:val="20"/>
                <w:szCs w:val="20"/>
                <w:color w:val="auto"/>
              </w:rPr>
            </w:pPr>
            <w:r>
              <w:rPr>
                <w:rFonts w:ascii="Arial" w:cs="Arial" w:eastAsia="Arial" w:hAnsi="Arial"/>
                <w:sz w:val="14"/>
                <w:szCs w:val="14"/>
                <w:color w:val="auto"/>
                <w:w w:val="96"/>
              </w:rPr>
              <w:t>1,197,215</w:t>
            </w:r>
          </w:p>
        </w:tc>
        <w:tc>
          <w:tcPr>
            <w:tcW w:w="200" w:type="dxa"/>
            <w:vAlign w:val="bottom"/>
            <w:shd w:val="clear" w:color="auto" w:fill="EAF9E8"/>
          </w:tcPr>
          <w:p>
            <w:pPr>
              <w:spacing w:after="0"/>
              <w:rPr>
                <w:sz w:val="21"/>
                <w:szCs w:val="21"/>
                <w:color w:val="auto"/>
              </w:rPr>
            </w:pPr>
          </w:p>
        </w:tc>
        <w:tc>
          <w:tcPr>
            <w:tcW w:w="120" w:type="dxa"/>
            <w:vAlign w:val="bottom"/>
            <w:shd w:val="clear" w:color="auto" w:fill="EAF9E8"/>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EAF9E8"/>
          </w:tcPr>
          <w:p>
            <w:pPr>
              <w:jc w:val="right"/>
              <w:ind w:right="120"/>
              <w:spacing w:after="0"/>
              <w:rPr>
                <w:sz w:val="20"/>
                <w:szCs w:val="20"/>
                <w:color w:val="auto"/>
              </w:rPr>
            </w:pPr>
            <w:r>
              <w:rPr>
                <w:rFonts w:ascii="Arial" w:cs="Arial" w:eastAsia="Arial" w:hAnsi="Arial"/>
                <w:sz w:val="14"/>
                <w:szCs w:val="14"/>
                <w:color w:val="auto"/>
              </w:rPr>
              <w:t>53,191</w:t>
            </w:r>
          </w:p>
        </w:tc>
        <w:tc>
          <w:tcPr>
            <w:tcW w:w="180" w:type="dxa"/>
            <w:vAlign w:val="bottom"/>
            <w:gridSpan w:val="2"/>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EAF9E8"/>
          </w:tcPr>
          <w:p>
            <w:pPr>
              <w:jc w:val="right"/>
              <w:ind w:right="140"/>
              <w:spacing w:after="0"/>
              <w:rPr>
                <w:sz w:val="20"/>
                <w:szCs w:val="20"/>
                <w:color w:val="auto"/>
              </w:rPr>
            </w:pPr>
            <w:r>
              <w:rPr>
                <w:rFonts w:ascii="Arial" w:cs="Arial" w:eastAsia="Arial" w:hAnsi="Arial"/>
                <w:sz w:val="14"/>
                <w:szCs w:val="14"/>
                <w:color w:val="auto"/>
              </w:rPr>
              <w:t>19,053</w:t>
            </w:r>
          </w:p>
        </w:tc>
        <w:tc>
          <w:tcPr>
            <w:tcW w:w="220" w:type="dxa"/>
            <w:vAlign w:val="bottom"/>
            <w:gridSpan w:val="2"/>
            <w:shd w:val="clear" w:color="auto" w:fill="EAF9E8"/>
          </w:tcPr>
          <w:p>
            <w:pPr>
              <w:ind w:left="80"/>
              <w:spacing w:after="0"/>
              <w:rPr>
                <w:sz w:val="20"/>
                <w:szCs w:val="20"/>
                <w:color w:val="auto"/>
              </w:rPr>
            </w:pPr>
            <w:r>
              <w:rPr>
                <w:rFonts w:ascii="Arial" w:cs="Arial" w:eastAsia="Arial" w:hAnsi="Arial"/>
                <w:sz w:val="14"/>
                <w:szCs w:val="14"/>
                <w:color w:val="auto"/>
              </w:rPr>
              <w:t>$</w:t>
            </w:r>
          </w:p>
        </w:tc>
        <w:tc>
          <w:tcPr>
            <w:tcW w:w="440" w:type="dxa"/>
            <w:vAlign w:val="bottom"/>
            <w:shd w:val="clear" w:color="auto" w:fill="EAF9E8"/>
          </w:tcPr>
          <w:p>
            <w:pPr>
              <w:jc w:val="right"/>
              <w:spacing w:after="0"/>
              <w:rPr>
                <w:sz w:val="20"/>
                <w:szCs w:val="20"/>
                <w:color w:val="auto"/>
              </w:rPr>
            </w:pPr>
            <w:r>
              <w:rPr>
                <w:rFonts w:ascii="Arial" w:cs="Arial" w:eastAsia="Arial" w:hAnsi="Arial"/>
                <w:sz w:val="14"/>
                <w:szCs w:val="14"/>
                <w:color w:val="auto"/>
              </w:rPr>
              <w:t>333</w:t>
            </w:r>
          </w:p>
        </w:tc>
        <w:tc>
          <w:tcPr>
            <w:tcW w:w="80" w:type="dxa"/>
            <w:vAlign w:val="bottom"/>
            <w:shd w:val="clear" w:color="auto" w:fill="EAF9E8"/>
          </w:tcPr>
          <w:p>
            <w:pPr>
              <w:spacing w:after="0"/>
              <w:rPr>
                <w:sz w:val="21"/>
                <w:szCs w:val="21"/>
                <w:color w:val="auto"/>
              </w:rPr>
            </w:pPr>
          </w:p>
        </w:tc>
        <w:tc>
          <w:tcPr>
            <w:tcW w:w="260" w:type="dxa"/>
            <w:vAlign w:val="bottom"/>
            <w:gridSpan w:val="2"/>
            <w:shd w:val="clear" w:color="auto" w:fill="EAF9E8"/>
          </w:tcPr>
          <w:p>
            <w:pPr>
              <w:ind w:left="120"/>
              <w:spacing w:after="0"/>
              <w:rPr>
                <w:sz w:val="20"/>
                <w:szCs w:val="20"/>
                <w:color w:val="auto"/>
              </w:rPr>
            </w:pPr>
            <w:r>
              <w:rPr>
                <w:rFonts w:ascii="Arial" w:cs="Arial" w:eastAsia="Arial" w:hAnsi="Arial"/>
                <w:sz w:val="14"/>
                <w:szCs w:val="14"/>
                <w:color w:val="auto"/>
              </w:rPr>
              <w:t>$</w:t>
            </w:r>
          </w:p>
        </w:tc>
        <w:tc>
          <w:tcPr>
            <w:tcW w:w="560" w:type="dxa"/>
            <w:vAlign w:val="bottom"/>
            <w:gridSpan w:val="2"/>
            <w:shd w:val="clear" w:color="auto" w:fill="EAF9E8"/>
          </w:tcPr>
          <w:p>
            <w:pPr>
              <w:jc w:val="right"/>
              <w:ind w:right="81"/>
              <w:spacing w:after="0"/>
              <w:rPr>
                <w:sz w:val="20"/>
                <w:szCs w:val="20"/>
                <w:color w:val="auto"/>
              </w:rPr>
            </w:pPr>
            <w:r>
              <w:rPr>
                <w:rFonts w:ascii="Arial" w:cs="Arial" w:eastAsia="Arial" w:hAnsi="Arial"/>
                <w:sz w:val="14"/>
                <w:szCs w:val="14"/>
                <w:color w:val="auto"/>
              </w:rPr>
              <w:t>3</w:t>
            </w:r>
          </w:p>
        </w:tc>
        <w:tc>
          <w:tcPr>
            <w:tcW w:w="160" w:type="dxa"/>
            <w:vAlign w:val="bottom"/>
            <w:gridSpan w:val="2"/>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EAF9E8"/>
          </w:tcPr>
          <w:p>
            <w:pPr>
              <w:jc w:val="right"/>
              <w:ind w:right="140"/>
              <w:spacing w:after="0"/>
              <w:rPr>
                <w:sz w:val="20"/>
                <w:szCs w:val="20"/>
                <w:color w:val="auto"/>
              </w:rPr>
            </w:pPr>
            <w:r>
              <w:rPr>
                <w:rFonts w:ascii="Arial" w:cs="Arial" w:eastAsia="Arial" w:hAnsi="Arial"/>
                <w:sz w:val="14"/>
                <w:szCs w:val="14"/>
                <w:color w:val="auto"/>
              </w:rPr>
              <w:t>123</w:t>
            </w:r>
          </w:p>
        </w:tc>
        <w:tc>
          <w:tcPr>
            <w:tcW w:w="200" w:type="dxa"/>
            <w:vAlign w:val="bottom"/>
            <w:gridSpan w:val="2"/>
            <w:shd w:val="clear" w:color="auto" w:fill="EAF9E8"/>
          </w:tcPr>
          <w:p>
            <w:pPr>
              <w:jc w:val="right"/>
              <w:ind w:right="4"/>
              <w:spacing w:after="0"/>
              <w:rPr>
                <w:sz w:val="20"/>
                <w:szCs w:val="20"/>
                <w:color w:val="auto"/>
              </w:rPr>
            </w:pPr>
            <w:r>
              <w:rPr>
                <w:rFonts w:ascii="Arial" w:cs="Arial" w:eastAsia="Arial" w:hAnsi="Arial"/>
                <w:sz w:val="14"/>
                <w:szCs w:val="14"/>
                <w:color w:val="auto"/>
              </w:rPr>
              <w:t>$</w:t>
            </w:r>
          </w:p>
        </w:tc>
        <w:tc>
          <w:tcPr>
            <w:tcW w:w="580" w:type="dxa"/>
            <w:vAlign w:val="bottom"/>
            <w:shd w:val="clear" w:color="auto" w:fill="EAF9E8"/>
          </w:tcPr>
          <w:p>
            <w:pPr>
              <w:jc w:val="right"/>
              <w:spacing w:after="0"/>
              <w:rPr>
                <w:sz w:val="20"/>
                <w:szCs w:val="20"/>
                <w:color w:val="auto"/>
              </w:rPr>
            </w:pPr>
            <w:r>
              <w:rPr>
                <w:rFonts w:ascii="Arial" w:cs="Arial" w:eastAsia="Arial" w:hAnsi="Arial"/>
                <w:sz w:val="14"/>
                <w:szCs w:val="14"/>
                <w:color w:val="auto"/>
              </w:rPr>
              <w:t>605,135</w:t>
            </w:r>
          </w:p>
        </w:tc>
        <w:tc>
          <w:tcPr>
            <w:tcW w:w="14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860" w:type="dxa"/>
            <w:vAlign w:val="bottom"/>
            <w:gridSpan w:val="2"/>
            <w:shd w:val="clear" w:color="auto" w:fill="EAF9E8"/>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gridSpan w:val="2"/>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EAF9E8"/>
          </w:tcPr>
          <w:p>
            <w:pPr>
              <w:jc w:val="right"/>
              <w:spacing w:after="0"/>
              <w:rPr>
                <w:sz w:val="20"/>
                <w:szCs w:val="20"/>
                <w:color w:val="auto"/>
              </w:rPr>
            </w:pPr>
            <w:r>
              <w:rPr>
                <w:rFonts w:ascii="Arial" w:cs="Arial" w:eastAsia="Arial" w:hAnsi="Arial"/>
                <w:sz w:val="14"/>
                <w:szCs w:val="14"/>
                <w:color w:val="auto"/>
              </w:rPr>
              <w:t>1,875,053</w:t>
            </w: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499"/>
        </w:trPr>
        <w:tc>
          <w:tcPr>
            <w:tcW w:w="160" w:type="dxa"/>
            <w:vAlign w:val="bottom"/>
          </w:tcPr>
          <w:p>
            <w:pPr>
              <w:spacing w:after="0"/>
              <w:rPr>
                <w:sz w:val="24"/>
                <w:szCs w:val="24"/>
                <w:color w:val="auto"/>
              </w:rPr>
            </w:pPr>
          </w:p>
        </w:tc>
        <w:tc>
          <w:tcPr>
            <w:tcW w:w="2400" w:type="dxa"/>
            <w:vAlign w:val="bottom"/>
            <w:gridSpan w:val="5"/>
          </w:tcPr>
          <w:p>
            <w:pPr>
              <w:ind w:left="60"/>
              <w:spacing w:after="0"/>
              <w:rPr>
                <w:sz w:val="20"/>
                <w:szCs w:val="20"/>
                <w:color w:val="auto"/>
              </w:rPr>
            </w:pPr>
            <w:r>
              <w:rPr>
                <w:rFonts w:ascii="Arial" w:cs="Arial" w:eastAsia="Arial" w:hAnsi="Arial"/>
                <w:sz w:val="14"/>
                <w:szCs w:val="14"/>
                <w:color w:val="auto"/>
              </w:rPr>
              <w:t>December 31, 2008</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w w:val="96"/>
              </w:rPr>
              <w:t>1,416,615</w:t>
            </w:r>
          </w:p>
        </w:tc>
        <w:tc>
          <w:tcPr>
            <w:tcW w:w="2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67,317</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26,755</w:t>
            </w:r>
          </w:p>
        </w:tc>
        <w:tc>
          <w:tcPr>
            <w:tcW w:w="22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3,558</w:t>
            </w:r>
          </w:p>
        </w:tc>
        <w:tc>
          <w:tcPr>
            <w:tcW w:w="80" w:type="dxa"/>
            <w:vAlign w:val="bottom"/>
          </w:tcPr>
          <w:p>
            <w:pPr>
              <w:spacing w:after="0"/>
              <w:rPr>
                <w:sz w:val="24"/>
                <w:szCs w:val="24"/>
                <w:color w:val="auto"/>
              </w:rPr>
            </w:pPr>
          </w:p>
        </w:tc>
        <w:tc>
          <w:tcPr>
            <w:tcW w:w="26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81"/>
              <w:spacing w:after="0"/>
              <w:rPr>
                <w:sz w:val="20"/>
                <w:szCs w:val="20"/>
                <w:color w:val="auto"/>
              </w:rPr>
            </w:pPr>
            <w:r>
              <w:rPr>
                <w:rFonts w:ascii="Arial" w:cs="Arial" w:eastAsia="Arial" w:hAnsi="Arial"/>
                <w:sz w:val="14"/>
                <w:szCs w:val="14"/>
                <w:color w:val="auto"/>
                <w:w w:val="97"/>
              </w:rPr>
              <w:t>58,707</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8,906</w:t>
            </w:r>
          </w:p>
        </w:tc>
        <w:tc>
          <w:tcPr>
            <w:tcW w:w="200" w:type="dxa"/>
            <w:vAlign w:val="bottom"/>
            <w:gridSpan w:val="2"/>
          </w:tcPr>
          <w:p>
            <w:pPr>
              <w:jc w:val="right"/>
              <w:ind w:right="4"/>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655,471</w:t>
            </w:r>
          </w:p>
        </w:tc>
        <w:tc>
          <w:tcPr>
            <w:tcW w:w="140" w:type="dxa"/>
            <w:vAlign w:val="bottom"/>
          </w:tcPr>
          <w:p>
            <w:pPr>
              <w:spacing w:after="0"/>
              <w:rPr>
                <w:sz w:val="24"/>
                <w:szCs w:val="24"/>
                <w:color w:val="auto"/>
              </w:rPr>
            </w:pP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4"/>
                <w:szCs w:val="14"/>
                <w:color w:val="auto"/>
              </w:rPr>
              <w:t>(229)</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2,237,100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gridSpan w:val="2"/>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spacing w:after="0"/>
              <w:rPr>
                <w:sz w:val="20"/>
                <w:szCs w:val="20"/>
                <w:color w:val="auto"/>
              </w:rPr>
            </w:pPr>
          </w:p>
        </w:tc>
        <w:tc>
          <w:tcPr>
            <w:tcW w:w="180" w:type="dxa"/>
            <w:vAlign w:val="bottom"/>
            <w:gridSpan w:val="2"/>
          </w:tcPr>
          <w:p>
            <w:pPr>
              <w:spacing w:after="0"/>
              <w:rPr>
                <w:sz w:val="20"/>
                <w:szCs w:val="20"/>
                <w:color w:val="auto"/>
              </w:rPr>
            </w:pPr>
          </w:p>
        </w:tc>
        <w:tc>
          <w:tcPr>
            <w:tcW w:w="980" w:type="dxa"/>
            <w:vAlign w:val="bottom"/>
            <w:gridSpan w:val="2"/>
          </w:tcPr>
          <w:p>
            <w:pPr>
              <w:spacing w:after="0"/>
              <w:rPr>
                <w:sz w:val="20"/>
                <w:szCs w:val="20"/>
                <w:color w:val="auto"/>
              </w:rPr>
            </w:pPr>
          </w:p>
        </w:tc>
        <w:tc>
          <w:tcPr>
            <w:tcW w:w="220" w:type="dxa"/>
            <w:vAlign w:val="bottom"/>
            <w:gridSpan w:val="2"/>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gridSpan w:val="2"/>
          </w:tcPr>
          <w:p>
            <w:pPr>
              <w:spacing w:after="0"/>
              <w:rPr>
                <w:sz w:val="20"/>
                <w:szCs w:val="20"/>
                <w:color w:val="auto"/>
              </w:rPr>
            </w:pPr>
          </w:p>
        </w:tc>
        <w:tc>
          <w:tcPr>
            <w:tcW w:w="560" w:type="dxa"/>
            <w:vAlign w:val="bottom"/>
            <w:gridSpan w:val="2"/>
          </w:tcPr>
          <w:p>
            <w:pPr>
              <w:spacing w:after="0"/>
              <w:rPr>
                <w:sz w:val="20"/>
                <w:szCs w:val="20"/>
                <w:color w:val="auto"/>
              </w:rPr>
            </w:pPr>
          </w:p>
        </w:tc>
        <w:tc>
          <w:tcPr>
            <w:tcW w:w="160" w:type="dxa"/>
            <w:vAlign w:val="bottom"/>
            <w:gridSpan w:val="2"/>
          </w:tcPr>
          <w:p>
            <w:pPr>
              <w:spacing w:after="0"/>
              <w:rPr>
                <w:sz w:val="20"/>
                <w:szCs w:val="20"/>
                <w:color w:val="auto"/>
              </w:rPr>
            </w:pPr>
          </w:p>
        </w:tc>
        <w:tc>
          <w:tcPr>
            <w:tcW w:w="880" w:type="dxa"/>
            <w:vAlign w:val="bottom"/>
            <w:gridSpan w:val="2"/>
          </w:tcPr>
          <w:p>
            <w:pPr>
              <w:spacing w:after="0"/>
              <w:rPr>
                <w:sz w:val="20"/>
                <w:szCs w:val="20"/>
                <w:color w:val="auto"/>
              </w:rPr>
            </w:pPr>
          </w:p>
        </w:tc>
        <w:tc>
          <w:tcPr>
            <w:tcW w:w="200" w:type="dxa"/>
            <w:vAlign w:val="bottom"/>
            <w:gridSpan w:val="2"/>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gridSpan w:val="2"/>
          </w:tcPr>
          <w:p>
            <w:pPr>
              <w:spacing w:after="0"/>
              <w:rPr>
                <w:sz w:val="20"/>
                <w:szCs w:val="20"/>
                <w:color w:val="auto"/>
              </w:rPr>
            </w:pPr>
          </w:p>
        </w:tc>
        <w:tc>
          <w:tcPr>
            <w:tcW w:w="860" w:type="dxa"/>
            <w:vAlign w:val="bottom"/>
            <w:gridSpan w:val="2"/>
          </w:tcPr>
          <w:p>
            <w:pPr>
              <w:spacing w:after="0"/>
              <w:rPr>
                <w:sz w:val="20"/>
                <w:szCs w:val="20"/>
                <w:color w:val="auto"/>
              </w:rPr>
            </w:pPr>
          </w:p>
        </w:tc>
        <w:tc>
          <w:tcPr>
            <w:tcW w:w="180" w:type="dxa"/>
            <w:vAlign w:val="bottom"/>
            <w:gridSpan w:val="2"/>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60" w:type="dxa"/>
            <w:vAlign w:val="bottom"/>
            <w:shd w:val="clear" w:color="auto" w:fill="EAF9E8"/>
          </w:tcPr>
          <w:p>
            <w:pPr>
              <w:spacing w:after="0"/>
              <w:rPr>
                <w:sz w:val="21"/>
                <w:szCs w:val="21"/>
                <w:color w:val="auto"/>
              </w:rPr>
            </w:pPr>
          </w:p>
        </w:tc>
        <w:tc>
          <w:tcPr>
            <w:tcW w:w="2400" w:type="dxa"/>
            <w:vAlign w:val="bottom"/>
            <w:gridSpan w:val="5"/>
            <w:shd w:val="clear" w:color="auto" w:fill="EAF9E8"/>
          </w:tcPr>
          <w:p>
            <w:pPr>
              <w:ind w:left="60"/>
              <w:spacing w:after="0"/>
              <w:rPr>
                <w:sz w:val="20"/>
                <w:szCs w:val="20"/>
                <w:color w:val="auto"/>
              </w:rPr>
            </w:pPr>
            <w:r>
              <w:rPr>
                <w:rFonts w:ascii="Arial" w:cs="Arial" w:eastAsia="Arial" w:hAnsi="Arial"/>
                <w:sz w:val="14"/>
                <w:szCs w:val="14"/>
                <w:color w:val="auto"/>
              </w:rPr>
              <w:t>September 30, 2008</w:t>
            </w:r>
          </w:p>
        </w:tc>
        <w:tc>
          <w:tcPr>
            <w:tcW w:w="200" w:type="dxa"/>
            <w:vAlign w:val="bottom"/>
            <w:gridSpan w:val="2"/>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EAF9E8"/>
          </w:tcPr>
          <w:p>
            <w:pPr>
              <w:jc w:val="right"/>
              <w:spacing w:after="0"/>
              <w:rPr>
                <w:sz w:val="20"/>
                <w:szCs w:val="20"/>
                <w:color w:val="auto"/>
              </w:rPr>
            </w:pPr>
            <w:r>
              <w:rPr>
                <w:rFonts w:ascii="Arial" w:cs="Arial" w:eastAsia="Arial" w:hAnsi="Arial"/>
                <w:sz w:val="14"/>
                <w:szCs w:val="14"/>
                <w:color w:val="auto"/>
                <w:w w:val="96"/>
              </w:rPr>
              <w:t>1,452,601</w:t>
            </w:r>
          </w:p>
        </w:tc>
        <w:tc>
          <w:tcPr>
            <w:tcW w:w="200" w:type="dxa"/>
            <w:vAlign w:val="bottom"/>
            <w:shd w:val="clear" w:color="auto" w:fill="EAF9E8"/>
          </w:tcPr>
          <w:p>
            <w:pPr>
              <w:spacing w:after="0"/>
              <w:rPr>
                <w:sz w:val="21"/>
                <w:szCs w:val="21"/>
                <w:color w:val="auto"/>
              </w:rPr>
            </w:pPr>
          </w:p>
        </w:tc>
        <w:tc>
          <w:tcPr>
            <w:tcW w:w="120" w:type="dxa"/>
            <w:vAlign w:val="bottom"/>
            <w:shd w:val="clear" w:color="auto" w:fill="EAF9E8"/>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EAF9E8"/>
          </w:tcPr>
          <w:p>
            <w:pPr>
              <w:jc w:val="right"/>
              <w:ind w:right="120"/>
              <w:spacing w:after="0"/>
              <w:rPr>
                <w:sz w:val="20"/>
                <w:szCs w:val="20"/>
                <w:color w:val="auto"/>
              </w:rPr>
            </w:pPr>
            <w:r>
              <w:rPr>
                <w:rFonts w:ascii="Arial" w:cs="Arial" w:eastAsia="Arial" w:hAnsi="Arial"/>
                <w:sz w:val="14"/>
                <w:szCs w:val="14"/>
                <w:color w:val="auto"/>
              </w:rPr>
              <w:t>76,106</w:t>
            </w:r>
          </w:p>
        </w:tc>
        <w:tc>
          <w:tcPr>
            <w:tcW w:w="180" w:type="dxa"/>
            <w:vAlign w:val="bottom"/>
            <w:gridSpan w:val="2"/>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EAF9E8"/>
          </w:tcPr>
          <w:p>
            <w:pPr>
              <w:jc w:val="right"/>
              <w:ind w:right="140"/>
              <w:spacing w:after="0"/>
              <w:rPr>
                <w:sz w:val="20"/>
                <w:szCs w:val="20"/>
                <w:color w:val="auto"/>
              </w:rPr>
            </w:pPr>
            <w:r>
              <w:rPr>
                <w:rFonts w:ascii="Arial" w:cs="Arial" w:eastAsia="Arial" w:hAnsi="Arial"/>
                <w:sz w:val="14"/>
                <w:szCs w:val="14"/>
                <w:color w:val="auto"/>
              </w:rPr>
              <w:t>33,306</w:t>
            </w:r>
          </w:p>
        </w:tc>
        <w:tc>
          <w:tcPr>
            <w:tcW w:w="220" w:type="dxa"/>
            <w:vAlign w:val="bottom"/>
            <w:gridSpan w:val="2"/>
            <w:shd w:val="clear" w:color="auto" w:fill="EAF9E8"/>
          </w:tcPr>
          <w:p>
            <w:pPr>
              <w:ind w:left="80"/>
              <w:spacing w:after="0"/>
              <w:rPr>
                <w:sz w:val="20"/>
                <w:szCs w:val="20"/>
                <w:color w:val="auto"/>
              </w:rPr>
            </w:pPr>
            <w:r>
              <w:rPr>
                <w:rFonts w:ascii="Arial" w:cs="Arial" w:eastAsia="Arial" w:hAnsi="Arial"/>
                <w:sz w:val="14"/>
                <w:szCs w:val="14"/>
                <w:color w:val="auto"/>
              </w:rPr>
              <w:t>$</w:t>
            </w:r>
          </w:p>
        </w:tc>
        <w:tc>
          <w:tcPr>
            <w:tcW w:w="440" w:type="dxa"/>
            <w:vAlign w:val="bottom"/>
            <w:shd w:val="clear" w:color="auto" w:fill="EAF9E8"/>
          </w:tcPr>
          <w:p>
            <w:pPr>
              <w:jc w:val="right"/>
              <w:spacing w:after="0"/>
              <w:rPr>
                <w:sz w:val="20"/>
                <w:szCs w:val="20"/>
                <w:color w:val="auto"/>
              </w:rPr>
            </w:pPr>
            <w:r>
              <w:rPr>
                <w:rFonts w:ascii="Arial" w:cs="Arial" w:eastAsia="Arial" w:hAnsi="Arial"/>
                <w:sz w:val="14"/>
                <w:szCs w:val="14"/>
                <w:color w:val="auto"/>
              </w:rPr>
              <w:t>3,996</w:t>
            </w:r>
          </w:p>
        </w:tc>
        <w:tc>
          <w:tcPr>
            <w:tcW w:w="80" w:type="dxa"/>
            <w:vAlign w:val="bottom"/>
            <w:shd w:val="clear" w:color="auto" w:fill="EAF9E8"/>
          </w:tcPr>
          <w:p>
            <w:pPr>
              <w:spacing w:after="0"/>
              <w:rPr>
                <w:sz w:val="21"/>
                <w:szCs w:val="21"/>
                <w:color w:val="auto"/>
              </w:rPr>
            </w:pPr>
          </w:p>
        </w:tc>
        <w:tc>
          <w:tcPr>
            <w:tcW w:w="260" w:type="dxa"/>
            <w:vAlign w:val="bottom"/>
            <w:gridSpan w:val="2"/>
            <w:shd w:val="clear" w:color="auto" w:fill="EAF9E8"/>
          </w:tcPr>
          <w:p>
            <w:pPr>
              <w:ind w:left="120"/>
              <w:spacing w:after="0"/>
              <w:rPr>
                <w:sz w:val="20"/>
                <w:szCs w:val="20"/>
                <w:color w:val="auto"/>
              </w:rPr>
            </w:pPr>
            <w:r>
              <w:rPr>
                <w:rFonts w:ascii="Arial" w:cs="Arial" w:eastAsia="Arial" w:hAnsi="Arial"/>
                <w:sz w:val="14"/>
                <w:szCs w:val="14"/>
                <w:color w:val="auto"/>
              </w:rPr>
              <w:t>$</w:t>
            </w:r>
          </w:p>
        </w:tc>
        <w:tc>
          <w:tcPr>
            <w:tcW w:w="560" w:type="dxa"/>
            <w:vAlign w:val="bottom"/>
            <w:gridSpan w:val="2"/>
            <w:shd w:val="clear" w:color="auto" w:fill="EAF9E8"/>
          </w:tcPr>
          <w:p>
            <w:pPr>
              <w:jc w:val="right"/>
              <w:ind w:right="81"/>
              <w:spacing w:after="0"/>
              <w:rPr>
                <w:sz w:val="20"/>
                <w:szCs w:val="20"/>
                <w:color w:val="auto"/>
              </w:rPr>
            </w:pPr>
            <w:r>
              <w:rPr>
                <w:rFonts w:ascii="Arial" w:cs="Arial" w:eastAsia="Arial" w:hAnsi="Arial"/>
                <w:sz w:val="14"/>
                <w:szCs w:val="14"/>
                <w:color w:val="auto"/>
                <w:w w:val="97"/>
              </w:rPr>
              <w:t>63,971</w:t>
            </w:r>
          </w:p>
        </w:tc>
        <w:tc>
          <w:tcPr>
            <w:tcW w:w="160" w:type="dxa"/>
            <w:vAlign w:val="bottom"/>
            <w:gridSpan w:val="2"/>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EAF9E8"/>
          </w:tcPr>
          <w:p>
            <w:pPr>
              <w:jc w:val="right"/>
              <w:ind w:right="140"/>
              <w:spacing w:after="0"/>
              <w:rPr>
                <w:sz w:val="20"/>
                <w:szCs w:val="20"/>
                <w:color w:val="auto"/>
              </w:rPr>
            </w:pPr>
            <w:r>
              <w:rPr>
                <w:rFonts w:ascii="Arial" w:cs="Arial" w:eastAsia="Arial" w:hAnsi="Arial"/>
                <w:sz w:val="14"/>
                <w:szCs w:val="14"/>
                <w:color w:val="auto"/>
              </w:rPr>
              <w:t>7,033</w:t>
            </w:r>
          </w:p>
        </w:tc>
        <w:tc>
          <w:tcPr>
            <w:tcW w:w="200" w:type="dxa"/>
            <w:vAlign w:val="bottom"/>
            <w:gridSpan w:val="2"/>
            <w:shd w:val="clear" w:color="auto" w:fill="EAF9E8"/>
          </w:tcPr>
          <w:p>
            <w:pPr>
              <w:jc w:val="right"/>
              <w:ind w:right="4"/>
              <w:spacing w:after="0"/>
              <w:rPr>
                <w:sz w:val="20"/>
                <w:szCs w:val="20"/>
                <w:color w:val="auto"/>
              </w:rPr>
            </w:pPr>
            <w:r>
              <w:rPr>
                <w:rFonts w:ascii="Arial" w:cs="Arial" w:eastAsia="Arial" w:hAnsi="Arial"/>
                <w:sz w:val="14"/>
                <w:szCs w:val="14"/>
                <w:color w:val="auto"/>
              </w:rPr>
              <w:t>$</w:t>
            </w:r>
          </w:p>
        </w:tc>
        <w:tc>
          <w:tcPr>
            <w:tcW w:w="580" w:type="dxa"/>
            <w:vAlign w:val="bottom"/>
            <w:shd w:val="clear" w:color="auto" w:fill="EAF9E8"/>
          </w:tcPr>
          <w:p>
            <w:pPr>
              <w:jc w:val="right"/>
              <w:spacing w:after="0"/>
              <w:rPr>
                <w:sz w:val="20"/>
                <w:szCs w:val="20"/>
                <w:color w:val="auto"/>
              </w:rPr>
            </w:pPr>
            <w:r>
              <w:rPr>
                <w:rFonts w:ascii="Arial" w:cs="Arial" w:eastAsia="Arial" w:hAnsi="Arial"/>
                <w:sz w:val="14"/>
                <w:szCs w:val="14"/>
                <w:color w:val="auto"/>
              </w:rPr>
              <w:t>664,288</w:t>
            </w:r>
          </w:p>
        </w:tc>
        <w:tc>
          <w:tcPr>
            <w:tcW w:w="140" w:type="dxa"/>
            <w:vAlign w:val="bottom"/>
            <w:shd w:val="clear" w:color="auto" w:fill="EAF9E8"/>
          </w:tcPr>
          <w:p>
            <w:pPr>
              <w:spacing w:after="0"/>
              <w:rPr>
                <w:sz w:val="21"/>
                <w:szCs w:val="21"/>
                <w:color w:val="auto"/>
              </w:rPr>
            </w:pPr>
          </w:p>
        </w:tc>
        <w:tc>
          <w:tcPr>
            <w:tcW w:w="180" w:type="dxa"/>
            <w:vAlign w:val="bottom"/>
            <w:gridSpan w:val="2"/>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EAF9E8"/>
          </w:tcPr>
          <w:p>
            <w:pPr>
              <w:jc w:val="right"/>
              <w:ind w:right="80"/>
              <w:spacing w:after="0"/>
              <w:rPr>
                <w:sz w:val="20"/>
                <w:szCs w:val="20"/>
                <w:color w:val="auto"/>
              </w:rPr>
            </w:pPr>
            <w:r>
              <w:rPr>
                <w:rFonts w:ascii="Arial" w:cs="Arial" w:eastAsia="Arial" w:hAnsi="Arial"/>
                <w:sz w:val="14"/>
                <w:szCs w:val="14"/>
                <w:color w:val="auto"/>
              </w:rPr>
              <w:t>(169)</w:t>
            </w:r>
          </w:p>
        </w:tc>
        <w:tc>
          <w:tcPr>
            <w:tcW w:w="180" w:type="dxa"/>
            <w:vAlign w:val="bottom"/>
            <w:gridSpan w:val="2"/>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EAF9E8"/>
          </w:tcPr>
          <w:p>
            <w:pPr>
              <w:jc w:val="right"/>
              <w:spacing w:after="0"/>
              <w:rPr>
                <w:sz w:val="20"/>
                <w:szCs w:val="20"/>
                <w:color w:val="auto"/>
              </w:rPr>
            </w:pPr>
            <w:r>
              <w:rPr>
                <w:rFonts w:ascii="Arial" w:cs="Arial" w:eastAsia="Arial" w:hAnsi="Arial"/>
                <w:sz w:val="14"/>
                <w:szCs w:val="14"/>
                <w:color w:val="auto"/>
              </w:rPr>
              <w:t>2,301,132</w:t>
            </w: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31" w:right="239" w:bottom="1440" w:gutter="0" w:footer="0" w:header="0"/>
        </w:sectPr>
      </w:pP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33" w:name="page34"/>
    <w:bookmarkEnd w:id="33"/>
    <w:p>
      <w:pPr>
        <w:ind w:left="580" w:right="300" w:hanging="572"/>
        <w:spacing w:after="0" w:line="268" w:lineRule="auto"/>
        <w:tabs>
          <w:tab w:leader="none" w:pos="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Intersegment billings for services rendered to other segments are recorded as revenues, as contra-expense or as other income depending on the type of service that is rendered. Intersegment billings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center"/>
              <w:ind w:right="112"/>
              <w:spacing w:after="0"/>
              <w:rPr>
                <w:sz w:val="20"/>
                <w:szCs w:val="20"/>
                <w:color w:val="auto"/>
              </w:rPr>
            </w:pPr>
            <w:r>
              <w:rPr>
                <w:rFonts w:ascii="Arial" w:cs="Arial" w:eastAsia="Arial" w:hAnsi="Arial"/>
                <w:sz w:val="18"/>
                <w:szCs w:val="18"/>
                <w:b w:val="1"/>
                <w:bCs w:val="1"/>
                <w:color w:val="auto"/>
                <w:w w:val="81"/>
              </w:rPr>
              <w:t>Asset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center"/>
              <w:ind w:right="52"/>
              <w:spacing w:after="0"/>
              <w:rPr>
                <w:sz w:val="20"/>
                <w:szCs w:val="20"/>
                <w:color w:val="auto"/>
              </w:rPr>
            </w:pPr>
            <w:r>
              <w:rPr>
                <w:rFonts w:ascii="Arial" w:cs="Arial" w:eastAsia="Arial" w:hAnsi="Arial"/>
                <w:sz w:val="18"/>
                <w:szCs w:val="18"/>
                <w:b w:val="1"/>
                <w:bCs w:val="1"/>
                <w:color w:val="auto"/>
                <w:w w:val="79"/>
              </w:rPr>
              <w:t>Business</w:t>
            </w:r>
          </w:p>
        </w:tc>
      </w:tr>
      <w:tr>
        <w:trPr>
          <w:trHeight w:val="216"/>
        </w:trPr>
        <w:tc>
          <w:tcPr>
            <w:tcW w:w="4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Management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spacing w:after="0"/>
              <w:rPr>
                <w:sz w:val="20"/>
                <w:szCs w:val="20"/>
                <w:color w:val="auto"/>
              </w:rPr>
            </w:pPr>
            <w:r>
              <w:rPr>
                <w:rFonts w:ascii="Arial" w:cs="Arial" w:eastAsia="Arial" w:hAnsi="Arial"/>
                <w:sz w:val="18"/>
                <w:szCs w:val="18"/>
                <w:b w:val="1"/>
                <w:bCs w:val="1"/>
                <w:color w:val="auto"/>
              </w:rPr>
              <w:t>Mortgage</w:t>
            </w:r>
          </w:p>
        </w:tc>
        <w:tc>
          <w:tcPr>
            <w:tcW w:w="1000" w:type="dxa"/>
            <w:vAlign w:val="bottom"/>
            <w:gridSpan w:val="2"/>
          </w:tcPr>
          <w:p>
            <w:pPr>
              <w:jc w:val="right"/>
              <w:spacing w:after="0"/>
              <w:rPr>
                <w:sz w:val="20"/>
                <w:szCs w:val="20"/>
                <w:color w:val="auto"/>
              </w:rPr>
            </w:pPr>
            <w:r>
              <w:rPr>
                <w:rFonts w:ascii="Arial" w:cs="Arial" w:eastAsia="Arial" w:hAnsi="Arial"/>
                <w:sz w:val="18"/>
                <w:szCs w:val="18"/>
                <w:b w:val="1"/>
                <w:bCs w:val="1"/>
                <w:color w:val="auto"/>
                <w:w w:val="89"/>
              </w:rPr>
              <w:t>Technology</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center"/>
              <w:ind w:right="72"/>
              <w:spacing w:after="0"/>
              <w:rPr>
                <w:sz w:val="20"/>
                <w:szCs w:val="20"/>
                <w:color w:val="auto"/>
              </w:rPr>
            </w:pPr>
            <w:r>
              <w:rPr>
                <w:rFonts w:ascii="Arial" w:cs="Arial" w:eastAsia="Arial" w:hAnsi="Arial"/>
                <w:sz w:val="18"/>
                <w:szCs w:val="18"/>
                <w:b w:val="1"/>
                <w:bCs w:val="1"/>
                <w:color w:val="auto"/>
                <w:w w:val="81"/>
              </w:rPr>
              <w:t>Segments</w:t>
            </w:r>
          </w:p>
        </w:tc>
      </w:tr>
      <w:tr>
        <w:trPr>
          <w:trHeight w:val="229"/>
        </w:trPr>
        <w:tc>
          <w:tcPr>
            <w:tcW w:w="4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96"/>
              </w:rPr>
              <w:t>Servicing</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92"/>
              <w:spacing w:after="0"/>
              <w:rPr>
                <w:sz w:val="20"/>
                <w:szCs w:val="20"/>
                <w:color w:val="auto"/>
              </w:rPr>
            </w:pPr>
            <w:r>
              <w:rPr>
                <w:rFonts w:ascii="Arial" w:cs="Arial" w:eastAsia="Arial" w:hAnsi="Arial"/>
                <w:sz w:val="18"/>
                <w:szCs w:val="18"/>
                <w:b w:val="1"/>
                <w:bCs w:val="1"/>
                <w:color w:val="auto"/>
                <w:w w:val="84"/>
              </w:rPr>
              <w:t>Vehicles</w:t>
            </w:r>
          </w:p>
        </w:tc>
        <w:tc>
          <w:tcPr>
            <w:tcW w:w="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w w:val="89"/>
              </w:rPr>
              <w:t>Services</w:t>
            </w:r>
          </w:p>
        </w:tc>
        <w:tc>
          <w:tcPr>
            <w:tcW w:w="3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w w:val="89"/>
              </w:rPr>
              <w:t>Products</w:t>
            </w:r>
          </w:p>
        </w:tc>
        <w:tc>
          <w:tcPr>
            <w:tcW w:w="340" w:type="dxa"/>
            <w:vAlign w:val="bottom"/>
          </w:tcPr>
          <w:p>
            <w:pPr>
              <w:spacing w:after="0"/>
              <w:rPr>
                <w:sz w:val="19"/>
                <w:szCs w:val="19"/>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5"/>
              </w:rPr>
              <w:t>Consolidated</w:t>
            </w:r>
          </w:p>
        </w:tc>
      </w:tr>
      <w:tr>
        <w:trPr>
          <w:trHeight w:val="238"/>
        </w:trPr>
        <w:tc>
          <w:tcPr>
            <w:tcW w:w="4160" w:type="dxa"/>
            <w:vAlign w:val="bottom"/>
          </w:tcPr>
          <w:p>
            <w:pPr>
              <w:spacing w:after="0"/>
              <w:rPr>
                <w:sz w:val="20"/>
                <w:szCs w:val="20"/>
                <w:color w:val="auto"/>
              </w:rPr>
            </w:pPr>
          </w:p>
        </w:tc>
        <w:tc>
          <w:tcPr>
            <w:tcW w:w="880" w:type="dxa"/>
            <w:vAlign w:val="bottom"/>
            <w:gridSpan w:val="2"/>
          </w:tcPr>
          <w:p>
            <w:pPr>
              <w:spacing w:after="0"/>
              <w:rPr>
                <w:sz w:val="20"/>
                <w:szCs w:val="20"/>
                <w:color w:val="auto"/>
              </w:rPr>
            </w:pPr>
          </w:p>
        </w:tc>
        <w:tc>
          <w:tcPr>
            <w:tcW w:w="1000" w:type="dxa"/>
            <w:vAlign w:val="bottom"/>
            <w:gridSpan w:val="2"/>
          </w:tcPr>
          <w:p>
            <w:pPr>
              <w:spacing w:after="0"/>
              <w:rPr>
                <w:sz w:val="20"/>
                <w:szCs w:val="20"/>
                <w:color w:val="auto"/>
              </w:rPr>
            </w:pPr>
          </w:p>
        </w:tc>
        <w:tc>
          <w:tcPr>
            <w:tcW w:w="360" w:type="dxa"/>
            <w:vAlign w:val="bottom"/>
            <w:gridSpan w:val="2"/>
          </w:tcPr>
          <w:p>
            <w:pPr>
              <w:spacing w:after="0"/>
              <w:rPr>
                <w:sz w:val="20"/>
                <w:szCs w:val="20"/>
                <w:color w:val="auto"/>
              </w:rPr>
            </w:pPr>
          </w:p>
        </w:tc>
        <w:tc>
          <w:tcPr>
            <w:tcW w:w="960" w:type="dxa"/>
            <w:vAlign w:val="bottom"/>
          </w:tcPr>
          <w:p>
            <w:pPr>
              <w:spacing w:after="0"/>
              <w:rPr>
                <w:sz w:val="20"/>
                <w:szCs w:val="20"/>
                <w:color w:val="auto"/>
              </w:rPr>
            </w:pPr>
          </w:p>
        </w:tc>
        <w:tc>
          <w:tcPr>
            <w:tcW w:w="420" w:type="dxa"/>
            <w:vAlign w:val="bottom"/>
            <w:gridSpan w:val="2"/>
          </w:tcPr>
          <w:p>
            <w:pPr>
              <w:spacing w:after="0"/>
              <w:rPr>
                <w:sz w:val="20"/>
                <w:szCs w:val="20"/>
                <w:color w:val="auto"/>
              </w:rPr>
            </w:pPr>
          </w:p>
        </w:tc>
        <w:tc>
          <w:tcPr>
            <w:tcW w:w="1160" w:type="dxa"/>
            <w:vAlign w:val="bottom"/>
            <w:gridSpan w:val="2"/>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00" w:type="dxa"/>
            <w:vAlign w:val="bottom"/>
            <w:gridSpan w:val="2"/>
          </w:tcPr>
          <w:p>
            <w:pPr>
              <w:spacing w:after="0"/>
              <w:rPr>
                <w:sz w:val="20"/>
                <w:szCs w:val="20"/>
                <w:color w:val="auto"/>
              </w:rPr>
            </w:pPr>
          </w:p>
        </w:tc>
        <w:tc>
          <w:tcPr>
            <w:tcW w:w="980" w:type="dxa"/>
            <w:vAlign w:val="bottom"/>
          </w:tcPr>
          <w:p>
            <w:pPr>
              <w:spacing w:after="0"/>
              <w:rPr>
                <w:sz w:val="20"/>
                <w:szCs w:val="20"/>
                <w:color w:val="auto"/>
              </w:rPr>
            </w:pPr>
          </w:p>
        </w:tc>
      </w:tr>
      <w:tr>
        <w:trPr>
          <w:trHeight w:val="243"/>
        </w:trPr>
        <w:tc>
          <w:tcPr>
            <w:tcW w:w="4160" w:type="dxa"/>
            <w:vAlign w:val="bottom"/>
            <w:shd w:val="clear" w:color="auto" w:fill="EAF9E8"/>
          </w:tcPr>
          <w:p>
            <w:pPr>
              <w:spacing w:after="0"/>
              <w:rPr>
                <w:sz w:val="20"/>
                <w:szCs w:val="20"/>
                <w:color w:val="auto"/>
              </w:rPr>
            </w:pPr>
            <w:r>
              <w:rPr>
                <w:rFonts w:ascii="Arial" w:cs="Arial" w:eastAsia="Arial" w:hAnsi="Arial"/>
                <w:sz w:val="18"/>
                <w:szCs w:val="18"/>
                <w:color w:val="auto"/>
              </w:rPr>
              <w:t>For the three months ended September 30, 2009</w:t>
            </w:r>
          </w:p>
        </w:tc>
        <w:tc>
          <w:tcPr>
            <w:tcW w:w="88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1,023</w:t>
            </w:r>
          </w:p>
        </w:tc>
        <w:tc>
          <w:tcPr>
            <w:tcW w:w="360" w:type="dxa"/>
            <w:vAlign w:val="bottom"/>
            <w:gridSpan w:val="2"/>
            <w:shd w:val="clear" w:color="auto" w:fill="EAF9E8"/>
          </w:tcPr>
          <w:p>
            <w:pPr>
              <w:jc w:val="right"/>
              <w:ind w:right="12"/>
              <w:spacing w:after="0"/>
              <w:rPr>
                <w:sz w:val="20"/>
                <w:szCs w:val="20"/>
                <w:color w:val="auto"/>
              </w:rPr>
            </w:pPr>
            <w:r>
              <w:rPr>
                <w:rFonts w:ascii="Arial" w:cs="Arial" w:eastAsia="Arial" w:hAnsi="Arial"/>
                <w:sz w:val="18"/>
                <w:szCs w:val="18"/>
                <w:color w:val="auto"/>
              </w:rPr>
              <w:t>$</w:t>
            </w:r>
          </w:p>
        </w:tc>
        <w:tc>
          <w:tcPr>
            <w:tcW w:w="9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109</w:t>
            </w:r>
          </w:p>
        </w:tc>
        <w:tc>
          <w:tcPr>
            <w:tcW w:w="42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59</w:t>
            </w:r>
          </w:p>
        </w:tc>
        <w:tc>
          <w:tcPr>
            <w:tcW w:w="12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3,909</w:t>
            </w:r>
          </w:p>
        </w:tc>
        <w:tc>
          <w:tcPr>
            <w:tcW w:w="5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5,100</w:t>
            </w:r>
          </w:p>
        </w:tc>
      </w:tr>
      <w:tr>
        <w:trPr>
          <w:trHeight w:val="242"/>
        </w:trPr>
        <w:tc>
          <w:tcPr>
            <w:tcW w:w="4160" w:type="dxa"/>
            <w:vAlign w:val="bottom"/>
          </w:tcPr>
          <w:p>
            <w:pPr>
              <w:spacing w:after="0"/>
              <w:rPr>
                <w:sz w:val="20"/>
                <w:szCs w:val="20"/>
                <w:color w:val="auto"/>
              </w:rPr>
            </w:pPr>
            <w:r>
              <w:rPr>
                <w:rFonts w:ascii="Arial" w:cs="Arial" w:eastAsia="Arial" w:hAnsi="Arial"/>
                <w:sz w:val="18"/>
                <w:szCs w:val="18"/>
                <w:color w:val="auto"/>
              </w:rPr>
              <w:t>For the three months ended September 30, 2008</w:t>
            </w: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1,891</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204</w:t>
            </w: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9,254</w:t>
            </w: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11,373</w:t>
            </w:r>
          </w:p>
        </w:tc>
      </w:tr>
      <w:tr>
        <w:trPr>
          <w:trHeight w:val="244"/>
        </w:trPr>
        <w:tc>
          <w:tcPr>
            <w:tcW w:w="4160" w:type="dxa"/>
            <w:vAlign w:val="bottom"/>
            <w:shd w:val="clear" w:color="auto" w:fill="EAF9E8"/>
          </w:tcPr>
          <w:p>
            <w:pPr>
              <w:spacing w:after="0"/>
              <w:rPr>
                <w:sz w:val="20"/>
                <w:szCs w:val="20"/>
                <w:color w:val="auto"/>
              </w:rPr>
            </w:pPr>
            <w:r>
              <w:rPr>
                <w:rFonts w:ascii="Arial" w:cs="Arial" w:eastAsia="Arial" w:hAnsi="Arial"/>
                <w:sz w:val="18"/>
                <w:szCs w:val="18"/>
                <w:color w:val="auto"/>
              </w:rPr>
              <w:t>For the nine months ended September 30, 2009</w:t>
            </w:r>
          </w:p>
        </w:tc>
        <w:tc>
          <w:tcPr>
            <w:tcW w:w="78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100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5,388</w:t>
            </w:r>
          </w:p>
        </w:tc>
        <w:tc>
          <w:tcPr>
            <w:tcW w:w="180" w:type="dxa"/>
            <w:vAlign w:val="bottom"/>
            <w:shd w:val="clear" w:color="auto" w:fill="EAF9E8"/>
          </w:tcPr>
          <w:p>
            <w:pPr>
              <w:spacing w:after="0"/>
              <w:rPr>
                <w:sz w:val="21"/>
                <w:szCs w:val="21"/>
                <w:color w:val="auto"/>
              </w:rPr>
            </w:pPr>
          </w:p>
        </w:tc>
        <w:tc>
          <w:tcPr>
            <w:tcW w:w="180" w:type="dxa"/>
            <w:vAlign w:val="bottom"/>
            <w:shd w:val="clear" w:color="auto" w:fill="EAF9E8"/>
          </w:tcPr>
          <w:p>
            <w:pPr>
              <w:spacing w:after="0"/>
              <w:rPr>
                <w:sz w:val="21"/>
                <w:szCs w:val="21"/>
                <w:color w:val="auto"/>
              </w:rPr>
            </w:pPr>
          </w:p>
        </w:tc>
        <w:tc>
          <w:tcPr>
            <w:tcW w:w="9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365</w:t>
            </w:r>
          </w:p>
        </w:tc>
        <w:tc>
          <w:tcPr>
            <w:tcW w:w="34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116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59</w:t>
            </w:r>
          </w:p>
        </w:tc>
        <w:tc>
          <w:tcPr>
            <w:tcW w:w="120" w:type="dxa"/>
            <w:vAlign w:val="bottom"/>
            <w:shd w:val="clear" w:color="auto" w:fill="EAF9E8"/>
          </w:tcPr>
          <w:p>
            <w:pPr>
              <w:spacing w:after="0"/>
              <w:rPr>
                <w:sz w:val="21"/>
                <w:szCs w:val="21"/>
                <w:color w:val="auto"/>
              </w:rPr>
            </w:pPr>
          </w:p>
        </w:tc>
        <w:tc>
          <w:tcPr>
            <w:tcW w:w="8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20,462</w:t>
            </w:r>
          </w:p>
        </w:tc>
        <w:tc>
          <w:tcPr>
            <w:tcW w:w="34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9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26,274</w:t>
            </w:r>
          </w:p>
        </w:tc>
      </w:tr>
      <w:tr>
        <w:trPr>
          <w:trHeight w:val="241"/>
        </w:trPr>
        <w:tc>
          <w:tcPr>
            <w:tcW w:w="4160" w:type="dxa"/>
            <w:vAlign w:val="bottom"/>
          </w:tcPr>
          <w:p>
            <w:pPr>
              <w:spacing w:after="0"/>
              <w:rPr>
                <w:sz w:val="20"/>
                <w:szCs w:val="20"/>
                <w:color w:val="auto"/>
              </w:rPr>
            </w:pPr>
            <w:r>
              <w:rPr>
                <w:rFonts w:ascii="Arial" w:cs="Arial" w:eastAsia="Arial" w:hAnsi="Arial"/>
                <w:sz w:val="18"/>
                <w:szCs w:val="18"/>
                <w:color w:val="auto"/>
              </w:rPr>
              <w:t>For the nine months ended September 30, 2008</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5,289</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749</w:t>
            </w: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25,069</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31,235</w:t>
            </w:r>
          </w:p>
        </w:tc>
      </w:tr>
    </w:tbl>
    <w:p>
      <w:pPr>
        <w:spacing w:after="0" w:line="250" w:lineRule="exact"/>
        <w:rPr>
          <w:sz w:val="20"/>
          <w:szCs w:val="20"/>
          <w:color w:val="auto"/>
        </w:rPr>
      </w:pPr>
    </w:p>
    <w:p>
      <w:pPr>
        <w:ind w:left="580" w:right="100" w:hanging="572"/>
        <w:spacing w:after="0" w:line="306" w:lineRule="auto"/>
        <w:tabs>
          <w:tab w:leader="none" w:pos="5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Servicing has a contractual right to receive interest income on float balances. However, Corporate controls investment decisions associated with the float balances. Accordingly, Servicing receives revenues generated by those investments that are associated with float balances but are reported in Corporate Items and Other. Gains and losses associated with corporate investment decisions are recognized in Corporate Items and Other.</w:t>
      </w:r>
    </w:p>
    <w:p>
      <w:pPr>
        <w:spacing w:after="0" w:line="187" w:lineRule="exact"/>
        <w:rPr>
          <w:rFonts w:ascii="Arial" w:cs="Arial" w:eastAsia="Arial" w:hAnsi="Arial"/>
          <w:sz w:val="16"/>
          <w:szCs w:val="16"/>
          <w:color w:val="auto"/>
        </w:rPr>
      </w:pPr>
    </w:p>
    <w:p>
      <w:pPr>
        <w:ind w:left="580" w:hanging="572"/>
        <w:spacing w:after="0"/>
        <w:tabs>
          <w:tab w:leader="none" w:pos="5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Depreciation and amortization expense are as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center"/>
              <w:ind w:right="12"/>
              <w:spacing w:after="0"/>
              <w:rPr>
                <w:sz w:val="20"/>
                <w:szCs w:val="20"/>
                <w:color w:val="auto"/>
              </w:rPr>
            </w:pPr>
            <w:r>
              <w:rPr>
                <w:rFonts w:ascii="Arial" w:cs="Arial" w:eastAsia="Arial" w:hAnsi="Arial"/>
                <w:sz w:val="18"/>
                <w:szCs w:val="18"/>
                <w:b w:val="1"/>
                <w:bCs w:val="1"/>
                <w:color w:val="auto"/>
                <w:w w:val="90"/>
              </w:rPr>
              <w:t>Corporate</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center"/>
              <w:ind w:right="32"/>
              <w:spacing w:after="0"/>
              <w:rPr>
                <w:sz w:val="20"/>
                <w:szCs w:val="20"/>
                <w:color w:val="auto"/>
              </w:rPr>
            </w:pPr>
            <w:r>
              <w:rPr>
                <w:rFonts w:ascii="Arial" w:cs="Arial" w:eastAsia="Arial" w:hAnsi="Arial"/>
                <w:sz w:val="18"/>
                <w:szCs w:val="18"/>
                <w:b w:val="1"/>
                <w:bCs w:val="1"/>
                <w:color w:val="auto"/>
                <w:w w:val="79"/>
              </w:rPr>
              <w:t>Business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Loans and</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88"/>
              </w:rPr>
              <w:t>Mortgage</w:t>
            </w:r>
          </w:p>
        </w:tc>
        <w:tc>
          <w:tcPr>
            <w:tcW w:w="94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4"/>
              </w:rPr>
              <w:t>Financial</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3"/>
              </w:rPr>
              <w:t>Technology</w:t>
            </w:r>
          </w:p>
        </w:tc>
        <w:tc>
          <w:tcPr>
            <w:tcW w:w="100" w:type="dxa"/>
            <w:vAlign w:val="bottom"/>
          </w:tcPr>
          <w:p>
            <w:pPr>
              <w:spacing w:after="0"/>
              <w:rPr>
                <w:sz w:val="18"/>
                <w:szCs w:val="18"/>
                <w:color w:val="auto"/>
              </w:rPr>
            </w:pPr>
          </w:p>
        </w:tc>
        <w:tc>
          <w:tcPr>
            <w:tcW w:w="880" w:type="dxa"/>
            <w:vAlign w:val="bottom"/>
          </w:tcPr>
          <w:p>
            <w:pPr>
              <w:jc w:val="center"/>
              <w:ind w:right="12"/>
              <w:spacing w:after="0"/>
              <w:rPr>
                <w:sz w:val="20"/>
                <w:szCs w:val="20"/>
                <w:color w:val="auto"/>
              </w:rPr>
            </w:pPr>
            <w:r>
              <w:rPr>
                <w:rFonts w:ascii="Arial" w:cs="Arial" w:eastAsia="Arial" w:hAnsi="Arial"/>
                <w:sz w:val="18"/>
                <w:szCs w:val="18"/>
                <w:b w:val="1"/>
                <w:bCs w:val="1"/>
                <w:color w:val="auto"/>
                <w:w w:val="88"/>
              </w:rPr>
              <w:t>Items and</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center"/>
              <w:ind w:right="32"/>
              <w:spacing w:after="0"/>
              <w:rPr>
                <w:sz w:val="20"/>
                <w:szCs w:val="20"/>
                <w:color w:val="auto"/>
              </w:rPr>
            </w:pPr>
            <w:r>
              <w:rPr>
                <w:rFonts w:ascii="Arial" w:cs="Arial" w:eastAsia="Arial" w:hAnsi="Arial"/>
                <w:sz w:val="18"/>
                <w:szCs w:val="18"/>
                <w:b w:val="1"/>
                <w:bCs w:val="1"/>
                <w:color w:val="auto"/>
                <w:w w:val="83"/>
              </w:rPr>
              <w:t>Segments</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6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w w:val="91"/>
              </w:rPr>
              <w:t>Servicing</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Residuals</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89"/>
              </w:rPr>
              <w:t>Services</w:t>
            </w:r>
          </w:p>
        </w:tc>
        <w:tc>
          <w:tcPr>
            <w:tcW w:w="10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0"/>
              </w:rPr>
              <w:t>Services</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Products</w:t>
            </w:r>
          </w:p>
        </w:tc>
        <w:tc>
          <w:tcPr>
            <w:tcW w:w="10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Arial" w:cs="Arial" w:eastAsia="Arial" w:hAnsi="Arial"/>
                <w:sz w:val="18"/>
                <w:szCs w:val="18"/>
                <w:b w:val="1"/>
                <w:bCs w:val="1"/>
                <w:color w:val="auto"/>
                <w:w w:val="91"/>
              </w:rPr>
              <w:t>Other</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center"/>
              <w:ind w:right="12"/>
              <w:spacing w:after="0"/>
              <w:rPr>
                <w:sz w:val="20"/>
                <w:szCs w:val="20"/>
                <w:color w:val="auto"/>
              </w:rPr>
            </w:pPr>
            <w:r>
              <w:rPr>
                <w:rFonts w:ascii="Arial" w:cs="Arial" w:eastAsia="Arial" w:hAnsi="Arial"/>
                <w:sz w:val="18"/>
                <w:szCs w:val="18"/>
                <w:b w:val="1"/>
                <w:bCs w:val="1"/>
                <w:color w:val="auto"/>
                <w:w w:val="85"/>
              </w:rPr>
              <w:t>Consolidated</w:t>
            </w:r>
          </w:p>
        </w:tc>
        <w:tc>
          <w:tcPr>
            <w:tcW w:w="0" w:type="dxa"/>
            <w:vAlign w:val="bottom"/>
          </w:tcPr>
          <w:p>
            <w:pPr>
              <w:spacing w:after="0"/>
              <w:rPr>
                <w:sz w:val="1"/>
                <w:szCs w:val="1"/>
                <w:color w:val="auto"/>
              </w:rPr>
            </w:pPr>
          </w:p>
        </w:tc>
      </w:tr>
      <w:tr>
        <w:trPr>
          <w:trHeight w:val="238"/>
        </w:trPr>
        <w:tc>
          <w:tcPr>
            <w:tcW w:w="20" w:type="dxa"/>
            <w:vAlign w:val="bottom"/>
            <w:vMerge w:val="restart"/>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880" w:type="dxa"/>
            <w:vAlign w:val="bottom"/>
            <w:gridSpan w:val="5"/>
            <w:shd w:val="clear" w:color="auto" w:fill="EAF9E8"/>
          </w:tcPr>
          <w:p>
            <w:pPr>
              <w:spacing w:after="0" w:line="176" w:lineRule="exact"/>
              <w:rPr>
                <w:sz w:val="20"/>
                <w:szCs w:val="20"/>
                <w:color w:val="auto"/>
              </w:rPr>
            </w:pPr>
            <w:r>
              <w:rPr>
                <w:rFonts w:ascii="Arial" w:cs="Arial" w:eastAsia="Arial" w:hAnsi="Arial"/>
                <w:sz w:val="18"/>
                <w:szCs w:val="18"/>
                <w:color w:val="auto"/>
              </w:rPr>
              <w:t>For the three months ended</w:t>
            </w:r>
          </w:p>
        </w:tc>
        <w:tc>
          <w:tcPr>
            <w:tcW w:w="220" w:type="dxa"/>
            <w:vAlign w:val="bottom"/>
            <w:shd w:val="clear" w:color="auto" w:fill="EAF9E8"/>
          </w:tcPr>
          <w:p>
            <w:pPr>
              <w:spacing w:after="0"/>
              <w:rPr>
                <w:sz w:val="15"/>
                <w:szCs w:val="15"/>
                <w:color w:val="auto"/>
              </w:rPr>
            </w:pPr>
          </w:p>
        </w:tc>
        <w:tc>
          <w:tcPr>
            <w:tcW w:w="600" w:type="dxa"/>
            <w:vAlign w:val="bottom"/>
            <w:shd w:val="clear" w:color="auto" w:fill="EAF9E8"/>
          </w:tcPr>
          <w:p>
            <w:pPr>
              <w:spacing w:after="0"/>
              <w:rPr>
                <w:sz w:val="15"/>
                <w:szCs w:val="15"/>
                <w:color w:val="auto"/>
              </w:rPr>
            </w:pPr>
          </w:p>
        </w:tc>
        <w:tc>
          <w:tcPr>
            <w:tcW w:w="240" w:type="dxa"/>
            <w:vAlign w:val="bottom"/>
            <w:shd w:val="clear" w:color="auto" w:fill="EAF9E8"/>
          </w:tcPr>
          <w:p>
            <w:pPr>
              <w:spacing w:after="0"/>
              <w:rPr>
                <w:sz w:val="15"/>
                <w:szCs w:val="15"/>
                <w:color w:val="auto"/>
              </w:rPr>
            </w:pPr>
          </w:p>
        </w:tc>
        <w:tc>
          <w:tcPr>
            <w:tcW w:w="1000" w:type="dxa"/>
            <w:vAlign w:val="bottom"/>
            <w:shd w:val="clear" w:color="auto" w:fill="EAF9E8"/>
          </w:tcPr>
          <w:p>
            <w:pPr>
              <w:spacing w:after="0"/>
              <w:rPr>
                <w:sz w:val="15"/>
                <w:szCs w:val="15"/>
                <w:color w:val="auto"/>
              </w:rPr>
            </w:pPr>
          </w:p>
        </w:tc>
        <w:tc>
          <w:tcPr>
            <w:tcW w:w="200" w:type="dxa"/>
            <w:vAlign w:val="bottom"/>
            <w:shd w:val="clear" w:color="auto" w:fill="EAF9E8"/>
          </w:tcPr>
          <w:p>
            <w:pPr>
              <w:spacing w:after="0"/>
              <w:rPr>
                <w:sz w:val="15"/>
                <w:szCs w:val="15"/>
                <w:color w:val="auto"/>
              </w:rPr>
            </w:pPr>
          </w:p>
        </w:tc>
        <w:tc>
          <w:tcPr>
            <w:tcW w:w="220" w:type="dxa"/>
            <w:vAlign w:val="bottom"/>
            <w:shd w:val="clear" w:color="auto" w:fill="EAF9E8"/>
          </w:tcPr>
          <w:p>
            <w:pPr>
              <w:spacing w:after="0"/>
              <w:rPr>
                <w:sz w:val="15"/>
                <w:szCs w:val="15"/>
                <w:color w:val="auto"/>
              </w:rPr>
            </w:pPr>
          </w:p>
        </w:tc>
        <w:tc>
          <w:tcPr>
            <w:tcW w:w="100" w:type="dxa"/>
            <w:vAlign w:val="bottom"/>
            <w:shd w:val="clear" w:color="auto" w:fill="EAF9E8"/>
          </w:tcPr>
          <w:p>
            <w:pPr>
              <w:spacing w:after="0"/>
              <w:rPr>
                <w:sz w:val="15"/>
                <w:szCs w:val="15"/>
                <w:color w:val="auto"/>
              </w:rPr>
            </w:pPr>
          </w:p>
        </w:tc>
        <w:tc>
          <w:tcPr>
            <w:tcW w:w="860" w:type="dxa"/>
            <w:vAlign w:val="bottom"/>
            <w:shd w:val="clear" w:color="auto" w:fill="EAF9E8"/>
          </w:tcPr>
          <w:p>
            <w:pPr>
              <w:spacing w:after="0"/>
              <w:rPr>
                <w:sz w:val="15"/>
                <w:szCs w:val="15"/>
                <w:color w:val="auto"/>
              </w:rPr>
            </w:pPr>
          </w:p>
        </w:tc>
        <w:tc>
          <w:tcPr>
            <w:tcW w:w="240" w:type="dxa"/>
            <w:vAlign w:val="bottom"/>
            <w:shd w:val="clear" w:color="auto" w:fill="EAF9E8"/>
          </w:tcPr>
          <w:p>
            <w:pPr>
              <w:spacing w:after="0"/>
              <w:rPr>
                <w:sz w:val="15"/>
                <w:szCs w:val="15"/>
                <w:color w:val="auto"/>
              </w:rPr>
            </w:pPr>
          </w:p>
        </w:tc>
        <w:tc>
          <w:tcPr>
            <w:tcW w:w="100" w:type="dxa"/>
            <w:vAlign w:val="bottom"/>
            <w:shd w:val="clear" w:color="auto" w:fill="EAF9E8"/>
          </w:tcPr>
          <w:p>
            <w:pPr>
              <w:spacing w:after="0"/>
              <w:rPr>
                <w:sz w:val="15"/>
                <w:szCs w:val="15"/>
                <w:color w:val="auto"/>
              </w:rPr>
            </w:pPr>
          </w:p>
        </w:tc>
        <w:tc>
          <w:tcPr>
            <w:tcW w:w="720" w:type="dxa"/>
            <w:vAlign w:val="bottom"/>
            <w:shd w:val="clear" w:color="auto" w:fill="EAF9E8"/>
          </w:tcPr>
          <w:p>
            <w:pPr>
              <w:spacing w:after="0"/>
              <w:rPr>
                <w:sz w:val="15"/>
                <w:szCs w:val="15"/>
                <w:color w:val="auto"/>
              </w:rPr>
            </w:pPr>
          </w:p>
        </w:tc>
        <w:tc>
          <w:tcPr>
            <w:tcW w:w="120" w:type="dxa"/>
            <w:vAlign w:val="bottom"/>
            <w:shd w:val="clear" w:color="auto" w:fill="EAF9E8"/>
          </w:tcPr>
          <w:p>
            <w:pPr>
              <w:spacing w:after="0"/>
              <w:rPr>
                <w:sz w:val="15"/>
                <w:szCs w:val="15"/>
                <w:color w:val="auto"/>
              </w:rPr>
            </w:pPr>
          </w:p>
        </w:tc>
        <w:tc>
          <w:tcPr>
            <w:tcW w:w="120" w:type="dxa"/>
            <w:vAlign w:val="bottom"/>
            <w:shd w:val="clear" w:color="auto" w:fill="EAF9E8"/>
          </w:tcPr>
          <w:p>
            <w:pPr>
              <w:spacing w:after="0"/>
              <w:rPr>
                <w:sz w:val="15"/>
                <w:szCs w:val="15"/>
                <w:color w:val="auto"/>
              </w:rPr>
            </w:pPr>
          </w:p>
        </w:tc>
        <w:tc>
          <w:tcPr>
            <w:tcW w:w="100" w:type="dxa"/>
            <w:vAlign w:val="bottom"/>
            <w:shd w:val="clear" w:color="auto" w:fill="EAF9E8"/>
          </w:tcPr>
          <w:p>
            <w:pPr>
              <w:spacing w:after="0"/>
              <w:rPr>
                <w:sz w:val="15"/>
                <w:szCs w:val="15"/>
                <w:color w:val="auto"/>
              </w:rPr>
            </w:pPr>
          </w:p>
        </w:tc>
        <w:tc>
          <w:tcPr>
            <w:tcW w:w="980" w:type="dxa"/>
            <w:vAlign w:val="bottom"/>
            <w:shd w:val="clear" w:color="auto" w:fill="EAF9E8"/>
          </w:tcPr>
          <w:p>
            <w:pPr>
              <w:spacing w:after="0"/>
              <w:rPr>
                <w:sz w:val="15"/>
                <w:szCs w:val="15"/>
                <w:color w:val="auto"/>
              </w:rPr>
            </w:pPr>
          </w:p>
        </w:tc>
        <w:tc>
          <w:tcPr>
            <w:tcW w:w="220" w:type="dxa"/>
            <w:vAlign w:val="bottom"/>
            <w:shd w:val="clear" w:color="auto" w:fill="EAF9E8"/>
          </w:tcPr>
          <w:p>
            <w:pPr>
              <w:spacing w:after="0"/>
              <w:rPr>
                <w:sz w:val="15"/>
                <w:szCs w:val="15"/>
                <w:color w:val="auto"/>
              </w:rPr>
            </w:pPr>
          </w:p>
        </w:tc>
        <w:tc>
          <w:tcPr>
            <w:tcW w:w="100" w:type="dxa"/>
            <w:vAlign w:val="bottom"/>
            <w:shd w:val="clear" w:color="auto" w:fill="EAF9E8"/>
          </w:tcPr>
          <w:p>
            <w:pPr>
              <w:spacing w:after="0"/>
              <w:rPr>
                <w:sz w:val="15"/>
                <w:szCs w:val="15"/>
                <w:color w:val="auto"/>
              </w:rPr>
            </w:pPr>
          </w:p>
        </w:tc>
        <w:tc>
          <w:tcPr>
            <w:tcW w:w="880" w:type="dxa"/>
            <w:vAlign w:val="bottom"/>
            <w:shd w:val="clear" w:color="auto" w:fill="EAF9E8"/>
          </w:tcPr>
          <w:p>
            <w:pPr>
              <w:spacing w:after="0"/>
              <w:rPr>
                <w:sz w:val="15"/>
                <w:szCs w:val="15"/>
                <w:color w:val="auto"/>
              </w:rPr>
            </w:pPr>
          </w:p>
        </w:tc>
        <w:tc>
          <w:tcPr>
            <w:tcW w:w="240" w:type="dxa"/>
            <w:vAlign w:val="bottom"/>
            <w:shd w:val="clear" w:color="auto" w:fill="EAF9E8"/>
          </w:tcPr>
          <w:p>
            <w:pPr>
              <w:spacing w:after="0"/>
              <w:rPr>
                <w:sz w:val="15"/>
                <w:szCs w:val="15"/>
                <w:color w:val="auto"/>
              </w:rPr>
            </w:pPr>
          </w:p>
        </w:tc>
        <w:tc>
          <w:tcPr>
            <w:tcW w:w="100" w:type="dxa"/>
            <w:vAlign w:val="bottom"/>
            <w:shd w:val="clear" w:color="auto" w:fill="EAF9E8"/>
          </w:tcPr>
          <w:p>
            <w:pPr>
              <w:spacing w:after="0"/>
              <w:rPr>
                <w:sz w:val="15"/>
                <w:szCs w:val="15"/>
                <w:color w:val="auto"/>
              </w:rPr>
            </w:pPr>
          </w:p>
        </w:tc>
        <w:tc>
          <w:tcPr>
            <w:tcW w:w="1160" w:type="dxa"/>
            <w:vAlign w:val="bottom"/>
            <w:shd w:val="clear" w:color="auto" w:fill="EAF9E8"/>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0" w:type="dxa"/>
            <w:vAlign w:val="bottom"/>
            <w:tcBorders>
              <w:top w:val="single" w:sz="8" w:color="auto"/>
            </w:tcBorders>
            <w:shd w:val="clear" w:color="auto" w:fill="EAF9E8"/>
          </w:tcPr>
          <w:p>
            <w:pPr>
              <w:spacing w:after="0"/>
              <w:rPr>
                <w:sz w:val="17"/>
                <w:szCs w:val="17"/>
                <w:color w:val="auto"/>
              </w:rPr>
            </w:pPr>
          </w:p>
        </w:tc>
        <w:tc>
          <w:tcPr>
            <w:tcW w:w="1760" w:type="dxa"/>
            <w:vAlign w:val="bottom"/>
            <w:tcBorders>
              <w:top w:val="single" w:sz="8" w:color="auto"/>
            </w:tcBorders>
            <w:gridSpan w:val="3"/>
            <w:shd w:val="clear" w:color="auto" w:fill="EAF9E8"/>
          </w:tcPr>
          <w:p>
            <w:pPr>
              <w:spacing w:after="0" w:line="196" w:lineRule="exact"/>
              <w:rPr>
                <w:sz w:val="20"/>
                <w:szCs w:val="20"/>
                <w:color w:val="auto"/>
              </w:rPr>
            </w:pPr>
            <w:r>
              <w:rPr>
                <w:rFonts w:ascii="Arial" w:cs="Arial" w:eastAsia="Arial" w:hAnsi="Arial"/>
                <w:sz w:val="18"/>
                <w:szCs w:val="18"/>
                <w:color w:val="auto"/>
              </w:rPr>
              <w:t>September 30, 2009:</w:t>
            </w:r>
          </w:p>
        </w:tc>
        <w:tc>
          <w:tcPr>
            <w:tcW w:w="980" w:type="dxa"/>
            <w:vAlign w:val="bottom"/>
            <w:tcBorders>
              <w:top w:val="single" w:sz="8" w:color="EAF9E8"/>
            </w:tcBorders>
            <w:shd w:val="clear" w:color="auto" w:fill="EAF9E8"/>
          </w:tcPr>
          <w:p>
            <w:pPr>
              <w:spacing w:after="0"/>
              <w:rPr>
                <w:sz w:val="17"/>
                <w:szCs w:val="17"/>
                <w:color w:val="auto"/>
              </w:rPr>
            </w:pPr>
          </w:p>
        </w:tc>
        <w:tc>
          <w:tcPr>
            <w:tcW w:w="220" w:type="dxa"/>
            <w:vAlign w:val="bottom"/>
            <w:tcBorders>
              <w:top w:val="single" w:sz="8" w:color="EAF9E8"/>
            </w:tcBorders>
            <w:shd w:val="clear" w:color="auto" w:fill="EAF9E8"/>
          </w:tcPr>
          <w:p>
            <w:pPr>
              <w:spacing w:after="0"/>
              <w:rPr>
                <w:sz w:val="17"/>
                <w:szCs w:val="17"/>
                <w:color w:val="auto"/>
              </w:rPr>
            </w:pPr>
          </w:p>
        </w:tc>
        <w:tc>
          <w:tcPr>
            <w:tcW w:w="600" w:type="dxa"/>
            <w:vAlign w:val="bottom"/>
            <w:tcBorders>
              <w:top w:val="single" w:sz="8" w:color="EAF9E8"/>
            </w:tcBorders>
            <w:shd w:val="clear" w:color="auto" w:fill="EAF9E8"/>
          </w:tcPr>
          <w:p>
            <w:pPr>
              <w:spacing w:after="0"/>
              <w:rPr>
                <w:sz w:val="17"/>
                <w:szCs w:val="17"/>
                <w:color w:val="auto"/>
              </w:rPr>
            </w:pPr>
          </w:p>
        </w:tc>
        <w:tc>
          <w:tcPr>
            <w:tcW w:w="240" w:type="dxa"/>
            <w:vAlign w:val="bottom"/>
            <w:tcBorders>
              <w:top w:val="single" w:sz="8" w:color="EAF9E8"/>
            </w:tcBorders>
            <w:shd w:val="clear" w:color="auto" w:fill="EAF9E8"/>
          </w:tcPr>
          <w:p>
            <w:pPr>
              <w:spacing w:after="0"/>
              <w:rPr>
                <w:sz w:val="17"/>
                <w:szCs w:val="17"/>
                <w:color w:val="auto"/>
              </w:rPr>
            </w:pPr>
          </w:p>
        </w:tc>
        <w:tc>
          <w:tcPr>
            <w:tcW w:w="1000" w:type="dxa"/>
            <w:vAlign w:val="bottom"/>
            <w:tcBorders>
              <w:top w:val="single" w:sz="8" w:color="EAF9E8"/>
            </w:tcBorders>
            <w:shd w:val="clear" w:color="auto" w:fill="EAF9E8"/>
          </w:tcPr>
          <w:p>
            <w:pPr>
              <w:spacing w:after="0"/>
              <w:rPr>
                <w:sz w:val="17"/>
                <w:szCs w:val="17"/>
                <w:color w:val="auto"/>
              </w:rPr>
            </w:pPr>
          </w:p>
        </w:tc>
        <w:tc>
          <w:tcPr>
            <w:tcW w:w="200" w:type="dxa"/>
            <w:vAlign w:val="bottom"/>
            <w:tcBorders>
              <w:top w:val="single" w:sz="8" w:color="EAF9E8"/>
            </w:tcBorders>
            <w:shd w:val="clear" w:color="auto" w:fill="EAF9E8"/>
          </w:tcPr>
          <w:p>
            <w:pPr>
              <w:spacing w:after="0"/>
              <w:rPr>
                <w:sz w:val="17"/>
                <w:szCs w:val="17"/>
                <w:color w:val="auto"/>
              </w:rPr>
            </w:pPr>
          </w:p>
        </w:tc>
        <w:tc>
          <w:tcPr>
            <w:tcW w:w="220" w:type="dxa"/>
            <w:vAlign w:val="bottom"/>
            <w:tcBorders>
              <w:top w:val="single" w:sz="8" w:color="EAF9E8"/>
            </w:tcBorders>
            <w:shd w:val="clear" w:color="auto" w:fill="EAF9E8"/>
          </w:tcPr>
          <w:p>
            <w:pPr>
              <w:spacing w:after="0"/>
              <w:rPr>
                <w:sz w:val="17"/>
                <w:szCs w:val="17"/>
                <w:color w:val="auto"/>
              </w:rPr>
            </w:pPr>
          </w:p>
        </w:tc>
        <w:tc>
          <w:tcPr>
            <w:tcW w:w="100" w:type="dxa"/>
            <w:vAlign w:val="bottom"/>
            <w:tcBorders>
              <w:top w:val="single" w:sz="8" w:color="EAF9E8"/>
            </w:tcBorders>
            <w:shd w:val="clear" w:color="auto" w:fill="EAF9E8"/>
          </w:tcPr>
          <w:p>
            <w:pPr>
              <w:spacing w:after="0"/>
              <w:rPr>
                <w:sz w:val="17"/>
                <w:szCs w:val="17"/>
                <w:color w:val="auto"/>
              </w:rPr>
            </w:pPr>
          </w:p>
        </w:tc>
        <w:tc>
          <w:tcPr>
            <w:tcW w:w="860" w:type="dxa"/>
            <w:vAlign w:val="bottom"/>
            <w:tcBorders>
              <w:top w:val="single" w:sz="8" w:color="EAF9E8"/>
            </w:tcBorders>
            <w:shd w:val="clear" w:color="auto" w:fill="EAF9E8"/>
          </w:tcPr>
          <w:p>
            <w:pPr>
              <w:spacing w:after="0"/>
              <w:rPr>
                <w:sz w:val="17"/>
                <w:szCs w:val="17"/>
                <w:color w:val="auto"/>
              </w:rPr>
            </w:pPr>
          </w:p>
        </w:tc>
        <w:tc>
          <w:tcPr>
            <w:tcW w:w="240" w:type="dxa"/>
            <w:vAlign w:val="bottom"/>
            <w:tcBorders>
              <w:top w:val="single" w:sz="8" w:color="EAF9E8"/>
            </w:tcBorders>
            <w:shd w:val="clear" w:color="auto" w:fill="EAF9E8"/>
          </w:tcPr>
          <w:p>
            <w:pPr>
              <w:spacing w:after="0"/>
              <w:rPr>
                <w:sz w:val="17"/>
                <w:szCs w:val="17"/>
                <w:color w:val="auto"/>
              </w:rPr>
            </w:pPr>
          </w:p>
        </w:tc>
        <w:tc>
          <w:tcPr>
            <w:tcW w:w="100" w:type="dxa"/>
            <w:vAlign w:val="bottom"/>
            <w:tcBorders>
              <w:top w:val="single" w:sz="8" w:color="EAF9E8"/>
            </w:tcBorders>
            <w:shd w:val="clear" w:color="auto" w:fill="EAF9E8"/>
          </w:tcPr>
          <w:p>
            <w:pPr>
              <w:spacing w:after="0"/>
              <w:rPr>
                <w:sz w:val="17"/>
                <w:szCs w:val="17"/>
                <w:color w:val="auto"/>
              </w:rPr>
            </w:pPr>
          </w:p>
        </w:tc>
        <w:tc>
          <w:tcPr>
            <w:tcW w:w="720" w:type="dxa"/>
            <w:vAlign w:val="bottom"/>
            <w:tcBorders>
              <w:top w:val="single" w:sz="8" w:color="EAF9E8"/>
            </w:tcBorders>
            <w:shd w:val="clear" w:color="auto" w:fill="EAF9E8"/>
          </w:tcPr>
          <w:p>
            <w:pPr>
              <w:spacing w:after="0"/>
              <w:rPr>
                <w:sz w:val="17"/>
                <w:szCs w:val="17"/>
                <w:color w:val="auto"/>
              </w:rPr>
            </w:pPr>
          </w:p>
        </w:tc>
        <w:tc>
          <w:tcPr>
            <w:tcW w:w="120" w:type="dxa"/>
            <w:vAlign w:val="bottom"/>
            <w:tcBorders>
              <w:top w:val="single" w:sz="8" w:color="EAF9E8"/>
            </w:tcBorders>
            <w:shd w:val="clear" w:color="auto" w:fill="EAF9E8"/>
          </w:tcPr>
          <w:p>
            <w:pPr>
              <w:spacing w:after="0"/>
              <w:rPr>
                <w:sz w:val="17"/>
                <w:szCs w:val="17"/>
                <w:color w:val="auto"/>
              </w:rPr>
            </w:pPr>
          </w:p>
        </w:tc>
        <w:tc>
          <w:tcPr>
            <w:tcW w:w="120" w:type="dxa"/>
            <w:vAlign w:val="bottom"/>
            <w:tcBorders>
              <w:top w:val="single" w:sz="8" w:color="EAF9E8"/>
            </w:tcBorders>
            <w:shd w:val="clear" w:color="auto" w:fill="EAF9E8"/>
          </w:tcPr>
          <w:p>
            <w:pPr>
              <w:spacing w:after="0"/>
              <w:rPr>
                <w:sz w:val="17"/>
                <w:szCs w:val="17"/>
                <w:color w:val="auto"/>
              </w:rPr>
            </w:pPr>
          </w:p>
        </w:tc>
        <w:tc>
          <w:tcPr>
            <w:tcW w:w="100" w:type="dxa"/>
            <w:vAlign w:val="bottom"/>
            <w:tcBorders>
              <w:top w:val="single" w:sz="8" w:color="EAF9E8"/>
            </w:tcBorders>
            <w:shd w:val="clear" w:color="auto" w:fill="EAF9E8"/>
          </w:tcPr>
          <w:p>
            <w:pPr>
              <w:spacing w:after="0"/>
              <w:rPr>
                <w:sz w:val="17"/>
                <w:szCs w:val="17"/>
                <w:color w:val="auto"/>
              </w:rPr>
            </w:pPr>
          </w:p>
        </w:tc>
        <w:tc>
          <w:tcPr>
            <w:tcW w:w="980" w:type="dxa"/>
            <w:vAlign w:val="bottom"/>
            <w:tcBorders>
              <w:top w:val="single" w:sz="8" w:color="EAF9E8"/>
            </w:tcBorders>
            <w:shd w:val="clear" w:color="auto" w:fill="EAF9E8"/>
          </w:tcPr>
          <w:p>
            <w:pPr>
              <w:spacing w:after="0"/>
              <w:rPr>
                <w:sz w:val="17"/>
                <w:szCs w:val="17"/>
                <w:color w:val="auto"/>
              </w:rPr>
            </w:pPr>
          </w:p>
        </w:tc>
        <w:tc>
          <w:tcPr>
            <w:tcW w:w="220" w:type="dxa"/>
            <w:vAlign w:val="bottom"/>
            <w:tcBorders>
              <w:top w:val="single" w:sz="8" w:color="EAF9E8"/>
            </w:tcBorders>
            <w:shd w:val="clear" w:color="auto" w:fill="EAF9E8"/>
          </w:tcPr>
          <w:p>
            <w:pPr>
              <w:spacing w:after="0"/>
              <w:rPr>
                <w:sz w:val="17"/>
                <w:szCs w:val="17"/>
                <w:color w:val="auto"/>
              </w:rPr>
            </w:pPr>
          </w:p>
        </w:tc>
        <w:tc>
          <w:tcPr>
            <w:tcW w:w="100" w:type="dxa"/>
            <w:vAlign w:val="bottom"/>
            <w:tcBorders>
              <w:top w:val="single" w:sz="8" w:color="EAF9E8"/>
            </w:tcBorders>
            <w:shd w:val="clear" w:color="auto" w:fill="EAF9E8"/>
          </w:tcPr>
          <w:p>
            <w:pPr>
              <w:spacing w:after="0"/>
              <w:rPr>
                <w:sz w:val="17"/>
                <w:szCs w:val="17"/>
                <w:color w:val="auto"/>
              </w:rPr>
            </w:pPr>
          </w:p>
        </w:tc>
        <w:tc>
          <w:tcPr>
            <w:tcW w:w="880" w:type="dxa"/>
            <w:vAlign w:val="bottom"/>
            <w:tcBorders>
              <w:top w:val="single" w:sz="8" w:color="EAF9E8"/>
            </w:tcBorders>
            <w:shd w:val="clear" w:color="auto" w:fill="EAF9E8"/>
          </w:tcPr>
          <w:p>
            <w:pPr>
              <w:spacing w:after="0"/>
              <w:rPr>
                <w:sz w:val="17"/>
                <w:szCs w:val="17"/>
                <w:color w:val="auto"/>
              </w:rPr>
            </w:pPr>
          </w:p>
        </w:tc>
        <w:tc>
          <w:tcPr>
            <w:tcW w:w="240" w:type="dxa"/>
            <w:vAlign w:val="bottom"/>
            <w:tcBorders>
              <w:top w:val="single" w:sz="8" w:color="EAF9E8"/>
            </w:tcBorders>
            <w:shd w:val="clear" w:color="auto" w:fill="EAF9E8"/>
          </w:tcPr>
          <w:p>
            <w:pPr>
              <w:spacing w:after="0"/>
              <w:rPr>
                <w:sz w:val="17"/>
                <w:szCs w:val="17"/>
                <w:color w:val="auto"/>
              </w:rPr>
            </w:pPr>
          </w:p>
        </w:tc>
        <w:tc>
          <w:tcPr>
            <w:tcW w:w="100" w:type="dxa"/>
            <w:vAlign w:val="bottom"/>
            <w:tcBorders>
              <w:top w:val="single" w:sz="8" w:color="EAF9E8"/>
            </w:tcBorders>
            <w:shd w:val="clear" w:color="auto" w:fill="EAF9E8"/>
          </w:tcPr>
          <w:p>
            <w:pPr>
              <w:spacing w:after="0"/>
              <w:rPr>
                <w:sz w:val="17"/>
                <w:szCs w:val="17"/>
                <w:color w:val="auto"/>
              </w:rPr>
            </w:pPr>
          </w:p>
        </w:tc>
        <w:tc>
          <w:tcPr>
            <w:tcW w:w="1160" w:type="dxa"/>
            <w:vAlign w:val="bottom"/>
            <w:tcBorders>
              <w:top w:val="single" w:sz="8" w:color="EAF9E8"/>
            </w:tcBorders>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0" w:type="dxa"/>
            <w:vAlign w:val="bottom"/>
            <w:tcBorders>
              <w:top w:val="single" w:sz="8" w:color="EAF9E8"/>
            </w:tcBorders>
            <w:shd w:val="clear" w:color="auto" w:fill="EAF9E8"/>
          </w:tcPr>
          <w:p>
            <w:pPr>
              <w:spacing w:after="0" w:line="20" w:lineRule="exact"/>
              <w:rPr>
                <w:sz w:val="1"/>
                <w:szCs w:val="1"/>
                <w:color w:val="auto"/>
              </w:rPr>
            </w:pPr>
          </w:p>
        </w:tc>
        <w:tc>
          <w:tcPr>
            <w:tcW w:w="1460" w:type="dxa"/>
            <w:vAlign w:val="bottom"/>
            <w:tcBorders>
              <w:top w:val="single" w:sz="8" w:color="auto"/>
            </w:tcBorders>
            <w:shd w:val="clear" w:color="auto" w:fill="EAF9E8"/>
          </w:tcPr>
          <w:p>
            <w:pPr>
              <w:spacing w:after="0" w:line="20" w:lineRule="exact"/>
              <w:rPr>
                <w:sz w:val="1"/>
                <w:szCs w:val="1"/>
                <w:color w:val="auto"/>
              </w:rPr>
            </w:pPr>
          </w:p>
        </w:tc>
        <w:tc>
          <w:tcPr>
            <w:tcW w:w="260" w:type="dxa"/>
            <w:vAlign w:val="bottom"/>
            <w:tcBorders>
              <w:top w:val="single" w:sz="8" w:color="EAF9E8"/>
            </w:tcBorders>
            <w:shd w:val="clear" w:color="auto" w:fill="EAF9E8"/>
          </w:tcPr>
          <w:p>
            <w:pPr>
              <w:spacing w:after="0" w:line="20" w:lineRule="exact"/>
              <w:rPr>
                <w:sz w:val="1"/>
                <w:szCs w:val="1"/>
                <w:color w:val="auto"/>
              </w:rPr>
            </w:pPr>
          </w:p>
        </w:tc>
        <w:tc>
          <w:tcPr>
            <w:tcW w:w="40" w:type="dxa"/>
            <w:vAlign w:val="bottom"/>
            <w:tcBorders>
              <w:top w:val="single" w:sz="8" w:color="EAF9E8"/>
            </w:tcBorders>
            <w:shd w:val="clear" w:color="auto" w:fill="EAF9E8"/>
          </w:tcPr>
          <w:p>
            <w:pPr>
              <w:spacing w:after="0" w:line="20" w:lineRule="exact"/>
              <w:rPr>
                <w:sz w:val="1"/>
                <w:szCs w:val="1"/>
                <w:color w:val="auto"/>
              </w:rPr>
            </w:pPr>
          </w:p>
        </w:tc>
        <w:tc>
          <w:tcPr>
            <w:tcW w:w="980" w:type="dxa"/>
            <w:vAlign w:val="bottom"/>
            <w:tcBorders>
              <w:top w:val="single" w:sz="8" w:color="EAF9E8"/>
            </w:tcBorders>
            <w:shd w:val="clear" w:color="auto" w:fill="EAF9E8"/>
          </w:tcPr>
          <w:p>
            <w:pPr>
              <w:spacing w:after="0" w:line="20" w:lineRule="exact"/>
              <w:rPr>
                <w:sz w:val="1"/>
                <w:szCs w:val="1"/>
                <w:color w:val="auto"/>
              </w:rPr>
            </w:pPr>
          </w:p>
        </w:tc>
        <w:tc>
          <w:tcPr>
            <w:tcW w:w="220" w:type="dxa"/>
            <w:vAlign w:val="bottom"/>
            <w:tcBorders>
              <w:top w:val="single" w:sz="8" w:color="EAF9E8"/>
            </w:tcBorders>
            <w:shd w:val="clear" w:color="auto" w:fill="EAF9E8"/>
          </w:tcPr>
          <w:p>
            <w:pPr>
              <w:spacing w:after="0" w:line="20" w:lineRule="exact"/>
              <w:rPr>
                <w:sz w:val="1"/>
                <w:szCs w:val="1"/>
                <w:color w:val="auto"/>
              </w:rPr>
            </w:pPr>
          </w:p>
        </w:tc>
        <w:tc>
          <w:tcPr>
            <w:tcW w:w="600" w:type="dxa"/>
            <w:vAlign w:val="bottom"/>
            <w:tcBorders>
              <w:top w:val="single" w:sz="8" w:color="EAF9E8"/>
            </w:tcBorders>
            <w:shd w:val="clear" w:color="auto" w:fill="EAF9E8"/>
          </w:tcPr>
          <w:p>
            <w:pPr>
              <w:spacing w:after="0" w:line="20" w:lineRule="exact"/>
              <w:rPr>
                <w:sz w:val="1"/>
                <w:szCs w:val="1"/>
                <w:color w:val="auto"/>
              </w:rPr>
            </w:pPr>
          </w:p>
        </w:tc>
        <w:tc>
          <w:tcPr>
            <w:tcW w:w="240" w:type="dxa"/>
            <w:vAlign w:val="bottom"/>
            <w:tcBorders>
              <w:top w:val="single" w:sz="8" w:color="EAF9E8"/>
            </w:tcBorders>
            <w:shd w:val="clear" w:color="auto" w:fill="EAF9E8"/>
          </w:tcPr>
          <w:p>
            <w:pPr>
              <w:spacing w:after="0" w:line="20" w:lineRule="exact"/>
              <w:rPr>
                <w:sz w:val="1"/>
                <w:szCs w:val="1"/>
                <w:color w:val="auto"/>
              </w:rPr>
            </w:pPr>
          </w:p>
        </w:tc>
        <w:tc>
          <w:tcPr>
            <w:tcW w:w="1000" w:type="dxa"/>
            <w:vAlign w:val="bottom"/>
            <w:tcBorders>
              <w:top w:val="single" w:sz="8" w:color="EAF9E8"/>
            </w:tcBorders>
            <w:shd w:val="clear" w:color="auto" w:fill="EAF9E8"/>
          </w:tcPr>
          <w:p>
            <w:pPr>
              <w:spacing w:after="0" w:line="20" w:lineRule="exact"/>
              <w:rPr>
                <w:sz w:val="1"/>
                <w:szCs w:val="1"/>
                <w:color w:val="auto"/>
              </w:rPr>
            </w:pPr>
          </w:p>
        </w:tc>
        <w:tc>
          <w:tcPr>
            <w:tcW w:w="200" w:type="dxa"/>
            <w:vAlign w:val="bottom"/>
            <w:tcBorders>
              <w:top w:val="single" w:sz="8" w:color="EAF9E8"/>
            </w:tcBorders>
            <w:shd w:val="clear" w:color="auto" w:fill="EAF9E8"/>
          </w:tcPr>
          <w:p>
            <w:pPr>
              <w:spacing w:after="0" w:line="20" w:lineRule="exact"/>
              <w:rPr>
                <w:sz w:val="1"/>
                <w:szCs w:val="1"/>
                <w:color w:val="auto"/>
              </w:rPr>
            </w:pPr>
          </w:p>
        </w:tc>
        <w:tc>
          <w:tcPr>
            <w:tcW w:w="220" w:type="dxa"/>
            <w:vAlign w:val="bottom"/>
            <w:tcBorders>
              <w:top w:val="single" w:sz="8" w:color="EAF9E8"/>
            </w:tcBorders>
            <w:shd w:val="clear" w:color="auto" w:fill="EAF9E8"/>
          </w:tcPr>
          <w:p>
            <w:pPr>
              <w:spacing w:after="0" w:line="20" w:lineRule="exact"/>
              <w:rPr>
                <w:sz w:val="1"/>
                <w:szCs w:val="1"/>
                <w:color w:val="auto"/>
              </w:rPr>
            </w:pPr>
          </w:p>
        </w:tc>
        <w:tc>
          <w:tcPr>
            <w:tcW w:w="100" w:type="dxa"/>
            <w:vAlign w:val="bottom"/>
            <w:tcBorders>
              <w:top w:val="single" w:sz="8" w:color="EAF9E8"/>
            </w:tcBorders>
            <w:shd w:val="clear" w:color="auto" w:fill="EAF9E8"/>
          </w:tcPr>
          <w:p>
            <w:pPr>
              <w:spacing w:after="0" w:line="20" w:lineRule="exact"/>
              <w:rPr>
                <w:sz w:val="1"/>
                <w:szCs w:val="1"/>
                <w:color w:val="auto"/>
              </w:rPr>
            </w:pPr>
          </w:p>
        </w:tc>
        <w:tc>
          <w:tcPr>
            <w:tcW w:w="860" w:type="dxa"/>
            <w:vAlign w:val="bottom"/>
            <w:tcBorders>
              <w:top w:val="single" w:sz="8" w:color="EAF9E8"/>
            </w:tcBorders>
            <w:shd w:val="clear" w:color="auto" w:fill="EAF9E8"/>
          </w:tcPr>
          <w:p>
            <w:pPr>
              <w:spacing w:after="0" w:line="20" w:lineRule="exact"/>
              <w:rPr>
                <w:sz w:val="1"/>
                <w:szCs w:val="1"/>
                <w:color w:val="auto"/>
              </w:rPr>
            </w:pPr>
          </w:p>
        </w:tc>
        <w:tc>
          <w:tcPr>
            <w:tcW w:w="240" w:type="dxa"/>
            <w:vAlign w:val="bottom"/>
            <w:tcBorders>
              <w:top w:val="single" w:sz="8" w:color="EAF9E8"/>
            </w:tcBorders>
            <w:shd w:val="clear" w:color="auto" w:fill="EAF9E8"/>
          </w:tcPr>
          <w:p>
            <w:pPr>
              <w:spacing w:after="0" w:line="20" w:lineRule="exact"/>
              <w:rPr>
                <w:sz w:val="1"/>
                <w:szCs w:val="1"/>
                <w:color w:val="auto"/>
              </w:rPr>
            </w:pPr>
          </w:p>
        </w:tc>
        <w:tc>
          <w:tcPr>
            <w:tcW w:w="100" w:type="dxa"/>
            <w:vAlign w:val="bottom"/>
            <w:tcBorders>
              <w:top w:val="single" w:sz="8" w:color="EAF9E8"/>
            </w:tcBorders>
            <w:shd w:val="clear" w:color="auto" w:fill="EAF9E8"/>
          </w:tcPr>
          <w:p>
            <w:pPr>
              <w:spacing w:after="0" w:line="20" w:lineRule="exact"/>
              <w:rPr>
                <w:sz w:val="1"/>
                <w:szCs w:val="1"/>
                <w:color w:val="auto"/>
              </w:rPr>
            </w:pPr>
          </w:p>
        </w:tc>
        <w:tc>
          <w:tcPr>
            <w:tcW w:w="720" w:type="dxa"/>
            <w:vAlign w:val="bottom"/>
            <w:tcBorders>
              <w:top w:val="single" w:sz="8" w:color="EAF9E8"/>
            </w:tcBorders>
            <w:shd w:val="clear" w:color="auto" w:fill="EAF9E8"/>
          </w:tcPr>
          <w:p>
            <w:pPr>
              <w:spacing w:after="0" w:line="20" w:lineRule="exact"/>
              <w:rPr>
                <w:sz w:val="1"/>
                <w:szCs w:val="1"/>
                <w:color w:val="auto"/>
              </w:rPr>
            </w:pPr>
          </w:p>
        </w:tc>
        <w:tc>
          <w:tcPr>
            <w:tcW w:w="120" w:type="dxa"/>
            <w:vAlign w:val="bottom"/>
            <w:tcBorders>
              <w:top w:val="single" w:sz="8" w:color="EAF9E8"/>
            </w:tcBorders>
            <w:shd w:val="clear" w:color="auto" w:fill="EAF9E8"/>
          </w:tcPr>
          <w:p>
            <w:pPr>
              <w:spacing w:after="0" w:line="20" w:lineRule="exact"/>
              <w:rPr>
                <w:sz w:val="1"/>
                <w:szCs w:val="1"/>
                <w:color w:val="auto"/>
              </w:rPr>
            </w:pPr>
          </w:p>
        </w:tc>
        <w:tc>
          <w:tcPr>
            <w:tcW w:w="120" w:type="dxa"/>
            <w:vAlign w:val="bottom"/>
            <w:tcBorders>
              <w:top w:val="single" w:sz="8" w:color="EAF9E8"/>
            </w:tcBorders>
            <w:shd w:val="clear" w:color="auto" w:fill="EAF9E8"/>
          </w:tcPr>
          <w:p>
            <w:pPr>
              <w:spacing w:after="0" w:line="20" w:lineRule="exact"/>
              <w:rPr>
                <w:sz w:val="1"/>
                <w:szCs w:val="1"/>
                <w:color w:val="auto"/>
              </w:rPr>
            </w:pPr>
          </w:p>
        </w:tc>
        <w:tc>
          <w:tcPr>
            <w:tcW w:w="100" w:type="dxa"/>
            <w:vAlign w:val="bottom"/>
            <w:tcBorders>
              <w:top w:val="single" w:sz="8" w:color="EAF9E8"/>
            </w:tcBorders>
            <w:shd w:val="clear" w:color="auto" w:fill="EAF9E8"/>
          </w:tcPr>
          <w:p>
            <w:pPr>
              <w:spacing w:after="0" w:line="20" w:lineRule="exact"/>
              <w:rPr>
                <w:sz w:val="1"/>
                <w:szCs w:val="1"/>
                <w:color w:val="auto"/>
              </w:rPr>
            </w:pPr>
          </w:p>
        </w:tc>
        <w:tc>
          <w:tcPr>
            <w:tcW w:w="980" w:type="dxa"/>
            <w:vAlign w:val="bottom"/>
            <w:tcBorders>
              <w:top w:val="single" w:sz="8" w:color="EAF9E8"/>
            </w:tcBorders>
            <w:shd w:val="clear" w:color="auto" w:fill="EAF9E8"/>
          </w:tcPr>
          <w:p>
            <w:pPr>
              <w:spacing w:after="0" w:line="20" w:lineRule="exact"/>
              <w:rPr>
                <w:sz w:val="1"/>
                <w:szCs w:val="1"/>
                <w:color w:val="auto"/>
              </w:rPr>
            </w:pPr>
          </w:p>
        </w:tc>
        <w:tc>
          <w:tcPr>
            <w:tcW w:w="220" w:type="dxa"/>
            <w:vAlign w:val="bottom"/>
            <w:tcBorders>
              <w:top w:val="single" w:sz="8" w:color="EAF9E8"/>
            </w:tcBorders>
            <w:shd w:val="clear" w:color="auto" w:fill="EAF9E8"/>
          </w:tcPr>
          <w:p>
            <w:pPr>
              <w:spacing w:after="0" w:line="20" w:lineRule="exact"/>
              <w:rPr>
                <w:sz w:val="1"/>
                <w:szCs w:val="1"/>
                <w:color w:val="auto"/>
              </w:rPr>
            </w:pPr>
          </w:p>
        </w:tc>
        <w:tc>
          <w:tcPr>
            <w:tcW w:w="100" w:type="dxa"/>
            <w:vAlign w:val="bottom"/>
            <w:tcBorders>
              <w:top w:val="single" w:sz="8" w:color="EAF9E8"/>
            </w:tcBorders>
            <w:shd w:val="clear" w:color="auto" w:fill="EAF9E8"/>
          </w:tcPr>
          <w:p>
            <w:pPr>
              <w:spacing w:after="0" w:line="20" w:lineRule="exact"/>
              <w:rPr>
                <w:sz w:val="1"/>
                <w:szCs w:val="1"/>
                <w:color w:val="auto"/>
              </w:rPr>
            </w:pPr>
          </w:p>
        </w:tc>
        <w:tc>
          <w:tcPr>
            <w:tcW w:w="880" w:type="dxa"/>
            <w:vAlign w:val="bottom"/>
            <w:tcBorders>
              <w:top w:val="single" w:sz="8" w:color="EAF9E8"/>
            </w:tcBorders>
            <w:shd w:val="clear" w:color="auto" w:fill="EAF9E8"/>
          </w:tcPr>
          <w:p>
            <w:pPr>
              <w:spacing w:after="0" w:line="20" w:lineRule="exact"/>
              <w:rPr>
                <w:sz w:val="1"/>
                <w:szCs w:val="1"/>
                <w:color w:val="auto"/>
              </w:rPr>
            </w:pPr>
          </w:p>
        </w:tc>
        <w:tc>
          <w:tcPr>
            <w:tcW w:w="240" w:type="dxa"/>
            <w:vAlign w:val="bottom"/>
            <w:tcBorders>
              <w:top w:val="single" w:sz="8" w:color="EAF9E8"/>
            </w:tcBorders>
            <w:shd w:val="clear" w:color="auto" w:fill="EAF9E8"/>
          </w:tcPr>
          <w:p>
            <w:pPr>
              <w:spacing w:after="0" w:line="20" w:lineRule="exact"/>
              <w:rPr>
                <w:sz w:val="1"/>
                <w:szCs w:val="1"/>
                <w:color w:val="auto"/>
              </w:rPr>
            </w:pPr>
          </w:p>
        </w:tc>
        <w:tc>
          <w:tcPr>
            <w:tcW w:w="100" w:type="dxa"/>
            <w:vAlign w:val="bottom"/>
            <w:tcBorders>
              <w:top w:val="single" w:sz="8" w:color="EAF9E8"/>
            </w:tcBorders>
            <w:shd w:val="clear" w:color="auto" w:fill="EAF9E8"/>
          </w:tcPr>
          <w:p>
            <w:pPr>
              <w:spacing w:after="0" w:line="20" w:lineRule="exact"/>
              <w:rPr>
                <w:sz w:val="1"/>
                <w:szCs w:val="1"/>
                <w:color w:val="auto"/>
              </w:rPr>
            </w:pPr>
          </w:p>
        </w:tc>
        <w:tc>
          <w:tcPr>
            <w:tcW w:w="1160" w:type="dxa"/>
            <w:vAlign w:val="bottom"/>
            <w:tcBorders>
              <w:top w:val="single" w:sz="8" w:color="EAF9E8"/>
            </w:tcBorders>
            <w:shd w:val="clear" w:color="auto" w:fill="EAF9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740" w:type="dxa"/>
            <w:vAlign w:val="bottom"/>
            <w:gridSpan w:val="4"/>
          </w:tcPr>
          <w:p>
            <w:pPr>
              <w:ind w:left="160"/>
              <w:spacing w:after="0"/>
              <w:rPr>
                <w:sz w:val="20"/>
                <w:szCs w:val="20"/>
                <w:color w:val="auto"/>
              </w:rPr>
            </w:pPr>
            <w:r>
              <w:rPr>
                <w:rFonts w:ascii="Arial" w:cs="Arial" w:eastAsia="Arial" w:hAnsi="Arial"/>
                <w:sz w:val="18"/>
                <w:szCs w:val="18"/>
                <w:color w:val="auto"/>
              </w:rPr>
              <w:t>Depreciation expense</w:t>
            </w:r>
          </w:p>
        </w:tc>
        <w:tc>
          <w:tcPr>
            <w:tcW w:w="220" w:type="dxa"/>
            <w:vAlign w:val="bottom"/>
          </w:tcPr>
          <w:p>
            <w:pPr>
              <w:jc w:val="right"/>
              <w:ind w:right="61"/>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9</w:t>
            </w:r>
          </w:p>
        </w:tc>
        <w:tc>
          <w:tcPr>
            <w:tcW w:w="1000" w:type="dxa"/>
            <w:vAlign w:val="bottom"/>
          </w:tcPr>
          <w:p>
            <w:pPr>
              <w:jc w:val="right"/>
              <w:ind w:right="840"/>
              <w:spacing w:after="0"/>
              <w:rPr>
                <w:sz w:val="20"/>
                <w:szCs w:val="20"/>
                <w:color w:val="auto"/>
              </w:rPr>
            </w:pPr>
            <w:r>
              <w:rPr>
                <w:rFonts w:ascii="Arial" w:cs="Arial" w:eastAsia="Arial" w:hAnsi="Arial"/>
                <w:sz w:val="15"/>
                <w:szCs w:val="15"/>
                <w:color w:val="auto"/>
                <w:w w:val="71"/>
              </w:rPr>
              <w:t>$</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48</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574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236</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876</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2740" w:type="dxa"/>
            <w:vAlign w:val="bottom"/>
            <w:gridSpan w:val="4"/>
            <w:shd w:val="clear" w:color="auto" w:fill="EAF9E8"/>
          </w:tcPr>
          <w:p>
            <w:pPr>
              <w:ind w:left="160"/>
              <w:spacing w:after="0"/>
              <w:rPr>
                <w:sz w:val="20"/>
                <w:szCs w:val="20"/>
                <w:color w:val="auto"/>
              </w:rPr>
            </w:pPr>
            <w:r>
              <w:rPr>
                <w:rFonts w:ascii="Arial" w:cs="Arial" w:eastAsia="Arial" w:hAnsi="Arial"/>
                <w:sz w:val="18"/>
                <w:szCs w:val="18"/>
                <w:color w:val="auto"/>
              </w:rPr>
              <w:t>Amortization of MSRs</w:t>
            </w:r>
          </w:p>
        </w:tc>
        <w:tc>
          <w:tcPr>
            <w:tcW w:w="220" w:type="dxa"/>
            <w:vAlign w:val="bottom"/>
            <w:shd w:val="clear" w:color="auto" w:fill="EAF9E8"/>
          </w:tcPr>
          <w:p>
            <w:pPr>
              <w:spacing w:after="0"/>
              <w:rPr>
                <w:sz w:val="21"/>
                <w:szCs w:val="21"/>
                <w:color w:val="auto"/>
              </w:rPr>
            </w:pPr>
          </w:p>
        </w:tc>
        <w:tc>
          <w:tcPr>
            <w:tcW w:w="84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7,159</w:t>
            </w:r>
          </w:p>
        </w:tc>
        <w:tc>
          <w:tcPr>
            <w:tcW w:w="1000" w:type="dxa"/>
            <w:vAlign w:val="bottom"/>
            <w:shd w:val="clear" w:color="auto" w:fill="EAF9E8"/>
          </w:tcPr>
          <w:p>
            <w:pPr>
              <w:spacing w:after="0"/>
              <w:rPr>
                <w:sz w:val="21"/>
                <w:szCs w:val="21"/>
                <w:color w:val="auto"/>
              </w:rPr>
            </w:pPr>
          </w:p>
        </w:tc>
        <w:tc>
          <w:tcPr>
            <w:tcW w:w="42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EAF9E8"/>
          </w:tcPr>
          <w:p>
            <w:pPr>
              <w:spacing w:after="0"/>
              <w:rPr>
                <w:sz w:val="21"/>
                <w:szCs w:val="21"/>
                <w:color w:val="auto"/>
              </w:rPr>
            </w:pPr>
          </w:p>
        </w:tc>
        <w:tc>
          <w:tcPr>
            <w:tcW w:w="110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EAF9E8"/>
          </w:tcPr>
          <w:p>
            <w:pPr>
              <w:spacing w:after="0"/>
              <w:rPr>
                <w:sz w:val="21"/>
                <w:szCs w:val="21"/>
                <w:color w:val="auto"/>
              </w:rPr>
            </w:pPr>
          </w:p>
        </w:tc>
        <w:tc>
          <w:tcPr>
            <w:tcW w:w="84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120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EAF9E8"/>
          </w:tcPr>
          <w:p>
            <w:pPr>
              <w:spacing w:after="0"/>
              <w:rPr>
                <w:sz w:val="21"/>
                <w:szCs w:val="21"/>
                <w:color w:val="auto"/>
              </w:rPr>
            </w:pPr>
          </w:p>
        </w:tc>
        <w:tc>
          <w:tcPr>
            <w:tcW w:w="8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1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7,159</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740" w:type="dxa"/>
            <w:vAlign w:val="bottom"/>
            <w:gridSpan w:val="4"/>
          </w:tcPr>
          <w:p>
            <w:pPr>
              <w:ind w:left="160"/>
              <w:spacing w:after="0"/>
              <w:rPr>
                <w:sz w:val="20"/>
                <w:szCs w:val="20"/>
                <w:color w:val="auto"/>
              </w:rPr>
            </w:pPr>
            <w:r>
              <w:rPr>
                <w:rFonts w:ascii="Arial" w:cs="Arial" w:eastAsia="Arial" w:hAnsi="Arial"/>
                <w:sz w:val="18"/>
                <w:szCs w:val="18"/>
                <w:color w:val="auto"/>
              </w:rPr>
              <w:t>Amortization of intangibles</w:t>
            </w:r>
          </w:p>
        </w:tc>
        <w:tc>
          <w:tcPr>
            <w:tcW w:w="220" w:type="dxa"/>
            <w:vAlign w:val="bottom"/>
          </w:tcPr>
          <w:p>
            <w:pPr>
              <w:spacing w:after="0"/>
              <w:rPr>
                <w:sz w:val="20"/>
                <w:szCs w:val="20"/>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20"/>
                <w:szCs w:val="20"/>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288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45"/>
        </w:trPr>
        <w:tc>
          <w:tcPr>
            <w:tcW w:w="20" w:type="dxa"/>
            <w:vAlign w:val="bottom"/>
            <w:vMerge w:val="restart"/>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880" w:type="dxa"/>
            <w:vAlign w:val="bottom"/>
            <w:gridSpan w:val="5"/>
            <w:shd w:val="clear" w:color="auto" w:fill="EAF9E8"/>
          </w:tcPr>
          <w:p>
            <w:pPr>
              <w:spacing w:after="0" w:line="176" w:lineRule="exact"/>
              <w:rPr>
                <w:sz w:val="20"/>
                <w:szCs w:val="20"/>
                <w:color w:val="auto"/>
              </w:rPr>
            </w:pPr>
            <w:r>
              <w:rPr>
                <w:rFonts w:ascii="Arial" w:cs="Arial" w:eastAsia="Arial" w:hAnsi="Arial"/>
                <w:sz w:val="18"/>
                <w:szCs w:val="18"/>
                <w:color w:val="auto"/>
              </w:rPr>
              <w:t>For the three months ended</w:t>
            </w:r>
          </w:p>
        </w:tc>
        <w:tc>
          <w:tcPr>
            <w:tcW w:w="220" w:type="dxa"/>
            <w:vAlign w:val="bottom"/>
            <w:shd w:val="clear" w:color="auto" w:fill="EAF9E8"/>
          </w:tcPr>
          <w:p>
            <w:pPr>
              <w:spacing w:after="0"/>
              <w:rPr>
                <w:sz w:val="15"/>
                <w:szCs w:val="15"/>
                <w:color w:val="auto"/>
              </w:rPr>
            </w:pPr>
          </w:p>
        </w:tc>
        <w:tc>
          <w:tcPr>
            <w:tcW w:w="600" w:type="dxa"/>
            <w:vAlign w:val="bottom"/>
            <w:shd w:val="clear" w:color="auto" w:fill="EAF9E8"/>
          </w:tcPr>
          <w:p>
            <w:pPr>
              <w:spacing w:after="0"/>
              <w:rPr>
                <w:sz w:val="15"/>
                <w:szCs w:val="15"/>
                <w:color w:val="auto"/>
              </w:rPr>
            </w:pPr>
          </w:p>
        </w:tc>
        <w:tc>
          <w:tcPr>
            <w:tcW w:w="240" w:type="dxa"/>
            <w:vAlign w:val="bottom"/>
            <w:shd w:val="clear" w:color="auto" w:fill="EAF9E8"/>
          </w:tcPr>
          <w:p>
            <w:pPr>
              <w:spacing w:after="0"/>
              <w:rPr>
                <w:sz w:val="15"/>
                <w:szCs w:val="15"/>
                <w:color w:val="auto"/>
              </w:rPr>
            </w:pPr>
          </w:p>
        </w:tc>
        <w:tc>
          <w:tcPr>
            <w:tcW w:w="1000" w:type="dxa"/>
            <w:vAlign w:val="bottom"/>
            <w:shd w:val="clear" w:color="auto" w:fill="EAF9E8"/>
          </w:tcPr>
          <w:p>
            <w:pPr>
              <w:spacing w:after="0"/>
              <w:rPr>
                <w:sz w:val="15"/>
                <w:szCs w:val="15"/>
                <w:color w:val="auto"/>
              </w:rPr>
            </w:pPr>
          </w:p>
        </w:tc>
        <w:tc>
          <w:tcPr>
            <w:tcW w:w="200" w:type="dxa"/>
            <w:vAlign w:val="bottom"/>
            <w:shd w:val="clear" w:color="auto" w:fill="EAF9E8"/>
          </w:tcPr>
          <w:p>
            <w:pPr>
              <w:spacing w:after="0"/>
              <w:rPr>
                <w:sz w:val="15"/>
                <w:szCs w:val="15"/>
                <w:color w:val="auto"/>
              </w:rPr>
            </w:pPr>
          </w:p>
        </w:tc>
        <w:tc>
          <w:tcPr>
            <w:tcW w:w="220" w:type="dxa"/>
            <w:vAlign w:val="bottom"/>
            <w:shd w:val="clear" w:color="auto" w:fill="EAF9E8"/>
          </w:tcPr>
          <w:p>
            <w:pPr>
              <w:spacing w:after="0"/>
              <w:rPr>
                <w:sz w:val="15"/>
                <w:szCs w:val="15"/>
                <w:color w:val="auto"/>
              </w:rPr>
            </w:pPr>
          </w:p>
        </w:tc>
        <w:tc>
          <w:tcPr>
            <w:tcW w:w="100" w:type="dxa"/>
            <w:vAlign w:val="bottom"/>
            <w:shd w:val="clear" w:color="auto" w:fill="EAF9E8"/>
          </w:tcPr>
          <w:p>
            <w:pPr>
              <w:spacing w:after="0"/>
              <w:rPr>
                <w:sz w:val="15"/>
                <w:szCs w:val="15"/>
                <w:color w:val="auto"/>
              </w:rPr>
            </w:pPr>
          </w:p>
        </w:tc>
        <w:tc>
          <w:tcPr>
            <w:tcW w:w="860" w:type="dxa"/>
            <w:vAlign w:val="bottom"/>
            <w:shd w:val="clear" w:color="auto" w:fill="EAF9E8"/>
          </w:tcPr>
          <w:p>
            <w:pPr>
              <w:spacing w:after="0"/>
              <w:rPr>
                <w:sz w:val="15"/>
                <w:szCs w:val="15"/>
                <w:color w:val="auto"/>
              </w:rPr>
            </w:pPr>
          </w:p>
        </w:tc>
        <w:tc>
          <w:tcPr>
            <w:tcW w:w="240" w:type="dxa"/>
            <w:vAlign w:val="bottom"/>
            <w:shd w:val="clear" w:color="auto" w:fill="EAF9E8"/>
          </w:tcPr>
          <w:p>
            <w:pPr>
              <w:spacing w:after="0"/>
              <w:rPr>
                <w:sz w:val="15"/>
                <w:szCs w:val="15"/>
                <w:color w:val="auto"/>
              </w:rPr>
            </w:pPr>
          </w:p>
        </w:tc>
        <w:tc>
          <w:tcPr>
            <w:tcW w:w="100" w:type="dxa"/>
            <w:vAlign w:val="bottom"/>
            <w:shd w:val="clear" w:color="auto" w:fill="EAF9E8"/>
          </w:tcPr>
          <w:p>
            <w:pPr>
              <w:spacing w:after="0"/>
              <w:rPr>
                <w:sz w:val="15"/>
                <w:szCs w:val="15"/>
                <w:color w:val="auto"/>
              </w:rPr>
            </w:pPr>
          </w:p>
        </w:tc>
        <w:tc>
          <w:tcPr>
            <w:tcW w:w="720" w:type="dxa"/>
            <w:vAlign w:val="bottom"/>
            <w:shd w:val="clear" w:color="auto" w:fill="EAF9E8"/>
          </w:tcPr>
          <w:p>
            <w:pPr>
              <w:spacing w:after="0"/>
              <w:rPr>
                <w:sz w:val="15"/>
                <w:szCs w:val="15"/>
                <w:color w:val="auto"/>
              </w:rPr>
            </w:pPr>
          </w:p>
        </w:tc>
        <w:tc>
          <w:tcPr>
            <w:tcW w:w="120" w:type="dxa"/>
            <w:vAlign w:val="bottom"/>
            <w:shd w:val="clear" w:color="auto" w:fill="EAF9E8"/>
          </w:tcPr>
          <w:p>
            <w:pPr>
              <w:spacing w:after="0"/>
              <w:rPr>
                <w:sz w:val="15"/>
                <w:szCs w:val="15"/>
                <w:color w:val="auto"/>
              </w:rPr>
            </w:pPr>
          </w:p>
        </w:tc>
        <w:tc>
          <w:tcPr>
            <w:tcW w:w="120" w:type="dxa"/>
            <w:vAlign w:val="bottom"/>
            <w:shd w:val="clear" w:color="auto" w:fill="EAF9E8"/>
          </w:tcPr>
          <w:p>
            <w:pPr>
              <w:spacing w:after="0"/>
              <w:rPr>
                <w:sz w:val="15"/>
                <w:szCs w:val="15"/>
                <w:color w:val="auto"/>
              </w:rPr>
            </w:pPr>
          </w:p>
        </w:tc>
        <w:tc>
          <w:tcPr>
            <w:tcW w:w="100" w:type="dxa"/>
            <w:vAlign w:val="bottom"/>
            <w:shd w:val="clear" w:color="auto" w:fill="EAF9E8"/>
          </w:tcPr>
          <w:p>
            <w:pPr>
              <w:spacing w:after="0"/>
              <w:rPr>
                <w:sz w:val="15"/>
                <w:szCs w:val="15"/>
                <w:color w:val="auto"/>
              </w:rPr>
            </w:pPr>
          </w:p>
        </w:tc>
        <w:tc>
          <w:tcPr>
            <w:tcW w:w="980" w:type="dxa"/>
            <w:vAlign w:val="bottom"/>
            <w:shd w:val="clear" w:color="auto" w:fill="EAF9E8"/>
          </w:tcPr>
          <w:p>
            <w:pPr>
              <w:spacing w:after="0"/>
              <w:rPr>
                <w:sz w:val="15"/>
                <w:szCs w:val="15"/>
                <w:color w:val="auto"/>
              </w:rPr>
            </w:pPr>
          </w:p>
        </w:tc>
        <w:tc>
          <w:tcPr>
            <w:tcW w:w="220" w:type="dxa"/>
            <w:vAlign w:val="bottom"/>
            <w:shd w:val="clear" w:color="auto" w:fill="EAF9E8"/>
          </w:tcPr>
          <w:p>
            <w:pPr>
              <w:spacing w:after="0"/>
              <w:rPr>
                <w:sz w:val="15"/>
                <w:szCs w:val="15"/>
                <w:color w:val="auto"/>
              </w:rPr>
            </w:pPr>
          </w:p>
        </w:tc>
        <w:tc>
          <w:tcPr>
            <w:tcW w:w="100" w:type="dxa"/>
            <w:vAlign w:val="bottom"/>
            <w:shd w:val="clear" w:color="auto" w:fill="EAF9E8"/>
          </w:tcPr>
          <w:p>
            <w:pPr>
              <w:spacing w:after="0"/>
              <w:rPr>
                <w:sz w:val="15"/>
                <w:szCs w:val="15"/>
                <w:color w:val="auto"/>
              </w:rPr>
            </w:pPr>
          </w:p>
        </w:tc>
        <w:tc>
          <w:tcPr>
            <w:tcW w:w="880" w:type="dxa"/>
            <w:vAlign w:val="bottom"/>
            <w:shd w:val="clear" w:color="auto" w:fill="EAF9E8"/>
          </w:tcPr>
          <w:p>
            <w:pPr>
              <w:spacing w:after="0"/>
              <w:rPr>
                <w:sz w:val="15"/>
                <w:szCs w:val="15"/>
                <w:color w:val="auto"/>
              </w:rPr>
            </w:pPr>
          </w:p>
        </w:tc>
        <w:tc>
          <w:tcPr>
            <w:tcW w:w="240" w:type="dxa"/>
            <w:vAlign w:val="bottom"/>
            <w:shd w:val="clear" w:color="auto" w:fill="EAF9E8"/>
          </w:tcPr>
          <w:p>
            <w:pPr>
              <w:spacing w:after="0"/>
              <w:rPr>
                <w:sz w:val="15"/>
                <w:szCs w:val="15"/>
                <w:color w:val="auto"/>
              </w:rPr>
            </w:pPr>
          </w:p>
        </w:tc>
        <w:tc>
          <w:tcPr>
            <w:tcW w:w="100" w:type="dxa"/>
            <w:vAlign w:val="bottom"/>
            <w:shd w:val="clear" w:color="auto" w:fill="EAF9E8"/>
          </w:tcPr>
          <w:p>
            <w:pPr>
              <w:spacing w:after="0"/>
              <w:rPr>
                <w:sz w:val="15"/>
                <w:szCs w:val="15"/>
                <w:color w:val="auto"/>
              </w:rPr>
            </w:pPr>
          </w:p>
        </w:tc>
        <w:tc>
          <w:tcPr>
            <w:tcW w:w="1160" w:type="dxa"/>
            <w:vAlign w:val="bottom"/>
            <w:shd w:val="clear" w:color="auto" w:fill="EAF9E8"/>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0" w:type="dxa"/>
            <w:vAlign w:val="bottom"/>
            <w:tcBorders>
              <w:top w:val="single" w:sz="8" w:color="auto"/>
            </w:tcBorders>
            <w:shd w:val="clear" w:color="auto" w:fill="EAF9E8"/>
          </w:tcPr>
          <w:p>
            <w:pPr>
              <w:spacing w:after="0"/>
              <w:rPr>
                <w:sz w:val="17"/>
                <w:szCs w:val="17"/>
                <w:color w:val="auto"/>
              </w:rPr>
            </w:pPr>
          </w:p>
        </w:tc>
        <w:tc>
          <w:tcPr>
            <w:tcW w:w="1760" w:type="dxa"/>
            <w:vAlign w:val="bottom"/>
            <w:tcBorders>
              <w:top w:val="single" w:sz="8" w:color="auto"/>
            </w:tcBorders>
            <w:gridSpan w:val="3"/>
            <w:shd w:val="clear" w:color="auto" w:fill="EAF9E8"/>
          </w:tcPr>
          <w:p>
            <w:pPr>
              <w:spacing w:after="0" w:line="196" w:lineRule="exact"/>
              <w:rPr>
                <w:sz w:val="20"/>
                <w:szCs w:val="20"/>
                <w:color w:val="auto"/>
              </w:rPr>
            </w:pPr>
            <w:r>
              <w:rPr>
                <w:rFonts w:ascii="Arial" w:cs="Arial" w:eastAsia="Arial" w:hAnsi="Arial"/>
                <w:sz w:val="18"/>
                <w:szCs w:val="18"/>
                <w:color w:val="auto"/>
              </w:rPr>
              <w:t>September 30, 2008:</w:t>
            </w:r>
          </w:p>
        </w:tc>
        <w:tc>
          <w:tcPr>
            <w:tcW w:w="980" w:type="dxa"/>
            <w:vAlign w:val="bottom"/>
            <w:tcBorders>
              <w:top w:val="single" w:sz="8" w:color="EAF9E8"/>
            </w:tcBorders>
            <w:shd w:val="clear" w:color="auto" w:fill="EAF9E8"/>
          </w:tcPr>
          <w:p>
            <w:pPr>
              <w:spacing w:after="0"/>
              <w:rPr>
                <w:sz w:val="17"/>
                <w:szCs w:val="17"/>
                <w:color w:val="auto"/>
              </w:rPr>
            </w:pPr>
          </w:p>
        </w:tc>
        <w:tc>
          <w:tcPr>
            <w:tcW w:w="220" w:type="dxa"/>
            <w:vAlign w:val="bottom"/>
            <w:tcBorders>
              <w:top w:val="single" w:sz="8" w:color="EAF9E8"/>
            </w:tcBorders>
            <w:shd w:val="clear" w:color="auto" w:fill="EAF9E8"/>
          </w:tcPr>
          <w:p>
            <w:pPr>
              <w:spacing w:after="0"/>
              <w:rPr>
                <w:sz w:val="17"/>
                <w:szCs w:val="17"/>
                <w:color w:val="auto"/>
              </w:rPr>
            </w:pPr>
          </w:p>
        </w:tc>
        <w:tc>
          <w:tcPr>
            <w:tcW w:w="600" w:type="dxa"/>
            <w:vAlign w:val="bottom"/>
            <w:tcBorders>
              <w:top w:val="single" w:sz="8" w:color="EAF9E8"/>
            </w:tcBorders>
            <w:shd w:val="clear" w:color="auto" w:fill="EAF9E8"/>
          </w:tcPr>
          <w:p>
            <w:pPr>
              <w:spacing w:after="0"/>
              <w:rPr>
                <w:sz w:val="17"/>
                <w:szCs w:val="17"/>
                <w:color w:val="auto"/>
              </w:rPr>
            </w:pPr>
          </w:p>
        </w:tc>
        <w:tc>
          <w:tcPr>
            <w:tcW w:w="240" w:type="dxa"/>
            <w:vAlign w:val="bottom"/>
            <w:tcBorders>
              <w:top w:val="single" w:sz="8" w:color="EAF9E8"/>
            </w:tcBorders>
            <w:shd w:val="clear" w:color="auto" w:fill="EAF9E8"/>
          </w:tcPr>
          <w:p>
            <w:pPr>
              <w:spacing w:after="0"/>
              <w:rPr>
                <w:sz w:val="17"/>
                <w:szCs w:val="17"/>
                <w:color w:val="auto"/>
              </w:rPr>
            </w:pPr>
          </w:p>
        </w:tc>
        <w:tc>
          <w:tcPr>
            <w:tcW w:w="1000" w:type="dxa"/>
            <w:vAlign w:val="bottom"/>
            <w:tcBorders>
              <w:top w:val="single" w:sz="8" w:color="EAF9E8"/>
            </w:tcBorders>
            <w:shd w:val="clear" w:color="auto" w:fill="EAF9E8"/>
          </w:tcPr>
          <w:p>
            <w:pPr>
              <w:spacing w:after="0"/>
              <w:rPr>
                <w:sz w:val="17"/>
                <w:szCs w:val="17"/>
                <w:color w:val="auto"/>
              </w:rPr>
            </w:pPr>
          </w:p>
        </w:tc>
        <w:tc>
          <w:tcPr>
            <w:tcW w:w="200" w:type="dxa"/>
            <w:vAlign w:val="bottom"/>
            <w:tcBorders>
              <w:top w:val="single" w:sz="8" w:color="EAF9E8"/>
            </w:tcBorders>
            <w:shd w:val="clear" w:color="auto" w:fill="EAF9E8"/>
          </w:tcPr>
          <w:p>
            <w:pPr>
              <w:spacing w:after="0"/>
              <w:rPr>
                <w:sz w:val="17"/>
                <w:szCs w:val="17"/>
                <w:color w:val="auto"/>
              </w:rPr>
            </w:pPr>
          </w:p>
        </w:tc>
        <w:tc>
          <w:tcPr>
            <w:tcW w:w="220" w:type="dxa"/>
            <w:vAlign w:val="bottom"/>
            <w:tcBorders>
              <w:top w:val="single" w:sz="8" w:color="EAF9E8"/>
            </w:tcBorders>
            <w:shd w:val="clear" w:color="auto" w:fill="EAF9E8"/>
          </w:tcPr>
          <w:p>
            <w:pPr>
              <w:spacing w:after="0"/>
              <w:rPr>
                <w:sz w:val="17"/>
                <w:szCs w:val="17"/>
                <w:color w:val="auto"/>
              </w:rPr>
            </w:pPr>
          </w:p>
        </w:tc>
        <w:tc>
          <w:tcPr>
            <w:tcW w:w="100" w:type="dxa"/>
            <w:vAlign w:val="bottom"/>
            <w:tcBorders>
              <w:top w:val="single" w:sz="8" w:color="EAF9E8"/>
            </w:tcBorders>
            <w:shd w:val="clear" w:color="auto" w:fill="EAF9E8"/>
          </w:tcPr>
          <w:p>
            <w:pPr>
              <w:spacing w:after="0"/>
              <w:rPr>
                <w:sz w:val="17"/>
                <w:szCs w:val="17"/>
                <w:color w:val="auto"/>
              </w:rPr>
            </w:pPr>
          </w:p>
        </w:tc>
        <w:tc>
          <w:tcPr>
            <w:tcW w:w="860" w:type="dxa"/>
            <w:vAlign w:val="bottom"/>
            <w:tcBorders>
              <w:top w:val="single" w:sz="8" w:color="EAF9E8"/>
            </w:tcBorders>
            <w:shd w:val="clear" w:color="auto" w:fill="EAF9E8"/>
          </w:tcPr>
          <w:p>
            <w:pPr>
              <w:spacing w:after="0"/>
              <w:rPr>
                <w:sz w:val="17"/>
                <w:szCs w:val="17"/>
                <w:color w:val="auto"/>
              </w:rPr>
            </w:pPr>
          </w:p>
        </w:tc>
        <w:tc>
          <w:tcPr>
            <w:tcW w:w="240" w:type="dxa"/>
            <w:vAlign w:val="bottom"/>
            <w:tcBorders>
              <w:top w:val="single" w:sz="8" w:color="EAF9E8"/>
            </w:tcBorders>
            <w:shd w:val="clear" w:color="auto" w:fill="EAF9E8"/>
          </w:tcPr>
          <w:p>
            <w:pPr>
              <w:spacing w:after="0"/>
              <w:rPr>
                <w:sz w:val="17"/>
                <w:szCs w:val="17"/>
                <w:color w:val="auto"/>
              </w:rPr>
            </w:pPr>
          </w:p>
        </w:tc>
        <w:tc>
          <w:tcPr>
            <w:tcW w:w="100" w:type="dxa"/>
            <w:vAlign w:val="bottom"/>
            <w:tcBorders>
              <w:top w:val="single" w:sz="8" w:color="EAF9E8"/>
            </w:tcBorders>
            <w:shd w:val="clear" w:color="auto" w:fill="EAF9E8"/>
          </w:tcPr>
          <w:p>
            <w:pPr>
              <w:spacing w:after="0"/>
              <w:rPr>
                <w:sz w:val="17"/>
                <w:szCs w:val="17"/>
                <w:color w:val="auto"/>
              </w:rPr>
            </w:pPr>
          </w:p>
        </w:tc>
        <w:tc>
          <w:tcPr>
            <w:tcW w:w="720" w:type="dxa"/>
            <w:vAlign w:val="bottom"/>
            <w:tcBorders>
              <w:top w:val="single" w:sz="8" w:color="EAF9E8"/>
            </w:tcBorders>
            <w:shd w:val="clear" w:color="auto" w:fill="EAF9E8"/>
          </w:tcPr>
          <w:p>
            <w:pPr>
              <w:spacing w:after="0"/>
              <w:rPr>
                <w:sz w:val="17"/>
                <w:szCs w:val="17"/>
                <w:color w:val="auto"/>
              </w:rPr>
            </w:pPr>
          </w:p>
        </w:tc>
        <w:tc>
          <w:tcPr>
            <w:tcW w:w="120" w:type="dxa"/>
            <w:vAlign w:val="bottom"/>
            <w:tcBorders>
              <w:top w:val="single" w:sz="8" w:color="EAF9E8"/>
            </w:tcBorders>
            <w:shd w:val="clear" w:color="auto" w:fill="EAF9E8"/>
          </w:tcPr>
          <w:p>
            <w:pPr>
              <w:spacing w:after="0"/>
              <w:rPr>
                <w:sz w:val="17"/>
                <w:szCs w:val="17"/>
                <w:color w:val="auto"/>
              </w:rPr>
            </w:pPr>
          </w:p>
        </w:tc>
        <w:tc>
          <w:tcPr>
            <w:tcW w:w="120" w:type="dxa"/>
            <w:vAlign w:val="bottom"/>
            <w:tcBorders>
              <w:top w:val="single" w:sz="8" w:color="EAF9E8"/>
            </w:tcBorders>
            <w:shd w:val="clear" w:color="auto" w:fill="EAF9E8"/>
          </w:tcPr>
          <w:p>
            <w:pPr>
              <w:spacing w:after="0"/>
              <w:rPr>
                <w:sz w:val="17"/>
                <w:szCs w:val="17"/>
                <w:color w:val="auto"/>
              </w:rPr>
            </w:pPr>
          </w:p>
        </w:tc>
        <w:tc>
          <w:tcPr>
            <w:tcW w:w="100" w:type="dxa"/>
            <w:vAlign w:val="bottom"/>
            <w:tcBorders>
              <w:top w:val="single" w:sz="8" w:color="EAF9E8"/>
            </w:tcBorders>
            <w:shd w:val="clear" w:color="auto" w:fill="EAF9E8"/>
          </w:tcPr>
          <w:p>
            <w:pPr>
              <w:spacing w:after="0"/>
              <w:rPr>
                <w:sz w:val="17"/>
                <w:szCs w:val="17"/>
                <w:color w:val="auto"/>
              </w:rPr>
            </w:pPr>
          </w:p>
        </w:tc>
        <w:tc>
          <w:tcPr>
            <w:tcW w:w="980" w:type="dxa"/>
            <w:vAlign w:val="bottom"/>
            <w:tcBorders>
              <w:top w:val="single" w:sz="8" w:color="EAF9E8"/>
            </w:tcBorders>
            <w:shd w:val="clear" w:color="auto" w:fill="EAF9E8"/>
          </w:tcPr>
          <w:p>
            <w:pPr>
              <w:spacing w:after="0"/>
              <w:rPr>
                <w:sz w:val="17"/>
                <w:szCs w:val="17"/>
                <w:color w:val="auto"/>
              </w:rPr>
            </w:pPr>
          </w:p>
        </w:tc>
        <w:tc>
          <w:tcPr>
            <w:tcW w:w="220" w:type="dxa"/>
            <w:vAlign w:val="bottom"/>
            <w:tcBorders>
              <w:top w:val="single" w:sz="8" w:color="EAF9E8"/>
            </w:tcBorders>
            <w:shd w:val="clear" w:color="auto" w:fill="EAF9E8"/>
          </w:tcPr>
          <w:p>
            <w:pPr>
              <w:spacing w:after="0"/>
              <w:rPr>
                <w:sz w:val="17"/>
                <w:szCs w:val="17"/>
                <w:color w:val="auto"/>
              </w:rPr>
            </w:pPr>
          </w:p>
        </w:tc>
        <w:tc>
          <w:tcPr>
            <w:tcW w:w="100" w:type="dxa"/>
            <w:vAlign w:val="bottom"/>
            <w:tcBorders>
              <w:top w:val="single" w:sz="8" w:color="EAF9E8"/>
            </w:tcBorders>
            <w:shd w:val="clear" w:color="auto" w:fill="EAF9E8"/>
          </w:tcPr>
          <w:p>
            <w:pPr>
              <w:spacing w:after="0"/>
              <w:rPr>
                <w:sz w:val="17"/>
                <w:szCs w:val="17"/>
                <w:color w:val="auto"/>
              </w:rPr>
            </w:pPr>
          </w:p>
        </w:tc>
        <w:tc>
          <w:tcPr>
            <w:tcW w:w="880" w:type="dxa"/>
            <w:vAlign w:val="bottom"/>
            <w:tcBorders>
              <w:top w:val="single" w:sz="8" w:color="EAF9E8"/>
            </w:tcBorders>
            <w:shd w:val="clear" w:color="auto" w:fill="EAF9E8"/>
          </w:tcPr>
          <w:p>
            <w:pPr>
              <w:spacing w:after="0"/>
              <w:rPr>
                <w:sz w:val="17"/>
                <w:szCs w:val="17"/>
                <w:color w:val="auto"/>
              </w:rPr>
            </w:pPr>
          </w:p>
        </w:tc>
        <w:tc>
          <w:tcPr>
            <w:tcW w:w="240" w:type="dxa"/>
            <w:vAlign w:val="bottom"/>
            <w:tcBorders>
              <w:top w:val="single" w:sz="8" w:color="EAF9E8"/>
            </w:tcBorders>
            <w:shd w:val="clear" w:color="auto" w:fill="EAF9E8"/>
          </w:tcPr>
          <w:p>
            <w:pPr>
              <w:spacing w:after="0"/>
              <w:rPr>
                <w:sz w:val="17"/>
                <w:szCs w:val="17"/>
                <w:color w:val="auto"/>
              </w:rPr>
            </w:pPr>
          </w:p>
        </w:tc>
        <w:tc>
          <w:tcPr>
            <w:tcW w:w="100" w:type="dxa"/>
            <w:vAlign w:val="bottom"/>
            <w:tcBorders>
              <w:top w:val="single" w:sz="8" w:color="EAF9E8"/>
            </w:tcBorders>
            <w:shd w:val="clear" w:color="auto" w:fill="EAF9E8"/>
          </w:tcPr>
          <w:p>
            <w:pPr>
              <w:spacing w:after="0"/>
              <w:rPr>
                <w:sz w:val="17"/>
                <w:szCs w:val="17"/>
                <w:color w:val="auto"/>
              </w:rPr>
            </w:pPr>
          </w:p>
        </w:tc>
        <w:tc>
          <w:tcPr>
            <w:tcW w:w="1160" w:type="dxa"/>
            <w:vAlign w:val="bottom"/>
            <w:tcBorders>
              <w:top w:val="single" w:sz="8" w:color="EAF9E8"/>
            </w:tcBorders>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0" w:type="dxa"/>
            <w:vAlign w:val="bottom"/>
            <w:tcBorders>
              <w:top w:val="single" w:sz="8" w:color="EAF9E8"/>
            </w:tcBorders>
            <w:shd w:val="clear" w:color="auto" w:fill="EAF9E8"/>
          </w:tcPr>
          <w:p>
            <w:pPr>
              <w:spacing w:after="0" w:line="20" w:lineRule="exact"/>
              <w:rPr>
                <w:sz w:val="1"/>
                <w:szCs w:val="1"/>
                <w:color w:val="auto"/>
              </w:rPr>
            </w:pPr>
          </w:p>
        </w:tc>
        <w:tc>
          <w:tcPr>
            <w:tcW w:w="1460" w:type="dxa"/>
            <w:vAlign w:val="bottom"/>
            <w:tcBorders>
              <w:top w:val="single" w:sz="8" w:color="auto"/>
            </w:tcBorders>
            <w:shd w:val="clear" w:color="auto" w:fill="EAF9E8"/>
          </w:tcPr>
          <w:p>
            <w:pPr>
              <w:spacing w:after="0" w:line="20" w:lineRule="exact"/>
              <w:rPr>
                <w:sz w:val="1"/>
                <w:szCs w:val="1"/>
                <w:color w:val="auto"/>
              </w:rPr>
            </w:pPr>
          </w:p>
        </w:tc>
        <w:tc>
          <w:tcPr>
            <w:tcW w:w="260" w:type="dxa"/>
            <w:vAlign w:val="bottom"/>
            <w:tcBorders>
              <w:top w:val="single" w:sz="8" w:color="EAF9E8"/>
            </w:tcBorders>
            <w:shd w:val="clear" w:color="auto" w:fill="EAF9E8"/>
          </w:tcPr>
          <w:p>
            <w:pPr>
              <w:spacing w:after="0" w:line="20" w:lineRule="exact"/>
              <w:rPr>
                <w:sz w:val="1"/>
                <w:szCs w:val="1"/>
                <w:color w:val="auto"/>
              </w:rPr>
            </w:pPr>
          </w:p>
        </w:tc>
        <w:tc>
          <w:tcPr>
            <w:tcW w:w="40" w:type="dxa"/>
            <w:vAlign w:val="bottom"/>
            <w:tcBorders>
              <w:top w:val="single" w:sz="8" w:color="EAF9E8"/>
            </w:tcBorders>
            <w:shd w:val="clear" w:color="auto" w:fill="EAF9E8"/>
          </w:tcPr>
          <w:p>
            <w:pPr>
              <w:spacing w:after="0" w:line="20" w:lineRule="exact"/>
              <w:rPr>
                <w:sz w:val="1"/>
                <w:szCs w:val="1"/>
                <w:color w:val="auto"/>
              </w:rPr>
            </w:pPr>
          </w:p>
        </w:tc>
        <w:tc>
          <w:tcPr>
            <w:tcW w:w="980" w:type="dxa"/>
            <w:vAlign w:val="bottom"/>
            <w:tcBorders>
              <w:top w:val="single" w:sz="8" w:color="EAF9E8"/>
            </w:tcBorders>
            <w:shd w:val="clear" w:color="auto" w:fill="EAF9E8"/>
          </w:tcPr>
          <w:p>
            <w:pPr>
              <w:spacing w:after="0" w:line="20" w:lineRule="exact"/>
              <w:rPr>
                <w:sz w:val="1"/>
                <w:szCs w:val="1"/>
                <w:color w:val="auto"/>
              </w:rPr>
            </w:pPr>
          </w:p>
        </w:tc>
        <w:tc>
          <w:tcPr>
            <w:tcW w:w="220" w:type="dxa"/>
            <w:vAlign w:val="bottom"/>
            <w:tcBorders>
              <w:top w:val="single" w:sz="8" w:color="EAF9E8"/>
            </w:tcBorders>
            <w:shd w:val="clear" w:color="auto" w:fill="EAF9E8"/>
          </w:tcPr>
          <w:p>
            <w:pPr>
              <w:spacing w:after="0" w:line="20" w:lineRule="exact"/>
              <w:rPr>
                <w:sz w:val="1"/>
                <w:szCs w:val="1"/>
                <w:color w:val="auto"/>
              </w:rPr>
            </w:pPr>
          </w:p>
        </w:tc>
        <w:tc>
          <w:tcPr>
            <w:tcW w:w="600" w:type="dxa"/>
            <w:vAlign w:val="bottom"/>
            <w:tcBorders>
              <w:top w:val="single" w:sz="8" w:color="EAF9E8"/>
            </w:tcBorders>
            <w:shd w:val="clear" w:color="auto" w:fill="EAF9E8"/>
          </w:tcPr>
          <w:p>
            <w:pPr>
              <w:spacing w:after="0" w:line="20" w:lineRule="exact"/>
              <w:rPr>
                <w:sz w:val="1"/>
                <w:szCs w:val="1"/>
                <w:color w:val="auto"/>
              </w:rPr>
            </w:pPr>
          </w:p>
        </w:tc>
        <w:tc>
          <w:tcPr>
            <w:tcW w:w="240" w:type="dxa"/>
            <w:vAlign w:val="bottom"/>
            <w:tcBorders>
              <w:top w:val="single" w:sz="8" w:color="EAF9E8"/>
            </w:tcBorders>
            <w:shd w:val="clear" w:color="auto" w:fill="EAF9E8"/>
          </w:tcPr>
          <w:p>
            <w:pPr>
              <w:spacing w:after="0" w:line="20" w:lineRule="exact"/>
              <w:rPr>
                <w:sz w:val="1"/>
                <w:szCs w:val="1"/>
                <w:color w:val="auto"/>
              </w:rPr>
            </w:pPr>
          </w:p>
        </w:tc>
        <w:tc>
          <w:tcPr>
            <w:tcW w:w="1000" w:type="dxa"/>
            <w:vAlign w:val="bottom"/>
            <w:tcBorders>
              <w:top w:val="single" w:sz="8" w:color="EAF9E8"/>
            </w:tcBorders>
            <w:shd w:val="clear" w:color="auto" w:fill="EAF9E8"/>
          </w:tcPr>
          <w:p>
            <w:pPr>
              <w:spacing w:after="0" w:line="20" w:lineRule="exact"/>
              <w:rPr>
                <w:sz w:val="1"/>
                <w:szCs w:val="1"/>
                <w:color w:val="auto"/>
              </w:rPr>
            </w:pPr>
          </w:p>
        </w:tc>
        <w:tc>
          <w:tcPr>
            <w:tcW w:w="200" w:type="dxa"/>
            <w:vAlign w:val="bottom"/>
            <w:tcBorders>
              <w:top w:val="single" w:sz="8" w:color="EAF9E8"/>
            </w:tcBorders>
            <w:shd w:val="clear" w:color="auto" w:fill="EAF9E8"/>
          </w:tcPr>
          <w:p>
            <w:pPr>
              <w:spacing w:after="0" w:line="20" w:lineRule="exact"/>
              <w:rPr>
                <w:sz w:val="1"/>
                <w:szCs w:val="1"/>
                <w:color w:val="auto"/>
              </w:rPr>
            </w:pPr>
          </w:p>
        </w:tc>
        <w:tc>
          <w:tcPr>
            <w:tcW w:w="220" w:type="dxa"/>
            <w:vAlign w:val="bottom"/>
            <w:tcBorders>
              <w:top w:val="single" w:sz="8" w:color="EAF9E8"/>
            </w:tcBorders>
            <w:shd w:val="clear" w:color="auto" w:fill="EAF9E8"/>
          </w:tcPr>
          <w:p>
            <w:pPr>
              <w:spacing w:after="0" w:line="20" w:lineRule="exact"/>
              <w:rPr>
                <w:sz w:val="1"/>
                <w:szCs w:val="1"/>
                <w:color w:val="auto"/>
              </w:rPr>
            </w:pPr>
          </w:p>
        </w:tc>
        <w:tc>
          <w:tcPr>
            <w:tcW w:w="100" w:type="dxa"/>
            <w:vAlign w:val="bottom"/>
            <w:tcBorders>
              <w:top w:val="single" w:sz="8" w:color="EAF9E8"/>
            </w:tcBorders>
            <w:shd w:val="clear" w:color="auto" w:fill="EAF9E8"/>
          </w:tcPr>
          <w:p>
            <w:pPr>
              <w:spacing w:after="0" w:line="20" w:lineRule="exact"/>
              <w:rPr>
                <w:sz w:val="1"/>
                <w:szCs w:val="1"/>
                <w:color w:val="auto"/>
              </w:rPr>
            </w:pPr>
          </w:p>
        </w:tc>
        <w:tc>
          <w:tcPr>
            <w:tcW w:w="860" w:type="dxa"/>
            <w:vAlign w:val="bottom"/>
            <w:tcBorders>
              <w:top w:val="single" w:sz="8" w:color="EAF9E8"/>
            </w:tcBorders>
            <w:shd w:val="clear" w:color="auto" w:fill="EAF9E8"/>
          </w:tcPr>
          <w:p>
            <w:pPr>
              <w:spacing w:after="0" w:line="20" w:lineRule="exact"/>
              <w:rPr>
                <w:sz w:val="1"/>
                <w:szCs w:val="1"/>
                <w:color w:val="auto"/>
              </w:rPr>
            </w:pPr>
          </w:p>
        </w:tc>
        <w:tc>
          <w:tcPr>
            <w:tcW w:w="240" w:type="dxa"/>
            <w:vAlign w:val="bottom"/>
            <w:tcBorders>
              <w:top w:val="single" w:sz="8" w:color="EAF9E8"/>
            </w:tcBorders>
            <w:shd w:val="clear" w:color="auto" w:fill="EAF9E8"/>
          </w:tcPr>
          <w:p>
            <w:pPr>
              <w:spacing w:after="0" w:line="20" w:lineRule="exact"/>
              <w:rPr>
                <w:sz w:val="1"/>
                <w:szCs w:val="1"/>
                <w:color w:val="auto"/>
              </w:rPr>
            </w:pPr>
          </w:p>
        </w:tc>
        <w:tc>
          <w:tcPr>
            <w:tcW w:w="100" w:type="dxa"/>
            <w:vAlign w:val="bottom"/>
            <w:tcBorders>
              <w:top w:val="single" w:sz="8" w:color="EAF9E8"/>
            </w:tcBorders>
            <w:shd w:val="clear" w:color="auto" w:fill="EAF9E8"/>
          </w:tcPr>
          <w:p>
            <w:pPr>
              <w:spacing w:after="0" w:line="20" w:lineRule="exact"/>
              <w:rPr>
                <w:sz w:val="1"/>
                <w:szCs w:val="1"/>
                <w:color w:val="auto"/>
              </w:rPr>
            </w:pPr>
          </w:p>
        </w:tc>
        <w:tc>
          <w:tcPr>
            <w:tcW w:w="720" w:type="dxa"/>
            <w:vAlign w:val="bottom"/>
            <w:tcBorders>
              <w:top w:val="single" w:sz="8" w:color="EAF9E8"/>
            </w:tcBorders>
            <w:shd w:val="clear" w:color="auto" w:fill="EAF9E8"/>
          </w:tcPr>
          <w:p>
            <w:pPr>
              <w:spacing w:after="0" w:line="20" w:lineRule="exact"/>
              <w:rPr>
                <w:sz w:val="1"/>
                <w:szCs w:val="1"/>
                <w:color w:val="auto"/>
              </w:rPr>
            </w:pPr>
          </w:p>
        </w:tc>
        <w:tc>
          <w:tcPr>
            <w:tcW w:w="120" w:type="dxa"/>
            <w:vAlign w:val="bottom"/>
            <w:tcBorders>
              <w:top w:val="single" w:sz="8" w:color="EAF9E8"/>
            </w:tcBorders>
            <w:shd w:val="clear" w:color="auto" w:fill="EAF9E8"/>
          </w:tcPr>
          <w:p>
            <w:pPr>
              <w:spacing w:after="0" w:line="20" w:lineRule="exact"/>
              <w:rPr>
                <w:sz w:val="1"/>
                <w:szCs w:val="1"/>
                <w:color w:val="auto"/>
              </w:rPr>
            </w:pPr>
          </w:p>
        </w:tc>
        <w:tc>
          <w:tcPr>
            <w:tcW w:w="120" w:type="dxa"/>
            <w:vAlign w:val="bottom"/>
            <w:tcBorders>
              <w:top w:val="single" w:sz="8" w:color="EAF9E8"/>
            </w:tcBorders>
            <w:shd w:val="clear" w:color="auto" w:fill="EAF9E8"/>
          </w:tcPr>
          <w:p>
            <w:pPr>
              <w:spacing w:after="0" w:line="20" w:lineRule="exact"/>
              <w:rPr>
                <w:sz w:val="1"/>
                <w:szCs w:val="1"/>
                <w:color w:val="auto"/>
              </w:rPr>
            </w:pPr>
          </w:p>
        </w:tc>
        <w:tc>
          <w:tcPr>
            <w:tcW w:w="100" w:type="dxa"/>
            <w:vAlign w:val="bottom"/>
            <w:tcBorders>
              <w:top w:val="single" w:sz="8" w:color="EAF9E8"/>
            </w:tcBorders>
            <w:shd w:val="clear" w:color="auto" w:fill="EAF9E8"/>
          </w:tcPr>
          <w:p>
            <w:pPr>
              <w:spacing w:after="0" w:line="20" w:lineRule="exact"/>
              <w:rPr>
                <w:sz w:val="1"/>
                <w:szCs w:val="1"/>
                <w:color w:val="auto"/>
              </w:rPr>
            </w:pPr>
          </w:p>
        </w:tc>
        <w:tc>
          <w:tcPr>
            <w:tcW w:w="980" w:type="dxa"/>
            <w:vAlign w:val="bottom"/>
            <w:tcBorders>
              <w:top w:val="single" w:sz="8" w:color="EAF9E8"/>
            </w:tcBorders>
            <w:shd w:val="clear" w:color="auto" w:fill="EAF9E8"/>
          </w:tcPr>
          <w:p>
            <w:pPr>
              <w:spacing w:after="0" w:line="20" w:lineRule="exact"/>
              <w:rPr>
                <w:sz w:val="1"/>
                <w:szCs w:val="1"/>
                <w:color w:val="auto"/>
              </w:rPr>
            </w:pPr>
          </w:p>
        </w:tc>
        <w:tc>
          <w:tcPr>
            <w:tcW w:w="220" w:type="dxa"/>
            <w:vAlign w:val="bottom"/>
            <w:tcBorders>
              <w:top w:val="single" w:sz="8" w:color="EAF9E8"/>
            </w:tcBorders>
            <w:shd w:val="clear" w:color="auto" w:fill="EAF9E8"/>
          </w:tcPr>
          <w:p>
            <w:pPr>
              <w:spacing w:after="0" w:line="20" w:lineRule="exact"/>
              <w:rPr>
                <w:sz w:val="1"/>
                <w:szCs w:val="1"/>
                <w:color w:val="auto"/>
              </w:rPr>
            </w:pPr>
          </w:p>
        </w:tc>
        <w:tc>
          <w:tcPr>
            <w:tcW w:w="100" w:type="dxa"/>
            <w:vAlign w:val="bottom"/>
            <w:tcBorders>
              <w:top w:val="single" w:sz="8" w:color="EAF9E8"/>
            </w:tcBorders>
            <w:shd w:val="clear" w:color="auto" w:fill="EAF9E8"/>
          </w:tcPr>
          <w:p>
            <w:pPr>
              <w:spacing w:after="0" w:line="20" w:lineRule="exact"/>
              <w:rPr>
                <w:sz w:val="1"/>
                <w:szCs w:val="1"/>
                <w:color w:val="auto"/>
              </w:rPr>
            </w:pPr>
          </w:p>
        </w:tc>
        <w:tc>
          <w:tcPr>
            <w:tcW w:w="880" w:type="dxa"/>
            <w:vAlign w:val="bottom"/>
            <w:tcBorders>
              <w:top w:val="single" w:sz="8" w:color="EAF9E8"/>
            </w:tcBorders>
            <w:shd w:val="clear" w:color="auto" w:fill="EAF9E8"/>
          </w:tcPr>
          <w:p>
            <w:pPr>
              <w:spacing w:after="0" w:line="20" w:lineRule="exact"/>
              <w:rPr>
                <w:sz w:val="1"/>
                <w:szCs w:val="1"/>
                <w:color w:val="auto"/>
              </w:rPr>
            </w:pPr>
          </w:p>
        </w:tc>
        <w:tc>
          <w:tcPr>
            <w:tcW w:w="240" w:type="dxa"/>
            <w:vAlign w:val="bottom"/>
            <w:tcBorders>
              <w:top w:val="single" w:sz="8" w:color="EAF9E8"/>
            </w:tcBorders>
            <w:shd w:val="clear" w:color="auto" w:fill="EAF9E8"/>
          </w:tcPr>
          <w:p>
            <w:pPr>
              <w:spacing w:after="0" w:line="20" w:lineRule="exact"/>
              <w:rPr>
                <w:sz w:val="1"/>
                <w:szCs w:val="1"/>
                <w:color w:val="auto"/>
              </w:rPr>
            </w:pPr>
          </w:p>
        </w:tc>
        <w:tc>
          <w:tcPr>
            <w:tcW w:w="100" w:type="dxa"/>
            <w:vAlign w:val="bottom"/>
            <w:tcBorders>
              <w:top w:val="single" w:sz="8" w:color="EAF9E8"/>
            </w:tcBorders>
            <w:shd w:val="clear" w:color="auto" w:fill="EAF9E8"/>
          </w:tcPr>
          <w:p>
            <w:pPr>
              <w:spacing w:after="0" w:line="20" w:lineRule="exact"/>
              <w:rPr>
                <w:sz w:val="1"/>
                <w:szCs w:val="1"/>
                <w:color w:val="auto"/>
              </w:rPr>
            </w:pPr>
          </w:p>
        </w:tc>
        <w:tc>
          <w:tcPr>
            <w:tcW w:w="1160" w:type="dxa"/>
            <w:vAlign w:val="bottom"/>
            <w:tcBorders>
              <w:top w:val="single" w:sz="8" w:color="EAF9E8"/>
            </w:tcBorders>
            <w:shd w:val="clear" w:color="auto" w:fill="EAF9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740" w:type="dxa"/>
            <w:vAlign w:val="bottom"/>
            <w:gridSpan w:val="4"/>
          </w:tcPr>
          <w:p>
            <w:pPr>
              <w:ind w:left="160"/>
              <w:spacing w:after="0"/>
              <w:rPr>
                <w:sz w:val="20"/>
                <w:szCs w:val="20"/>
                <w:color w:val="auto"/>
              </w:rPr>
            </w:pPr>
            <w:r>
              <w:rPr>
                <w:rFonts w:ascii="Arial" w:cs="Arial" w:eastAsia="Arial" w:hAnsi="Arial"/>
                <w:sz w:val="18"/>
                <w:szCs w:val="18"/>
                <w:color w:val="auto"/>
              </w:rPr>
              <w:t>Depreciation expense</w:t>
            </w:r>
          </w:p>
        </w:tc>
        <w:tc>
          <w:tcPr>
            <w:tcW w:w="220" w:type="dxa"/>
            <w:vAlign w:val="bottom"/>
          </w:tcPr>
          <w:p>
            <w:pPr>
              <w:jc w:val="right"/>
              <w:ind w:right="61"/>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13</w:t>
            </w:r>
          </w:p>
        </w:tc>
        <w:tc>
          <w:tcPr>
            <w:tcW w:w="1000" w:type="dxa"/>
            <w:vAlign w:val="bottom"/>
          </w:tcPr>
          <w:p>
            <w:pPr>
              <w:jc w:val="right"/>
              <w:ind w:right="840"/>
              <w:spacing w:after="0"/>
              <w:rPr>
                <w:sz w:val="20"/>
                <w:szCs w:val="20"/>
                <w:color w:val="auto"/>
              </w:rPr>
            </w:pPr>
            <w:r>
              <w:rPr>
                <w:rFonts w:ascii="Arial" w:cs="Arial" w:eastAsia="Arial" w:hAnsi="Arial"/>
                <w:sz w:val="15"/>
                <w:szCs w:val="15"/>
                <w:color w:val="auto"/>
                <w:w w:val="71"/>
              </w:rPr>
              <w:t>$</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11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103</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2,193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351</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2,679</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2740" w:type="dxa"/>
            <w:vAlign w:val="bottom"/>
            <w:gridSpan w:val="4"/>
            <w:shd w:val="clear" w:color="auto" w:fill="EAF9E8"/>
          </w:tcPr>
          <w:p>
            <w:pPr>
              <w:ind w:left="160"/>
              <w:spacing w:after="0"/>
              <w:rPr>
                <w:sz w:val="20"/>
                <w:szCs w:val="20"/>
                <w:color w:val="auto"/>
              </w:rPr>
            </w:pPr>
            <w:r>
              <w:rPr>
                <w:rFonts w:ascii="Arial" w:cs="Arial" w:eastAsia="Arial" w:hAnsi="Arial"/>
                <w:sz w:val="18"/>
                <w:szCs w:val="18"/>
                <w:color w:val="auto"/>
              </w:rPr>
              <w:t>Amortization of MSRs</w:t>
            </w:r>
          </w:p>
        </w:tc>
        <w:tc>
          <w:tcPr>
            <w:tcW w:w="220" w:type="dxa"/>
            <w:vAlign w:val="bottom"/>
            <w:shd w:val="clear" w:color="auto" w:fill="EAF9E8"/>
          </w:tcPr>
          <w:p>
            <w:pPr>
              <w:spacing w:after="0"/>
              <w:rPr>
                <w:sz w:val="21"/>
                <w:szCs w:val="21"/>
                <w:color w:val="auto"/>
              </w:rPr>
            </w:pPr>
          </w:p>
        </w:tc>
        <w:tc>
          <w:tcPr>
            <w:tcW w:w="84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12,106</w:t>
            </w:r>
          </w:p>
        </w:tc>
        <w:tc>
          <w:tcPr>
            <w:tcW w:w="1000" w:type="dxa"/>
            <w:vAlign w:val="bottom"/>
            <w:shd w:val="clear" w:color="auto" w:fill="EAF9E8"/>
          </w:tcPr>
          <w:p>
            <w:pPr>
              <w:spacing w:after="0"/>
              <w:rPr>
                <w:sz w:val="21"/>
                <w:szCs w:val="21"/>
                <w:color w:val="auto"/>
              </w:rPr>
            </w:pPr>
          </w:p>
        </w:tc>
        <w:tc>
          <w:tcPr>
            <w:tcW w:w="42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EAF9E8"/>
          </w:tcPr>
          <w:p>
            <w:pPr>
              <w:spacing w:after="0"/>
              <w:rPr>
                <w:sz w:val="21"/>
                <w:szCs w:val="21"/>
                <w:color w:val="auto"/>
              </w:rPr>
            </w:pPr>
          </w:p>
        </w:tc>
        <w:tc>
          <w:tcPr>
            <w:tcW w:w="110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EAF9E8"/>
          </w:tcPr>
          <w:p>
            <w:pPr>
              <w:spacing w:after="0"/>
              <w:rPr>
                <w:sz w:val="21"/>
                <w:szCs w:val="21"/>
                <w:color w:val="auto"/>
              </w:rPr>
            </w:pPr>
          </w:p>
        </w:tc>
        <w:tc>
          <w:tcPr>
            <w:tcW w:w="84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120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EAF9E8"/>
          </w:tcPr>
          <w:p>
            <w:pPr>
              <w:spacing w:after="0"/>
              <w:rPr>
                <w:sz w:val="21"/>
                <w:szCs w:val="21"/>
                <w:color w:val="auto"/>
              </w:rPr>
            </w:pPr>
          </w:p>
        </w:tc>
        <w:tc>
          <w:tcPr>
            <w:tcW w:w="8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1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12,106</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740" w:type="dxa"/>
            <w:vAlign w:val="bottom"/>
            <w:gridSpan w:val="4"/>
          </w:tcPr>
          <w:p>
            <w:pPr>
              <w:ind w:left="160"/>
              <w:spacing w:after="0"/>
              <w:rPr>
                <w:sz w:val="20"/>
                <w:szCs w:val="20"/>
                <w:color w:val="auto"/>
              </w:rPr>
            </w:pPr>
            <w:r>
              <w:rPr>
                <w:rFonts w:ascii="Arial" w:cs="Arial" w:eastAsia="Arial" w:hAnsi="Arial"/>
                <w:sz w:val="18"/>
                <w:szCs w:val="18"/>
                <w:color w:val="auto"/>
              </w:rPr>
              <w:t>Amortization of intangibles</w:t>
            </w:r>
          </w:p>
        </w:tc>
        <w:tc>
          <w:tcPr>
            <w:tcW w:w="220" w:type="dxa"/>
            <w:vAlign w:val="bottom"/>
          </w:tcPr>
          <w:p>
            <w:pPr>
              <w:spacing w:after="0"/>
              <w:rPr>
                <w:sz w:val="20"/>
                <w:szCs w:val="20"/>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20"/>
                <w:szCs w:val="20"/>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629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629</w:t>
            </w:r>
          </w:p>
        </w:tc>
        <w:tc>
          <w:tcPr>
            <w:tcW w:w="0" w:type="dxa"/>
            <w:vAlign w:val="bottom"/>
          </w:tcPr>
          <w:p>
            <w:pPr>
              <w:spacing w:after="0"/>
              <w:rPr>
                <w:sz w:val="1"/>
                <w:szCs w:val="1"/>
                <w:color w:val="auto"/>
              </w:rPr>
            </w:pPr>
          </w:p>
        </w:tc>
      </w:tr>
      <w:tr>
        <w:trPr>
          <w:trHeight w:val="245"/>
        </w:trPr>
        <w:tc>
          <w:tcPr>
            <w:tcW w:w="20" w:type="dxa"/>
            <w:vAlign w:val="bottom"/>
            <w:vMerge w:val="restart"/>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880" w:type="dxa"/>
            <w:vAlign w:val="bottom"/>
            <w:gridSpan w:val="5"/>
            <w:shd w:val="clear" w:color="auto" w:fill="EAF9E8"/>
          </w:tcPr>
          <w:p>
            <w:pPr>
              <w:spacing w:after="0" w:line="176" w:lineRule="exact"/>
              <w:rPr>
                <w:sz w:val="20"/>
                <w:szCs w:val="20"/>
                <w:color w:val="auto"/>
              </w:rPr>
            </w:pPr>
            <w:r>
              <w:rPr>
                <w:rFonts w:ascii="Arial" w:cs="Arial" w:eastAsia="Arial" w:hAnsi="Arial"/>
                <w:sz w:val="18"/>
                <w:szCs w:val="18"/>
                <w:color w:val="auto"/>
              </w:rPr>
              <w:t>For the nine months ended</w:t>
            </w:r>
          </w:p>
        </w:tc>
        <w:tc>
          <w:tcPr>
            <w:tcW w:w="220" w:type="dxa"/>
            <w:vAlign w:val="bottom"/>
            <w:shd w:val="clear" w:color="auto" w:fill="EAF9E8"/>
          </w:tcPr>
          <w:p>
            <w:pPr>
              <w:spacing w:after="0"/>
              <w:rPr>
                <w:sz w:val="15"/>
                <w:szCs w:val="15"/>
                <w:color w:val="auto"/>
              </w:rPr>
            </w:pPr>
          </w:p>
        </w:tc>
        <w:tc>
          <w:tcPr>
            <w:tcW w:w="600" w:type="dxa"/>
            <w:vAlign w:val="bottom"/>
            <w:shd w:val="clear" w:color="auto" w:fill="EAF9E8"/>
          </w:tcPr>
          <w:p>
            <w:pPr>
              <w:spacing w:after="0"/>
              <w:rPr>
                <w:sz w:val="15"/>
                <w:szCs w:val="15"/>
                <w:color w:val="auto"/>
              </w:rPr>
            </w:pPr>
          </w:p>
        </w:tc>
        <w:tc>
          <w:tcPr>
            <w:tcW w:w="240" w:type="dxa"/>
            <w:vAlign w:val="bottom"/>
            <w:shd w:val="clear" w:color="auto" w:fill="EAF9E8"/>
          </w:tcPr>
          <w:p>
            <w:pPr>
              <w:spacing w:after="0"/>
              <w:rPr>
                <w:sz w:val="15"/>
                <w:szCs w:val="15"/>
                <w:color w:val="auto"/>
              </w:rPr>
            </w:pPr>
          </w:p>
        </w:tc>
        <w:tc>
          <w:tcPr>
            <w:tcW w:w="1000" w:type="dxa"/>
            <w:vAlign w:val="bottom"/>
            <w:shd w:val="clear" w:color="auto" w:fill="EAF9E8"/>
          </w:tcPr>
          <w:p>
            <w:pPr>
              <w:spacing w:after="0"/>
              <w:rPr>
                <w:sz w:val="15"/>
                <w:szCs w:val="15"/>
                <w:color w:val="auto"/>
              </w:rPr>
            </w:pPr>
          </w:p>
        </w:tc>
        <w:tc>
          <w:tcPr>
            <w:tcW w:w="200" w:type="dxa"/>
            <w:vAlign w:val="bottom"/>
            <w:shd w:val="clear" w:color="auto" w:fill="EAF9E8"/>
          </w:tcPr>
          <w:p>
            <w:pPr>
              <w:spacing w:after="0"/>
              <w:rPr>
                <w:sz w:val="15"/>
                <w:szCs w:val="15"/>
                <w:color w:val="auto"/>
              </w:rPr>
            </w:pPr>
          </w:p>
        </w:tc>
        <w:tc>
          <w:tcPr>
            <w:tcW w:w="220" w:type="dxa"/>
            <w:vAlign w:val="bottom"/>
            <w:shd w:val="clear" w:color="auto" w:fill="EAF9E8"/>
          </w:tcPr>
          <w:p>
            <w:pPr>
              <w:spacing w:after="0"/>
              <w:rPr>
                <w:sz w:val="15"/>
                <w:szCs w:val="15"/>
                <w:color w:val="auto"/>
              </w:rPr>
            </w:pPr>
          </w:p>
        </w:tc>
        <w:tc>
          <w:tcPr>
            <w:tcW w:w="100" w:type="dxa"/>
            <w:vAlign w:val="bottom"/>
            <w:shd w:val="clear" w:color="auto" w:fill="EAF9E8"/>
          </w:tcPr>
          <w:p>
            <w:pPr>
              <w:spacing w:after="0"/>
              <w:rPr>
                <w:sz w:val="15"/>
                <w:szCs w:val="15"/>
                <w:color w:val="auto"/>
              </w:rPr>
            </w:pPr>
          </w:p>
        </w:tc>
        <w:tc>
          <w:tcPr>
            <w:tcW w:w="860" w:type="dxa"/>
            <w:vAlign w:val="bottom"/>
            <w:shd w:val="clear" w:color="auto" w:fill="EAF9E8"/>
          </w:tcPr>
          <w:p>
            <w:pPr>
              <w:spacing w:after="0"/>
              <w:rPr>
                <w:sz w:val="15"/>
                <w:szCs w:val="15"/>
                <w:color w:val="auto"/>
              </w:rPr>
            </w:pPr>
          </w:p>
        </w:tc>
        <w:tc>
          <w:tcPr>
            <w:tcW w:w="240" w:type="dxa"/>
            <w:vAlign w:val="bottom"/>
            <w:shd w:val="clear" w:color="auto" w:fill="EAF9E8"/>
          </w:tcPr>
          <w:p>
            <w:pPr>
              <w:spacing w:after="0"/>
              <w:rPr>
                <w:sz w:val="15"/>
                <w:szCs w:val="15"/>
                <w:color w:val="auto"/>
              </w:rPr>
            </w:pPr>
          </w:p>
        </w:tc>
        <w:tc>
          <w:tcPr>
            <w:tcW w:w="100" w:type="dxa"/>
            <w:vAlign w:val="bottom"/>
            <w:shd w:val="clear" w:color="auto" w:fill="EAF9E8"/>
          </w:tcPr>
          <w:p>
            <w:pPr>
              <w:spacing w:after="0"/>
              <w:rPr>
                <w:sz w:val="15"/>
                <w:szCs w:val="15"/>
                <w:color w:val="auto"/>
              </w:rPr>
            </w:pPr>
          </w:p>
        </w:tc>
        <w:tc>
          <w:tcPr>
            <w:tcW w:w="720" w:type="dxa"/>
            <w:vAlign w:val="bottom"/>
            <w:shd w:val="clear" w:color="auto" w:fill="EAF9E8"/>
          </w:tcPr>
          <w:p>
            <w:pPr>
              <w:spacing w:after="0"/>
              <w:rPr>
                <w:sz w:val="15"/>
                <w:szCs w:val="15"/>
                <w:color w:val="auto"/>
              </w:rPr>
            </w:pPr>
          </w:p>
        </w:tc>
        <w:tc>
          <w:tcPr>
            <w:tcW w:w="120" w:type="dxa"/>
            <w:vAlign w:val="bottom"/>
            <w:shd w:val="clear" w:color="auto" w:fill="EAF9E8"/>
          </w:tcPr>
          <w:p>
            <w:pPr>
              <w:spacing w:after="0"/>
              <w:rPr>
                <w:sz w:val="15"/>
                <w:szCs w:val="15"/>
                <w:color w:val="auto"/>
              </w:rPr>
            </w:pPr>
          </w:p>
        </w:tc>
        <w:tc>
          <w:tcPr>
            <w:tcW w:w="120" w:type="dxa"/>
            <w:vAlign w:val="bottom"/>
            <w:shd w:val="clear" w:color="auto" w:fill="EAF9E8"/>
          </w:tcPr>
          <w:p>
            <w:pPr>
              <w:spacing w:after="0"/>
              <w:rPr>
                <w:sz w:val="15"/>
                <w:szCs w:val="15"/>
                <w:color w:val="auto"/>
              </w:rPr>
            </w:pPr>
          </w:p>
        </w:tc>
        <w:tc>
          <w:tcPr>
            <w:tcW w:w="100" w:type="dxa"/>
            <w:vAlign w:val="bottom"/>
            <w:shd w:val="clear" w:color="auto" w:fill="EAF9E8"/>
          </w:tcPr>
          <w:p>
            <w:pPr>
              <w:spacing w:after="0"/>
              <w:rPr>
                <w:sz w:val="15"/>
                <w:szCs w:val="15"/>
                <w:color w:val="auto"/>
              </w:rPr>
            </w:pPr>
          </w:p>
        </w:tc>
        <w:tc>
          <w:tcPr>
            <w:tcW w:w="980" w:type="dxa"/>
            <w:vAlign w:val="bottom"/>
            <w:shd w:val="clear" w:color="auto" w:fill="EAF9E8"/>
          </w:tcPr>
          <w:p>
            <w:pPr>
              <w:spacing w:after="0"/>
              <w:rPr>
                <w:sz w:val="15"/>
                <w:szCs w:val="15"/>
                <w:color w:val="auto"/>
              </w:rPr>
            </w:pPr>
          </w:p>
        </w:tc>
        <w:tc>
          <w:tcPr>
            <w:tcW w:w="220" w:type="dxa"/>
            <w:vAlign w:val="bottom"/>
            <w:shd w:val="clear" w:color="auto" w:fill="EAF9E8"/>
          </w:tcPr>
          <w:p>
            <w:pPr>
              <w:spacing w:after="0"/>
              <w:rPr>
                <w:sz w:val="15"/>
                <w:szCs w:val="15"/>
                <w:color w:val="auto"/>
              </w:rPr>
            </w:pPr>
          </w:p>
        </w:tc>
        <w:tc>
          <w:tcPr>
            <w:tcW w:w="100" w:type="dxa"/>
            <w:vAlign w:val="bottom"/>
            <w:shd w:val="clear" w:color="auto" w:fill="EAF9E8"/>
          </w:tcPr>
          <w:p>
            <w:pPr>
              <w:spacing w:after="0"/>
              <w:rPr>
                <w:sz w:val="15"/>
                <w:szCs w:val="15"/>
                <w:color w:val="auto"/>
              </w:rPr>
            </w:pPr>
          </w:p>
        </w:tc>
        <w:tc>
          <w:tcPr>
            <w:tcW w:w="880" w:type="dxa"/>
            <w:vAlign w:val="bottom"/>
            <w:shd w:val="clear" w:color="auto" w:fill="EAF9E8"/>
          </w:tcPr>
          <w:p>
            <w:pPr>
              <w:spacing w:after="0"/>
              <w:rPr>
                <w:sz w:val="15"/>
                <w:szCs w:val="15"/>
                <w:color w:val="auto"/>
              </w:rPr>
            </w:pPr>
          </w:p>
        </w:tc>
        <w:tc>
          <w:tcPr>
            <w:tcW w:w="240" w:type="dxa"/>
            <w:vAlign w:val="bottom"/>
            <w:shd w:val="clear" w:color="auto" w:fill="EAF9E8"/>
          </w:tcPr>
          <w:p>
            <w:pPr>
              <w:spacing w:after="0"/>
              <w:rPr>
                <w:sz w:val="15"/>
                <w:szCs w:val="15"/>
                <w:color w:val="auto"/>
              </w:rPr>
            </w:pPr>
          </w:p>
        </w:tc>
        <w:tc>
          <w:tcPr>
            <w:tcW w:w="100" w:type="dxa"/>
            <w:vAlign w:val="bottom"/>
            <w:shd w:val="clear" w:color="auto" w:fill="EAF9E8"/>
          </w:tcPr>
          <w:p>
            <w:pPr>
              <w:spacing w:after="0"/>
              <w:rPr>
                <w:sz w:val="15"/>
                <w:szCs w:val="15"/>
                <w:color w:val="auto"/>
              </w:rPr>
            </w:pPr>
          </w:p>
        </w:tc>
        <w:tc>
          <w:tcPr>
            <w:tcW w:w="1160" w:type="dxa"/>
            <w:vAlign w:val="bottom"/>
            <w:shd w:val="clear" w:color="auto" w:fill="EAF9E8"/>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0" w:type="dxa"/>
            <w:vAlign w:val="bottom"/>
            <w:tcBorders>
              <w:top w:val="single" w:sz="8" w:color="auto"/>
            </w:tcBorders>
            <w:shd w:val="clear" w:color="auto" w:fill="EAF9E8"/>
          </w:tcPr>
          <w:p>
            <w:pPr>
              <w:spacing w:after="0"/>
              <w:rPr>
                <w:sz w:val="17"/>
                <w:szCs w:val="17"/>
                <w:color w:val="auto"/>
              </w:rPr>
            </w:pPr>
          </w:p>
        </w:tc>
        <w:tc>
          <w:tcPr>
            <w:tcW w:w="1720" w:type="dxa"/>
            <w:vAlign w:val="bottom"/>
            <w:tcBorders>
              <w:top w:val="single" w:sz="8" w:color="auto"/>
            </w:tcBorders>
            <w:gridSpan w:val="2"/>
            <w:shd w:val="clear" w:color="auto" w:fill="EAF9E8"/>
          </w:tcPr>
          <w:p>
            <w:pPr>
              <w:spacing w:after="0" w:line="196" w:lineRule="exact"/>
              <w:rPr>
                <w:sz w:val="20"/>
                <w:szCs w:val="20"/>
                <w:color w:val="auto"/>
              </w:rPr>
            </w:pPr>
            <w:r>
              <w:rPr>
                <w:rFonts w:ascii="Arial" w:cs="Arial" w:eastAsia="Arial" w:hAnsi="Arial"/>
                <w:sz w:val="18"/>
                <w:szCs w:val="18"/>
                <w:color w:val="auto"/>
              </w:rPr>
              <w:t>September 30, 2009:</w:t>
            </w:r>
          </w:p>
        </w:tc>
        <w:tc>
          <w:tcPr>
            <w:tcW w:w="1020" w:type="dxa"/>
            <w:vAlign w:val="bottom"/>
            <w:tcBorders>
              <w:top w:val="single" w:sz="8" w:color="EAF9E8"/>
            </w:tcBorders>
            <w:gridSpan w:val="2"/>
            <w:shd w:val="clear" w:color="auto" w:fill="EAF9E8"/>
          </w:tcPr>
          <w:p>
            <w:pPr>
              <w:spacing w:after="0"/>
              <w:rPr>
                <w:sz w:val="17"/>
                <w:szCs w:val="17"/>
                <w:color w:val="auto"/>
              </w:rPr>
            </w:pPr>
          </w:p>
        </w:tc>
        <w:tc>
          <w:tcPr>
            <w:tcW w:w="220" w:type="dxa"/>
            <w:vAlign w:val="bottom"/>
            <w:tcBorders>
              <w:top w:val="single" w:sz="8" w:color="EAF9E8"/>
            </w:tcBorders>
            <w:shd w:val="clear" w:color="auto" w:fill="EAF9E8"/>
          </w:tcPr>
          <w:p>
            <w:pPr>
              <w:spacing w:after="0"/>
              <w:rPr>
                <w:sz w:val="17"/>
                <w:szCs w:val="17"/>
                <w:color w:val="auto"/>
              </w:rPr>
            </w:pPr>
          </w:p>
        </w:tc>
        <w:tc>
          <w:tcPr>
            <w:tcW w:w="600" w:type="dxa"/>
            <w:vAlign w:val="bottom"/>
            <w:tcBorders>
              <w:top w:val="single" w:sz="8" w:color="EAF9E8"/>
            </w:tcBorders>
            <w:shd w:val="clear" w:color="auto" w:fill="EAF9E8"/>
          </w:tcPr>
          <w:p>
            <w:pPr>
              <w:spacing w:after="0"/>
              <w:rPr>
                <w:sz w:val="17"/>
                <w:szCs w:val="17"/>
                <w:color w:val="auto"/>
              </w:rPr>
            </w:pPr>
          </w:p>
        </w:tc>
        <w:tc>
          <w:tcPr>
            <w:tcW w:w="240" w:type="dxa"/>
            <w:vAlign w:val="bottom"/>
            <w:tcBorders>
              <w:top w:val="single" w:sz="8" w:color="EAF9E8"/>
            </w:tcBorders>
            <w:shd w:val="clear" w:color="auto" w:fill="EAF9E8"/>
          </w:tcPr>
          <w:p>
            <w:pPr>
              <w:spacing w:after="0"/>
              <w:rPr>
                <w:sz w:val="17"/>
                <w:szCs w:val="17"/>
                <w:color w:val="auto"/>
              </w:rPr>
            </w:pPr>
          </w:p>
        </w:tc>
        <w:tc>
          <w:tcPr>
            <w:tcW w:w="1000" w:type="dxa"/>
            <w:vAlign w:val="bottom"/>
            <w:tcBorders>
              <w:top w:val="single" w:sz="8" w:color="EAF9E8"/>
            </w:tcBorders>
            <w:shd w:val="clear" w:color="auto" w:fill="EAF9E8"/>
          </w:tcPr>
          <w:p>
            <w:pPr>
              <w:spacing w:after="0"/>
              <w:rPr>
                <w:sz w:val="17"/>
                <w:szCs w:val="17"/>
                <w:color w:val="auto"/>
              </w:rPr>
            </w:pPr>
          </w:p>
        </w:tc>
        <w:tc>
          <w:tcPr>
            <w:tcW w:w="200" w:type="dxa"/>
            <w:vAlign w:val="bottom"/>
            <w:tcBorders>
              <w:top w:val="single" w:sz="8" w:color="EAF9E8"/>
            </w:tcBorders>
            <w:shd w:val="clear" w:color="auto" w:fill="EAF9E8"/>
          </w:tcPr>
          <w:p>
            <w:pPr>
              <w:spacing w:after="0"/>
              <w:rPr>
                <w:sz w:val="17"/>
                <w:szCs w:val="17"/>
                <w:color w:val="auto"/>
              </w:rPr>
            </w:pPr>
          </w:p>
        </w:tc>
        <w:tc>
          <w:tcPr>
            <w:tcW w:w="220" w:type="dxa"/>
            <w:vAlign w:val="bottom"/>
            <w:tcBorders>
              <w:top w:val="single" w:sz="8" w:color="EAF9E8"/>
            </w:tcBorders>
            <w:shd w:val="clear" w:color="auto" w:fill="EAF9E8"/>
          </w:tcPr>
          <w:p>
            <w:pPr>
              <w:spacing w:after="0"/>
              <w:rPr>
                <w:sz w:val="17"/>
                <w:szCs w:val="17"/>
                <w:color w:val="auto"/>
              </w:rPr>
            </w:pPr>
          </w:p>
        </w:tc>
        <w:tc>
          <w:tcPr>
            <w:tcW w:w="100" w:type="dxa"/>
            <w:vAlign w:val="bottom"/>
            <w:tcBorders>
              <w:top w:val="single" w:sz="8" w:color="EAF9E8"/>
            </w:tcBorders>
            <w:shd w:val="clear" w:color="auto" w:fill="EAF9E8"/>
          </w:tcPr>
          <w:p>
            <w:pPr>
              <w:spacing w:after="0"/>
              <w:rPr>
                <w:sz w:val="17"/>
                <w:szCs w:val="17"/>
                <w:color w:val="auto"/>
              </w:rPr>
            </w:pPr>
          </w:p>
        </w:tc>
        <w:tc>
          <w:tcPr>
            <w:tcW w:w="860" w:type="dxa"/>
            <w:vAlign w:val="bottom"/>
            <w:tcBorders>
              <w:top w:val="single" w:sz="8" w:color="EAF9E8"/>
            </w:tcBorders>
            <w:shd w:val="clear" w:color="auto" w:fill="EAF9E8"/>
          </w:tcPr>
          <w:p>
            <w:pPr>
              <w:spacing w:after="0"/>
              <w:rPr>
                <w:sz w:val="17"/>
                <w:szCs w:val="17"/>
                <w:color w:val="auto"/>
              </w:rPr>
            </w:pPr>
          </w:p>
        </w:tc>
        <w:tc>
          <w:tcPr>
            <w:tcW w:w="240" w:type="dxa"/>
            <w:vAlign w:val="bottom"/>
            <w:tcBorders>
              <w:top w:val="single" w:sz="8" w:color="EAF9E8"/>
            </w:tcBorders>
            <w:shd w:val="clear" w:color="auto" w:fill="EAF9E8"/>
          </w:tcPr>
          <w:p>
            <w:pPr>
              <w:spacing w:after="0"/>
              <w:rPr>
                <w:sz w:val="17"/>
                <w:szCs w:val="17"/>
                <w:color w:val="auto"/>
              </w:rPr>
            </w:pPr>
          </w:p>
        </w:tc>
        <w:tc>
          <w:tcPr>
            <w:tcW w:w="100" w:type="dxa"/>
            <w:vAlign w:val="bottom"/>
            <w:tcBorders>
              <w:top w:val="single" w:sz="8" w:color="EAF9E8"/>
            </w:tcBorders>
            <w:shd w:val="clear" w:color="auto" w:fill="EAF9E8"/>
          </w:tcPr>
          <w:p>
            <w:pPr>
              <w:spacing w:after="0"/>
              <w:rPr>
                <w:sz w:val="17"/>
                <w:szCs w:val="17"/>
                <w:color w:val="auto"/>
              </w:rPr>
            </w:pPr>
          </w:p>
        </w:tc>
        <w:tc>
          <w:tcPr>
            <w:tcW w:w="720" w:type="dxa"/>
            <w:vAlign w:val="bottom"/>
            <w:tcBorders>
              <w:top w:val="single" w:sz="8" w:color="EAF9E8"/>
            </w:tcBorders>
            <w:shd w:val="clear" w:color="auto" w:fill="EAF9E8"/>
          </w:tcPr>
          <w:p>
            <w:pPr>
              <w:spacing w:after="0"/>
              <w:rPr>
                <w:sz w:val="17"/>
                <w:szCs w:val="17"/>
                <w:color w:val="auto"/>
              </w:rPr>
            </w:pPr>
          </w:p>
        </w:tc>
        <w:tc>
          <w:tcPr>
            <w:tcW w:w="120" w:type="dxa"/>
            <w:vAlign w:val="bottom"/>
            <w:tcBorders>
              <w:top w:val="single" w:sz="8" w:color="EAF9E8"/>
            </w:tcBorders>
            <w:shd w:val="clear" w:color="auto" w:fill="EAF9E8"/>
          </w:tcPr>
          <w:p>
            <w:pPr>
              <w:spacing w:after="0"/>
              <w:rPr>
                <w:sz w:val="17"/>
                <w:szCs w:val="17"/>
                <w:color w:val="auto"/>
              </w:rPr>
            </w:pPr>
          </w:p>
        </w:tc>
        <w:tc>
          <w:tcPr>
            <w:tcW w:w="120" w:type="dxa"/>
            <w:vAlign w:val="bottom"/>
            <w:tcBorders>
              <w:top w:val="single" w:sz="8" w:color="EAF9E8"/>
            </w:tcBorders>
            <w:shd w:val="clear" w:color="auto" w:fill="EAF9E8"/>
          </w:tcPr>
          <w:p>
            <w:pPr>
              <w:spacing w:after="0"/>
              <w:rPr>
                <w:sz w:val="17"/>
                <w:szCs w:val="17"/>
                <w:color w:val="auto"/>
              </w:rPr>
            </w:pPr>
          </w:p>
        </w:tc>
        <w:tc>
          <w:tcPr>
            <w:tcW w:w="100" w:type="dxa"/>
            <w:vAlign w:val="bottom"/>
            <w:tcBorders>
              <w:top w:val="single" w:sz="8" w:color="EAF9E8"/>
            </w:tcBorders>
            <w:shd w:val="clear" w:color="auto" w:fill="EAF9E8"/>
          </w:tcPr>
          <w:p>
            <w:pPr>
              <w:spacing w:after="0"/>
              <w:rPr>
                <w:sz w:val="17"/>
                <w:szCs w:val="17"/>
                <w:color w:val="auto"/>
              </w:rPr>
            </w:pPr>
          </w:p>
        </w:tc>
        <w:tc>
          <w:tcPr>
            <w:tcW w:w="980" w:type="dxa"/>
            <w:vAlign w:val="bottom"/>
            <w:tcBorders>
              <w:top w:val="single" w:sz="8" w:color="EAF9E8"/>
            </w:tcBorders>
            <w:shd w:val="clear" w:color="auto" w:fill="EAF9E8"/>
          </w:tcPr>
          <w:p>
            <w:pPr>
              <w:spacing w:after="0"/>
              <w:rPr>
                <w:sz w:val="17"/>
                <w:szCs w:val="17"/>
                <w:color w:val="auto"/>
              </w:rPr>
            </w:pPr>
          </w:p>
        </w:tc>
        <w:tc>
          <w:tcPr>
            <w:tcW w:w="220" w:type="dxa"/>
            <w:vAlign w:val="bottom"/>
            <w:tcBorders>
              <w:top w:val="single" w:sz="8" w:color="EAF9E8"/>
            </w:tcBorders>
            <w:shd w:val="clear" w:color="auto" w:fill="EAF9E8"/>
          </w:tcPr>
          <w:p>
            <w:pPr>
              <w:spacing w:after="0"/>
              <w:rPr>
                <w:sz w:val="17"/>
                <w:szCs w:val="17"/>
                <w:color w:val="auto"/>
              </w:rPr>
            </w:pPr>
          </w:p>
        </w:tc>
        <w:tc>
          <w:tcPr>
            <w:tcW w:w="100" w:type="dxa"/>
            <w:vAlign w:val="bottom"/>
            <w:tcBorders>
              <w:top w:val="single" w:sz="8" w:color="EAF9E8"/>
            </w:tcBorders>
            <w:shd w:val="clear" w:color="auto" w:fill="EAF9E8"/>
          </w:tcPr>
          <w:p>
            <w:pPr>
              <w:spacing w:after="0"/>
              <w:rPr>
                <w:sz w:val="17"/>
                <w:szCs w:val="17"/>
                <w:color w:val="auto"/>
              </w:rPr>
            </w:pPr>
          </w:p>
        </w:tc>
        <w:tc>
          <w:tcPr>
            <w:tcW w:w="880" w:type="dxa"/>
            <w:vAlign w:val="bottom"/>
            <w:tcBorders>
              <w:top w:val="single" w:sz="8" w:color="EAF9E8"/>
            </w:tcBorders>
            <w:shd w:val="clear" w:color="auto" w:fill="EAF9E8"/>
          </w:tcPr>
          <w:p>
            <w:pPr>
              <w:spacing w:after="0"/>
              <w:rPr>
                <w:sz w:val="17"/>
                <w:szCs w:val="17"/>
                <w:color w:val="auto"/>
              </w:rPr>
            </w:pPr>
          </w:p>
        </w:tc>
        <w:tc>
          <w:tcPr>
            <w:tcW w:w="240" w:type="dxa"/>
            <w:vAlign w:val="bottom"/>
            <w:tcBorders>
              <w:top w:val="single" w:sz="8" w:color="EAF9E8"/>
            </w:tcBorders>
            <w:shd w:val="clear" w:color="auto" w:fill="EAF9E8"/>
          </w:tcPr>
          <w:p>
            <w:pPr>
              <w:spacing w:after="0"/>
              <w:rPr>
                <w:sz w:val="17"/>
                <w:szCs w:val="17"/>
                <w:color w:val="auto"/>
              </w:rPr>
            </w:pPr>
          </w:p>
        </w:tc>
        <w:tc>
          <w:tcPr>
            <w:tcW w:w="100" w:type="dxa"/>
            <w:vAlign w:val="bottom"/>
            <w:tcBorders>
              <w:top w:val="single" w:sz="8" w:color="EAF9E8"/>
            </w:tcBorders>
            <w:shd w:val="clear" w:color="auto" w:fill="EAF9E8"/>
          </w:tcPr>
          <w:p>
            <w:pPr>
              <w:spacing w:after="0"/>
              <w:rPr>
                <w:sz w:val="17"/>
                <w:szCs w:val="17"/>
                <w:color w:val="auto"/>
              </w:rPr>
            </w:pPr>
          </w:p>
        </w:tc>
        <w:tc>
          <w:tcPr>
            <w:tcW w:w="1160" w:type="dxa"/>
            <w:vAlign w:val="bottom"/>
            <w:tcBorders>
              <w:top w:val="single" w:sz="8" w:color="EAF9E8"/>
            </w:tcBorders>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0" w:type="dxa"/>
            <w:vAlign w:val="bottom"/>
            <w:tcBorders>
              <w:top w:val="single" w:sz="8" w:color="EAF9E8"/>
            </w:tcBorders>
            <w:shd w:val="clear" w:color="auto" w:fill="EAF9E8"/>
          </w:tcPr>
          <w:p>
            <w:pPr>
              <w:spacing w:after="0" w:line="20" w:lineRule="exact"/>
              <w:rPr>
                <w:sz w:val="1"/>
                <w:szCs w:val="1"/>
                <w:color w:val="auto"/>
              </w:rPr>
            </w:pPr>
          </w:p>
        </w:tc>
        <w:tc>
          <w:tcPr>
            <w:tcW w:w="1460" w:type="dxa"/>
            <w:vAlign w:val="bottom"/>
            <w:tcBorders>
              <w:top w:val="single" w:sz="8" w:color="auto"/>
            </w:tcBorders>
            <w:shd w:val="clear" w:color="auto" w:fill="EAF9E8"/>
          </w:tcPr>
          <w:p>
            <w:pPr>
              <w:spacing w:after="0" w:line="20" w:lineRule="exact"/>
              <w:rPr>
                <w:sz w:val="1"/>
                <w:szCs w:val="1"/>
                <w:color w:val="auto"/>
              </w:rPr>
            </w:pPr>
          </w:p>
        </w:tc>
        <w:tc>
          <w:tcPr>
            <w:tcW w:w="260" w:type="dxa"/>
            <w:vAlign w:val="bottom"/>
            <w:tcBorders>
              <w:top w:val="single" w:sz="8" w:color="EAF9E8"/>
            </w:tcBorders>
            <w:shd w:val="clear" w:color="auto" w:fill="EAF9E8"/>
          </w:tcPr>
          <w:p>
            <w:pPr>
              <w:spacing w:after="0" w:line="20" w:lineRule="exact"/>
              <w:rPr>
                <w:sz w:val="1"/>
                <w:szCs w:val="1"/>
                <w:color w:val="auto"/>
              </w:rPr>
            </w:pPr>
          </w:p>
        </w:tc>
        <w:tc>
          <w:tcPr>
            <w:tcW w:w="40" w:type="dxa"/>
            <w:vAlign w:val="bottom"/>
            <w:tcBorders>
              <w:top w:val="single" w:sz="8" w:color="EAF9E8"/>
            </w:tcBorders>
            <w:shd w:val="clear" w:color="auto" w:fill="EAF9E8"/>
          </w:tcPr>
          <w:p>
            <w:pPr>
              <w:spacing w:after="0" w:line="20" w:lineRule="exact"/>
              <w:rPr>
                <w:sz w:val="1"/>
                <w:szCs w:val="1"/>
                <w:color w:val="auto"/>
              </w:rPr>
            </w:pPr>
          </w:p>
        </w:tc>
        <w:tc>
          <w:tcPr>
            <w:tcW w:w="980" w:type="dxa"/>
            <w:vAlign w:val="bottom"/>
            <w:tcBorders>
              <w:top w:val="single" w:sz="8" w:color="EAF9E8"/>
            </w:tcBorders>
            <w:shd w:val="clear" w:color="auto" w:fill="EAF9E8"/>
          </w:tcPr>
          <w:p>
            <w:pPr>
              <w:spacing w:after="0" w:line="20" w:lineRule="exact"/>
              <w:rPr>
                <w:sz w:val="1"/>
                <w:szCs w:val="1"/>
                <w:color w:val="auto"/>
              </w:rPr>
            </w:pPr>
          </w:p>
        </w:tc>
        <w:tc>
          <w:tcPr>
            <w:tcW w:w="220" w:type="dxa"/>
            <w:vAlign w:val="bottom"/>
            <w:tcBorders>
              <w:top w:val="single" w:sz="8" w:color="EAF9E8"/>
            </w:tcBorders>
            <w:shd w:val="clear" w:color="auto" w:fill="EAF9E8"/>
          </w:tcPr>
          <w:p>
            <w:pPr>
              <w:spacing w:after="0" w:line="20" w:lineRule="exact"/>
              <w:rPr>
                <w:sz w:val="1"/>
                <w:szCs w:val="1"/>
                <w:color w:val="auto"/>
              </w:rPr>
            </w:pPr>
          </w:p>
        </w:tc>
        <w:tc>
          <w:tcPr>
            <w:tcW w:w="600" w:type="dxa"/>
            <w:vAlign w:val="bottom"/>
            <w:tcBorders>
              <w:top w:val="single" w:sz="8" w:color="EAF9E8"/>
            </w:tcBorders>
            <w:shd w:val="clear" w:color="auto" w:fill="EAF9E8"/>
          </w:tcPr>
          <w:p>
            <w:pPr>
              <w:spacing w:after="0" w:line="20" w:lineRule="exact"/>
              <w:rPr>
                <w:sz w:val="1"/>
                <w:szCs w:val="1"/>
                <w:color w:val="auto"/>
              </w:rPr>
            </w:pPr>
          </w:p>
        </w:tc>
        <w:tc>
          <w:tcPr>
            <w:tcW w:w="240" w:type="dxa"/>
            <w:vAlign w:val="bottom"/>
            <w:tcBorders>
              <w:top w:val="single" w:sz="8" w:color="EAF9E8"/>
            </w:tcBorders>
            <w:shd w:val="clear" w:color="auto" w:fill="EAF9E8"/>
          </w:tcPr>
          <w:p>
            <w:pPr>
              <w:spacing w:after="0" w:line="20" w:lineRule="exact"/>
              <w:rPr>
                <w:sz w:val="1"/>
                <w:szCs w:val="1"/>
                <w:color w:val="auto"/>
              </w:rPr>
            </w:pPr>
          </w:p>
        </w:tc>
        <w:tc>
          <w:tcPr>
            <w:tcW w:w="1000" w:type="dxa"/>
            <w:vAlign w:val="bottom"/>
            <w:tcBorders>
              <w:top w:val="single" w:sz="8" w:color="EAF9E8"/>
            </w:tcBorders>
            <w:shd w:val="clear" w:color="auto" w:fill="EAF9E8"/>
          </w:tcPr>
          <w:p>
            <w:pPr>
              <w:spacing w:after="0" w:line="20" w:lineRule="exact"/>
              <w:rPr>
                <w:sz w:val="1"/>
                <w:szCs w:val="1"/>
                <w:color w:val="auto"/>
              </w:rPr>
            </w:pPr>
          </w:p>
        </w:tc>
        <w:tc>
          <w:tcPr>
            <w:tcW w:w="200" w:type="dxa"/>
            <w:vAlign w:val="bottom"/>
            <w:tcBorders>
              <w:top w:val="single" w:sz="8" w:color="EAF9E8"/>
            </w:tcBorders>
            <w:shd w:val="clear" w:color="auto" w:fill="EAF9E8"/>
          </w:tcPr>
          <w:p>
            <w:pPr>
              <w:spacing w:after="0" w:line="20" w:lineRule="exact"/>
              <w:rPr>
                <w:sz w:val="1"/>
                <w:szCs w:val="1"/>
                <w:color w:val="auto"/>
              </w:rPr>
            </w:pPr>
          </w:p>
        </w:tc>
        <w:tc>
          <w:tcPr>
            <w:tcW w:w="220" w:type="dxa"/>
            <w:vAlign w:val="bottom"/>
            <w:tcBorders>
              <w:top w:val="single" w:sz="8" w:color="EAF9E8"/>
            </w:tcBorders>
            <w:shd w:val="clear" w:color="auto" w:fill="EAF9E8"/>
          </w:tcPr>
          <w:p>
            <w:pPr>
              <w:spacing w:after="0" w:line="20" w:lineRule="exact"/>
              <w:rPr>
                <w:sz w:val="1"/>
                <w:szCs w:val="1"/>
                <w:color w:val="auto"/>
              </w:rPr>
            </w:pPr>
          </w:p>
        </w:tc>
        <w:tc>
          <w:tcPr>
            <w:tcW w:w="100" w:type="dxa"/>
            <w:vAlign w:val="bottom"/>
            <w:tcBorders>
              <w:top w:val="single" w:sz="8" w:color="EAF9E8"/>
            </w:tcBorders>
            <w:shd w:val="clear" w:color="auto" w:fill="EAF9E8"/>
          </w:tcPr>
          <w:p>
            <w:pPr>
              <w:spacing w:after="0" w:line="20" w:lineRule="exact"/>
              <w:rPr>
                <w:sz w:val="1"/>
                <w:szCs w:val="1"/>
                <w:color w:val="auto"/>
              </w:rPr>
            </w:pPr>
          </w:p>
        </w:tc>
        <w:tc>
          <w:tcPr>
            <w:tcW w:w="860" w:type="dxa"/>
            <w:vAlign w:val="bottom"/>
            <w:tcBorders>
              <w:top w:val="single" w:sz="8" w:color="EAF9E8"/>
            </w:tcBorders>
            <w:shd w:val="clear" w:color="auto" w:fill="EAF9E8"/>
          </w:tcPr>
          <w:p>
            <w:pPr>
              <w:spacing w:after="0" w:line="20" w:lineRule="exact"/>
              <w:rPr>
                <w:sz w:val="1"/>
                <w:szCs w:val="1"/>
                <w:color w:val="auto"/>
              </w:rPr>
            </w:pPr>
          </w:p>
        </w:tc>
        <w:tc>
          <w:tcPr>
            <w:tcW w:w="240" w:type="dxa"/>
            <w:vAlign w:val="bottom"/>
            <w:tcBorders>
              <w:top w:val="single" w:sz="8" w:color="EAF9E8"/>
            </w:tcBorders>
            <w:shd w:val="clear" w:color="auto" w:fill="EAF9E8"/>
          </w:tcPr>
          <w:p>
            <w:pPr>
              <w:spacing w:after="0" w:line="20" w:lineRule="exact"/>
              <w:rPr>
                <w:sz w:val="1"/>
                <w:szCs w:val="1"/>
                <w:color w:val="auto"/>
              </w:rPr>
            </w:pPr>
          </w:p>
        </w:tc>
        <w:tc>
          <w:tcPr>
            <w:tcW w:w="100" w:type="dxa"/>
            <w:vAlign w:val="bottom"/>
            <w:tcBorders>
              <w:top w:val="single" w:sz="8" w:color="EAF9E8"/>
            </w:tcBorders>
            <w:shd w:val="clear" w:color="auto" w:fill="EAF9E8"/>
          </w:tcPr>
          <w:p>
            <w:pPr>
              <w:spacing w:after="0" w:line="20" w:lineRule="exact"/>
              <w:rPr>
                <w:sz w:val="1"/>
                <w:szCs w:val="1"/>
                <w:color w:val="auto"/>
              </w:rPr>
            </w:pPr>
          </w:p>
        </w:tc>
        <w:tc>
          <w:tcPr>
            <w:tcW w:w="720" w:type="dxa"/>
            <w:vAlign w:val="bottom"/>
            <w:tcBorders>
              <w:top w:val="single" w:sz="8" w:color="EAF9E8"/>
            </w:tcBorders>
            <w:shd w:val="clear" w:color="auto" w:fill="EAF9E8"/>
          </w:tcPr>
          <w:p>
            <w:pPr>
              <w:spacing w:after="0" w:line="20" w:lineRule="exact"/>
              <w:rPr>
                <w:sz w:val="1"/>
                <w:szCs w:val="1"/>
                <w:color w:val="auto"/>
              </w:rPr>
            </w:pPr>
          </w:p>
        </w:tc>
        <w:tc>
          <w:tcPr>
            <w:tcW w:w="120" w:type="dxa"/>
            <w:vAlign w:val="bottom"/>
            <w:tcBorders>
              <w:top w:val="single" w:sz="8" w:color="EAF9E8"/>
            </w:tcBorders>
            <w:shd w:val="clear" w:color="auto" w:fill="EAF9E8"/>
          </w:tcPr>
          <w:p>
            <w:pPr>
              <w:spacing w:after="0" w:line="20" w:lineRule="exact"/>
              <w:rPr>
                <w:sz w:val="1"/>
                <w:szCs w:val="1"/>
                <w:color w:val="auto"/>
              </w:rPr>
            </w:pPr>
          </w:p>
        </w:tc>
        <w:tc>
          <w:tcPr>
            <w:tcW w:w="120" w:type="dxa"/>
            <w:vAlign w:val="bottom"/>
            <w:tcBorders>
              <w:top w:val="single" w:sz="8" w:color="EAF9E8"/>
            </w:tcBorders>
            <w:shd w:val="clear" w:color="auto" w:fill="EAF9E8"/>
          </w:tcPr>
          <w:p>
            <w:pPr>
              <w:spacing w:after="0" w:line="20" w:lineRule="exact"/>
              <w:rPr>
                <w:sz w:val="1"/>
                <w:szCs w:val="1"/>
                <w:color w:val="auto"/>
              </w:rPr>
            </w:pPr>
          </w:p>
        </w:tc>
        <w:tc>
          <w:tcPr>
            <w:tcW w:w="100" w:type="dxa"/>
            <w:vAlign w:val="bottom"/>
            <w:tcBorders>
              <w:top w:val="single" w:sz="8" w:color="EAF9E8"/>
            </w:tcBorders>
            <w:shd w:val="clear" w:color="auto" w:fill="EAF9E8"/>
          </w:tcPr>
          <w:p>
            <w:pPr>
              <w:spacing w:after="0" w:line="20" w:lineRule="exact"/>
              <w:rPr>
                <w:sz w:val="1"/>
                <w:szCs w:val="1"/>
                <w:color w:val="auto"/>
              </w:rPr>
            </w:pPr>
          </w:p>
        </w:tc>
        <w:tc>
          <w:tcPr>
            <w:tcW w:w="980" w:type="dxa"/>
            <w:vAlign w:val="bottom"/>
            <w:tcBorders>
              <w:top w:val="single" w:sz="8" w:color="EAF9E8"/>
            </w:tcBorders>
            <w:shd w:val="clear" w:color="auto" w:fill="EAF9E8"/>
          </w:tcPr>
          <w:p>
            <w:pPr>
              <w:spacing w:after="0" w:line="20" w:lineRule="exact"/>
              <w:rPr>
                <w:sz w:val="1"/>
                <w:szCs w:val="1"/>
                <w:color w:val="auto"/>
              </w:rPr>
            </w:pPr>
          </w:p>
        </w:tc>
        <w:tc>
          <w:tcPr>
            <w:tcW w:w="220" w:type="dxa"/>
            <w:vAlign w:val="bottom"/>
            <w:tcBorders>
              <w:top w:val="single" w:sz="8" w:color="EAF9E8"/>
            </w:tcBorders>
            <w:shd w:val="clear" w:color="auto" w:fill="EAF9E8"/>
          </w:tcPr>
          <w:p>
            <w:pPr>
              <w:spacing w:after="0" w:line="20" w:lineRule="exact"/>
              <w:rPr>
                <w:sz w:val="1"/>
                <w:szCs w:val="1"/>
                <w:color w:val="auto"/>
              </w:rPr>
            </w:pPr>
          </w:p>
        </w:tc>
        <w:tc>
          <w:tcPr>
            <w:tcW w:w="100" w:type="dxa"/>
            <w:vAlign w:val="bottom"/>
            <w:tcBorders>
              <w:top w:val="single" w:sz="8" w:color="EAF9E8"/>
            </w:tcBorders>
            <w:shd w:val="clear" w:color="auto" w:fill="EAF9E8"/>
          </w:tcPr>
          <w:p>
            <w:pPr>
              <w:spacing w:after="0" w:line="20" w:lineRule="exact"/>
              <w:rPr>
                <w:sz w:val="1"/>
                <w:szCs w:val="1"/>
                <w:color w:val="auto"/>
              </w:rPr>
            </w:pPr>
          </w:p>
        </w:tc>
        <w:tc>
          <w:tcPr>
            <w:tcW w:w="880" w:type="dxa"/>
            <w:vAlign w:val="bottom"/>
            <w:tcBorders>
              <w:top w:val="single" w:sz="8" w:color="EAF9E8"/>
            </w:tcBorders>
            <w:shd w:val="clear" w:color="auto" w:fill="EAF9E8"/>
          </w:tcPr>
          <w:p>
            <w:pPr>
              <w:spacing w:after="0" w:line="20" w:lineRule="exact"/>
              <w:rPr>
                <w:sz w:val="1"/>
                <w:szCs w:val="1"/>
                <w:color w:val="auto"/>
              </w:rPr>
            </w:pPr>
          </w:p>
        </w:tc>
        <w:tc>
          <w:tcPr>
            <w:tcW w:w="240" w:type="dxa"/>
            <w:vAlign w:val="bottom"/>
            <w:tcBorders>
              <w:top w:val="single" w:sz="8" w:color="EAF9E8"/>
            </w:tcBorders>
            <w:shd w:val="clear" w:color="auto" w:fill="EAF9E8"/>
          </w:tcPr>
          <w:p>
            <w:pPr>
              <w:spacing w:after="0" w:line="20" w:lineRule="exact"/>
              <w:rPr>
                <w:sz w:val="1"/>
                <w:szCs w:val="1"/>
                <w:color w:val="auto"/>
              </w:rPr>
            </w:pPr>
          </w:p>
        </w:tc>
        <w:tc>
          <w:tcPr>
            <w:tcW w:w="100" w:type="dxa"/>
            <w:vAlign w:val="bottom"/>
            <w:tcBorders>
              <w:top w:val="single" w:sz="8" w:color="EAF9E8"/>
            </w:tcBorders>
            <w:shd w:val="clear" w:color="auto" w:fill="EAF9E8"/>
          </w:tcPr>
          <w:p>
            <w:pPr>
              <w:spacing w:after="0" w:line="20" w:lineRule="exact"/>
              <w:rPr>
                <w:sz w:val="1"/>
                <w:szCs w:val="1"/>
                <w:color w:val="auto"/>
              </w:rPr>
            </w:pPr>
          </w:p>
        </w:tc>
        <w:tc>
          <w:tcPr>
            <w:tcW w:w="1160" w:type="dxa"/>
            <w:vAlign w:val="bottom"/>
            <w:tcBorders>
              <w:top w:val="single" w:sz="8" w:color="EAF9E8"/>
            </w:tcBorders>
            <w:shd w:val="clear" w:color="auto" w:fill="EAF9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740" w:type="dxa"/>
            <w:vAlign w:val="bottom"/>
            <w:gridSpan w:val="4"/>
          </w:tcPr>
          <w:p>
            <w:pPr>
              <w:ind w:left="160"/>
              <w:spacing w:after="0"/>
              <w:rPr>
                <w:sz w:val="20"/>
                <w:szCs w:val="20"/>
                <w:color w:val="auto"/>
              </w:rPr>
            </w:pPr>
            <w:r>
              <w:rPr>
                <w:rFonts w:ascii="Arial" w:cs="Arial" w:eastAsia="Arial" w:hAnsi="Arial"/>
                <w:sz w:val="18"/>
                <w:szCs w:val="18"/>
                <w:color w:val="auto"/>
              </w:rPr>
              <w:t>Depreciation expense</w:t>
            </w:r>
          </w:p>
        </w:tc>
        <w:tc>
          <w:tcPr>
            <w:tcW w:w="220" w:type="dxa"/>
            <w:vAlign w:val="bottom"/>
          </w:tcPr>
          <w:p>
            <w:pPr>
              <w:jc w:val="right"/>
              <w:ind w:right="61"/>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38</w:t>
            </w:r>
          </w:p>
        </w:tc>
        <w:tc>
          <w:tcPr>
            <w:tcW w:w="1000" w:type="dxa"/>
            <w:vAlign w:val="bottom"/>
          </w:tcPr>
          <w:p>
            <w:pPr>
              <w:jc w:val="right"/>
              <w:ind w:right="840"/>
              <w:spacing w:after="0"/>
              <w:rPr>
                <w:sz w:val="20"/>
                <w:szCs w:val="20"/>
                <w:color w:val="auto"/>
              </w:rPr>
            </w:pPr>
            <w:r>
              <w:rPr>
                <w:rFonts w:ascii="Arial" w:cs="Arial" w:eastAsia="Arial" w:hAnsi="Arial"/>
                <w:sz w:val="15"/>
                <w:szCs w:val="15"/>
                <w:color w:val="auto"/>
                <w:w w:val="71"/>
              </w:rPr>
              <w:t>$</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24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282</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3,150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907</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4,401</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2740" w:type="dxa"/>
            <w:vAlign w:val="bottom"/>
            <w:gridSpan w:val="4"/>
            <w:shd w:val="clear" w:color="auto" w:fill="EAF9E8"/>
          </w:tcPr>
          <w:p>
            <w:pPr>
              <w:ind w:left="160"/>
              <w:spacing w:after="0"/>
              <w:rPr>
                <w:sz w:val="20"/>
                <w:szCs w:val="20"/>
                <w:color w:val="auto"/>
              </w:rPr>
            </w:pPr>
            <w:r>
              <w:rPr>
                <w:rFonts w:ascii="Arial" w:cs="Arial" w:eastAsia="Arial" w:hAnsi="Arial"/>
                <w:sz w:val="18"/>
                <w:szCs w:val="18"/>
                <w:color w:val="auto"/>
              </w:rPr>
              <w:t>Amortization of MSRs</w:t>
            </w:r>
          </w:p>
        </w:tc>
        <w:tc>
          <w:tcPr>
            <w:tcW w:w="220" w:type="dxa"/>
            <w:vAlign w:val="bottom"/>
            <w:shd w:val="clear" w:color="auto" w:fill="EAF9E8"/>
          </w:tcPr>
          <w:p>
            <w:pPr>
              <w:spacing w:after="0"/>
              <w:rPr>
                <w:sz w:val="21"/>
                <w:szCs w:val="21"/>
                <w:color w:val="auto"/>
              </w:rPr>
            </w:pPr>
          </w:p>
        </w:tc>
        <w:tc>
          <w:tcPr>
            <w:tcW w:w="84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25,743</w:t>
            </w:r>
          </w:p>
        </w:tc>
        <w:tc>
          <w:tcPr>
            <w:tcW w:w="1000" w:type="dxa"/>
            <w:vAlign w:val="bottom"/>
            <w:shd w:val="clear" w:color="auto" w:fill="EAF9E8"/>
          </w:tcPr>
          <w:p>
            <w:pPr>
              <w:spacing w:after="0"/>
              <w:rPr>
                <w:sz w:val="21"/>
                <w:szCs w:val="21"/>
                <w:color w:val="auto"/>
              </w:rPr>
            </w:pPr>
          </w:p>
        </w:tc>
        <w:tc>
          <w:tcPr>
            <w:tcW w:w="42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EAF9E8"/>
          </w:tcPr>
          <w:p>
            <w:pPr>
              <w:spacing w:after="0"/>
              <w:rPr>
                <w:sz w:val="21"/>
                <w:szCs w:val="21"/>
                <w:color w:val="auto"/>
              </w:rPr>
            </w:pPr>
          </w:p>
        </w:tc>
        <w:tc>
          <w:tcPr>
            <w:tcW w:w="110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EAF9E8"/>
          </w:tcPr>
          <w:p>
            <w:pPr>
              <w:spacing w:after="0"/>
              <w:rPr>
                <w:sz w:val="21"/>
                <w:szCs w:val="21"/>
                <w:color w:val="auto"/>
              </w:rPr>
            </w:pPr>
          </w:p>
        </w:tc>
        <w:tc>
          <w:tcPr>
            <w:tcW w:w="84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120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EAF9E8"/>
          </w:tcPr>
          <w:p>
            <w:pPr>
              <w:spacing w:after="0"/>
              <w:rPr>
                <w:sz w:val="21"/>
                <w:szCs w:val="21"/>
                <w:color w:val="auto"/>
              </w:rPr>
            </w:pPr>
          </w:p>
        </w:tc>
        <w:tc>
          <w:tcPr>
            <w:tcW w:w="8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1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25,743</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740" w:type="dxa"/>
            <w:vAlign w:val="bottom"/>
            <w:gridSpan w:val="4"/>
          </w:tcPr>
          <w:p>
            <w:pPr>
              <w:ind w:left="160"/>
              <w:spacing w:after="0"/>
              <w:rPr>
                <w:sz w:val="20"/>
                <w:szCs w:val="20"/>
                <w:color w:val="auto"/>
              </w:rPr>
            </w:pPr>
            <w:r>
              <w:rPr>
                <w:rFonts w:ascii="Arial" w:cs="Arial" w:eastAsia="Arial" w:hAnsi="Arial"/>
                <w:sz w:val="18"/>
                <w:szCs w:val="18"/>
                <w:color w:val="auto"/>
              </w:rPr>
              <w:t>Amortization of intangibles</w:t>
            </w:r>
          </w:p>
        </w:tc>
        <w:tc>
          <w:tcPr>
            <w:tcW w:w="220" w:type="dxa"/>
            <w:vAlign w:val="bottom"/>
          </w:tcPr>
          <w:p>
            <w:pPr>
              <w:spacing w:after="0"/>
              <w:rPr>
                <w:sz w:val="20"/>
                <w:szCs w:val="20"/>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20"/>
                <w:szCs w:val="20"/>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1,624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1,624</w:t>
            </w:r>
          </w:p>
        </w:tc>
        <w:tc>
          <w:tcPr>
            <w:tcW w:w="0" w:type="dxa"/>
            <w:vAlign w:val="bottom"/>
          </w:tcPr>
          <w:p>
            <w:pPr>
              <w:spacing w:after="0"/>
              <w:rPr>
                <w:sz w:val="1"/>
                <w:szCs w:val="1"/>
                <w:color w:val="auto"/>
              </w:rPr>
            </w:pPr>
          </w:p>
        </w:tc>
      </w:tr>
      <w:tr>
        <w:trPr>
          <w:trHeight w:val="245"/>
        </w:trPr>
        <w:tc>
          <w:tcPr>
            <w:tcW w:w="20" w:type="dxa"/>
            <w:vAlign w:val="bottom"/>
            <w:vMerge w:val="restart"/>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880" w:type="dxa"/>
            <w:vAlign w:val="bottom"/>
            <w:gridSpan w:val="5"/>
            <w:shd w:val="clear" w:color="auto" w:fill="EAF9E8"/>
          </w:tcPr>
          <w:p>
            <w:pPr>
              <w:spacing w:after="0" w:line="176" w:lineRule="exact"/>
              <w:rPr>
                <w:sz w:val="20"/>
                <w:szCs w:val="20"/>
                <w:color w:val="auto"/>
              </w:rPr>
            </w:pPr>
            <w:r>
              <w:rPr>
                <w:rFonts w:ascii="Arial" w:cs="Arial" w:eastAsia="Arial" w:hAnsi="Arial"/>
                <w:sz w:val="18"/>
                <w:szCs w:val="18"/>
                <w:color w:val="auto"/>
              </w:rPr>
              <w:t>For the nine months ended</w:t>
            </w:r>
          </w:p>
        </w:tc>
        <w:tc>
          <w:tcPr>
            <w:tcW w:w="220" w:type="dxa"/>
            <w:vAlign w:val="bottom"/>
            <w:shd w:val="clear" w:color="auto" w:fill="EAF9E8"/>
          </w:tcPr>
          <w:p>
            <w:pPr>
              <w:spacing w:after="0"/>
              <w:rPr>
                <w:sz w:val="15"/>
                <w:szCs w:val="15"/>
                <w:color w:val="auto"/>
              </w:rPr>
            </w:pPr>
          </w:p>
        </w:tc>
        <w:tc>
          <w:tcPr>
            <w:tcW w:w="600" w:type="dxa"/>
            <w:vAlign w:val="bottom"/>
            <w:shd w:val="clear" w:color="auto" w:fill="EAF9E8"/>
          </w:tcPr>
          <w:p>
            <w:pPr>
              <w:spacing w:after="0"/>
              <w:rPr>
                <w:sz w:val="15"/>
                <w:szCs w:val="15"/>
                <w:color w:val="auto"/>
              </w:rPr>
            </w:pPr>
          </w:p>
        </w:tc>
        <w:tc>
          <w:tcPr>
            <w:tcW w:w="240" w:type="dxa"/>
            <w:vAlign w:val="bottom"/>
            <w:shd w:val="clear" w:color="auto" w:fill="EAF9E8"/>
          </w:tcPr>
          <w:p>
            <w:pPr>
              <w:spacing w:after="0"/>
              <w:rPr>
                <w:sz w:val="15"/>
                <w:szCs w:val="15"/>
                <w:color w:val="auto"/>
              </w:rPr>
            </w:pPr>
          </w:p>
        </w:tc>
        <w:tc>
          <w:tcPr>
            <w:tcW w:w="1000" w:type="dxa"/>
            <w:vAlign w:val="bottom"/>
            <w:shd w:val="clear" w:color="auto" w:fill="EAF9E8"/>
          </w:tcPr>
          <w:p>
            <w:pPr>
              <w:spacing w:after="0"/>
              <w:rPr>
                <w:sz w:val="15"/>
                <w:szCs w:val="15"/>
                <w:color w:val="auto"/>
              </w:rPr>
            </w:pPr>
          </w:p>
        </w:tc>
        <w:tc>
          <w:tcPr>
            <w:tcW w:w="200" w:type="dxa"/>
            <w:vAlign w:val="bottom"/>
            <w:shd w:val="clear" w:color="auto" w:fill="EAF9E8"/>
          </w:tcPr>
          <w:p>
            <w:pPr>
              <w:spacing w:after="0"/>
              <w:rPr>
                <w:sz w:val="15"/>
                <w:szCs w:val="15"/>
                <w:color w:val="auto"/>
              </w:rPr>
            </w:pPr>
          </w:p>
        </w:tc>
        <w:tc>
          <w:tcPr>
            <w:tcW w:w="220" w:type="dxa"/>
            <w:vAlign w:val="bottom"/>
            <w:shd w:val="clear" w:color="auto" w:fill="EAF9E8"/>
          </w:tcPr>
          <w:p>
            <w:pPr>
              <w:spacing w:after="0"/>
              <w:rPr>
                <w:sz w:val="15"/>
                <w:szCs w:val="15"/>
                <w:color w:val="auto"/>
              </w:rPr>
            </w:pPr>
          </w:p>
        </w:tc>
        <w:tc>
          <w:tcPr>
            <w:tcW w:w="100" w:type="dxa"/>
            <w:vAlign w:val="bottom"/>
            <w:shd w:val="clear" w:color="auto" w:fill="EAF9E8"/>
          </w:tcPr>
          <w:p>
            <w:pPr>
              <w:spacing w:after="0"/>
              <w:rPr>
                <w:sz w:val="15"/>
                <w:szCs w:val="15"/>
                <w:color w:val="auto"/>
              </w:rPr>
            </w:pPr>
          </w:p>
        </w:tc>
        <w:tc>
          <w:tcPr>
            <w:tcW w:w="860" w:type="dxa"/>
            <w:vAlign w:val="bottom"/>
            <w:shd w:val="clear" w:color="auto" w:fill="EAF9E8"/>
          </w:tcPr>
          <w:p>
            <w:pPr>
              <w:spacing w:after="0"/>
              <w:rPr>
                <w:sz w:val="15"/>
                <w:szCs w:val="15"/>
                <w:color w:val="auto"/>
              </w:rPr>
            </w:pPr>
          </w:p>
        </w:tc>
        <w:tc>
          <w:tcPr>
            <w:tcW w:w="240" w:type="dxa"/>
            <w:vAlign w:val="bottom"/>
            <w:shd w:val="clear" w:color="auto" w:fill="EAF9E8"/>
          </w:tcPr>
          <w:p>
            <w:pPr>
              <w:spacing w:after="0"/>
              <w:rPr>
                <w:sz w:val="15"/>
                <w:szCs w:val="15"/>
                <w:color w:val="auto"/>
              </w:rPr>
            </w:pPr>
          </w:p>
        </w:tc>
        <w:tc>
          <w:tcPr>
            <w:tcW w:w="100" w:type="dxa"/>
            <w:vAlign w:val="bottom"/>
            <w:shd w:val="clear" w:color="auto" w:fill="EAF9E8"/>
          </w:tcPr>
          <w:p>
            <w:pPr>
              <w:spacing w:after="0"/>
              <w:rPr>
                <w:sz w:val="15"/>
                <w:szCs w:val="15"/>
                <w:color w:val="auto"/>
              </w:rPr>
            </w:pPr>
          </w:p>
        </w:tc>
        <w:tc>
          <w:tcPr>
            <w:tcW w:w="720" w:type="dxa"/>
            <w:vAlign w:val="bottom"/>
            <w:shd w:val="clear" w:color="auto" w:fill="EAF9E8"/>
          </w:tcPr>
          <w:p>
            <w:pPr>
              <w:spacing w:after="0"/>
              <w:rPr>
                <w:sz w:val="15"/>
                <w:szCs w:val="15"/>
                <w:color w:val="auto"/>
              </w:rPr>
            </w:pPr>
          </w:p>
        </w:tc>
        <w:tc>
          <w:tcPr>
            <w:tcW w:w="120" w:type="dxa"/>
            <w:vAlign w:val="bottom"/>
            <w:shd w:val="clear" w:color="auto" w:fill="EAF9E8"/>
          </w:tcPr>
          <w:p>
            <w:pPr>
              <w:spacing w:after="0"/>
              <w:rPr>
                <w:sz w:val="15"/>
                <w:szCs w:val="15"/>
                <w:color w:val="auto"/>
              </w:rPr>
            </w:pPr>
          </w:p>
        </w:tc>
        <w:tc>
          <w:tcPr>
            <w:tcW w:w="120" w:type="dxa"/>
            <w:vAlign w:val="bottom"/>
            <w:shd w:val="clear" w:color="auto" w:fill="EAF9E8"/>
          </w:tcPr>
          <w:p>
            <w:pPr>
              <w:spacing w:after="0"/>
              <w:rPr>
                <w:sz w:val="15"/>
                <w:szCs w:val="15"/>
                <w:color w:val="auto"/>
              </w:rPr>
            </w:pPr>
          </w:p>
        </w:tc>
        <w:tc>
          <w:tcPr>
            <w:tcW w:w="100" w:type="dxa"/>
            <w:vAlign w:val="bottom"/>
            <w:shd w:val="clear" w:color="auto" w:fill="EAF9E8"/>
          </w:tcPr>
          <w:p>
            <w:pPr>
              <w:spacing w:after="0"/>
              <w:rPr>
                <w:sz w:val="15"/>
                <w:szCs w:val="15"/>
                <w:color w:val="auto"/>
              </w:rPr>
            </w:pPr>
          </w:p>
        </w:tc>
        <w:tc>
          <w:tcPr>
            <w:tcW w:w="980" w:type="dxa"/>
            <w:vAlign w:val="bottom"/>
            <w:shd w:val="clear" w:color="auto" w:fill="EAF9E8"/>
          </w:tcPr>
          <w:p>
            <w:pPr>
              <w:spacing w:after="0"/>
              <w:rPr>
                <w:sz w:val="15"/>
                <w:szCs w:val="15"/>
                <w:color w:val="auto"/>
              </w:rPr>
            </w:pPr>
          </w:p>
        </w:tc>
        <w:tc>
          <w:tcPr>
            <w:tcW w:w="220" w:type="dxa"/>
            <w:vAlign w:val="bottom"/>
            <w:shd w:val="clear" w:color="auto" w:fill="EAF9E8"/>
          </w:tcPr>
          <w:p>
            <w:pPr>
              <w:spacing w:after="0"/>
              <w:rPr>
                <w:sz w:val="15"/>
                <w:szCs w:val="15"/>
                <w:color w:val="auto"/>
              </w:rPr>
            </w:pPr>
          </w:p>
        </w:tc>
        <w:tc>
          <w:tcPr>
            <w:tcW w:w="100" w:type="dxa"/>
            <w:vAlign w:val="bottom"/>
            <w:shd w:val="clear" w:color="auto" w:fill="EAF9E8"/>
          </w:tcPr>
          <w:p>
            <w:pPr>
              <w:spacing w:after="0"/>
              <w:rPr>
                <w:sz w:val="15"/>
                <w:szCs w:val="15"/>
                <w:color w:val="auto"/>
              </w:rPr>
            </w:pPr>
          </w:p>
        </w:tc>
        <w:tc>
          <w:tcPr>
            <w:tcW w:w="880" w:type="dxa"/>
            <w:vAlign w:val="bottom"/>
            <w:shd w:val="clear" w:color="auto" w:fill="EAF9E8"/>
          </w:tcPr>
          <w:p>
            <w:pPr>
              <w:spacing w:after="0"/>
              <w:rPr>
                <w:sz w:val="15"/>
                <w:szCs w:val="15"/>
                <w:color w:val="auto"/>
              </w:rPr>
            </w:pPr>
          </w:p>
        </w:tc>
        <w:tc>
          <w:tcPr>
            <w:tcW w:w="240" w:type="dxa"/>
            <w:vAlign w:val="bottom"/>
            <w:shd w:val="clear" w:color="auto" w:fill="EAF9E8"/>
          </w:tcPr>
          <w:p>
            <w:pPr>
              <w:spacing w:after="0"/>
              <w:rPr>
                <w:sz w:val="15"/>
                <w:szCs w:val="15"/>
                <w:color w:val="auto"/>
              </w:rPr>
            </w:pPr>
          </w:p>
        </w:tc>
        <w:tc>
          <w:tcPr>
            <w:tcW w:w="100" w:type="dxa"/>
            <w:vAlign w:val="bottom"/>
            <w:shd w:val="clear" w:color="auto" w:fill="EAF9E8"/>
          </w:tcPr>
          <w:p>
            <w:pPr>
              <w:spacing w:after="0"/>
              <w:rPr>
                <w:sz w:val="15"/>
                <w:szCs w:val="15"/>
                <w:color w:val="auto"/>
              </w:rPr>
            </w:pPr>
          </w:p>
        </w:tc>
        <w:tc>
          <w:tcPr>
            <w:tcW w:w="1160" w:type="dxa"/>
            <w:vAlign w:val="bottom"/>
            <w:shd w:val="clear" w:color="auto" w:fill="EAF9E8"/>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0" w:type="dxa"/>
            <w:vAlign w:val="bottom"/>
            <w:tcBorders>
              <w:top w:val="single" w:sz="8" w:color="auto"/>
            </w:tcBorders>
            <w:shd w:val="clear" w:color="auto" w:fill="EAF9E8"/>
          </w:tcPr>
          <w:p>
            <w:pPr>
              <w:spacing w:after="0"/>
              <w:rPr>
                <w:sz w:val="17"/>
                <w:szCs w:val="17"/>
                <w:color w:val="auto"/>
              </w:rPr>
            </w:pPr>
          </w:p>
        </w:tc>
        <w:tc>
          <w:tcPr>
            <w:tcW w:w="1720" w:type="dxa"/>
            <w:vAlign w:val="bottom"/>
            <w:tcBorders>
              <w:top w:val="single" w:sz="8" w:color="auto"/>
            </w:tcBorders>
            <w:gridSpan w:val="2"/>
            <w:shd w:val="clear" w:color="auto" w:fill="EAF9E8"/>
          </w:tcPr>
          <w:p>
            <w:pPr>
              <w:spacing w:after="0" w:line="196" w:lineRule="exact"/>
              <w:rPr>
                <w:sz w:val="20"/>
                <w:szCs w:val="20"/>
                <w:color w:val="auto"/>
              </w:rPr>
            </w:pPr>
            <w:r>
              <w:rPr>
                <w:rFonts w:ascii="Arial" w:cs="Arial" w:eastAsia="Arial" w:hAnsi="Arial"/>
                <w:sz w:val="18"/>
                <w:szCs w:val="18"/>
                <w:color w:val="auto"/>
              </w:rPr>
              <w:t>September 30, 2008:</w:t>
            </w:r>
          </w:p>
        </w:tc>
        <w:tc>
          <w:tcPr>
            <w:tcW w:w="1020" w:type="dxa"/>
            <w:vAlign w:val="bottom"/>
            <w:tcBorders>
              <w:top w:val="single" w:sz="8" w:color="EAF9E8"/>
            </w:tcBorders>
            <w:gridSpan w:val="2"/>
            <w:shd w:val="clear" w:color="auto" w:fill="EAF9E8"/>
          </w:tcPr>
          <w:p>
            <w:pPr>
              <w:spacing w:after="0"/>
              <w:rPr>
                <w:sz w:val="17"/>
                <w:szCs w:val="17"/>
                <w:color w:val="auto"/>
              </w:rPr>
            </w:pPr>
          </w:p>
        </w:tc>
        <w:tc>
          <w:tcPr>
            <w:tcW w:w="220" w:type="dxa"/>
            <w:vAlign w:val="bottom"/>
            <w:tcBorders>
              <w:top w:val="single" w:sz="8" w:color="EAF9E8"/>
            </w:tcBorders>
            <w:shd w:val="clear" w:color="auto" w:fill="EAF9E8"/>
          </w:tcPr>
          <w:p>
            <w:pPr>
              <w:spacing w:after="0"/>
              <w:rPr>
                <w:sz w:val="17"/>
                <w:szCs w:val="17"/>
                <w:color w:val="auto"/>
              </w:rPr>
            </w:pPr>
          </w:p>
        </w:tc>
        <w:tc>
          <w:tcPr>
            <w:tcW w:w="600" w:type="dxa"/>
            <w:vAlign w:val="bottom"/>
            <w:tcBorders>
              <w:top w:val="single" w:sz="8" w:color="EAF9E8"/>
            </w:tcBorders>
            <w:shd w:val="clear" w:color="auto" w:fill="EAF9E8"/>
          </w:tcPr>
          <w:p>
            <w:pPr>
              <w:spacing w:after="0"/>
              <w:rPr>
                <w:sz w:val="17"/>
                <w:szCs w:val="17"/>
                <w:color w:val="auto"/>
              </w:rPr>
            </w:pPr>
          </w:p>
        </w:tc>
        <w:tc>
          <w:tcPr>
            <w:tcW w:w="240" w:type="dxa"/>
            <w:vAlign w:val="bottom"/>
            <w:tcBorders>
              <w:top w:val="single" w:sz="8" w:color="EAF9E8"/>
            </w:tcBorders>
            <w:shd w:val="clear" w:color="auto" w:fill="EAF9E8"/>
          </w:tcPr>
          <w:p>
            <w:pPr>
              <w:spacing w:after="0"/>
              <w:rPr>
                <w:sz w:val="17"/>
                <w:szCs w:val="17"/>
                <w:color w:val="auto"/>
              </w:rPr>
            </w:pPr>
          </w:p>
        </w:tc>
        <w:tc>
          <w:tcPr>
            <w:tcW w:w="1000" w:type="dxa"/>
            <w:vAlign w:val="bottom"/>
            <w:tcBorders>
              <w:top w:val="single" w:sz="8" w:color="EAF9E8"/>
            </w:tcBorders>
            <w:shd w:val="clear" w:color="auto" w:fill="EAF9E8"/>
          </w:tcPr>
          <w:p>
            <w:pPr>
              <w:spacing w:after="0"/>
              <w:rPr>
                <w:sz w:val="17"/>
                <w:szCs w:val="17"/>
                <w:color w:val="auto"/>
              </w:rPr>
            </w:pPr>
          </w:p>
        </w:tc>
        <w:tc>
          <w:tcPr>
            <w:tcW w:w="200" w:type="dxa"/>
            <w:vAlign w:val="bottom"/>
            <w:tcBorders>
              <w:top w:val="single" w:sz="8" w:color="EAF9E8"/>
            </w:tcBorders>
            <w:shd w:val="clear" w:color="auto" w:fill="EAF9E8"/>
          </w:tcPr>
          <w:p>
            <w:pPr>
              <w:spacing w:after="0"/>
              <w:rPr>
                <w:sz w:val="17"/>
                <w:szCs w:val="17"/>
                <w:color w:val="auto"/>
              </w:rPr>
            </w:pPr>
          </w:p>
        </w:tc>
        <w:tc>
          <w:tcPr>
            <w:tcW w:w="220" w:type="dxa"/>
            <w:vAlign w:val="bottom"/>
            <w:tcBorders>
              <w:top w:val="single" w:sz="8" w:color="EAF9E8"/>
            </w:tcBorders>
            <w:shd w:val="clear" w:color="auto" w:fill="EAF9E8"/>
          </w:tcPr>
          <w:p>
            <w:pPr>
              <w:spacing w:after="0"/>
              <w:rPr>
                <w:sz w:val="17"/>
                <w:szCs w:val="17"/>
                <w:color w:val="auto"/>
              </w:rPr>
            </w:pPr>
          </w:p>
        </w:tc>
        <w:tc>
          <w:tcPr>
            <w:tcW w:w="100" w:type="dxa"/>
            <w:vAlign w:val="bottom"/>
            <w:tcBorders>
              <w:top w:val="single" w:sz="8" w:color="EAF9E8"/>
            </w:tcBorders>
            <w:shd w:val="clear" w:color="auto" w:fill="EAF9E8"/>
          </w:tcPr>
          <w:p>
            <w:pPr>
              <w:spacing w:after="0"/>
              <w:rPr>
                <w:sz w:val="17"/>
                <w:szCs w:val="17"/>
                <w:color w:val="auto"/>
              </w:rPr>
            </w:pPr>
          </w:p>
        </w:tc>
        <w:tc>
          <w:tcPr>
            <w:tcW w:w="860" w:type="dxa"/>
            <w:vAlign w:val="bottom"/>
            <w:tcBorders>
              <w:top w:val="single" w:sz="8" w:color="EAF9E8"/>
            </w:tcBorders>
            <w:shd w:val="clear" w:color="auto" w:fill="EAF9E8"/>
          </w:tcPr>
          <w:p>
            <w:pPr>
              <w:spacing w:after="0"/>
              <w:rPr>
                <w:sz w:val="17"/>
                <w:szCs w:val="17"/>
                <w:color w:val="auto"/>
              </w:rPr>
            </w:pPr>
          </w:p>
        </w:tc>
        <w:tc>
          <w:tcPr>
            <w:tcW w:w="240" w:type="dxa"/>
            <w:vAlign w:val="bottom"/>
            <w:tcBorders>
              <w:top w:val="single" w:sz="8" w:color="EAF9E8"/>
            </w:tcBorders>
            <w:shd w:val="clear" w:color="auto" w:fill="EAF9E8"/>
          </w:tcPr>
          <w:p>
            <w:pPr>
              <w:spacing w:after="0"/>
              <w:rPr>
                <w:sz w:val="17"/>
                <w:szCs w:val="17"/>
                <w:color w:val="auto"/>
              </w:rPr>
            </w:pPr>
          </w:p>
        </w:tc>
        <w:tc>
          <w:tcPr>
            <w:tcW w:w="100" w:type="dxa"/>
            <w:vAlign w:val="bottom"/>
            <w:tcBorders>
              <w:top w:val="single" w:sz="8" w:color="EAF9E8"/>
            </w:tcBorders>
            <w:shd w:val="clear" w:color="auto" w:fill="EAF9E8"/>
          </w:tcPr>
          <w:p>
            <w:pPr>
              <w:spacing w:after="0"/>
              <w:rPr>
                <w:sz w:val="17"/>
                <w:szCs w:val="17"/>
                <w:color w:val="auto"/>
              </w:rPr>
            </w:pPr>
          </w:p>
        </w:tc>
        <w:tc>
          <w:tcPr>
            <w:tcW w:w="720" w:type="dxa"/>
            <w:vAlign w:val="bottom"/>
            <w:tcBorders>
              <w:top w:val="single" w:sz="8" w:color="EAF9E8"/>
            </w:tcBorders>
            <w:shd w:val="clear" w:color="auto" w:fill="EAF9E8"/>
          </w:tcPr>
          <w:p>
            <w:pPr>
              <w:spacing w:after="0"/>
              <w:rPr>
                <w:sz w:val="17"/>
                <w:szCs w:val="17"/>
                <w:color w:val="auto"/>
              </w:rPr>
            </w:pPr>
          </w:p>
        </w:tc>
        <w:tc>
          <w:tcPr>
            <w:tcW w:w="120" w:type="dxa"/>
            <w:vAlign w:val="bottom"/>
            <w:tcBorders>
              <w:top w:val="single" w:sz="8" w:color="EAF9E8"/>
            </w:tcBorders>
            <w:shd w:val="clear" w:color="auto" w:fill="EAF9E8"/>
          </w:tcPr>
          <w:p>
            <w:pPr>
              <w:spacing w:after="0"/>
              <w:rPr>
                <w:sz w:val="17"/>
                <w:szCs w:val="17"/>
                <w:color w:val="auto"/>
              </w:rPr>
            </w:pPr>
          </w:p>
        </w:tc>
        <w:tc>
          <w:tcPr>
            <w:tcW w:w="120" w:type="dxa"/>
            <w:vAlign w:val="bottom"/>
            <w:tcBorders>
              <w:top w:val="single" w:sz="8" w:color="EAF9E8"/>
            </w:tcBorders>
            <w:shd w:val="clear" w:color="auto" w:fill="EAF9E8"/>
          </w:tcPr>
          <w:p>
            <w:pPr>
              <w:spacing w:after="0"/>
              <w:rPr>
                <w:sz w:val="17"/>
                <w:szCs w:val="17"/>
                <w:color w:val="auto"/>
              </w:rPr>
            </w:pPr>
          </w:p>
        </w:tc>
        <w:tc>
          <w:tcPr>
            <w:tcW w:w="100" w:type="dxa"/>
            <w:vAlign w:val="bottom"/>
            <w:tcBorders>
              <w:top w:val="single" w:sz="8" w:color="EAF9E8"/>
            </w:tcBorders>
            <w:shd w:val="clear" w:color="auto" w:fill="EAF9E8"/>
          </w:tcPr>
          <w:p>
            <w:pPr>
              <w:spacing w:after="0"/>
              <w:rPr>
                <w:sz w:val="17"/>
                <w:szCs w:val="17"/>
                <w:color w:val="auto"/>
              </w:rPr>
            </w:pPr>
          </w:p>
        </w:tc>
        <w:tc>
          <w:tcPr>
            <w:tcW w:w="980" w:type="dxa"/>
            <w:vAlign w:val="bottom"/>
            <w:tcBorders>
              <w:top w:val="single" w:sz="8" w:color="EAF9E8"/>
            </w:tcBorders>
            <w:shd w:val="clear" w:color="auto" w:fill="EAF9E8"/>
          </w:tcPr>
          <w:p>
            <w:pPr>
              <w:spacing w:after="0"/>
              <w:rPr>
                <w:sz w:val="17"/>
                <w:szCs w:val="17"/>
                <w:color w:val="auto"/>
              </w:rPr>
            </w:pPr>
          </w:p>
        </w:tc>
        <w:tc>
          <w:tcPr>
            <w:tcW w:w="220" w:type="dxa"/>
            <w:vAlign w:val="bottom"/>
            <w:tcBorders>
              <w:top w:val="single" w:sz="8" w:color="EAF9E8"/>
            </w:tcBorders>
            <w:shd w:val="clear" w:color="auto" w:fill="EAF9E8"/>
          </w:tcPr>
          <w:p>
            <w:pPr>
              <w:spacing w:after="0"/>
              <w:rPr>
                <w:sz w:val="17"/>
                <w:szCs w:val="17"/>
                <w:color w:val="auto"/>
              </w:rPr>
            </w:pPr>
          </w:p>
        </w:tc>
        <w:tc>
          <w:tcPr>
            <w:tcW w:w="100" w:type="dxa"/>
            <w:vAlign w:val="bottom"/>
            <w:tcBorders>
              <w:top w:val="single" w:sz="8" w:color="EAF9E8"/>
            </w:tcBorders>
            <w:shd w:val="clear" w:color="auto" w:fill="EAF9E8"/>
          </w:tcPr>
          <w:p>
            <w:pPr>
              <w:spacing w:after="0"/>
              <w:rPr>
                <w:sz w:val="17"/>
                <w:szCs w:val="17"/>
                <w:color w:val="auto"/>
              </w:rPr>
            </w:pPr>
          </w:p>
        </w:tc>
        <w:tc>
          <w:tcPr>
            <w:tcW w:w="880" w:type="dxa"/>
            <w:vAlign w:val="bottom"/>
            <w:tcBorders>
              <w:top w:val="single" w:sz="8" w:color="EAF9E8"/>
            </w:tcBorders>
            <w:shd w:val="clear" w:color="auto" w:fill="EAF9E8"/>
          </w:tcPr>
          <w:p>
            <w:pPr>
              <w:spacing w:after="0"/>
              <w:rPr>
                <w:sz w:val="17"/>
                <w:szCs w:val="17"/>
                <w:color w:val="auto"/>
              </w:rPr>
            </w:pPr>
          </w:p>
        </w:tc>
        <w:tc>
          <w:tcPr>
            <w:tcW w:w="240" w:type="dxa"/>
            <w:vAlign w:val="bottom"/>
            <w:tcBorders>
              <w:top w:val="single" w:sz="8" w:color="EAF9E8"/>
            </w:tcBorders>
            <w:shd w:val="clear" w:color="auto" w:fill="EAF9E8"/>
          </w:tcPr>
          <w:p>
            <w:pPr>
              <w:spacing w:after="0"/>
              <w:rPr>
                <w:sz w:val="17"/>
                <w:szCs w:val="17"/>
                <w:color w:val="auto"/>
              </w:rPr>
            </w:pPr>
          </w:p>
        </w:tc>
        <w:tc>
          <w:tcPr>
            <w:tcW w:w="100" w:type="dxa"/>
            <w:vAlign w:val="bottom"/>
            <w:tcBorders>
              <w:top w:val="single" w:sz="8" w:color="EAF9E8"/>
            </w:tcBorders>
            <w:shd w:val="clear" w:color="auto" w:fill="EAF9E8"/>
          </w:tcPr>
          <w:p>
            <w:pPr>
              <w:spacing w:after="0"/>
              <w:rPr>
                <w:sz w:val="17"/>
                <w:szCs w:val="17"/>
                <w:color w:val="auto"/>
              </w:rPr>
            </w:pPr>
          </w:p>
        </w:tc>
        <w:tc>
          <w:tcPr>
            <w:tcW w:w="1160" w:type="dxa"/>
            <w:vAlign w:val="bottom"/>
            <w:tcBorders>
              <w:top w:val="single" w:sz="8" w:color="EAF9E8"/>
            </w:tcBorders>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0" w:type="dxa"/>
            <w:vAlign w:val="bottom"/>
            <w:tcBorders>
              <w:top w:val="single" w:sz="8" w:color="EAF9E8"/>
            </w:tcBorders>
            <w:shd w:val="clear" w:color="auto" w:fill="EAF9E8"/>
          </w:tcPr>
          <w:p>
            <w:pPr>
              <w:spacing w:after="0" w:line="20" w:lineRule="exact"/>
              <w:rPr>
                <w:sz w:val="1"/>
                <w:szCs w:val="1"/>
                <w:color w:val="auto"/>
              </w:rPr>
            </w:pPr>
          </w:p>
        </w:tc>
        <w:tc>
          <w:tcPr>
            <w:tcW w:w="1460" w:type="dxa"/>
            <w:vAlign w:val="bottom"/>
            <w:tcBorders>
              <w:top w:val="single" w:sz="8" w:color="auto"/>
            </w:tcBorders>
            <w:shd w:val="clear" w:color="auto" w:fill="EAF9E8"/>
          </w:tcPr>
          <w:p>
            <w:pPr>
              <w:spacing w:after="0" w:line="20" w:lineRule="exact"/>
              <w:rPr>
                <w:sz w:val="1"/>
                <w:szCs w:val="1"/>
                <w:color w:val="auto"/>
              </w:rPr>
            </w:pPr>
          </w:p>
        </w:tc>
        <w:tc>
          <w:tcPr>
            <w:tcW w:w="260" w:type="dxa"/>
            <w:vAlign w:val="bottom"/>
            <w:tcBorders>
              <w:top w:val="single" w:sz="8" w:color="EAF9E8"/>
            </w:tcBorders>
            <w:shd w:val="clear" w:color="auto" w:fill="EAF9E8"/>
          </w:tcPr>
          <w:p>
            <w:pPr>
              <w:spacing w:after="0" w:line="20" w:lineRule="exact"/>
              <w:rPr>
                <w:sz w:val="1"/>
                <w:szCs w:val="1"/>
                <w:color w:val="auto"/>
              </w:rPr>
            </w:pPr>
          </w:p>
        </w:tc>
        <w:tc>
          <w:tcPr>
            <w:tcW w:w="40" w:type="dxa"/>
            <w:vAlign w:val="bottom"/>
            <w:tcBorders>
              <w:top w:val="single" w:sz="8" w:color="EAF9E8"/>
            </w:tcBorders>
            <w:shd w:val="clear" w:color="auto" w:fill="EAF9E8"/>
          </w:tcPr>
          <w:p>
            <w:pPr>
              <w:spacing w:after="0" w:line="20" w:lineRule="exact"/>
              <w:rPr>
                <w:sz w:val="1"/>
                <w:szCs w:val="1"/>
                <w:color w:val="auto"/>
              </w:rPr>
            </w:pPr>
          </w:p>
        </w:tc>
        <w:tc>
          <w:tcPr>
            <w:tcW w:w="980" w:type="dxa"/>
            <w:vAlign w:val="bottom"/>
            <w:tcBorders>
              <w:top w:val="single" w:sz="8" w:color="EAF9E8"/>
            </w:tcBorders>
            <w:shd w:val="clear" w:color="auto" w:fill="EAF9E8"/>
          </w:tcPr>
          <w:p>
            <w:pPr>
              <w:spacing w:after="0" w:line="20" w:lineRule="exact"/>
              <w:rPr>
                <w:sz w:val="1"/>
                <w:szCs w:val="1"/>
                <w:color w:val="auto"/>
              </w:rPr>
            </w:pPr>
          </w:p>
        </w:tc>
        <w:tc>
          <w:tcPr>
            <w:tcW w:w="220" w:type="dxa"/>
            <w:vAlign w:val="bottom"/>
            <w:tcBorders>
              <w:top w:val="single" w:sz="8" w:color="EAF9E8"/>
            </w:tcBorders>
            <w:shd w:val="clear" w:color="auto" w:fill="EAF9E8"/>
          </w:tcPr>
          <w:p>
            <w:pPr>
              <w:spacing w:after="0" w:line="20" w:lineRule="exact"/>
              <w:rPr>
                <w:sz w:val="1"/>
                <w:szCs w:val="1"/>
                <w:color w:val="auto"/>
              </w:rPr>
            </w:pPr>
          </w:p>
        </w:tc>
        <w:tc>
          <w:tcPr>
            <w:tcW w:w="600" w:type="dxa"/>
            <w:vAlign w:val="bottom"/>
            <w:tcBorders>
              <w:top w:val="single" w:sz="8" w:color="EAF9E8"/>
            </w:tcBorders>
            <w:shd w:val="clear" w:color="auto" w:fill="EAF9E8"/>
          </w:tcPr>
          <w:p>
            <w:pPr>
              <w:spacing w:after="0" w:line="20" w:lineRule="exact"/>
              <w:rPr>
                <w:sz w:val="1"/>
                <w:szCs w:val="1"/>
                <w:color w:val="auto"/>
              </w:rPr>
            </w:pPr>
          </w:p>
        </w:tc>
        <w:tc>
          <w:tcPr>
            <w:tcW w:w="240" w:type="dxa"/>
            <w:vAlign w:val="bottom"/>
            <w:tcBorders>
              <w:top w:val="single" w:sz="8" w:color="EAF9E8"/>
            </w:tcBorders>
            <w:shd w:val="clear" w:color="auto" w:fill="EAF9E8"/>
          </w:tcPr>
          <w:p>
            <w:pPr>
              <w:spacing w:after="0" w:line="20" w:lineRule="exact"/>
              <w:rPr>
                <w:sz w:val="1"/>
                <w:szCs w:val="1"/>
                <w:color w:val="auto"/>
              </w:rPr>
            </w:pPr>
          </w:p>
        </w:tc>
        <w:tc>
          <w:tcPr>
            <w:tcW w:w="1000" w:type="dxa"/>
            <w:vAlign w:val="bottom"/>
            <w:tcBorders>
              <w:top w:val="single" w:sz="8" w:color="EAF9E8"/>
            </w:tcBorders>
            <w:shd w:val="clear" w:color="auto" w:fill="EAF9E8"/>
          </w:tcPr>
          <w:p>
            <w:pPr>
              <w:spacing w:after="0" w:line="20" w:lineRule="exact"/>
              <w:rPr>
                <w:sz w:val="1"/>
                <w:szCs w:val="1"/>
                <w:color w:val="auto"/>
              </w:rPr>
            </w:pPr>
          </w:p>
        </w:tc>
        <w:tc>
          <w:tcPr>
            <w:tcW w:w="200" w:type="dxa"/>
            <w:vAlign w:val="bottom"/>
            <w:tcBorders>
              <w:top w:val="single" w:sz="8" w:color="EAF9E8"/>
            </w:tcBorders>
            <w:shd w:val="clear" w:color="auto" w:fill="EAF9E8"/>
          </w:tcPr>
          <w:p>
            <w:pPr>
              <w:spacing w:after="0" w:line="20" w:lineRule="exact"/>
              <w:rPr>
                <w:sz w:val="1"/>
                <w:szCs w:val="1"/>
                <w:color w:val="auto"/>
              </w:rPr>
            </w:pPr>
          </w:p>
        </w:tc>
        <w:tc>
          <w:tcPr>
            <w:tcW w:w="220" w:type="dxa"/>
            <w:vAlign w:val="bottom"/>
            <w:tcBorders>
              <w:top w:val="single" w:sz="8" w:color="EAF9E8"/>
            </w:tcBorders>
            <w:shd w:val="clear" w:color="auto" w:fill="EAF9E8"/>
          </w:tcPr>
          <w:p>
            <w:pPr>
              <w:spacing w:after="0" w:line="20" w:lineRule="exact"/>
              <w:rPr>
                <w:sz w:val="1"/>
                <w:szCs w:val="1"/>
                <w:color w:val="auto"/>
              </w:rPr>
            </w:pPr>
          </w:p>
        </w:tc>
        <w:tc>
          <w:tcPr>
            <w:tcW w:w="100" w:type="dxa"/>
            <w:vAlign w:val="bottom"/>
            <w:tcBorders>
              <w:top w:val="single" w:sz="8" w:color="EAF9E8"/>
            </w:tcBorders>
            <w:shd w:val="clear" w:color="auto" w:fill="EAF9E8"/>
          </w:tcPr>
          <w:p>
            <w:pPr>
              <w:spacing w:after="0" w:line="20" w:lineRule="exact"/>
              <w:rPr>
                <w:sz w:val="1"/>
                <w:szCs w:val="1"/>
                <w:color w:val="auto"/>
              </w:rPr>
            </w:pPr>
          </w:p>
        </w:tc>
        <w:tc>
          <w:tcPr>
            <w:tcW w:w="860" w:type="dxa"/>
            <w:vAlign w:val="bottom"/>
            <w:tcBorders>
              <w:top w:val="single" w:sz="8" w:color="EAF9E8"/>
            </w:tcBorders>
            <w:shd w:val="clear" w:color="auto" w:fill="EAF9E8"/>
          </w:tcPr>
          <w:p>
            <w:pPr>
              <w:spacing w:after="0" w:line="20" w:lineRule="exact"/>
              <w:rPr>
                <w:sz w:val="1"/>
                <w:szCs w:val="1"/>
                <w:color w:val="auto"/>
              </w:rPr>
            </w:pPr>
          </w:p>
        </w:tc>
        <w:tc>
          <w:tcPr>
            <w:tcW w:w="240" w:type="dxa"/>
            <w:vAlign w:val="bottom"/>
            <w:tcBorders>
              <w:top w:val="single" w:sz="8" w:color="EAF9E8"/>
            </w:tcBorders>
            <w:shd w:val="clear" w:color="auto" w:fill="EAF9E8"/>
          </w:tcPr>
          <w:p>
            <w:pPr>
              <w:spacing w:after="0" w:line="20" w:lineRule="exact"/>
              <w:rPr>
                <w:sz w:val="1"/>
                <w:szCs w:val="1"/>
                <w:color w:val="auto"/>
              </w:rPr>
            </w:pPr>
          </w:p>
        </w:tc>
        <w:tc>
          <w:tcPr>
            <w:tcW w:w="100" w:type="dxa"/>
            <w:vAlign w:val="bottom"/>
            <w:tcBorders>
              <w:top w:val="single" w:sz="8" w:color="EAF9E8"/>
            </w:tcBorders>
            <w:shd w:val="clear" w:color="auto" w:fill="EAF9E8"/>
          </w:tcPr>
          <w:p>
            <w:pPr>
              <w:spacing w:after="0" w:line="20" w:lineRule="exact"/>
              <w:rPr>
                <w:sz w:val="1"/>
                <w:szCs w:val="1"/>
                <w:color w:val="auto"/>
              </w:rPr>
            </w:pPr>
          </w:p>
        </w:tc>
        <w:tc>
          <w:tcPr>
            <w:tcW w:w="720" w:type="dxa"/>
            <w:vAlign w:val="bottom"/>
            <w:tcBorders>
              <w:top w:val="single" w:sz="8" w:color="EAF9E8"/>
            </w:tcBorders>
            <w:shd w:val="clear" w:color="auto" w:fill="EAF9E8"/>
          </w:tcPr>
          <w:p>
            <w:pPr>
              <w:spacing w:after="0" w:line="20" w:lineRule="exact"/>
              <w:rPr>
                <w:sz w:val="1"/>
                <w:szCs w:val="1"/>
                <w:color w:val="auto"/>
              </w:rPr>
            </w:pPr>
          </w:p>
        </w:tc>
        <w:tc>
          <w:tcPr>
            <w:tcW w:w="120" w:type="dxa"/>
            <w:vAlign w:val="bottom"/>
            <w:tcBorders>
              <w:top w:val="single" w:sz="8" w:color="EAF9E8"/>
            </w:tcBorders>
            <w:shd w:val="clear" w:color="auto" w:fill="EAF9E8"/>
          </w:tcPr>
          <w:p>
            <w:pPr>
              <w:spacing w:after="0" w:line="20" w:lineRule="exact"/>
              <w:rPr>
                <w:sz w:val="1"/>
                <w:szCs w:val="1"/>
                <w:color w:val="auto"/>
              </w:rPr>
            </w:pPr>
          </w:p>
        </w:tc>
        <w:tc>
          <w:tcPr>
            <w:tcW w:w="120" w:type="dxa"/>
            <w:vAlign w:val="bottom"/>
            <w:tcBorders>
              <w:top w:val="single" w:sz="8" w:color="EAF9E8"/>
            </w:tcBorders>
            <w:shd w:val="clear" w:color="auto" w:fill="EAF9E8"/>
          </w:tcPr>
          <w:p>
            <w:pPr>
              <w:spacing w:after="0" w:line="20" w:lineRule="exact"/>
              <w:rPr>
                <w:sz w:val="1"/>
                <w:szCs w:val="1"/>
                <w:color w:val="auto"/>
              </w:rPr>
            </w:pPr>
          </w:p>
        </w:tc>
        <w:tc>
          <w:tcPr>
            <w:tcW w:w="100" w:type="dxa"/>
            <w:vAlign w:val="bottom"/>
            <w:tcBorders>
              <w:top w:val="single" w:sz="8" w:color="EAF9E8"/>
            </w:tcBorders>
            <w:shd w:val="clear" w:color="auto" w:fill="EAF9E8"/>
          </w:tcPr>
          <w:p>
            <w:pPr>
              <w:spacing w:after="0" w:line="20" w:lineRule="exact"/>
              <w:rPr>
                <w:sz w:val="1"/>
                <w:szCs w:val="1"/>
                <w:color w:val="auto"/>
              </w:rPr>
            </w:pPr>
          </w:p>
        </w:tc>
        <w:tc>
          <w:tcPr>
            <w:tcW w:w="980" w:type="dxa"/>
            <w:vAlign w:val="bottom"/>
            <w:tcBorders>
              <w:top w:val="single" w:sz="8" w:color="EAF9E8"/>
            </w:tcBorders>
            <w:shd w:val="clear" w:color="auto" w:fill="EAF9E8"/>
          </w:tcPr>
          <w:p>
            <w:pPr>
              <w:spacing w:after="0" w:line="20" w:lineRule="exact"/>
              <w:rPr>
                <w:sz w:val="1"/>
                <w:szCs w:val="1"/>
                <w:color w:val="auto"/>
              </w:rPr>
            </w:pPr>
          </w:p>
        </w:tc>
        <w:tc>
          <w:tcPr>
            <w:tcW w:w="220" w:type="dxa"/>
            <w:vAlign w:val="bottom"/>
            <w:tcBorders>
              <w:top w:val="single" w:sz="8" w:color="EAF9E8"/>
            </w:tcBorders>
            <w:shd w:val="clear" w:color="auto" w:fill="EAF9E8"/>
          </w:tcPr>
          <w:p>
            <w:pPr>
              <w:spacing w:after="0" w:line="20" w:lineRule="exact"/>
              <w:rPr>
                <w:sz w:val="1"/>
                <w:szCs w:val="1"/>
                <w:color w:val="auto"/>
              </w:rPr>
            </w:pPr>
          </w:p>
        </w:tc>
        <w:tc>
          <w:tcPr>
            <w:tcW w:w="100" w:type="dxa"/>
            <w:vAlign w:val="bottom"/>
            <w:tcBorders>
              <w:top w:val="single" w:sz="8" w:color="EAF9E8"/>
            </w:tcBorders>
            <w:shd w:val="clear" w:color="auto" w:fill="EAF9E8"/>
          </w:tcPr>
          <w:p>
            <w:pPr>
              <w:spacing w:after="0" w:line="20" w:lineRule="exact"/>
              <w:rPr>
                <w:sz w:val="1"/>
                <w:szCs w:val="1"/>
                <w:color w:val="auto"/>
              </w:rPr>
            </w:pPr>
          </w:p>
        </w:tc>
        <w:tc>
          <w:tcPr>
            <w:tcW w:w="880" w:type="dxa"/>
            <w:vAlign w:val="bottom"/>
            <w:tcBorders>
              <w:top w:val="single" w:sz="8" w:color="EAF9E8"/>
            </w:tcBorders>
            <w:shd w:val="clear" w:color="auto" w:fill="EAF9E8"/>
          </w:tcPr>
          <w:p>
            <w:pPr>
              <w:spacing w:after="0" w:line="20" w:lineRule="exact"/>
              <w:rPr>
                <w:sz w:val="1"/>
                <w:szCs w:val="1"/>
                <w:color w:val="auto"/>
              </w:rPr>
            </w:pPr>
          </w:p>
        </w:tc>
        <w:tc>
          <w:tcPr>
            <w:tcW w:w="240" w:type="dxa"/>
            <w:vAlign w:val="bottom"/>
            <w:tcBorders>
              <w:top w:val="single" w:sz="8" w:color="EAF9E8"/>
            </w:tcBorders>
            <w:shd w:val="clear" w:color="auto" w:fill="EAF9E8"/>
          </w:tcPr>
          <w:p>
            <w:pPr>
              <w:spacing w:after="0" w:line="20" w:lineRule="exact"/>
              <w:rPr>
                <w:sz w:val="1"/>
                <w:szCs w:val="1"/>
                <w:color w:val="auto"/>
              </w:rPr>
            </w:pPr>
          </w:p>
        </w:tc>
        <w:tc>
          <w:tcPr>
            <w:tcW w:w="100" w:type="dxa"/>
            <w:vAlign w:val="bottom"/>
            <w:tcBorders>
              <w:top w:val="single" w:sz="8" w:color="EAF9E8"/>
            </w:tcBorders>
            <w:shd w:val="clear" w:color="auto" w:fill="EAF9E8"/>
          </w:tcPr>
          <w:p>
            <w:pPr>
              <w:spacing w:after="0" w:line="20" w:lineRule="exact"/>
              <w:rPr>
                <w:sz w:val="1"/>
                <w:szCs w:val="1"/>
                <w:color w:val="auto"/>
              </w:rPr>
            </w:pPr>
          </w:p>
        </w:tc>
        <w:tc>
          <w:tcPr>
            <w:tcW w:w="1160" w:type="dxa"/>
            <w:vAlign w:val="bottom"/>
            <w:tcBorders>
              <w:top w:val="single" w:sz="8" w:color="EAF9E8"/>
            </w:tcBorders>
            <w:shd w:val="clear" w:color="auto" w:fill="EAF9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740" w:type="dxa"/>
            <w:vAlign w:val="bottom"/>
            <w:gridSpan w:val="4"/>
          </w:tcPr>
          <w:p>
            <w:pPr>
              <w:ind w:left="160"/>
              <w:spacing w:after="0"/>
              <w:rPr>
                <w:sz w:val="20"/>
                <w:szCs w:val="20"/>
                <w:color w:val="auto"/>
              </w:rPr>
            </w:pPr>
            <w:r>
              <w:rPr>
                <w:rFonts w:ascii="Arial" w:cs="Arial" w:eastAsia="Arial" w:hAnsi="Arial"/>
                <w:sz w:val="18"/>
                <w:szCs w:val="18"/>
                <w:color w:val="auto"/>
              </w:rPr>
              <w:t>Depreciation expense</w:t>
            </w:r>
          </w:p>
        </w:tc>
        <w:tc>
          <w:tcPr>
            <w:tcW w:w="220" w:type="dxa"/>
            <w:vAlign w:val="bottom"/>
          </w:tcPr>
          <w:p>
            <w:pPr>
              <w:jc w:val="right"/>
              <w:ind w:right="61"/>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39</w:t>
            </w:r>
          </w:p>
        </w:tc>
        <w:tc>
          <w:tcPr>
            <w:tcW w:w="1000" w:type="dxa"/>
            <w:vAlign w:val="bottom"/>
          </w:tcPr>
          <w:p>
            <w:pPr>
              <w:jc w:val="right"/>
              <w:ind w:right="840"/>
              <w:spacing w:after="0"/>
              <w:rPr>
                <w:sz w:val="20"/>
                <w:szCs w:val="20"/>
                <w:color w:val="auto"/>
              </w:rPr>
            </w:pPr>
            <w:r>
              <w:rPr>
                <w:rFonts w:ascii="Arial" w:cs="Arial" w:eastAsia="Arial" w:hAnsi="Arial"/>
                <w:sz w:val="15"/>
                <w:szCs w:val="15"/>
                <w:color w:val="auto"/>
                <w:w w:val="71"/>
              </w:rPr>
              <w:t>$</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10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62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317</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5,748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1,394</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7,570</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2740" w:type="dxa"/>
            <w:vAlign w:val="bottom"/>
            <w:gridSpan w:val="4"/>
            <w:shd w:val="clear" w:color="auto" w:fill="EAF9E8"/>
          </w:tcPr>
          <w:p>
            <w:pPr>
              <w:ind w:left="160"/>
              <w:spacing w:after="0"/>
              <w:rPr>
                <w:sz w:val="20"/>
                <w:szCs w:val="20"/>
                <w:color w:val="auto"/>
              </w:rPr>
            </w:pPr>
            <w:r>
              <w:rPr>
                <w:rFonts w:ascii="Arial" w:cs="Arial" w:eastAsia="Arial" w:hAnsi="Arial"/>
                <w:sz w:val="18"/>
                <w:szCs w:val="18"/>
                <w:color w:val="auto"/>
              </w:rPr>
              <w:t>Amortization of MSRs</w:t>
            </w:r>
          </w:p>
        </w:tc>
        <w:tc>
          <w:tcPr>
            <w:tcW w:w="220" w:type="dxa"/>
            <w:vAlign w:val="bottom"/>
            <w:shd w:val="clear" w:color="auto" w:fill="EAF9E8"/>
          </w:tcPr>
          <w:p>
            <w:pPr>
              <w:spacing w:after="0"/>
              <w:rPr>
                <w:sz w:val="21"/>
                <w:szCs w:val="21"/>
                <w:color w:val="auto"/>
              </w:rPr>
            </w:pPr>
          </w:p>
        </w:tc>
        <w:tc>
          <w:tcPr>
            <w:tcW w:w="84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40,438</w:t>
            </w:r>
          </w:p>
        </w:tc>
        <w:tc>
          <w:tcPr>
            <w:tcW w:w="1000" w:type="dxa"/>
            <w:vAlign w:val="bottom"/>
            <w:shd w:val="clear" w:color="auto" w:fill="EAF9E8"/>
          </w:tcPr>
          <w:p>
            <w:pPr>
              <w:spacing w:after="0"/>
              <w:rPr>
                <w:sz w:val="21"/>
                <w:szCs w:val="21"/>
                <w:color w:val="auto"/>
              </w:rPr>
            </w:pPr>
          </w:p>
        </w:tc>
        <w:tc>
          <w:tcPr>
            <w:tcW w:w="42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EAF9E8"/>
          </w:tcPr>
          <w:p>
            <w:pPr>
              <w:spacing w:after="0"/>
              <w:rPr>
                <w:sz w:val="21"/>
                <w:szCs w:val="21"/>
                <w:color w:val="auto"/>
              </w:rPr>
            </w:pPr>
          </w:p>
        </w:tc>
        <w:tc>
          <w:tcPr>
            <w:tcW w:w="110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274</w:t>
            </w:r>
          </w:p>
        </w:tc>
        <w:tc>
          <w:tcPr>
            <w:tcW w:w="100" w:type="dxa"/>
            <w:vAlign w:val="bottom"/>
            <w:shd w:val="clear" w:color="auto" w:fill="EAF9E8"/>
          </w:tcPr>
          <w:p>
            <w:pPr>
              <w:spacing w:after="0"/>
              <w:rPr>
                <w:sz w:val="21"/>
                <w:szCs w:val="21"/>
                <w:color w:val="auto"/>
              </w:rPr>
            </w:pPr>
          </w:p>
        </w:tc>
        <w:tc>
          <w:tcPr>
            <w:tcW w:w="84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120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EAF9E8"/>
          </w:tcPr>
          <w:p>
            <w:pPr>
              <w:spacing w:after="0"/>
              <w:rPr>
                <w:sz w:val="21"/>
                <w:szCs w:val="21"/>
                <w:color w:val="auto"/>
              </w:rPr>
            </w:pPr>
          </w:p>
        </w:tc>
        <w:tc>
          <w:tcPr>
            <w:tcW w:w="8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1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40,712</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740" w:type="dxa"/>
            <w:vAlign w:val="bottom"/>
            <w:gridSpan w:val="4"/>
          </w:tcPr>
          <w:p>
            <w:pPr>
              <w:ind w:left="160"/>
              <w:spacing w:after="0"/>
              <w:rPr>
                <w:sz w:val="20"/>
                <w:szCs w:val="20"/>
                <w:color w:val="auto"/>
              </w:rPr>
            </w:pPr>
            <w:r>
              <w:rPr>
                <w:rFonts w:ascii="Arial" w:cs="Arial" w:eastAsia="Arial" w:hAnsi="Arial"/>
                <w:sz w:val="18"/>
                <w:szCs w:val="18"/>
                <w:color w:val="auto"/>
              </w:rPr>
              <w:t>Amortization of intangibles</w:t>
            </w:r>
          </w:p>
        </w:tc>
        <w:tc>
          <w:tcPr>
            <w:tcW w:w="220" w:type="dxa"/>
            <w:vAlign w:val="bottom"/>
          </w:tcPr>
          <w:p>
            <w:pPr>
              <w:spacing w:after="0"/>
              <w:rPr>
                <w:sz w:val="20"/>
                <w:szCs w:val="20"/>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20"/>
                <w:szCs w:val="20"/>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1,925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1,925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3" w:lineRule="exact"/>
        <w:rPr>
          <w:sz w:val="20"/>
          <w:szCs w:val="20"/>
          <w:color w:val="auto"/>
        </w:rPr>
      </w:pPr>
    </w:p>
    <w:p>
      <w:pPr>
        <w:ind w:left="580" w:right="160" w:hanging="572"/>
        <w:spacing w:after="0" w:line="268" w:lineRule="auto"/>
        <w:tabs>
          <w:tab w:leader="none" w:pos="5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Corporate Items and Other operating expenses include advisory expenses related to the Separation transaction of $520 and $3,501 for the three and nine months ended September 30, 2009, respectively.</w:t>
      </w:r>
    </w:p>
    <w:p>
      <w:pPr>
        <w:spacing w:after="0" w:line="212" w:lineRule="exact"/>
        <w:rPr>
          <w:rFonts w:ascii="Arial" w:cs="Arial" w:eastAsia="Arial" w:hAnsi="Arial"/>
          <w:sz w:val="18"/>
          <w:szCs w:val="18"/>
          <w:color w:val="auto"/>
        </w:rPr>
      </w:pPr>
    </w:p>
    <w:p>
      <w:pPr>
        <w:ind w:left="580" w:right="480" w:hanging="572"/>
        <w:spacing w:after="0" w:line="268" w:lineRule="auto"/>
        <w:tabs>
          <w:tab w:leader="none" w:pos="5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Corporate Items and Other operating expenses for 2008 include $9,532 of due diligence and other costs recognized in the first quarter related to the “going private” proposal terminated in March 2008 by mutual agreement of the parties.</w:t>
      </w:r>
    </w:p>
    <w:p>
      <w:pPr>
        <w:spacing w:after="0" w:line="22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Note 23</w:t>
      </w:r>
      <w:r>
        <w:rPr>
          <w:sz w:val="20"/>
          <w:szCs w:val="20"/>
          <w:color w:val="auto"/>
        </w:rPr>
        <w:tab/>
      </w:r>
      <w:r>
        <w:rPr>
          <w:rFonts w:ascii="Arial" w:cs="Arial" w:eastAsia="Arial" w:hAnsi="Arial"/>
          <w:sz w:val="15"/>
          <w:szCs w:val="15"/>
          <w:b w:val="1"/>
          <w:bCs w:val="1"/>
          <w:color w:val="auto"/>
        </w:rPr>
        <w:t>Related Party Transactions</w:t>
      </w:r>
    </w:p>
    <w:p>
      <w:pPr>
        <w:spacing w:after="0" w:line="231" w:lineRule="exact"/>
        <w:rPr>
          <w:sz w:val="20"/>
          <w:szCs w:val="20"/>
          <w:color w:val="auto"/>
        </w:rPr>
      </w:pPr>
    </w:p>
    <w:p>
      <w:pPr>
        <w:ind w:right="20" w:firstLine="429"/>
        <w:spacing w:after="0" w:line="306" w:lineRule="auto"/>
        <w:rPr>
          <w:sz w:val="20"/>
          <w:szCs w:val="20"/>
          <w:color w:val="auto"/>
        </w:rPr>
      </w:pPr>
      <w:r>
        <w:rPr>
          <w:rFonts w:ascii="Arial" w:cs="Arial" w:eastAsia="Arial" w:hAnsi="Arial"/>
          <w:sz w:val="16"/>
          <w:szCs w:val="16"/>
          <w:color w:val="auto"/>
        </w:rPr>
        <w:t>Although Altisource is a separate company from Ocwen after the Separation, Altisource and Ocwen have the same Chairman of the Board, William C. Erbey. Mr. Erbey is also the Chief Executive Officer of Ocwen. As a result, he has obligations to Ocwen as well as to Altisource. Mr. Erbey currently owns 18.8% of the common stock of Ocwen and owns 27.8% of the common stock of Altisource immediately following the Separation.</w:t>
      </w:r>
    </w:p>
    <w:p>
      <w:pPr>
        <w:spacing w:after="0" w:line="161" w:lineRule="exact"/>
        <w:rPr>
          <w:sz w:val="20"/>
          <w:szCs w:val="20"/>
          <w:color w:val="auto"/>
        </w:rPr>
      </w:pPr>
    </w:p>
    <w:p>
      <w:pPr>
        <w:ind w:right="100" w:firstLine="439"/>
        <w:spacing w:after="0" w:line="332" w:lineRule="auto"/>
        <w:rPr>
          <w:sz w:val="20"/>
          <w:szCs w:val="20"/>
          <w:color w:val="auto"/>
        </w:rPr>
      </w:pPr>
      <w:r>
        <w:rPr>
          <w:rFonts w:ascii="Arial" w:cs="Arial" w:eastAsia="Arial" w:hAnsi="Arial"/>
          <w:sz w:val="16"/>
          <w:szCs w:val="16"/>
          <w:color w:val="auto"/>
        </w:rPr>
        <w:t>For purposes of governing certain of the ongoing relationships between Ocwen and Altisource after the Separation, and to provide for an orderly transition to the status of two independent companies, we entered into certain agreements with Altisource. A brief description of these agreements follows.</w:t>
      </w:r>
    </w:p>
    <w:p>
      <w:pPr>
        <w:spacing w:after="0" w:line="153" w:lineRule="exact"/>
        <w:rPr>
          <w:sz w:val="20"/>
          <w:szCs w:val="20"/>
          <w:color w:val="auto"/>
        </w:rPr>
      </w:pPr>
    </w:p>
    <w:p>
      <w:pPr>
        <w:ind w:left="1160" w:right="20" w:hanging="571"/>
        <w:spacing w:after="0" w:line="332" w:lineRule="auto"/>
        <w:tabs>
          <w:tab w:leader="none" w:pos="1160" w:val="left"/>
        </w:tabs>
        <w:numPr>
          <w:ilvl w:val="0"/>
          <w:numId w:val="28"/>
        </w:numPr>
        <w:rPr>
          <w:rFonts w:ascii="Arial" w:cs="Arial" w:eastAsia="Arial" w:hAnsi="Arial"/>
          <w:sz w:val="16"/>
          <w:szCs w:val="16"/>
          <w:color w:val="auto"/>
        </w:rPr>
      </w:pPr>
      <w:r>
        <w:rPr>
          <w:rFonts w:ascii="Arial" w:cs="Arial" w:eastAsia="Arial" w:hAnsi="Arial"/>
          <w:sz w:val="16"/>
          <w:szCs w:val="16"/>
          <w:i w:val="1"/>
          <w:iCs w:val="1"/>
          <w:color w:val="auto"/>
        </w:rPr>
        <w:t>Separation Agreement</w:t>
      </w:r>
      <w:r>
        <w:rPr>
          <w:rFonts w:ascii="Arial" w:cs="Arial" w:eastAsia="Arial" w:hAnsi="Arial"/>
          <w:sz w:val="16"/>
          <w:szCs w:val="16"/>
          <w:color w:val="auto"/>
        </w:rPr>
        <w:t>. This agreement provides for, among other things, the principal corporate transactions required to effect the Separation and</w:t>
      </w:r>
      <w:r>
        <w:rPr>
          <w:rFonts w:ascii="Arial" w:cs="Arial" w:eastAsia="Arial" w:hAnsi="Arial"/>
          <w:sz w:val="16"/>
          <w:szCs w:val="16"/>
          <w:i w:val="1"/>
          <w:iCs w:val="1"/>
          <w:color w:val="auto"/>
        </w:rPr>
        <w:t xml:space="preserve"> </w:t>
      </w:r>
      <w:r>
        <w:rPr>
          <w:rFonts w:ascii="Arial" w:cs="Arial" w:eastAsia="Arial" w:hAnsi="Arial"/>
          <w:sz w:val="16"/>
          <w:szCs w:val="16"/>
          <w:color w:val="auto"/>
        </w:rPr>
        <w:t>certain other agreements relating to the continuing relationship between Altisource and Ocwen after the Separation.</w:t>
      </w:r>
    </w:p>
    <w:p>
      <w:pPr>
        <w:sectPr>
          <w:pgSz w:w="11900" w:h="16838" w:orient="portrait"/>
          <w:cols w:equalWidth="0" w:num="1">
            <w:col w:w="11420"/>
          </w:cols>
          <w:pgMar w:left="240" w:top="388" w:right="239" w:bottom="765" w:gutter="0" w:footer="0" w:header="0"/>
        </w:sectPr>
      </w:pP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88" w:right="239" w:bottom="765" w:gutter="0" w:footer="0" w:header="0"/>
          <w:type w:val="continuous"/>
        </w:sectPr>
      </w:pPr>
    </w:p>
    <w:bookmarkStart w:id="34" w:name="page35"/>
    <w:bookmarkEnd w:id="34"/>
    <w:p>
      <w:pPr>
        <w:spacing w:after="0" w:line="19" w:lineRule="exact"/>
        <w:rPr>
          <w:sz w:val="20"/>
          <w:szCs w:val="20"/>
          <w:color w:val="auto"/>
        </w:rPr>
      </w:pPr>
    </w:p>
    <w:p>
      <w:pPr>
        <w:ind w:left="1160" w:right="260" w:hanging="571"/>
        <w:spacing w:after="0" w:line="335" w:lineRule="auto"/>
        <w:tabs>
          <w:tab w:leader="none" w:pos="1160" w:val="left"/>
        </w:tabs>
        <w:numPr>
          <w:ilvl w:val="0"/>
          <w:numId w:val="29"/>
        </w:numPr>
        <w:rPr>
          <w:rFonts w:ascii="Arial" w:cs="Arial" w:eastAsia="Arial" w:hAnsi="Arial"/>
          <w:sz w:val="15"/>
          <w:szCs w:val="15"/>
          <w:color w:val="auto"/>
        </w:rPr>
      </w:pPr>
      <w:r>
        <w:rPr>
          <w:rFonts w:ascii="Arial" w:cs="Arial" w:eastAsia="Arial" w:hAnsi="Arial"/>
          <w:sz w:val="15"/>
          <w:szCs w:val="15"/>
          <w:i w:val="1"/>
          <w:iCs w:val="1"/>
          <w:color w:val="auto"/>
        </w:rPr>
        <w:t>Transition Services Agreement</w:t>
      </w:r>
      <w:r>
        <w:rPr>
          <w:rFonts w:ascii="Arial" w:cs="Arial" w:eastAsia="Arial" w:hAnsi="Arial"/>
          <w:sz w:val="15"/>
          <w:szCs w:val="15"/>
          <w:color w:val="auto"/>
        </w:rPr>
        <w:t>. Under this agreement, Altisource and Ocwen provide to each other services in such areas as human resources,</w:t>
      </w:r>
      <w:r>
        <w:rPr>
          <w:rFonts w:ascii="Arial" w:cs="Arial" w:eastAsia="Arial" w:hAnsi="Arial"/>
          <w:sz w:val="15"/>
          <w:szCs w:val="15"/>
          <w:i w:val="1"/>
          <w:iCs w:val="1"/>
          <w:color w:val="auto"/>
        </w:rPr>
        <w:t xml:space="preserve"> </w:t>
      </w:r>
      <w:r>
        <w:rPr>
          <w:rFonts w:ascii="Arial" w:cs="Arial" w:eastAsia="Arial" w:hAnsi="Arial"/>
          <w:sz w:val="15"/>
          <w:szCs w:val="15"/>
          <w:color w:val="auto"/>
        </w:rPr>
        <w:t>vendor management, corporate services, six sigma, quality assurance, quantitative analytics, treasury, accounting, risk management, legal, strategic planning, compliance and other areas where we, and Altisource, may need transition assistance and support following the Separation.</w:t>
      </w:r>
    </w:p>
    <w:p>
      <w:pPr>
        <w:spacing w:after="0" w:line="169" w:lineRule="exact"/>
        <w:rPr>
          <w:rFonts w:ascii="Arial" w:cs="Arial" w:eastAsia="Arial" w:hAnsi="Arial"/>
          <w:sz w:val="15"/>
          <w:szCs w:val="15"/>
          <w:color w:val="auto"/>
        </w:rPr>
      </w:pPr>
    </w:p>
    <w:p>
      <w:pPr>
        <w:ind w:left="1160" w:right="300" w:hanging="571"/>
        <w:spacing w:after="0" w:line="259" w:lineRule="auto"/>
        <w:tabs>
          <w:tab w:leader="none" w:pos="116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Tax Matters Agreement</w:t>
      </w:r>
      <w:r>
        <w:rPr>
          <w:rFonts w:ascii="Arial" w:cs="Arial" w:eastAsia="Arial" w:hAnsi="Arial"/>
          <w:sz w:val="18"/>
          <w:szCs w:val="18"/>
          <w:color w:val="auto"/>
        </w:rPr>
        <w:t>. This agreement sets out each party’s rights and obligations with respect to deficiencies and refunds, if any, of federal,</w:t>
      </w:r>
      <w:r>
        <w:rPr>
          <w:rFonts w:ascii="Arial" w:cs="Arial" w:eastAsia="Arial" w:hAnsi="Arial"/>
          <w:sz w:val="18"/>
          <w:szCs w:val="18"/>
          <w:i w:val="1"/>
          <w:iCs w:val="1"/>
          <w:color w:val="auto"/>
        </w:rPr>
        <w:t xml:space="preserve"> </w:t>
      </w:r>
      <w:r>
        <w:rPr>
          <w:rFonts w:ascii="Arial" w:cs="Arial" w:eastAsia="Arial" w:hAnsi="Arial"/>
          <w:sz w:val="18"/>
          <w:szCs w:val="18"/>
          <w:color w:val="auto"/>
        </w:rPr>
        <w:t>state, local or foreign taxes for periods before and after the Separation and related matters such as the filing of tax returns and the conduct of Internal Revenue Service and other audits.</w:t>
      </w:r>
    </w:p>
    <w:p>
      <w:pPr>
        <w:spacing w:after="0" w:line="221" w:lineRule="exact"/>
        <w:rPr>
          <w:rFonts w:ascii="Arial" w:cs="Arial" w:eastAsia="Arial" w:hAnsi="Arial"/>
          <w:sz w:val="18"/>
          <w:szCs w:val="18"/>
          <w:color w:val="auto"/>
        </w:rPr>
      </w:pPr>
    </w:p>
    <w:p>
      <w:pPr>
        <w:ind w:left="1160" w:right="60" w:hanging="571"/>
        <w:spacing w:after="0" w:line="268" w:lineRule="auto"/>
        <w:tabs>
          <w:tab w:leader="none" w:pos="116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Employee Matters Agreement</w:t>
      </w:r>
      <w:r>
        <w:rPr>
          <w:rFonts w:ascii="Arial" w:cs="Arial" w:eastAsia="Arial" w:hAnsi="Arial"/>
          <w:sz w:val="18"/>
          <w:szCs w:val="18"/>
          <w:color w:val="auto"/>
        </w:rPr>
        <w:t>. This agreement provides for the transition of employee benefit plans and programs sponsored by us for employees</w:t>
      </w:r>
      <w:r>
        <w:rPr>
          <w:rFonts w:ascii="Arial" w:cs="Arial" w:eastAsia="Arial" w:hAnsi="Arial"/>
          <w:sz w:val="18"/>
          <w:szCs w:val="18"/>
          <w:i w:val="1"/>
          <w:iCs w:val="1"/>
          <w:color w:val="auto"/>
        </w:rPr>
        <w:t xml:space="preserve"> </w:t>
      </w:r>
      <w:r>
        <w:rPr>
          <w:rFonts w:ascii="Arial" w:cs="Arial" w:eastAsia="Arial" w:hAnsi="Arial"/>
          <w:sz w:val="18"/>
          <w:szCs w:val="18"/>
          <w:color w:val="auto"/>
        </w:rPr>
        <w:t>of Altisource.</w:t>
      </w:r>
    </w:p>
    <w:p>
      <w:pPr>
        <w:spacing w:after="0" w:line="212" w:lineRule="exact"/>
        <w:rPr>
          <w:rFonts w:ascii="Arial" w:cs="Arial" w:eastAsia="Arial" w:hAnsi="Arial"/>
          <w:sz w:val="18"/>
          <w:szCs w:val="18"/>
          <w:color w:val="auto"/>
        </w:rPr>
      </w:pPr>
    </w:p>
    <w:p>
      <w:pPr>
        <w:ind w:left="1160" w:right="100" w:hanging="571"/>
        <w:spacing w:after="0" w:line="335" w:lineRule="auto"/>
        <w:tabs>
          <w:tab w:leader="none" w:pos="1160" w:val="left"/>
        </w:tabs>
        <w:numPr>
          <w:ilvl w:val="0"/>
          <w:numId w:val="29"/>
        </w:numPr>
        <w:rPr>
          <w:rFonts w:ascii="Arial" w:cs="Arial" w:eastAsia="Arial" w:hAnsi="Arial"/>
          <w:sz w:val="15"/>
          <w:szCs w:val="15"/>
          <w:color w:val="auto"/>
        </w:rPr>
      </w:pPr>
      <w:r>
        <w:rPr>
          <w:rFonts w:ascii="Arial" w:cs="Arial" w:eastAsia="Arial" w:hAnsi="Arial"/>
          <w:sz w:val="15"/>
          <w:szCs w:val="15"/>
          <w:i w:val="1"/>
          <w:iCs w:val="1"/>
          <w:color w:val="auto"/>
        </w:rPr>
        <w:t xml:space="preserve">Services Agreement. </w:t>
      </w:r>
      <w:r>
        <w:rPr>
          <w:rFonts w:ascii="Arial" w:cs="Arial" w:eastAsia="Arial" w:hAnsi="Arial"/>
          <w:sz w:val="15"/>
          <w:szCs w:val="15"/>
          <w:color w:val="auto"/>
        </w:rPr>
        <w:t>This agreement provides for Altisource’s offering of certain services to us in connection with our business following the</w:t>
      </w:r>
      <w:r>
        <w:rPr>
          <w:rFonts w:ascii="Arial" w:cs="Arial" w:eastAsia="Arial" w:hAnsi="Arial"/>
          <w:sz w:val="15"/>
          <w:szCs w:val="15"/>
          <w:i w:val="1"/>
          <w:iCs w:val="1"/>
          <w:color w:val="auto"/>
        </w:rPr>
        <w:t xml:space="preserve"> </w:t>
      </w:r>
      <w:r>
        <w:rPr>
          <w:rFonts w:ascii="Arial" w:cs="Arial" w:eastAsia="Arial" w:hAnsi="Arial"/>
          <w:sz w:val="15"/>
          <w:szCs w:val="15"/>
          <w:color w:val="auto"/>
        </w:rPr>
        <w:t>Separation for an initial term of eight years, subject to renewal, with pricing terms intended to reflect market rates. Services provided to us under this agreement include residential property valuation, residential property preservation and inspection services, title services and REO sales.</w:t>
      </w:r>
    </w:p>
    <w:p>
      <w:pPr>
        <w:spacing w:after="0" w:line="169" w:lineRule="exact"/>
        <w:rPr>
          <w:rFonts w:ascii="Arial" w:cs="Arial" w:eastAsia="Arial" w:hAnsi="Arial"/>
          <w:sz w:val="15"/>
          <w:szCs w:val="15"/>
          <w:color w:val="auto"/>
        </w:rPr>
      </w:pPr>
    </w:p>
    <w:p>
      <w:pPr>
        <w:ind w:left="1160" w:hanging="571"/>
        <w:spacing w:after="0" w:line="306" w:lineRule="auto"/>
        <w:tabs>
          <w:tab w:leader="none" w:pos="1160" w:val="left"/>
        </w:tabs>
        <w:numPr>
          <w:ilvl w:val="0"/>
          <w:numId w:val="29"/>
        </w:numPr>
        <w:rPr>
          <w:rFonts w:ascii="Arial" w:cs="Arial" w:eastAsia="Arial" w:hAnsi="Arial"/>
          <w:sz w:val="16"/>
          <w:szCs w:val="16"/>
          <w:color w:val="auto"/>
        </w:rPr>
      </w:pPr>
      <w:r>
        <w:rPr>
          <w:rFonts w:ascii="Arial" w:cs="Arial" w:eastAsia="Arial" w:hAnsi="Arial"/>
          <w:sz w:val="16"/>
          <w:szCs w:val="16"/>
          <w:i w:val="1"/>
          <w:iCs w:val="1"/>
          <w:color w:val="auto"/>
        </w:rPr>
        <w:t>Technology Products Services Agreement</w:t>
      </w:r>
      <w:r>
        <w:rPr>
          <w:rFonts w:ascii="Arial" w:cs="Arial" w:eastAsia="Arial" w:hAnsi="Arial"/>
          <w:sz w:val="16"/>
          <w:szCs w:val="16"/>
          <w:color w:val="auto"/>
        </w:rPr>
        <w:t>. This agreement provides for Altisource’s offering of certain technology products and support services</w:t>
      </w:r>
      <w:r>
        <w:rPr>
          <w:rFonts w:ascii="Arial" w:cs="Arial" w:eastAsia="Arial" w:hAnsi="Arial"/>
          <w:sz w:val="16"/>
          <w:szCs w:val="16"/>
          <w:i w:val="1"/>
          <w:iCs w:val="1"/>
          <w:color w:val="auto"/>
        </w:rPr>
        <w:t xml:space="preserve"> </w:t>
      </w:r>
      <w:r>
        <w:rPr>
          <w:rFonts w:ascii="Arial" w:cs="Arial" w:eastAsia="Arial" w:hAnsi="Arial"/>
          <w:sz w:val="16"/>
          <w:szCs w:val="16"/>
          <w:color w:val="auto"/>
        </w:rPr>
        <w:t>to us in connection with our business, also for an initial term of eight years, subject to renewal, with pricing terms intended to reflect market rates. Technology products provided to us under this agreement include the REAL suite of applications that support our Servicing business.</w:t>
      </w:r>
    </w:p>
    <w:p>
      <w:pPr>
        <w:spacing w:after="0" w:line="187" w:lineRule="exact"/>
        <w:rPr>
          <w:rFonts w:ascii="Arial" w:cs="Arial" w:eastAsia="Arial" w:hAnsi="Arial"/>
          <w:sz w:val="16"/>
          <w:szCs w:val="16"/>
          <w:color w:val="auto"/>
        </w:rPr>
      </w:pPr>
    </w:p>
    <w:p>
      <w:pPr>
        <w:ind w:left="1160" w:hanging="571"/>
        <w:spacing w:after="0"/>
        <w:tabs>
          <w:tab w:leader="none" w:pos="116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Intellectual Property Agreement</w:t>
      </w:r>
      <w:r>
        <w:rPr>
          <w:rFonts w:ascii="Arial" w:cs="Arial" w:eastAsia="Arial" w:hAnsi="Arial"/>
          <w:sz w:val="18"/>
          <w:szCs w:val="18"/>
          <w:color w:val="auto"/>
        </w:rPr>
        <w:t>. This agreement provides for the transfer of intellectual property assets to Altisource.</w:t>
      </w:r>
    </w:p>
    <w:p>
      <w:pPr>
        <w:spacing w:after="0" w:line="279" w:lineRule="exact"/>
        <w:rPr>
          <w:rFonts w:ascii="Arial" w:cs="Arial" w:eastAsia="Arial" w:hAnsi="Arial"/>
          <w:sz w:val="18"/>
          <w:szCs w:val="18"/>
          <w:color w:val="auto"/>
        </w:rPr>
      </w:pPr>
    </w:p>
    <w:p>
      <w:pPr>
        <w:ind w:left="1160" w:right="360" w:hanging="571"/>
        <w:spacing w:after="0" w:line="268" w:lineRule="auto"/>
        <w:tabs>
          <w:tab w:leader="none" w:pos="116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Data Center and Disaster Recovery Services Agreement</w:t>
      </w:r>
      <w:r>
        <w:rPr>
          <w:rFonts w:ascii="Arial" w:cs="Arial" w:eastAsia="Arial" w:hAnsi="Arial"/>
          <w:sz w:val="18"/>
          <w:szCs w:val="18"/>
          <w:color w:val="auto"/>
        </w:rPr>
        <w:t>. This agreement provides for Altisource’s offering of certain data center and disaster</w:t>
      </w:r>
      <w:r>
        <w:rPr>
          <w:rFonts w:ascii="Arial" w:cs="Arial" w:eastAsia="Arial" w:hAnsi="Arial"/>
          <w:sz w:val="18"/>
          <w:szCs w:val="18"/>
          <w:i w:val="1"/>
          <w:iCs w:val="1"/>
          <w:color w:val="auto"/>
        </w:rPr>
        <w:t xml:space="preserve"> </w:t>
      </w:r>
      <w:r>
        <w:rPr>
          <w:rFonts w:ascii="Arial" w:cs="Arial" w:eastAsia="Arial" w:hAnsi="Arial"/>
          <w:sz w:val="18"/>
          <w:szCs w:val="18"/>
          <w:color w:val="auto"/>
        </w:rPr>
        <w:t>recovery services in connection with our business.</w:t>
      </w:r>
    </w:p>
    <w:p>
      <w:pPr>
        <w:spacing w:after="0" w:line="186" w:lineRule="exact"/>
        <w:rPr>
          <w:sz w:val="20"/>
          <w:szCs w:val="20"/>
          <w:color w:val="auto"/>
        </w:rPr>
      </w:pPr>
    </w:p>
    <w:p>
      <w:pPr>
        <w:ind w:right="60" w:firstLine="439"/>
        <w:spacing w:after="0" w:line="294" w:lineRule="auto"/>
        <w:rPr>
          <w:sz w:val="20"/>
          <w:szCs w:val="20"/>
          <w:color w:val="auto"/>
        </w:rPr>
      </w:pPr>
      <w:r>
        <w:rPr>
          <w:rFonts w:ascii="Arial" w:cs="Arial" w:eastAsia="Arial" w:hAnsi="Arial"/>
          <w:sz w:val="16"/>
          <w:szCs w:val="16"/>
          <w:color w:val="auto"/>
        </w:rPr>
        <w:t>Our business is currently dependent on many of the services and products provided under these long-term contracts with Altisource. These contracts are effective for up to eight years with renewal rights. Certain services provided by Altisource under these contracts are charged to the borrower and/or loan investor. Accordingly, such services, while derived from our loan servicing portfolio, are not presented as expenses to Ocwen. We believe the rates charged under these agreements are market rates as they are materially consistent with one or more of the following: the fees charged by Altisource to other customers for comparable services and the rates Ocwen pays to or observes from other service providers.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Altisource provides the following services under the terms of the foregoing commercial agreements: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Mortgage Services</w:t>
      </w:r>
    </w:p>
    <w:p>
      <w:pPr>
        <w:spacing w:after="0" w:line="258" w:lineRule="exact"/>
        <w:rPr>
          <w:sz w:val="20"/>
          <w:szCs w:val="20"/>
          <w:color w:val="auto"/>
        </w:rPr>
      </w:pPr>
    </w:p>
    <w:p>
      <w:pPr>
        <w:ind w:left="1160" w:hanging="571"/>
        <w:spacing w:after="0"/>
        <w:tabs>
          <w:tab w:leader="none" w:pos="11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Valuation services</w:t>
      </w:r>
    </w:p>
    <w:p>
      <w:pPr>
        <w:spacing w:after="0" w:line="279" w:lineRule="exact"/>
        <w:rPr>
          <w:rFonts w:ascii="Arial" w:cs="Arial" w:eastAsia="Arial" w:hAnsi="Arial"/>
          <w:sz w:val="18"/>
          <w:szCs w:val="18"/>
          <w:color w:val="auto"/>
        </w:rPr>
      </w:pPr>
    </w:p>
    <w:p>
      <w:pPr>
        <w:ind w:left="1160" w:hanging="571"/>
        <w:spacing w:after="0"/>
        <w:tabs>
          <w:tab w:leader="none" w:pos="11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Residential due diligence</w:t>
      </w:r>
    </w:p>
    <w:p>
      <w:pPr>
        <w:spacing w:after="0" w:line="279" w:lineRule="exact"/>
        <w:rPr>
          <w:rFonts w:ascii="Arial" w:cs="Arial" w:eastAsia="Arial" w:hAnsi="Arial"/>
          <w:sz w:val="18"/>
          <w:szCs w:val="18"/>
          <w:color w:val="auto"/>
        </w:rPr>
      </w:pPr>
    </w:p>
    <w:p>
      <w:pPr>
        <w:ind w:left="1160" w:hanging="571"/>
        <w:spacing w:after="0"/>
        <w:tabs>
          <w:tab w:leader="none" w:pos="11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Residential fulfillment support services</w:t>
      </w:r>
    </w:p>
    <w:p>
      <w:pPr>
        <w:spacing w:after="0" w:line="279" w:lineRule="exact"/>
        <w:rPr>
          <w:rFonts w:ascii="Arial" w:cs="Arial" w:eastAsia="Arial" w:hAnsi="Arial"/>
          <w:sz w:val="18"/>
          <w:szCs w:val="18"/>
          <w:color w:val="auto"/>
        </w:rPr>
      </w:pPr>
    </w:p>
    <w:p>
      <w:pPr>
        <w:ind w:left="1160" w:hanging="571"/>
        <w:spacing w:after="0"/>
        <w:tabs>
          <w:tab w:leader="none" w:pos="11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Real estate management and sales</w:t>
      </w:r>
    </w:p>
    <w:p>
      <w:pPr>
        <w:spacing w:after="0" w:line="279" w:lineRule="exact"/>
        <w:rPr>
          <w:rFonts w:ascii="Arial" w:cs="Arial" w:eastAsia="Arial" w:hAnsi="Arial"/>
          <w:sz w:val="18"/>
          <w:szCs w:val="18"/>
          <w:color w:val="auto"/>
        </w:rPr>
      </w:pPr>
    </w:p>
    <w:p>
      <w:pPr>
        <w:ind w:left="1160" w:hanging="571"/>
        <w:spacing w:after="0"/>
        <w:tabs>
          <w:tab w:leader="none" w:pos="11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Property inspection and preservation services</w:t>
      </w:r>
    </w:p>
    <w:p>
      <w:pPr>
        <w:spacing w:after="0" w:line="279" w:lineRule="exact"/>
        <w:rPr>
          <w:rFonts w:ascii="Arial" w:cs="Arial" w:eastAsia="Arial" w:hAnsi="Arial"/>
          <w:sz w:val="18"/>
          <w:szCs w:val="18"/>
          <w:color w:val="auto"/>
        </w:rPr>
      </w:pPr>
    </w:p>
    <w:p>
      <w:pPr>
        <w:ind w:left="1160" w:hanging="571"/>
        <w:spacing w:after="0"/>
        <w:tabs>
          <w:tab w:leader="none" w:pos="11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Closing and title services</w:t>
      </w:r>
    </w:p>
    <w:p>
      <w:pPr>
        <w:spacing w:after="0" w:line="279" w:lineRule="exact"/>
        <w:rPr>
          <w:rFonts w:ascii="Arial" w:cs="Arial" w:eastAsia="Arial" w:hAnsi="Arial"/>
          <w:sz w:val="18"/>
          <w:szCs w:val="18"/>
          <w:color w:val="auto"/>
        </w:rPr>
      </w:pPr>
    </w:p>
    <w:p>
      <w:pPr>
        <w:ind w:left="1160" w:hanging="571"/>
        <w:spacing w:after="0"/>
        <w:tabs>
          <w:tab w:leader="none" w:pos="11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Homeowner outreach</w:t>
      </w:r>
    </w:p>
    <w:p>
      <w:pPr>
        <w:spacing w:after="0" w:line="279" w:lineRule="exact"/>
        <w:rPr>
          <w:rFonts w:ascii="Arial" w:cs="Arial" w:eastAsia="Arial" w:hAnsi="Arial"/>
          <w:sz w:val="18"/>
          <w:szCs w:val="18"/>
          <w:color w:val="auto"/>
        </w:rPr>
      </w:pPr>
    </w:p>
    <w:p>
      <w:pPr>
        <w:ind w:left="1160" w:hanging="571"/>
        <w:spacing w:after="0"/>
        <w:tabs>
          <w:tab w:leader="none" w:pos="11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Trustee foreclosure services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Technology Products</w:t>
      </w:r>
    </w:p>
    <w:p>
      <w:pPr>
        <w:spacing w:after="0" w:line="258" w:lineRule="exact"/>
        <w:rPr>
          <w:sz w:val="20"/>
          <w:szCs w:val="20"/>
          <w:color w:val="auto"/>
        </w:rPr>
      </w:pPr>
    </w:p>
    <w:p>
      <w:pPr>
        <w:ind w:left="1160" w:hanging="571"/>
        <w:spacing w:after="0"/>
        <w:tabs>
          <w:tab w:leader="none" w:pos="11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Residential loan servicing software</w:t>
      </w:r>
    </w:p>
    <w:p>
      <w:pPr>
        <w:spacing w:after="0" w:line="279" w:lineRule="exact"/>
        <w:rPr>
          <w:rFonts w:ascii="Arial" w:cs="Arial" w:eastAsia="Arial" w:hAnsi="Arial"/>
          <w:sz w:val="18"/>
          <w:szCs w:val="18"/>
          <w:color w:val="auto"/>
        </w:rPr>
      </w:pPr>
    </w:p>
    <w:p>
      <w:pPr>
        <w:ind w:left="1160" w:hanging="571"/>
        <w:spacing w:after="0"/>
        <w:tabs>
          <w:tab w:leader="none" w:pos="11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Vendor management and order fulfillment software</w:t>
      </w:r>
    </w:p>
    <w:p>
      <w:pPr>
        <w:spacing w:after="0" w:line="279" w:lineRule="exact"/>
        <w:rPr>
          <w:rFonts w:ascii="Arial" w:cs="Arial" w:eastAsia="Arial" w:hAnsi="Arial"/>
          <w:sz w:val="18"/>
          <w:szCs w:val="18"/>
          <w:color w:val="auto"/>
        </w:rPr>
      </w:pPr>
    </w:p>
    <w:p>
      <w:pPr>
        <w:ind w:left="1160" w:hanging="571"/>
        <w:spacing w:after="0"/>
        <w:tabs>
          <w:tab w:leader="none" w:pos="11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Default resolution services</w:t>
      </w:r>
    </w:p>
    <w:p>
      <w:pPr>
        <w:spacing w:after="0" w:line="279" w:lineRule="exact"/>
        <w:rPr>
          <w:rFonts w:ascii="Arial" w:cs="Arial" w:eastAsia="Arial" w:hAnsi="Arial"/>
          <w:sz w:val="18"/>
          <w:szCs w:val="18"/>
          <w:color w:val="auto"/>
        </w:rPr>
      </w:pPr>
    </w:p>
    <w:p>
      <w:pPr>
        <w:ind w:left="1160" w:hanging="571"/>
        <w:spacing w:after="0"/>
        <w:tabs>
          <w:tab w:leader="none" w:pos="11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IT infrastructure support</w:t>
      </w:r>
    </w:p>
    <w:p>
      <w:pPr>
        <w:spacing w:after="0" w:line="279" w:lineRule="exact"/>
        <w:rPr>
          <w:rFonts w:ascii="Arial" w:cs="Arial" w:eastAsia="Arial" w:hAnsi="Arial"/>
          <w:sz w:val="18"/>
          <w:szCs w:val="18"/>
          <w:color w:val="auto"/>
        </w:rPr>
      </w:pPr>
    </w:p>
    <w:p>
      <w:pPr>
        <w:ind w:left="1160" w:hanging="571"/>
        <w:spacing w:after="0"/>
        <w:tabs>
          <w:tab w:leader="none" w:pos="11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Invoice presentment and payment software</w:t>
      </w:r>
    </w:p>
    <w:p>
      <w:pPr>
        <w:spacing w:after="0" w:line="279" w:lineRule="exact"/>
        <w:rPr>
          <w:rFonts w:ascii="Arial" w:cs="Arial" w:eastAsia="Arial" w:hAnsi="Arial"/>
          <w:sz w:val="18"/>
          <w:szCs w:val="18"/>
          <w:color w:val="auto"/>
        </w:rPr>
      </w:pPr>
    </w:p>
    <w:p>
      <w:pPr>
        <w:ind w:left="1160" w:hanging="571"/>
        <w:spacing w:after="0"/>
        <w:tabs>
          <w:tab w:leader="none" w:pos="11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Commercial loan servicing software</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Services</w:t>
      </w:r>
    </w:p>
    <w:p>
      <w:pPr>
        <w:spacing w:after="0" w:line="258" w:lineRule="exact"/>
        <w:rPr>
          <w:sz w:val="20"/>
          <w:szCs w:val="20"/>
          <w:color w:val="auto"/>
        </w:rPr>
      </w:pPr>
    </w:p>
    <w:p>
      <w:pPr>
        <w:ind w:left="1160" w:hanging="571"/>
        <w:spacing w:after="0"/>
        <w:tabs>
          <w:tab w:leader="none" w:pos="11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Mortgage charge-off and deficiency collections</w:t>
      </w:r>
    </w:p>
    <w:p>
      <w:pPr>
        <w:spacing w:after="0" w:line="252" w:lineRule="exact"/>
        <w:rPr>
          <w:sz w:val="20"/>
          <w:szCs w:val="20"/>
          <w:color w:val="auto"/>
        </w:rPr>
      </w:pPr>
    </w:p>
    <w:p>
      <w:pPr>
        <w:ind w:right="460" w:firstLine="429"/>
        <w:spacing w:after="0" w:line="332" w:lineRule="auto"/>
        <w:rPr>
          <w:sz w:val="20"/>
          <w:szCs w:val="20"/>
          <w:color w:val="auto"/>
        </w:rPr>
      </w:pPr>
      <w:r>
        <w:rPr>
          <w:rFonts w:ascii="Arial" w:cs="Arial" w:eastAsia="Arial" w:hAnsi="Arial"/>
          <w:sz w:val="16"/>
          <w:szCs w:val="16"/>
          <w:color w:val="auto"/>
        </w:rPr>
        <w:t>As of September 30, 2009, the net payable to Altisource was $2,693. For the period from August 10, 2009 through September 30, 2009, the impact of transition services was negligible as the cost of services received was offset by the cost of services provided to Altisource.</w:t>
      </w:r>
    </w:p>
    <w:p>
      <w:pPr>
        <w:sectPr>
          <w:pgSz w:w="11900" w:h="16858" w:orient="portrait"/>
          <w:cols w:equalWidth="0" w:num="1">
            <w:col w:w="11420"/>
          </w:cols>
          <w:pgMar w:left="240" w:top="388" w:right="239" w:bottom="0" w:gutter="0" w:footer="0" w:header="0"/>
        </w:sectPr>
      </w:pPr>
    </w:p>
    <w:bookmarkStart w:id="35" w:name="page36"/>
    <w:bookmarkEnd w:id="35"/>
    <w:p>
      <w:pPr>
        <w:spacing w:after="0"/>
        <w:tabs>
          <w:tab w:leader="none" w:pos="1140" w:val="left"/>
        </w:tabs>
        <w:rPr>
          <w:sz w:val="20"/>
          <w:szCs w:val="20"/>
          <w:color w:val="auto"/>
        </w:rPr>
      </w:pPr>
      <w:r>
        <w:rPr>
          <w:rFonts w:ascii="Arial" w:cs="Arial" w:eastAsia="Arial" w:hAnsi="Arial"/>
          <w:sz w:val="18"/>
          <w:szCs w:val="18"/>
          <w:b w:val="1"/>
          <w:bCs w:val="1"/>
          <w:color w:val="auto"/>
        </w:rPr>
        <w:t>Note 24</w:t>
      </w:r>
      <w:r>
        <w:rPr>
          <w:sz w:val="20"/>
          <w:szCs w:val="20"/>
          <w:color w:val="auto"/>
        </w:rPr>
        <w:tab/>
      </w:r>
      <w:r>
        <w:rPr>
          <w:rFonts w:ascii="Arial" w:cs="Arial" w:eastAsia="Arial" w:hAnsi="Arial"/>
          <w:sz w:val="15"/>
          <w:szCs w:val="15"/>
          <w:b w:val="1"/>
          <w:bCs w:val="1"/>
          <w:color w:val="auto"/>
        </w:rPr>
        <w:t>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231" w:lineRule="exact"/>
        <w:rPr>
          <w:sz w:val="20"/>
          <w:szCs w:val="20"/>
          <w:color w:val="auto"/>
        </w:rPr>
      </w:pPr>
    </w:p>
    <w:p>
      <w:pPr>
        <w:ind w:right="280" w:firstLine="436"/>
        <w:spacing w:after="0" w:line="259" w:lineRule="auto"/>
        <w:rPr>
          <w:sz w:val="20"/>
          <w:szCs w:val="20"/>
          <w:color w:val="auto"/>
        </w:rPr>
      </w:pPr>
      <w:r>
        <w:rPr>
          <w:rFonts w:ascii="Arial" w:cs="Arial" w:eastAsia="Arial" w:hAnsi="Arial"/>
          <w:sz w:val="18"/>
          <w:szCs w:val="18"/>
          <w:color w:val="auto"/>
        </w:rPr>
        <w:t>The liability, if any, for the claims noted below against Ocwen Federal Bank FSB (the Bank) has been assumed by OLS as successor in interest under an Assignment and Assumption Agreement, dated June 28, 2005, whereby OLS assumed all of the Bank’s remaining assets and liabilities, including contingent liabilities, in connection with its voluntary termination of its status as a federal savings bank.</w:t>
      </w:r>
    </w:p>
    <w:p>
      <w:pPr>
        <w:spacing w:after="0" w:line="194" w:lineRule="exact"/>
        <w:rPr>
          <w:sz w:val="20"/>
          <w:szCs w:val="20"/>
          <w:color w:val="auto"/>
        </w:rPr>
      </w:pPr>
    </w:p>
    <w:p>
      <w:pPr>
        <w:ind w:firstLine="436"/>
        <w:spacing w:after="0" w:line="306" w:lineRule="auto"/>
        <w:rPr>
          <w:sz w:val="20"/>
          <w:szCs w:val="20"/>
          <w:color w:val="auto"/>
        </w:rPr>
      </w:pPr>
      <w:r>
        <w:rPr>
          <w:rFonts w:ascii="Arial" w:cs="Arial" w:eastAsia="Arial" w:hAnsi="Arial"/>
          <w:sz w:val="15"/>
          <w:szCs w:val="15"/>
          <w:color w:val="auto"/>
        </w:rPr>
        <w:t>We are named as a defendant in lawsuits brought in various federal and state courts challenging the Bank’s mortgage servicing practices, including charging improper or unnecessary fees, misapplying borrower payments, etc. In April 2004, our petition was granted to transfer and consolidate a number of lawsuits filed against the Bank, OCN and various third parties into a single proceeding pending in the United States District Court for the Northern District of Illinois (the MDL Proceeding). Additional lawsuits similar to the MDL proceeding have been brought in other courts, some of which may be transferred to and consolidated in the MDL Proceeding. The borrowers in many of these lawsuits seek class action certification. Others have brought individual actions. No class has been certified in the MDL Proceeding or any related lawsuits. In April 2005, the trial court entered a partial summary judgment in favor of defendants holding that plaintiffs’ signed loan contracts authorized the collection of certain fees by Ocwen as servicer for the related mortgages. In May 2006, plaintiffs filed an amended complaint containing various claims under several federal statutes, state deceptive trade practices statutes and common law. No specific amounts of damages are asserted, however, plaintiffs may amend the complaint to seek damages should the matter proceed to trial. In June 2007, the United States Court of Appeals for the Seventh Circuit issued an opinion holding that many of the claims were preempted or failed to satisfy the pleading requirements of the applicable rules of procedure and directing the trial judge to seek clarification from the plaintiffs so as to properly determine which particular claims are to be dismissed. In March 2009, the Court struck the amended complaint in its entirety on the grounds of vagueness. Plaintiffs filed a third amended complaint on April 20, 2009. Ocwen’s response to the Third Amended Complaint was filed on June 19, 2009. Plaintiffs filed their opposition to Ocwen’s motion to dismiss on August 18, 2009. Ocwen’s reply was filed on October 15, 2009. We believe the allegations in the MDL Proceeding are without merit and will continue to vigorously defend against them.</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9" w:right="239" w:bottom="1440" w:gutter="0" w:footer="0" w:header="0"/>
        </w:sectPr>
      </w:pPr>
    </w:p>
    <w:bookmarkStart w:id="36" w:name="page37"/>
    <w:bookmarkEnd w:id="36"/>
    <w:p>
      <w:pPr>
        <w:jc w:val="center"/>
        <w:ind w:right="100"/>
        <w:spacing w:after="0"/>
        <w:rPr>
          <w:sz w:val="20"/>
          <w:szCs w:val="20"/>
          <w:color w:val="auto"/>
        </w:rPr>
      </w:pPr>
      <w:r>
        <w:rPr>
          <w:rFonts w:ascii="Arial" w:cs="Arial" w:eastAsia="Arial" w:hAnsi="Arial"/>
          <w:sz w:val="16"/>
          <w:szCs w:val="16"/>
          <w:color w:val="auto"/>
        </w:rPr>
        <w:t>In November 2004, a final judgment was entered in litigation brought by Cartel Asset Management, Inc. (Cartel) against OCN, the Bank and Ocwen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Technology Xchange, Inc. (OTX), a subsidiary that has been dissolved. This matter involved allegations of misappropriation of trade secrets and contract-related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claims brought by a former vendor. Initially, a jury verdict awarded damages of $9,320. However, the November 2004 judgment awarded $520 against OTX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nominal damages of two dollars against the Bank. Additionally, the Bank was assessed a statutory award to Cartel for attorneys’ fees in an additional amount of</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$170. The Bank and OTX were further assessed costs in the amount of $9. In September 2007, the United States Court of Appeals for the Tenth Circuit upheld the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damage award against OTX and remanded the case for a new trial on damages against the Bank. In December 2007, we paid the full amount of the judgment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against OTX, including accrued interest. In March 2008, the trial court entered an order joining OLS, as the Bank’s successor-in-interest, and OCN, as guarantor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the Bank’s obligations, as additional defendants. The trial court has not yet set a date for the new trial against the Bank, OLS and OCN. We do not believe that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Cartel is entitled to additional damages, if any, in an amount that would be material to our financial condition, results of operations or cash flows, and we intend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to continue to vigorously defend against this matter.</w:t>
      </w:r>
    </w:p>
    <w:p>
      <w:pPr>
        <w:spacing w:after="0" w:line="219" w:lineRule="exact"/>
        <w:rPr>
          <w:sz w:val="20"/>
          <w:szCs w:val="20"/>
          <w:color w:val="auto"/>
        </w:rPr>
      </w:pPr>
    </w:p>
    <w:p>
      <w:pPr>
        <w:ind w:right="160" w:firstLine="439"/>
        <w:spacing w:after="0" w:line="306" w:lineRule="auto"/>
        <w:rPr>
          <w:sz w:val="20"/>
          <w:szCs w:val="20"/>
          <w:color w:val="auto"/>
        </w:rPr>
      </w:pPr>
      <w:r>
        <w:rPr>
          <w:rFonts w:ascii="Arial" w:cs="Arial" w:eastAsia="Arial" w:hAnsi="Arial"/>
          <w:sz w:val="15"/>
          <w:szCs w:val="15"/>
          <w:color w:val="auto"/>
        </w:rPr>
        <w:t>In September 2006, the Bankruptcy Trustee in Chapter 7 proceedings involving American Business Financial Services, Inc. (ABFS) brought an action against multiple defendants, including OLS, in Bankruptcy Court. The action arises out of Debtor-in-Possession financing to ABFS by defendant Greenwich Capital Financial Products, Inc. and the subsequent purchases by OLS of MSRs and certain residual interests in mortgage-backed securities previously held by ABFS. OLS brought a separate action against the Trustee seeking damages of approximately $2,500 arising out of the ABFS MSRs purchase transaction. OLS’ separate action against the Trustee was dismissed by agreement without prejudice with the right to replead such claims or otherwise file a separate action should the Trustee’s action be dismissed. In February 2007, the court granted OLS’ motion to dismiss some claims but refused to dismiss others. The Trustee filed an amended complaint in March 2007. This complaint sets forth claims against all of the original defendants. The claims against OLS include turnover, fraudulent transfers, accounting, breach of fiduciary duty, aiding and abetting breach of fiduciary duty, breach of contract, fraud, civil conspiracy and conversion. The Trustee seeks compensatory damages in excess of $100,000 and punitive damages jointly and severally against all defendants. In March 2008, the court denied OLS’ motion to dismiss. In April 2008, OLS denied all charges and filed a counterclaim for breach of contract, fraud, negligent misrepresentation and indemnification in connection with the MSR purchase transaction. Fact discovery is complete and both Ocwen and the Trustee have filed motions for partial summary judgment. We believe that the Trustee’s allegations against OLS are without merit and intend to continue to vigorously defend against this matter.</w:t>
      </w:r>
    </w:p>
    <w:p>
      <w:pPr>
        <w:spacing w:after="0" w:line="170" w:lineRule="exact"/>
        <w:rPr>
          <w:sz w:val="20"/>
          <w:szCs w:val="20"/>
          <w:color w:val="auto"/>
        </w:rPr>
      </w:pPr>
    </w:p>
    <w:p>
      <w:pPr>
        <w:ind w:right="40" w:firstLine="439"/>
        <w:spacing w:after="0" w:line="287" w:lineRule="auto"/>
        <w:rPr>
          <w:sz w:val="20"/>
          <w:szCs w:val="20"/>
          <w:color w:val="auto"/>
        </w:rPr>
      </w:pPr>
      <w:r>
        <w:rPr>
          <w:rFonts w:ascii="Arial" w:cs="Arial" w:eastAsia="Arial" w:hAnsi="Arial"/>
          <w:sz w:val="16"/>
          <w:szCs w:val="16"/>
          <w:color w:val="auto"/>
        </w:rPr>
        <w:t>OCN together with Bankruptcy Management Solutions, Inc. (BMSI) the wholly owned subsidiary of BMS Holdings, commenced separate arbitrations before the Financial Industry Regulatory Authority against Goldman Sachs &amp; Co. and Banc of America Securities LLC (collectively the Broker/Dealers) primarily alleging fraud, breach of duty and statutory violations arising out of the sale of AAA-rated student loan auction rate securities (SLARS) backed by the Federal Family Education Loan Program. OCN and BMSI subsequently voluntarily dismissed their arbitration claims against Citigroup Global Markets, Inc, and filed a complaint in federal court. OCN purchased the SLARS based on the Broker/Dealer representation that the SLARS were liquid securities that could be sold at regularly scheduled auctions to meet the investment line requirement to pay the borrowings at quarter end. The Broker/Dealers represented that the SLARS would remain liquid because if there were not sufficient buyers in the auctions, the Broker/Dealers would purchase to make the auctions succeed. Contrary to those representations, in February 2008, the Broker/Dealers stopped supporting the SLARS auctions and the market for SLARS became illiquid. OCN seeks to require the Broker/Dealers to repurchase the SLARS at par, and pay consequential damages, potentially including damages related to the repayment of the investment line and punitive damages.</w:t>
      </w:r>
    </w:p>
    <w:p>
      <w:pPr>
        <w:spacing w:after="0" w:line="177" w:lineRule="exact"/>
        <w:rPr>
          <w:sz w:val="20"/>
          <w:szCs w:val="20"/>
          <w:color w:val="auto"/>
        </w:rPr>
      </w:pPr>
    </w:p>
    <w:p>
      <w:pPr>
        <w:ind w:right="540" w:firstLine="439"/>
        <w:spacing w:after="0" w:line="268" w:lineRule="auto"/>
        <w:rPr>
          <w:sz w:val="20"/>
          <w:szCs w:val="20"/>
          <w:color w:val="auto"/>
        </w:rPr>
      </w:pPr>
      <w:r>
        <w:rPr>
          <w:rFonts w:ascii="Arial" w:cs="Arial" w:eastAsia="Arial" w:hAnsi="Arial"/>
          <w:sz w:val="18"/>
          <w:szCs w:val="18"/>
          <w:color w:val="auto"/>
        </w:rPr>
        <w:t>OCN is subject to various other pending legal proceedings. In our opinion, the resolution of these proceedings and those noted above will not have a material effect on our financial condition, results of operations or cash flows.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matters</w:t>
      </w:r>
    </w:p>
    <w:p>
      <w:pPr>
        <w:spacing w:after="0" w:line="231" w:lineRule="exact"/>
        <w:rPr>
          <w:sz w:val="20"/>
          <w:szCs w:val="20"/>
          <w:color w:val="auto"/>
        </w:rPr>
      </w:pPr>
    </w:p>
    <w:p>
      <w:pPr>
        <w:ind w:right="80" w:firstLine="439"/>
        <w:spacing w:after="0" w:line="290" w:lineRule="auto"/>
        <w:rPr>
          <w:sz w:val="20"/>
          <w:szCs w:val="20"/>
          <w:color w:val="auto"/>
        </w:rPr>
      </w:pPr>
      <w:r>
        <w:rPr>
          <w:rFonts w:ascii="Arial" w:cs="Arial" w:eastAsia="Arial" w:hAnsi="Arial"/>
          <w:sz w:val="16"/>
          <w:szCs w:val="16"/>
          <w:color w:val="auto"/>
        </w:rPr>
        <w:t>On December 28, 2006, the India tax authorities issued an income tax assessment order (the Order) with respect to IT-enabled services performed for OCN by its wholly-owned Indian subsidiary, OFSPL. The Order relates to the assessment year 2004-05 and determined that the percent mark-up on operating costs with respect to the IT-enabled and software development services that OFSPL provided to OCN was insufficient. The proposed adjustment would impose upon OFSPL additional tax of INR 45,290 ($943) and interest of INR 14,922 ($311) for the assessment year 2004-05. In December 2008, the India tax authorities issued an additional income tax assessment order (the Second Order) with respect to assessment year 2005-06. The proposed adjustment would impose upon OFSPL additional tax of INR 23,225 ($483) and interest of INR 10,200 ($212) for the assessment year 2005-06. In accordance with standard Indian procedures, penalties may also be assessed in the future in connection with the assessment.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7" w:name="page38"/>
    <w:bookmarkEnd w:id="37"/>
    <w:p>
      <w:pPr>
        <w:jc w:val="both"/>
        <w:ind w:right="20" w:firstLine="439"/>
        <w:spacing w:after="0" w:line="298" w:lineRule="auto"/>
        <w:rPr>
          <w:sz w:val="20"/>
          <w:szCs w:val="20"/>
          <w:color w:val="auto"/>
        </w:rPr>
      </w:pPr>
      <w:r>
        <w:rPr>
          <w:rFonts w:ascii="Arial" w:cs="Arial" w:eastAsia="Arial" w:hAnsi="Arial"/>
          <w:sz w:val="16"/>
          <w:szCs w:val="16"/>
          <w:color w:val="auto"/>
        </w:rPr>
        <w:t>OCN and OFSPL intend to vigorously contest the Order, the Second Order and the imposition of tax and interest and do not believe they have violated any statutory provision or rule. OFSPL has filed a domestic appeal with the India Commissioner of Income Tax (Appeals) in response to the Order and Second Order. In March 2007, OCN filed a request for Competent Authority Assistance with the Internal Revenue Service under the United States – India Income Tax Treaty. In January 2009, OCN filed a request with the Internal Revenue Service to include assessment year 2005-2006 in its Competent Authority case.</w:t>
      </w:r>
    </w:p>
    <w:p>
      <w:pPr>
        <w:spacing w:after="0" w:line="167" w:lineRule="exact"/>
        <w:rPr>
          <w:sz w:val="20"/>
          <w:szCs w:val="20"/>
          <w:color w:val="auto"/>
        </w:rPr>
      </w:pPr>
    </w:p>
    <w:p>
      <w:pPr>
        <w:ind w:right="240" w:firstLine="439"/>
        <w:spacing w:after="0" w:line="259" w:lineRule="auto"/>
        <w:rPr>
          <w:sz w:val="20"/>
          <w:szCs w:val="20"/>
          <w:color w:val="auto"/>
        </w:rPr>
      </w:pPr>
      <w:r>
        <w:rPr>
          <w:rFonts w:ascii="Arial" w:cs="Arial" w:eastAsia="Arial" w:hAnsi="Arial"/>
          <w:sz w:val="18"/>
          <w:szCs w:val="18"/>
          <w:color w:val="auto"/>
        </w:rPr>
        <w:t>Due to the uncertainties inherent in the appeals and Competent Authority processes, OCN and OFSPL cannot currently estimate any additional exposure beyond the amount detailed in the Order. We can also not predict when these tax matters will be resolved. The Competent Authority Assistance filing should preserve OCN’s right to credit any potential India taxes against OCN’s U.S. taxes.</w:t>
      </w:r>
    </w:p>
    <w:p>
      <w:pPr>
        <w:spacing w:after="0" w:line="202"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Note 25</w:t>
      </w:r>
      <w:r>
        <w:rPr>
          <w:sz w:val="20"/>
          <w:szCs w:val="20"/>
          <w:color w:val="auto"/>
        </w:rPr>
        <w:tab/>
      </w:r>
      <w:r>
        <w:rPr>
          <w:rFonts w:ascii="Arial" w:cs="Arial" w:eastAsia="Arial" w:hAnsi="Arial"/>
          <w:sz w:val="15"/>
          <w:szCs w:val="15"/>
          <w:b w:val="1"/>
          <w:bCs w:val="1"/>
          <w:color w:val="auto"/>
        </w:rPr>
        <w:t>Subsequent Events</w:t>
      </w:r>
    </w:p>
    <w:p>
      <w:pPr>
        <w:spacing w:after="0" w:line="231" w:lineRule="exact"/>
        <w:rPr>
          <w:sz w:val="20"/>
          <w:szCs w:val="20"/>
          <w:color w:val="auto"/>
        </w:rPr>
      </w:pPr>
    </w:p>
    <w:p>
      <w:pPr>
        <w:ind w:firstLine="439"/>
        <w:spacing w:after="0" w:line="254" w:lineRule="auto"/>
        <w:rPr>
          <w:sz w:val="20"/>
          <w:szCs w:val="20"/>
          <w:color w:val="auto"/>
        </w:rPr>
      </w:pPr>
      <w:r>
        <w:rPr>
          <w:rFonts w:ascii="Arial" w:cs="Arial" w:eastAsia="Arial" w:hAnsi="Arial"/>
          <w:sz w:val="18"/>
          <w:szCs w:val="18"/>
          <w:color w:val="auto"/>
        </w:rPr>
        <w:t>In October 2009, Ocwen entered into a liquidity option related to $92,850 face amount of auction rate securities. Under the terms of this agreement we have the right to sell specific securities for cash. We also have the right to repurchase the same following the initial sale at the same price. When the first option is exercised, we expect to record the arrangement as a borrowing secured by contractually specified auction rate securities. We will continue to report these auction rate securities as pledged securities at fair value on the balance sheet until maturity of the liquidity option in three years or such time as the underlying auction rate securities are sold. Once exercised, we will no longer receive cash interest income on the pledged securities nor will we pay cash interest on the secured borrowing.</w:t>
      </w:r>
    </w:p>
    <w:p>
      <w:pPr>
        <w:spacing w:after="0" w:line="19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have evaluated subsequent events through November 9, 2009, the date this Form 10-Q was issued.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8" w:name="page39"/>
    <w:bookmarkEnd w:id="38"/>
    <w:p>
      <w:pPr>
        <w:ind w:left="1380" w:right="940" w:hanging="1377"/>
        <w:spacing w:after="0" w:line="275" w:lineRule="auto"/>
        <w:tabs>
          <w:tab w:leader="none" w:pos="13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 (Dollars in thousands, except share data)</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31" w:lineRule="exact"/>
        <w:rPr>
          <w:sz w:val="20"/>
          <w:szCs w:val="20"/>
          <w:color w:val="auto"/>
        </w:rPr>
      </w:pPr>
    </w:p>
    <w:p>
      <w:pPr>
        <w:ind w:right="160" w:firstLine="439"/>
        <w:spacing w:after="0" w:line="256" w:lineRule="auto"/>
        <w:rPr>
          <w:sz w:val="20"/>
          <w:szCs w:val="20"/>
          <w:color w:val="auto"/>
        </w:rPr>
      </w:pPr>
      <w:r>
        <w:rPr>
          <w:rFonts w:ascii="Arial" w:cs="Arial" w:eastAsia="Arial" w:hAnsi="Arial"/>
          <w:sz w:val="18"/>
          <w:szCs w:val="18"/>
          <w:color w:val="auto"/>
        </w:rPr>
        <w:t>Ocwen is among the leaders in our industry in realizing loan values for investors and in keeping Americans in their homes, as evidenced by our high cure rate. Our primary goal is to make our clients’ loans worth more by leveraging our superior processes and innovative technology. In a recent comparison of servicer performance in servicing non-performing residential loans, Moody’s reported that we had a “cure and cash flowing rate” that exceeded the average rate for Moody’s highest-rated servicers as a group.</w:t>
      </w:r>
    </w:p>
    <w:p>
      <w:pPr>
        <w:spacing w:after="0" w:line="19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current and former business segments, aligned within the two lines of business, are as follows:</w:t>
      </w:r>
    </w:p>
    <w:p>
      <w:pPr>
        <w:spacing w:after="0" w:line="239" w:lineRule="exact"/>
        <w:rPr>
          <w:sz w:val="20"/>
          <w:szCs w:val="20"/>
          <w:color w:val="auto"/>
        </w:rPr>
      </w:pPr>
    </w:p>
    <w:p>
      <w:pPr>
        <w:ind w:left="1620"/>
        <w:spacing w:after="0"/>
        <w:rPr>
          <w:sz w:val="20"/>
          <w:szCs w:val="20"/>
          <w:color w:val="auto"/>
        </w:rPr>
      </w:pPr>
      <w:r>
        <w:rPr>
          <w:rFonts w:ascii="Arial" w:cs="Arial" w:eastAsia="Arial" w:hAnsi="Arial"/>
          <w:sz w:val="18"/>
          <w:szCs w:val="18"/>
          <w:u w:val="single" w:color="auto"/>
          <w:color w:val="auto"/>
        </w:rPr>
        <w:t>Ocwen Asset Management</w:t>
      </w:r>
    </w:p>
    <w:p>
      <w:pPr>
        <w:spacing w:after="0" w:line="279" w:lineRule="exact"/>
        <w:rPr>
          <w:sz w:val="20"/>
          <w:szCs w:val="20"/>
          <w:color w:val="auto"/>
        </w:rPr>
      </w:pPr>
    </w:p>
    <w:p>
      <w:pPr>
        <w:jc w:val="center"/>
        <w:ind w:right="6260"/>
        <w:spacing w:after="0"/>
        <w:rPr>
          <w:sz w:val="20"/>
          <w:szCs w:val="20"/>
          <w:color w:val="auto"/>
        </w:rPr>
      </w:pPr>
      <w:r>
        <w:rPr>
          <w:rFonts w:ascii="Arial" w:cs="Arial" w:eastAsia="Arial" w:hAnsi="Arial"/>
          <w:sz w:val="18"/>
          <w:szCs w:val="18"/>
          <w:color w:val="auto"/>
        </w:rPr>
        <w:t>Servicing</w:t>
      </w:r>
    </w:p>
    <w:p>
      <w:pPr>
        <w:spacing w:after="0" w:line="36" w:lineRule="exact"/>
        <w:rPr>
          <w:sz w:val="20"/>
          <w:szCs w:val="20"/>
          <w:color w:val="auto"/>
        </w:rPr>
      </w:pPr>
    </w:p>
    <w:p>
      <w:pPr>
        <w:jc w:val="center"/>
        <w:ind w:right="6260"/>
        <w:spacing w:after="0"/>
        <w:rPr>
          <w:sz w:val="20"/>
          <w:szCs w:val="20"/>
          <w:color w:val="auto"/>
        </w:rPr>
      </w:pPr>
      <w:r>
        <w:rPr>
          <w:rFonts w:ascii="Arial" w:cs="Arial" w:eastAsia="Arial" w:hAnsi="Arial"/>
          <w:sz w:val="18"/>
          <w:szCs w:val="18"/>
          <w:color w:val="auto"/>
        </w:rPr>
        <w:t>Loans and Residuals</w:t>
      </w:r>
    </w:p>
    <w:p>
      <w:pPr>
        <w:spacing w:after="0" w:line="36" w:lineRule="exact"/>
        <w:rPr>
          <w:sz w:val="20"/>
          <w:szCs w:val="20"/>
          <w:color w:val="auto"/>
        </w:rPr>
      </w:pPr>
    </w:p>
    <w:p>
      <w:pPr>
        <w:jc w:val="center"/>
        <w:ind w:right="6260"/>
        <w:spacing w:after="0"/>
        <w:rPr>
          <w:sz w:val="20"/>
          <w:szCs w:val="20"/>
          <w:color w:val="auto"/>
        </w:rPr>
      </w:pPr>
      <w:r>
        <w:rPr>
          <w:rFonts w:ascii="Arial" w:cs="Arial" w:eastAsia="Arial" w:hAnsi="Arial"/>
          <w:sz w:val="18"/>
          <w:szCs w:val="18"/>
          <w:color w:val="auto"/>
        </w:rPr>
        <w:t>Asset Management Vehicles (AMV)</w:t>
      </w:r>
    </w:p>
    <w:p>
      <w:pPr>
        <w:spacing w:after="0" w:line="279" w:lineRule="exact"/>
        <w:rPr>
          <w:sz w:val="20"/>
          <w:szCs w:val="20"/>
          <w:color w:val="auto"/>
        </w:rPr>
      </w:pPr>
    </w:p>
    <w:p>
      <w:pPr>
        <w:ind w:left="1980"/>
        <w:spacing w:after="0"/>
        <w:rPr>
          <w:sz w:val="20"/>
          <w:szCs w:val="20"/>
          <w:color w:val="auto"/>
        </w:rPr>
      </w:pPr>
      <w:r>
        <w:rPr>
          <w:rFonts w:ascii="Arial" w:cs="Arial" w:eastAsia="Arial" w:hAnsi="Arial"/>
          <w:sz w:val="18"/>
          <w:szCs w:val="18"/>
          <w:u w:val="single" w:color="auto"/>
          <w:color w:val="auto"/>
        </w:rPr>
        <w:t>Ocwen Solutions</w:t>
      </w:r>
    </w:p>
    <w:p>
      <w:pPr>
        <w:spacing w:after="0" w:line="279" w:lineRule="exact"/>
        <w:rPr>
          <w:sz w:val="20"/>
          <w:szCs w:val="20"/>
          <w:color w:val="auto"/>
        </w:rPr>
      </w:pPr>
    </w:p>
    <w:p>
      <w:pPr>
        <w:jc w:val="center"/>
        <w:ind w:right="6260"/>
        <w:spacing w:after="0"/>
        <w:rPr>
          <w:sz w:val="20"/>
          <w:szCs w:val="20"/>
          <w:color w:val="auto"/>
        </w:rPr>
      </w:pPr>
      <w:r>
        <w:rPr>
          <w:rFonts w:ascii="Arial" w:cs="Arial" w:eastAsia="Arial" w:hAnsi="Arial"/>
          <w:sz w:val="18"/>
          <w:szCs w:val="18"/>
          <w:color w:val="auto"/>
        </w:rPr>
        <w:t>Mortgage Services</w:t>
      </w:r>
    </w:p>
    <w:p>
      <w:pPr>
        <w:spacing w:after="0" w:line="36" w:lineRule="exact"/>
        <w:rPr>
          <w:sz w:val="20"/>
          <w:szCs w:val="20"/>
          <w:color w:val="auto"/>
        </w:rPr>
      </w:pPr>
    </w:p>
    <w:p>
      <w:pPr>
        <w:jc w:val="center"/>
        <w:ind w:right="6260"/>
        <w:spacing w:after="0"/>
        <w:rPr>
          <w:sz w:val="20"/>
          <w:szCs w:val="20"/>
          <w:color w:val="auto"/>
        </w:rPr>
      </w:pPr>
      <w:r>
        <w:rPr>
          <w:rFonts w:ascii="Arial" w:cs="Arial" w:eastAsia="Arial" w:hAnsi="Arial"/>
          <w:sz w:val="18"/>
          <w:szCs w:val="18"/>
          <w:color w:val="auto"/>
        </w:rPr>
        <w:t>Financial Services</w:t>
      </w:r>
    </w:p>
    <w:p>
      <w:pPr>
        <w:spacing w:after="0" w:line="36" w:lineRule="exact"/>
        <w:rPr>
          <w:sz w:val="20"/>
          <w:szCs w:val="20"/>
          <w:color w:val="auto"/>
        </w:rPr>
      </w:pPr>
    </w:p>
    <w:p>
      <w:pPr>
        <w:jc w:val="center"/>
        <w:ind w:right="6260"/>
        <w:spacing w:after="0"/>
        <w:rPr>
          <w:sz w:val="20"/>
          <w:szCs w:val="20"/>
          <w:color w:val="auto"/>
        </w:rPr>
      </w:pPr>
      <w:r>
        <w:rPr>
          <w:rFonts w:ascii="Arial" w:cs="Arial" w:eastAsia="Arial" w:hAnsi="Arial"/>
          <w:sz w:val="18"/>
          <w:szCs w:val="18"/>
          <w:color w:val="auto"/>
        </w:rPr>
        <w:t>Technology Products</w:t>
      </w:r>
    </w:p>
    <w:p>
      <w:pPr>
        <w:spacing w:after="0" w:line="252" w:lineRule="exact"/>
        <w:rPr>
          <w:sz w:val="20"/>
          <w:szCs w:val="20"/>
          <w:color w:val="auto"/>
        </w:rPr>
      </w:pPr>
    </w:p>
    <w:p>
      <w:pPr>
        <w:ind w:right="40" w:firstLine="439"/>
        <w:spacing w:after="0" w:line="268" w:lineRule="auto"/>
        <w:rPr>
          <w:sz w:val="20"/>
          <w:szCs w:val="20"/>
          <w:color w:val="auto"/>
        </w:rPr>
      </w:pPr>
      <w:r>
        <w:rPr>
          <w:rFonts w:ascii="Arial" w:cs="Arial" w:eastAsia="Arial" w:hAnsi="Arial"/>
          <w:sz w:val="18"/>
          <w:szCs w:val="18"/>
          <w:color w:val="auto"/>
        </w:rPr>
        <w:t>In addition to our core residential servicing business, Ocwen Asset Management (OAM) includes our equity investments in asset management vehicles and our remaining investments in subprime loans and residual securities.</w:t>
      </w:r>
    </w:p>
    <w:p>
      <w:pPr>
        <w:spacing w:after="0" w:line="186" w:lineRule="exact"/>
        <w:rPr>
          <w:sz w:val="20"/>
          <w:szCs w:val="20"/>
          <w:color w:val="auto"/>
        </w:rPr>
      </w:pPr>
    </w:p>
    <w:p>
      <w:pPr>
        <w:ind w:right="140" w:firstLine="439"/>
        <w:spacing w:after="0" w:line="306" w:lineRule="auto"/>
        <w:rPr>
          <w:sz w:val="20"/>
          <w:szCs w:val="20"/>
          <w:color w:val="auto"/>
        </w:rPr>
      </w:pPr>
      <w:r>
        <w:rPr>
          <w:rFonts w:ascii="Arial" w:cs="Arial" w:eastAsia="Arial" w:hAnsi="Arial"/>
          <w:sz w:val="16"/>
          <w:szCs w:val="16"/>
          <w:color w:val="auto"/>
        </w:rPr>
        <w:t>In addition to our unsecured collections business, Ocwen Solutions (OS) includes our residential fee-based loan processing businesses, all of our technology platforms and our equity interest in BMS Holdings, Inc. (BMS Holdings). As more fully described below under Executive Summary—Separation of Ocwen Solutions, on August 10, 2009, the OS line of business, excluding BMS Holdings and GSS, was separated from Ocwen.</w:t>
      </w:r>
    </w:p>
    <w:p>
      <w:pPr>
        <w:spacing w:after="0" w:line="161" w:lineRule="exact"/>
        <w:rPr>
          <w:sz w:val="20"/>
          <w:szCs w:val="20"/>
          <w:color w:val="auto"/>
        </w:rPr>
      </w:pPr>
    </w:p>
    <w:p>
      <w:pPr>
        <w:jc w:val="both"/>
        <w:ind w:firstLine="436"/>
        <w:spacing w:after="0" w:line="259" w:lineRule="auto"/>
        <w:rPr>
          <w:sz w:val="20"/>
          <w:szCs w:val="20"/>
          <w:color w:val="auto"/>
        </w:rPr>
      </w:pPr>
      <w:r>
        <w:rPr>
          <w:rFonts w:ascii="Arial" w:cs="Arial" w:eastAsia="Arial" w:hAnsi="Arial"/>
          <w:sz w:val="18"/>
          <w:szCs w:val="18"/>
          <w:color w:val="auto"/>
        </w:rPr>
        <w:t>We are focused on growing our core business of servicing loans, as more fully described below under Executive Summary—Revenue Opportunities. At the same time, we continue to sell our non-core assets, including BOK and our remaining Global Servicing Solutions, LLC (GSS) partnerships. On June 19, 2009, we completed the sale of GSS Germany for $1,180, resulting in a gain of approximately $715.</w:t>
      </w:r>
    </w:p>
    <w:p>
      <w:pPr>
        <w:spacing w:after="0" w:line="194" w:lineRule="exact"/>
        <w:rPr>
          <w:sz w:val="20"/>
          <w:szCs w:val="20"/>
          <w:color w:val="auto"/>
        </w:rPr>
      </w:pPr>
    </w:p>
    <w:p>
      <w:pPr>
        <w:jc w:val="both"/>
        <w:ind w:right="20" w:firstLine="436"/>
        <w:spacing w:after="0" w:line="306" w:lineRule="auto"/>
        <w:rPr>
          <w:sz w:val="20"/>
          <w:szCs w:val="20"/>
          <w:color w:val="auto"/>
        </w:rPr>
      </w:pPr>
      <w:r>
        <w:rPr>
          <w:rFonts w:ascii="Arial" w:cs="Arial" w:eastAsia="Arial" w:hAnsi="Arial"/>
          <w:sz w:val="16"/>
          <w:szCs w:val="16"/>
          <w:color w:val="auto"/>
        </w:rPr>
        <w:t>This Management’s Discussion and Analysis of Financial Condition and Results of Operations should be read in conjunction with our Interim Consolidated Financial Statements and the related notes, included in Item 1 in this Quarterly Report on Form 10-Q, with our Consolidated Financial Statements and the related notes, included as Exhibit 99.1 to the Form 8-K filed July 16, 2009, and with our Annual Report on Form 10-K for the year ended December 31, 2008.</w:t>
      </w:r>
    </w:p>
    <w:p>
      <w:pPr>
        <w:spacing w:after="0" w:line="161" w:lineRule="exact"/>
        <w:rPr>
          <w:sz w:val="20"/>
          <w:szCs w:val="20"/>
          <w:color w:val="auto"/>
        </w:rPr>
      </w:pPr>
    </w:p>
    <w:p>
      <w:pPr>
        <w:ind w:right="120" w:firstLine="439"/>
        <w:spacing w:after="0" w:line="268" w:lineRule="auto"/>
        <w:rPr>
          <w:sz w:val="20"/>
          <w:szCs w:val="20"/>
          <w:color w:val="auto"/>
        </w:rPr>
      </w:pPr>
      <w:r>
        <w:rPr>
          <w:rFonts w:ascii="Arial" w:cs="Arial" w:eastAsia="Arial" w:hAnsi="Arial"/>
          <w:sz w:val="18"/>
          <w:szCs w:val="18"/>
          <w:color w:val="auto"/>
        </w:rPr>
        <w:t>Unless specifically stated otherwise, all references to September 2009, December 2008 and September 2008 refer to our fiscal periods ended, or the dates, as the context requires, September 30, 2009, December 31, 2008 and September 30, 2008, respectively.</w:t>
      </w:r>
    </w:p>
    <w:p>
      <w:pPr>
        <w:spacing w:after="0" w:line="18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When we use the terms “Ocwen,” “we,” “us” and “our,” we refer to Ocwen Financial Corporation (Ocwen) and its consolidated subsidiaries.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225" w:lineRule="exact"/>
        <w:rPr>
          <w:sz w:val="20"/>
          <w:szCs w:val="20"/>
          <w:color w:val="auto"/>
        </w:rPr>
      </w:pPr>
    </w:p>
    <w:p>
      <w:pPr>
        <w:ind w:right="100" w:firstLine="439"/>
        <w:spacing w:after="0" w:line="296" w:lineRule="auto"/>
        <w:rPr>
          <w:sz w:val="20"/>
          <w:szCs w:val="20"/>
          <w:color w:val="auto"/>
        </w:rPr>
      </w:pPr>
      <w:r>
        <w:rPr>
          <w:rFonts w:ascii="Arial" w:cs="Arial" w:eastAsia="Arial" w:hAnsi="Arial"/>
          <w:sz w:val="16"/>
          <w:szCs w:val="16"/>
          <w:b w:val="1"/>
          <w:bCs w:val="1"/>
          <w:color w:val="auto"/>
        </w:rPr>
        <w:t xml:space="preserve">Three Months Ended September 2009 versus September 2008. </w:t>
      </w:r>
      <w:r>
        <w:rPr>
          <w:rFonts w:ascii="Arial" w:cs="Arial" w:eastAsia="Arial" w:hAnsi="Arial"/>
          <w:sz w:val="16"/>
          <w:szCs w:val="16"/>
          <w:color w:val="auto"/>
        </w:rPr>
        <w:t>We incurred a net loss of $42,031 or $0.51 per share in the third quarter of 2009</w:t>
      </w:r>
      <w:r>
        <w:rPr>
          <w:rFonts w:ascii="Arial" w:cs="Arial" w:eastAsia="Arial" w:hAnsi="Arial"/>
          <w:sz w:val="16"/>
          <w:szCs w:val="16"/>
          <w:b w:val="1"/>
          <w:bCs w:val="1"/>
          <w:color w:val="auto"/>
        </w:rPr>
        <w:t xml:space="preserve"> </w:t>
      </w:r>
      <w:r>
        <w:rPr>
          <w:rFonts w:ascii="Arial" w:cs="Arial" w:eastAsia="Arial" w:hAnsi="Arial"/>
          <w:sz w:val="16"/>
          <w:szCs w:val="16"/>
          <w:color w:val="auto"/>
        </w:rPr>
        <w:t>compared to net income of $14,976 or $0.23 per share for the third quarter of 2008. Income from continuing operations before income taxes was $23,458 for the third quarter of 2009 as compared to $23,410 for 2008. The net loss for the third quarter of 2009 is due to the income tax that Ocwen recognized on the gain resulting from the separation of Altisource Portfolio Solutions S.A. (Altisource) (formerly Ocwen Solutions). The distributed assets are taxable at the excess of fair market value over the tax basis of each asset. The total impact on our income tax expense for the third quarter of 2009 is $50,631.</w:t>
      </w:r>
    </w:p>
    <w:p>
      <w:pPr>
        <w:spacing w:after="0" w:line="168" w:lineRule="exact"/>
        <w:rPr>
          <w:sz w:val="20"/>
          <w:szCs w:val="20"/>
          <w:color w:val="auto"/>
        </w:rPr>
      </w:pPr>
    </w:p>
    <w:p>
      <w:pPr>
        <w:ind w:right="160" w:firstLine="439"/>
        <w:spacing w:after="0" w:line="323" w:lineRule="auto"/>
        <w:rPr>
          <w:sz w:val="20"/>
          <w:szCs w:val="20"/>
          <w:color w:val="auto"/>
        </w:rPr>
      </w:pPr>
      <w:r>
        <w:rPr>
          <w:rFonts w:ascii="Arial" w:cs="Arial" w:eastAsia="Arial" w:hAnsi="Arial"/>
          <w:sz w:val="15"/>
          <w:szCs w:val="15"/>
          <w:color w:val="auto"/>
        </w:rPr>
        <w:t>Servicing segment revenues declined as expected due to our implementation of new underwriting and documentation requirements to complete modifications under the federal government’s Home Affordable Modification Program (HAMP) (see Segments—Servicing for additional details of this impact) and as a result of lower average unpaid principal balance (UPB). Servicing results benefited from our cost reduction efforts and lower interest expense as evidenced by the 24% decline in operating expenses and the 9% reduction in interest expense in the third quarter of 2009 compared to the third quarter of 2008.</w:t>
      </w:r>
    </w:p>
    <w:p>
      <w:pPr>
        <w:spacing w:after="0" w:line="152" w:lineRule="exact"/>
        <w:rPr>
          <w:sz w:val="20"/>
          <w:szCs w:val="20"/>
          <w:color w:val="auto"/>
        </w:rPr>
      </w:pPr>
    </w:p>
    <w:p>
      <w:pPr>
        <w:ind w:right="60" w:firstLine="439"/>
        <w:spacing w:after="0" w:line="259" w:lineRule="auto"/>
        <w:rPr>
          <w:sz w:val="20"/>
          <w:szCs w:val="20"/>
          <w:color w:val="auto"/>
        </w:rPr>
      </w:pPr>
      <w:r>
        <w:rPr>
          <w:rFonts w:ascii="Arial" w:cs="Arial" w:eastAsia="Arial" w:hAnsi="Arial"/>
          <w:sz w:val="18"/>
          <w:szCs w:val="18"/>
          <w:color w:val="auto"/>
        </w:rPr>
        <w:t>Both Loans and Residuals and Asset Management Vehicles reported a decrease in unrealized losses due to smaller declines in the estimated fair value of loans, real estate and securities. We recorded unrealized fair value gains of $8,291 on trading securities in the third quarter of 2009 compared to unrealized losses of $621 in 2008.</w:t>
      </w:r>
    </w:p>
    <w:p>
      <w:pPr>
        <w:spacing w:after="0" w:line="19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Our Ocwen Solutions line of business, consisting of the Mortgage Services, Financial Services and Technology Products segments, was separated as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August 10, 2009. For the six weeks of the third quarter for which Ocwen Solutions is included in our results, revenue was $24,023 and pre-tax income was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$3,215. Operating expenses included a one-time charge of $2,304 for the closure of two locations. These partial quarter results of Ocwen Solutions may not be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indicative of results for the full quarter, and were ahead of the previous quarter’s results for the same period, excluding the one time charge mentioned. As 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separate, publicly-traded company, Altisource (NASDAQ:ASPS) will file a Form 10-Q with the Securities and Exchange Commission.</w:t>
      </w:r>
    </w:p>
    <w:p>
      <w:pPr>
        <w:sectPr>
          <w:pgSz w:w="11900" w:h="16838" w:orient="portrait"/>
          <w:cols w:equalWidth="0" w:num="1">
            <w:col w:w="11400"/>
          </w:cols>
          <w:pgMar w:left="240" w:top="382" w:right="259" w:bottom="913" w:gutter="0" w:footer="0" w:header="0"/>
        </w:sect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382" w:right="259" w:bottom="913" w:gutter="0" w:footer="0" w:header="0"/>
          <w:type w:val="continuous"/>
        </w:sectPr>
      </w:pPr>
    </w:p>
    <w:bookmarkStart w:id="39" w:name="page40"/>
    <w:bookmarkEnd w:id="39"/>
    <w:p>
      <w:pPr>
        <w:jc w:val="both"/>
        <w:ind w:right="40" w:firstLine="439"/>
        <w:spacing w:after="0" w:line="301" w:lineRule="auto"/>
        <w:rPr>
          <w:sz w:val="20"/>
          <w:szCs w:val="20"/>
          <w:color w:val="auto"/>
        </w:rPr>
      </w:pPr>
      <w:r>
        <w:rPr>
          <w:rFonts w:ascii="Arial" w:cs="Arial" w:eastAsia="Arial" w:hAnsi="Arial"/>
          <w:sz w:val="16"/>
          <w:szCs w:val="16"/>
          <w:b w:val="1"/>
          <w:bCs w:val="1"/>
          <w:color w:val="auto"/>
        </w:rPr>
        <w:t xml:space="preserve">Nine Months Ended September 2009 versus September 2008. </w:t>
      </w:r>
      <w:r>
        <w:rPr>
          <w:rFonts w:ascii="Arial" w:cs="Arial" w:eastAsia="Arial" w:hAnsi="Arial"/>
          <w:sz w:val="16"/>
          <w:szCs w:val="16"/>
          <w:color w:val="auto"/>
        </w:rPr>
        <w:t>We incurred a net loss of $9,092, or $0.13 per share for the nine months ended September</w:t>
      </w:r>
      <w:r>
        <w:rPr>
          <w:rFonts w:ascii="Arial" w:cs="Arial" w:eastAsia="Arial" w:hAnsi="Arial"/>
          <w:sz w:val="16"/>
          <w:szCs w:val="16"/>
          <w:b w:val="1"/>
          <w:bCs w:val="1"/>
          <w:color w:val="auto"/>
        </w:rPr>
        <w:t xml:space="preserve"> </w:t>
      </w:r>
      <w:r>
        <w:rPr>
          <w:rFonts w:ascii="Arial" w:cs="Arial" w:eastAsia="Arial" w:hAnsi="Arial"/>
          <w:sz w:val="16"/>
          <w:szCs w:val="16"/>
          <w:color w:val="auto"/>
        </w:rPr>
        <w:t>2009 compared to net income of $17,531, or $0.28 per share for the nine months ended September 2008. Income from continuing operations before income taxes was $73,067 as compared to $34,939 for the nine months ended September 2009 and 2008, respectively. The net loss for the nine months ended September 2009 is solely due to the $50,631 of tax expense recognized by Ocwen on the gain on the distribution of assets to Altisource.</w:t>
      </w:r>
    </w:p>
    <w:p>
      <w:pPr>
        <w:spacing w:after="0" w:line="163" w:lineRule="exact"/>
        <w:rPr>
          <w:sz w:val="20"/>
          <w:szCs w:val="20"/>
          <w:color w:val="auto"/>
        </w:rPr>
      </w:pPr>
    </w:p>
    <w:p>
      <w:pPr>
        <w:ind w:right="40" w:firstLine="439"/>
        <w:spacing w:after="0" w:line="256" w:lineRule="auto"/>
        <w:rPr>
          <w:sz w:val="20"/>
          <w:szCs w:val="20"/>
          <w:color w:val="auto"/>
        </w:rPr>
      </w:pPr>
      <w:r>
        <w:rPr>
          <w:rFonts w:ascii="Arial" w:cs="Arial" w:eastAsia="Arial" w:hAnsi="Arial"/>
          <w:sz w:val="18"/>
          <w:szCs w:val="18"/>
          <w:color w:val="auto"/>
        </w:rPr>
        <w:t>Our operating results for the nine months ended September 2009 benefited from a 20% decline in operating expenses in the first nine months of 2009 compared to 2008. We achieved this improvement despite $3,501 in professional services expenses related to the Ocwen Solutions Separation (the “Separation”). We also recorded unrealized fair value gains of $13,346 on trading securities, compared to $22,366 of unrealized fair value losses on trading securities for the nine months ended September 2009 and 2008, respectively.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Priorities</w:t>
      </w:r>
    </w:p>
    <w:p>
      <w:pPr>
        <w:spacing w:after="0" w:line="2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competitive strengths are:</w:t>
      </w:r>
    </w:p>
    <w:p>
      <w:pPr>
        <w:spacing w:after="0" w:line="239" w:lineRule="exact"/>
        <w:rPr>
          <w:sz w:val="20"/>
          <w:szCs w:val="20"/>
          <w:color w:val="auto"/>
        </w:rPr>
      </w:pPr>
    </w:p>
    <w:p>
      <w:pPr>
        <w:ind w:left="1160" w:right="120" w:hanging="571"/>
        <w:spacing w:after="0" w:line="259" w:lineRule="auto"/>
        <w:tabs>
          <w:tab w:leader="none" w:pos="1160"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Lowest Cost Provider</w:t>
      </w:r>
      <w:r>
        <w:rPr>
          <w:rFonts w:ascii="Arial" w:cs="Arial" w:eastAsia="Arial" w:hAnsi="Arial"/>
          <w:sz w:val="18"/>
          <w:szCs w:val="18"/>
          <w:color w:val="auto"/>
        </w:rPr>
        <w:t>. We believe OLS has the lowest operating cost in the sub-prime mortgage servicing industry. Based on average industry</w:t>
      </w:r>
      <w:r>
        <w:rPr>
          <w:rFonts w:ascii="Arial" w:cs="Arial" w:eastAsia="Arial" w:hAnsi="Arial"/>
          <w:sz w:val="18"/>
          <w:szCs w:val="18"/>
          <w:i w:val="1"/>
          <w:iCs w:val="1"/>
          <w:color w:val="auto"/>
        </w:rPr>
        <w:t xml:space="preserve"> </w:t>
      </w:r>
      <w:r>
        <w:rPr>
          <w:rFonts w:ascii="Arial" w:cs="Arial" w:eastAsia="Arial" w:hAnsi="Arial"/>
          <w:sz w:val="18"/>
          <w:szCs w:val="18"/>
          <w:color w:val="auto"/>
        </w:rPr>
        <w:t>cost information provided by a third party valuation consultant, OLS’ net cost to service a non performing loan was 57% lower than the average net cost for the subprime industry as of August 31, 2009.</w:t>
      </w:r>
    </w:p>
    <w:p>
      <w:pPr>
        <w:spacing w:after="0" w:line="221" w:lineRule="exact"/>
        <w:rPr>
          <w:rFonts w:ascii="Arial" w:cs="Arial" w:eastAsia="Arial" w:hAnsi="Arial"/>
          <w:sz w:val="18"/>
          <w:szCs w:val="18"/>
          <w:color w:val="auto"/>
        </w:rPr>
      </w:pPr>
    </w:p>
    <w:p>
      <w:pPr>
        <w:ind w:left="1160" w:right="20" w:hanging="571"/>
        <w:spacing w:after="0" w:line="288" w:lineRule="auto"/>
        <w:tabs>
          <w:tab w:leader="none" w:pos="1160" w:val="left"/>
        </w:tabs>
        <w:numPr>
          <w:ilvl w:val="0"/>
          <w:numId w:val="33"/>
        </w:numPr>
        <w:rPr>
          <w:rFonts w:ascii="Arial" w:cs="Arial" w:eastAsia="Arial" w:hAnsi="Arial"/>
          <w:sz w:val="16"/>
          <w:szCs w:val="16"/>
          <w:color w:val="auto"/>
        </w:rPr>
      </w:pPr>
      <w:r>
        <w:rPr>
          <w:rFonts w:ascii="Arial" w:cs="Arial" w:eastAsia="Arial" w:hAnsi="Arial"/>
          <w:sz w:val="16"/>
          <w:szCs w:val="16"/>
          <w:i w:val="1"/>
          <w:iCs w:val="1"/>
          <w:color w:val="auto"/>
        </w:rPr>
        <w:t>Superior Loss Mitigation and Cash Management</w:t>
      </w:r>
      <w:r>
        <w:rPr>
          <w:rFonts w:ascii="Arial" w:cs="Arial" w:eastAsia="Arial" w:hAnsi="Arial"/>
          <w:sz w:val="16"/>
          <w:szCs w:val="16"/>
          <w:color w:val="auto"/>
        </w:rPr>
        <w:t>. Two recent independent studies comparing servicer performance in servicing non-performing</w:t>
      </w:r>
      <w:r>
        <w:rPr>
          <w:rFonts w:ascii="Arial" w:cs="Arial" w:eastAsia="Arial" w:hAnsi="Arial"/>
          <w:sz w:val="16"/>
          <w:szCs w:val="16"/>
          <w:i w:val="1"/>
          <w:iCs w:val="1"/>
          <w:color w:val="auto"/>
        </w:rPr>
        <w:t xml:space="preserve"> </w:t>
      </w:r>
      <w:r>
        <w:rPr>
          <w:rFonts w:ascii="Arial" w:cs="Arial" w:eastAsia="Arial" w:hAnsi="Arial"/>
          <w:sz w:val="16"/>
          <w:szCs w:val="16"/>
          <w:color w:val="auto"/>
        </w:rPr>
        <w:t>residential loans confirmed that we lead the industry in realizing cash flows for investors and keeping families in their homes. A Moody’s Investors Service study in January 2007 showed that we achieved double the cure rate of subprime servicers rated “average” by Moody’s and 6% higher than the cure rate of subprime servicers rated “strong” despite having a more challenging portfolio consisting of older mortgages with lower credit quality and a higher proportion of second liens. Similarly, in July 2009, Bank of America/Merrill Lynch found that we have the highest “roll rate from 90+ days delinquent to current” for both subprime fixed and adjustable rate loans. We believe these studies, together with our selection by Freddie Mac as a special servicer (as described below), demonstrate our capability to work effectively with delinquent borrowers and generate greater cash flows than any other servicer. This success in returning loans to performing status enables us to decrease our need for advances which, in turn, reduces our interest expense.</w:t>
      </w:r>
    </w:p>
    <w:p>
      <w:pPr>
        <w:spacing w:after="0" w:line="200" w:lineRule="exact"/>
        <w:rPr>
          <w:rFonts w:ascii="Arial" w:cs="Arial" w:eastAsia="Arial" w:hAnsi="Arial"/>
          <w:sz w:val="16"/>
          <w:szCs w:val="16"/>
          <w:color w:val="auto"/>
        </w:rPr>
      </w:pPr>
    </w:p>
    <w:p>
      <w:pPr>
        <w:ind w:left="1160" w:right="80" w:hanging="571"/>
        <w:spacing w:after="0" w:line="294" w:lineRule="auto"/>
        <w:tabs>
          <w:tab w:leader="none" w:pos="1160" w:val="left"/>
        </w:tabs>
        <w:numPr>
          <w:ilvl w:val="0"/>
          <w:numId w:val="33"/>
        </w:numPr>
        <w:rPr>
          <w:rFonts w:ascii="Arial" w:cs="Arial" w:eastAsia="Arial" w:hAnsi="Arial"/>
          <w:sz w:val="16"/>
          <w:szCs w:val="16"/>
          <w:color w:val="auto"/>
        </w:rPr>
      </w:pPr>
      <w:r>
        <w:rPr>
          <w:rFonts w:ascii="Arial" w:cs="Arial" w:eastAsia="Arial" w:hAnsi="Arial"/>
          <w:sz w:val="16"/>
          <w:szCs w:val="16"/>
          <w:i w:val="1"/>
          <w:iCs w:val="1"/>
          <w:color w:val="auto"/>
        </w:rPr>
        <w:t>High Barriers to Entry</w:t>
      </w:r>
      <w:r>
        <w:rPr>
          <w:rFonts w:ascii="Arial" w:cs="Arial" w:eastAsia="Arial" w:hAnsi="Arial"/>
          <w:sz w:val="16"/>
          <w:szCs w:val="16"/>
          <w:color w:val="auto"/>
        </w:rPr>
        <w:t>. Our servicing platform runs on a proprietary information technology system developed over a 20-year period at a cost of</w:t>
      </w:r>
      <w:r>
        <w:rPr>
          <w:rFonts w:ascii="Arial" w:cs="Arial" w:eastAsia="Arial" w:hAnsi="Arial"/>
          <w:sz w:val="16"/>
          <w:szCs w:val="16"/>
          <w:i w:val="1"/>
          <w:iCs w:val="1"/>
          <w:color w:val="auto"/>
        </w:rPr>
        <w:t xml:space="preserve"> </w:t>
      </w:r>
      <w:r>
        <w:rPr>
          <w:rFonts w:ascii="Arial" w:cs="Arial" w:eastAsia="Arial" w:hAnsi="Arial"/>
          <w:sz w:val="16"/>
          <w:szCs w:val="16"/>
          <w:color w:val="auto"/>
        </w:rPr>
        <w:t>more than $140,000. We license this technology from Altisource under long-term agreements. These licensed tools are enhanced by a feedback loop that provides updated information on the latest servicing and property valuation data gathered by Ocwen and its affiliates. Currently, Altisource employs over 270 software developers focused on identifying additional opportunities to automate manual processes to eliminate variability and to increase the quality and timeliness of decision-making processes and information transfers.</w:t>
      </w:r>
    </w:p>
    <w:p>
      <w:pPr>
        <w:spacing w:after="0" w:line="196" w:lineRule="exact"/>
        <w:rPr>
          <w:rFonts w:ascii="Arial" w:cs="Arial" w:eastAsia="Arial" w:hAnsi="Arial"/>
          <w:sz w:val="16"/>
          <w:szCs w:val="16"/>
          <w:color w:val="auto"/>
        </w:rPr>
      </w:pPr>
    </w:p>
    <w:p>
      <w:pPr>
        <w:ind w:left="1160" w:right="180" w:hanging="571"/>
        <w:spacing w:after="0" w:line="268" w:lineRule="auto"/>
        <w:tabs>
          <w:tab w:leader="none" w:pos="1160"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 xml:space="preserve">Scalability and Flexibility. </w:t>
      </w:r>
      <w:r>
        <w:rPr>
          <w:rFonts w:ascii="Arial" w:cs="Arial" w:eastAsia="Arial" w:hAnsi="Arial"/>
          <w:sz w:val="18"/>
          <w:szCs w:val="18"/>
          <w:color w:val="auto"/>
        </w:rPr>
        <w:t>With our highly automated, artificial intelligence driven technology platforms and global workforce, we can quickly</w:t>
      </w:r>
      <w:r>
        <w:rPr>
          <w:rFonts w:ascii="Arial" w:cs="Arial" w:eastAsia="Arial" w:hAnsi="Arial"/>
          <w:sz w:val="18"/>
          <w:szCs w:val="18"/>
          <w:i w:val="1"/>
          <w:iCs w:val="1"/>
          <w:color w:val="auto"/>
        </w:rPr>
        <w:t xml:space="preserve"> </w:t>
      </w:r>
      <w:r>
        <w:rPr>
          <w:rFonts w:ascii="Arial" w:cs="Arial" w:eastAsia="Arial" w:hAnsi="Arial"/>
          <w:sz w:val="18"/>
          <w:szCs w:val="18"/>
          <w:color w:val="auto"/>
        </w:rPr>
        <w:t>scale our servicing platform to handle acquired loan portfolios with modest infrastructure additions.</w:t>
      </w:r>
    </w:p>
    <w:p>
      <w:pPr>
        <w:spacing w:after="0" w:line="18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To enhance our competitive strengths, we continue to focus on three initiatives having completed the Separation on August 10, 2009:</w:t>
      </w:r>
    </w:p>
    <w:p>
      <w:pPr>
        <w:spacing w:after="0" w:line="239" w:lineRule="exact"/>
        <w:rPr>
          <w:sz w:val="20"/>
          <w:szCs w:val="20"/>
          <w:color w:val="auto"/>
        </w:rPr>
      </w:pPr>
    </w:p>
    <w:p>
      <w:pPr>
        <w:ind w:left="1160" w:hanging="571"/>
        <w:spacing w:after="0"/>
        <w:tabs>
          <w:tab w:leader="none" w:pos="11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Liquidity and balance sheet strength</w:t>
      </w:r>
    </w:p>
    <w:p>
      <w:pPr>
        <w:spacing w:after="0" w:line="279" w:lineRule="exact"/>
        <w:rPr>
          <w:rFonts w:ascii="Arial" w:cs="Arial" w:eastAsia="Arial" w:hAnsi="Arial"/>
          <w:sz w:val="18"/>
          <w:szCs w:val="18"/>
          <w:color w:val="auto"/>
        </w:rPr>
      </w:pPr>
    </w:p>
    <w:p>
      <w:pPr>
        <w:ind w:left="1160" w:hanging="571"/>
        <w:spacing w:after="0"/>
        <w:tabs>
          <w:tab w:leader="none" w:pos="11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Revenue opportunities</w:t>
      </w:r>
    </w:p>
    <w:p>
      <w:pPr>
        <w:spacing w:after="0" w:line="279" w:lineRule="exact"/>
        <w:rPr>
          <w:rFonts w:ascii="Arial" w:cs="Arial" w:eastAsia="Arial" w:hAnsi="Arial"/>
          <w:sz w:val="18"/>
          <w:szCs w:val="18"/>
          <w:color w:val="auto"/>
        </w:rPr>
      </w:pPr>
    </w:p>
    <w:p>
      <w:pPr>
        <w:ind w:left="1160" w:hanging="571"/>
        <w:spacing w:after="0"/>
        <w:tabs>
          <w:tab w:leader="none" w:pos="11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Quality and cost structure leadership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Achieving these initiatives, as more fully described in the following sub-sections, will reinforce our competitive strengths.</w:t>
      </w:r>
    </w:p>
    <w:p>
      <w:pPr>
        <w:spacing w:after="0" w:line="219" w:lineRule="exact"/>
        <w:rPr>
          <w:sz w:val="20"/>
          <w:szCs w:val="20"/>
          <w:color w:val="auto"/>
        </w:rPr>
      </w:pPr>
    </w:p>
    <w:p>
      <w:pPr>
        <w:ind w:firstLine="439"/>
        <w:spacing w:after="0" w:line="255" w:lineRule="auto"/>
        <w:rPr>
          <w:sz w:val="20"/>
          <w:szCs w:val="20"/>
          <w:color w:val="auto"/>
        </w:rPr>
      </w:pPr>
      <w:r>
        <w:rPr>
          <w:rFonts w:ascii="Arial" w:cs="Arial" w:eastAsia="Arial" w:hAnsi="Arial"/>
          <w:sz w:val="18"/>
          <w:szCs w:val="18"/>
          <w:b w:val="1"/>
          <w:bCs w:val="1"/>
          <w:color w:val="auto"/>
        </w:rPr>
        <w:t xml:space="preserve">Liquidity and Balance Sheet Strength. </w:t>
      </w:r>
      <w:r>
        <w:rPr>
          <w:rFonts w:ascii="Arial" w:cs="Arial" w:eastAsia="Arial" w:hAnsi="Arial"/>
          <w:sz w:val="18"/>
          <w:szCs w:val="18"/>
          <w:color w:val="auto"/>
        </w:rPr>
        <w:t>We believe our liquidity position and balance sheet provide us with greater flexibility and a commercial advantage</w:t>
      </w:r>
      <w:r>
        <w:rPr>
          <w:rFonts w:ascii="Arial" w:cs="Arial" w:eastAsia="Arial" w:hAnsi="Arial"/>
          <w:sz w:val="18"/>
          <w:szCs w:val="18"/>
          <w:b w:val="1"/>
          <w:bCs w:val="1"/>
          <w:color w:val="auto"/>
        </w:rPr>
        <w:t xml:space="preserve"> </w:t>
      </w:r>
      <w:r>
        <w:rPr>
          <w:rFonts w:ascii="Arial" w:cs="Arial" w:eastAsia="Arial" w:hAnsi="Arial"/>
          <w:sz w:val="18"/>
          <w:szCs w:val="18"/>
          <w:color w:val="auto"/>
        </w:rPr>
        <w:t>over our competitors to pursue attractive investment opportunities. We focused this quarter on further increasing borrowing capacity and were successful, as more fully described in the Executive Summary—Liquidity section below. On August 18, 2009, we completed a secondary equity offering and raised $274,980, net of offering expenses. As a result, we ended the quarter with $408,869 of liquidity, which is more than triple our recourse borrowings of $120,781, and $720,221 of unused lines of credit. The unused borrowing capacity in the Servicing business may be utilized in the future by pledging additional qualifying collateral to our facilities.</w:t>
      </w:r>
    </w:p>
    <w:p>
      <w:pPr>
        <w:spacing w:after="0" w:line="199" w:lineRule="exact"/>
        <w:rPr>
          <w:sz w:val="20"/>
          <w:szCs w:val="20"/>
          <w:color w:val="auto"/>
        </w:rPr>
      </w:pPr>
    </w:p>
    <w:p>
      <w:pPr>
        <w:ind w:right="60" w:firstLine="436"/>
        <w:spacing w:after="0" w:line="294" w:lineRule="auto"/>
        <w:rPr>
          <w:sz w:val="20"/>
          <w:szCs w:val="20"/>
          <w:color w:val="auto"/>
        </w:rPr>
      </w:pPr>
      <w:r>
        <w:rPr>
          <w:rFonts w:ascii="Arial" w:cs="Arial" w:eastAsia="Arial" w:hAnsi="Arial"/>
          <w:sz w:val="16"/>
          <w:szCs w:val="16"/>
          <w:color w:val="auto"/>
        </w:rPr>
        <w:t>We negotiated a significant change to our advance financing facilities during the third quarter whereby we are permitted to borrow less than the maximum available funds. This enabled us to minimize interest expense by reducing our intra-quarter cash balances. We reduced our third quarter interest expense by $620. Third quarter other expense, net, reflects a $1,600 net gain resulting from the early termination of the $165,000 medium term advance note in anticipation of a TALF offering. This gain includes the realization of an unamortized basis adjustment from the prior extinguishment of a related hedge position, partly offset by early termination consent payments to note holders and recognition of unamortized financing costs.</w:t>
      </w:r>
    </w:p>
    <w:p>
      <w:pPr>
        <w:spacing w:after="0" w:line="170" w:lineRule="exact"/>
        <w:rPr>
          <w:sz w:val="20"/>
          <w:szCs w:val="20"/>
          <w:color w:val="auto"/>
        </w:rPr>
      </w:pPr>
    </w:p>
    <w:p>
      <w:pPr>
        <w:ind w:right="140" w:firstLine="436"/>
        <w:spacing w:after="0" w:line="332" w:lineRule="auto"/>
        <w:rPr>
          <w:sz w:val="20"/>
          <w:szCs w:val="20"/>
          <w:color w:val="auto"/>
        </w:rPr>
      </w:pPr>
      <w:r>
        <w:rPr>
          <w:rFonts w:ascii="Arial" w:cs="Arial" w:eastAsia="Arial" w:hAnsi="Arial"/>
          <w:sz w:val="16"/>
          <w:szCs w:val="16"/>
          <w:color w:val="auto"/>
        </w:rPr>
        <w:t>We believe an offering under the Term Asset-Backed Securities Loan Facility program (TALF) will enhance our liquidity and balance sheet. We expect to issue an initial TALF note of $165,000 to $200,000 and expect to raise an additional $200,000 to $300,000 via the TALF facility shortly thereafter.</w:t>
      </w:r>
    </w:p>
    <w:p>
      <w:pPr>
        <w:sectPr>
          <w:pgSz w:w="11900" w:h="16838" w:orient="portrait"/>
          <w:cols w:equalWidth="0" w:num="1">
            <w:col w:w="11400"/>
          </w:cols>
          <w:pgMar w:left="240" w:top="125" w:right="259" w:bottom="1440" w:gutter="0" w:footer="0" w:header="0"/>
        </w:sectPr>
      </w:pP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type w:val="continuous"/>
        </w:sectPr>
      </w:pPr>
    </w:p>
    <w:bookmarkStart w:id="40" w:name="page41"/>
    <w:bookmarkEnd w:id="40"/>
    <w:p>
      <w:pPr>
        <w:ind w:left="440"/>
        <w:spacing w:after="0"/>
        <w:rPr>
          <w:sz w:val="20"/>
          <w:szCs w:val="20"/>
          <w:color w:val="auto"/>
        </w:rPr>
      </w:pPr>
      <w:r>
        <w:rPr>
          <w:rFonts w:ascii="Arial" w:cs="Arial" w:eastAsia="Arial" w:hAnsi="Arial"/>
          <w:sz w:val="16"/>
          <w:szCs w:val="16"/>
          <w:b w:val="1"/>
          <w:bCs w:val="1"/>
          <w:color w:val="auto"/>
        </w:rPr>
        <w:t xml:space="preserve">Revenue Opportunities. </w:t>
      </w:r>
      <w:r>
        <w:rPr>
          <w:rFonts w:ascii="Arial" w:cs="Arial" w:eastAsia="Arial" w:hAnsi="Arial"/>
          <w:sz w:val="16"/>
          <w:szCs w:val="16"/>
          <w:color w:val="auto"/>
        </w:rPr>
        <w:t>We believe that the current economic environment combined with government initiatives affords us a unique opportunity.</w:t>
      </w:r>
    </w:p>
    <w:p>
      <w:pPr>
        <w:spacing w:after="0" w:line="262" w:lineRule="exact"/>
        <w:rPr>
          <w:sz w:val="20"/>
          <w:szCs w:val="20"/>
          <w:color w:val="auto"/>
        </w:rPr>
      </w:pPr>
    </w:p>
    <w:p>
      <w:pPr>
        <w:ind w:left="1160" w:right="400" w:hanging="571"/>
        <w:spacing w:after="0" w:line="275" w:lineRule="auto"/>
        <w:tabs>
          <w:tab w:leader="none" w:pos="1160" w:val="left"/>
        </w:tabs>
        <w:numPr>
          <w:ilvl w:val="0"/>
          <w:numId w:val="35"/>
        </w:numPr>
        <w:rPr>
          <w:rFonts w:ascii="Arial" w:cs="Arial" w:eastAsia="Arial" w:hAnsi="Arial"/>
          <w:sz w:val="18"/>
          <w:szCs w:val="18"/>
          <w:color w:val="auto"/>
        </w:rPr>
      </w:pPr>
      <w:r>
        <w:rPr>
          <w:rFonts w:ascii="Arial" w:cs="Arial" w:eastAsia="Arial" w:hAnsi="Arial"/>
          <w:sz w:val="18"/>
          <w:szCs w:val="18"/>
          <w:b w:val="1"/>
          <w:bCs w:val="1"/>
          <w:color w:val="auto"/>
        </w:rPr>
        <w:t xml:space="preserve">Acquisition of Servicing Rights. </w:t>
      </w:r>
      <w:r>
        <w:rPr>
          <w:rFonts w:ascii="Arial" w:cs="Arial" w:eastAsia="Arial" w:hAnsi="Arial"/>
          <w:sz w:val="18"/>
          <w:szCs w:val="18"/>
          <w:color w:val="auto"/>
        </w:rPr>
        <w:t>We expect $50 billion of mortgage servicing portfolios to come to market by the end of the first quarter of</w:t>
      </w:r>
      <w:r>
        <w:rPr>
          <w:rFonts w:ascii="Arial" w:cs="Arial" w:eastAsia="Arial" w:hAnsi="Arial"/>
          <w:sz w:val="18"/>
          <w:szCs w:val="18"/>
          <w:b w:val="1"/>
          <w:bCs w:val="1"/>
          <w:color w:val="auto"/>
        </w:rPr>
        <w:t xml:space="preserve"> </w:t>
      </w:r>
      <w:r>
        <w:rPr>
          <w:rFonts w:ascii="Arial" w:cs="Arial" w:eastAsia="Arial" w:hAnsi="Arial"/>
          <w:sz w:val="18"/>
          <w:szCs w:val="18"/>
          <w:color w:val="auto"/>
        </w:rPr>
        <w:t>2010.</w:t>
      </w:r>
    </w:p>
    <w:p>
      <w:pPr>
        <w:spacing w:after="0" w:line="200" w:lineRule="exact"/>
        <w:rPr>
          <w:rFonts w:ascii="Arial" w:cs="Arial" w:eastAsia="Arial" w:hAnsi="Arial"/>
          <w:sz w:val="18"/>
          <w:szCs w:val="18"/>
          <w:color w:val="auto"/>
        </w:rPr>
      </w:pPr>
    </w:p>
    <w:p>
      <w:pPr>
        <w:ind w:left="1160" w:right="60" w:hanging="571"/>
        <w:spacing w:after="0" w:line="275" w:lineRule="auto"/>
        <w:tabs>
          <w:tab w:leader="none" w:pos="1160" w:val="left"/>
        </w:tabs>
        <w:numPr>
          <w:ilvl w:val="0"/>
          <w:numId w:val="35"/>
        </w:numPr>
        <w:rPr>
          <w:rFonts w:ascii="Arial" w:cs="Arial" w:eastAsia="Arial" w:hAnsi="Arial"/>
          <w:sz w:val="18"/>
          <w:szCs w:val="18"/>
          <w:color w:val="auto"/>
        </w:rPr>
      </w:pPr>
      <w:r>
        <w:rPr>
          <w:rFonts w:ascii="Arial" w:cs="Arial" w:eastAsia="Arial" w:hAnsi="Arial"/>
          <w:sz w:val="18"/>
          <w:szCs w:val="18"/>
          <w:b w:val="1"/>
          <w:bCs w:val="1"/>
          <w:color w:val="auto"/>
        </w:rPr>
        <w:t xml:space="preserve">Subservicing Opportunities. </w:t>
      </w:r>
      <w:r>
        <w:rPr>
          <w:rFonts w:ascii="Arial" w:cs="Arial" w:eastAsia="Arial" w:hAnsi="Arial"/>
          <w:sz w:val="18"/>
          <w:szCs w:val="18"/>
          <w:color w:val="auto"/>
        </w:rPr>
        <w:t>We were awarded $9.7 billion of subservicing on October 29, 2009. Advances on this portfolio are financed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servicer, not Ocwen.</w:t>
      </w:r>
    </w:p>
    <w:p>
      <w:pPr>
        <w:spacing w:after="0" w:line="200" w:lineRule="exact"/>
        <w:rPr>
          <w:rFonts w:ascii="Arial" w:cs="Arial" w:eastAsia="Arial" w:hAnsi="Arial"/>
          <w:sz w:val="18"/>
          <w:szCs w:val="18"/>
          <w:color w:val="auto"/>
        </w:rPr>
      </w:pPr>
    </w:p>
    <w:p>
      <w:pPr>
        <w:ind w:left="1160" w:right="100" w:hanging="571"/>
        <w:spacing w:after="0" w:line="256" w:lineRule="auto"/>
        <w:tabs>
          <w:tab w:leader="none" w:pos="1160" w:val="left"/>
        </w:tabs>
        <w:numPr>
          <w:ilvl w:val="0"/>
          <w:numId w:val="35"/>
        </w:numPr>
        <w:rPr>
          <w:rFonts w:ascii="Arial" w:cs="Arial" w:eastAsia="Arial" w:hAnsi="Arial"/>
          <w:sz w:val="18"/>
          <w:szCs w:val="18"/>
          <w:color w:val="auto"/>
        </w:rPr>
      </w:pPr>
      <w:r>
        <w:rPr>
          <w:rFonts w:ascii="Arial" w:cs="Arial" w:eastAsia="Arial" w:hAnsi="Arial"/>
          <w:sz w:val="18"/>
          <w:szCs w:val="18"/>
          <w:b w:val="1"/>
          <w:bCs w:val="1"/>
          <w:color w:val="auto"/>
        </w:rPr>
        <w:t xml:space="preserve">Special Servicing Opportunities. </w:t>
      </w:r>
      <w:r>
        <w:rPr>
          <w:rFonts w:ascii="Arial" w:cs="Arial" w:eastAsia="Arial" w:hAnsi="Arial"/>
          <w:sz w:val="18"/>
          <w:szCs w:val="18"/>
          <w:color w:val="auto"/>
        </w:rPr>
        <w:t>We are aggressively pursuing special servicing opportunities. In February 2009, we were selected as a special</w:t>
      </w:r>
      <w:r>
        <w:rPr>
          <w:rFonts w:ascii="Arial" w:cs="Arial" w:eastAsia="Arial" w:hAnsi="Arial"/>
          <w:sz w:val="18"/>
          <w:szCs w:val="18"/>
          <w:b w:val="1"/>
          <w:bCs w:val="1"/>
          <w:color w:val="auto"/>
        </w:rPr>
        <w:t xml:space="preserve"> </w:t>
      </w:r>
      <w:r>
        <w:rPr>
          <w:rFonts w:ascii="Arial" w:cs="Arial" w:eastAsia="Arial" w:hAnsi="Arial"/>
          <w:sz w:val="18"/>
          <w:szCs w:val="18"/>
          <w:color w:val="auto"/>
        </w:rPr>
        <w:t>servicer of non-performing loans for Freddie Mac under a high-risk-loan pilot program. On August 10, 2009, we entered into an Interim Servicing Master Agreement under which we will provide mortgage loan servicing with respect to approximately 24,000 non-performing single family mortgage loans owned by Freddie Mac with an aggregate UPB of approximately $4.4 billion. As with subservicing, special servicing requires limited capital.</w:t>
      </w:r>
    </w:p>
    <w:p>
      <w:pPr>
        <w:spacing w:after="0" w:line="219" w:lineRule="exact"/>
        <w:rPr>
          <w:rFonts w:ascii="Arial" w:cs="Arial" w:eastAsia="Arial" w:hAnsi="Arial"/>
          <w:sz w:val="18"/>
          <w:szCs w:val="18"/>
          <w:color w:val="auto"/>
        </w:rPr>
      </w:pPr>
    </w:p>
    <w:p>
      <w:pPr>
        <w:ind w:left="1160" w:right="420" w:hanging="571"/>
        <w:spacing w:after="0" w:line="275" w:lineRule="auto"/>
        <w:tabs>
          <w:tab w:leader="none" w:pos="1160" w:val="left"/>
        </w:tabs>
        <w:numPr>
          <w:ilvl w:val="0"/>
          <w:numId w:val="35"/>
        </w:numPr>
        <w:rPr>
          <w:rFonts w:ascii="Arial" w:cs="Arial" w:eastAsia="Arial" w:hAnsi="Arial"/>
          <w:sz w:val="18"/>
          <w:szCs w:val="18"/>
          <w:color w:val="auto"/>
        </w:rPr>
      </w:pPr>
      <w:r>
        <w:rPr>
          <w:rFonts w:ascii="Arial" w:cs="Arial" w:eastAsia="Arial" w:hAnsi="Arial"/>
          <w:sz w:val="18"/>
          <w:szCs w:val="18"/>
          <w:b w:val="1"/>
          <w:bCs w:val="1"/>
          <w:color w:val="auto"/>
        </w:rPr>
        <w:t xml:space="preserve">HAMP and Non-HAMP Modifications. </w:t>
      </w:r>
      <w:r>
        <w:rPr>
          <w:rFonts w:ascii="Arial" w:cs="Arial" w:eastAsia="Arial" w:hAnsi="Arial"/>
          <w:sz w:val="18"/>
          <w:szCs w:val="18"/>
          <w:color w:val="auto"/>
        </w:rPr>
        <w:t>We expect completed loan modifications for the fourth quarter of 2009 to increase significantly to</w:t>
      </w:r>
      <w:r>
        <w:rPr>
          <w:rFonts w:ascii="Arial" w:cs="Arial" w:eastAsia="Arial" w:hAnsi="Arial"/>
          <w:sz w:val="18"/>
          <w:szCs w:val="18"/>
          <w:b w:val="1"/>
          <w:bCs w:val="1"/>
          <w:color w:val="auto"/>
        </w:rPr>
        <w:t xml:space="preserve"> </w:t>
      </w:r>
      <w:r>
        <w:rPr>
          <w:rFonts w:ascii="Arial" w:cs="Arial" w:eastAsia="Arial" w:hAnsi="Arial"/>
          <w:sz w:val="18"/>
          <w:szCs w:val="18"/>
          <w:color w:val="auto"/>
        </w:rPr>
        <w:t>approximately 10,000 to 15,000.</w:t>
      </w:r>
    </w:p>
    <w:p>
      <w:pPr>
        <w:spacing w:after="0" w:line="174" w:lineRule="exact"/>
        <w:rPr>
          <w:sz w:val="20"/>
          <w:szCs w:val="20"/>
          <w:color w:val="auto"/>
        </w:rPr>
      </w:pPr>
    </w:p>
    <w:p>
      <w:pPr>
        <w:ind w:firstLine="439"/>
        <w:spacing w:after="0" w:line="258" w:lineRule="auto"/>
        <w:rPr>
          <w:sz w:val="20"/>
          <w:szCs w:val="20"/>
          <w:color w:val="auto"/>
        </w:rPr>
      </w:pPr>
      <w:r>
        <w:rPr>
          <w:rFonts w:ascii="Arial" w:cs="Arial" w:eastAsia="Arial" w:hAnsi="Arial"/>
          <w:sz w:val="18"/>
          <w:szCs w:val="18"/>
          <w:b w:val="1"/>
          <w:bCs w:val="1"/>
          <w:color w:val="auto"/>
        </w:rPr>
        <w:t xml:space="preserve">Quality and Cost Structure. </w:t>
      </w:r>
      <w:r>
        <w:rPr>
          <w:rFonts w:ascii="Arial" w:cs="Arial" w:eastAsia="Arial" w:hAnsi="Arial"/>
          <w:sz w:val="18"/>
          <w:szCs w:val="18"/>
          <w:color w:val="auto"/>
        </w:rPr>
        <w:t>As detailed under</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Superior Loss Mitigation and Cash Management</w:t>
      </w:r>
      <w:r>
        <w:rPr>
          <w:rFonts w:ascii="Arial" w:cs="Arial" w:eastAsia="Arial" w:hAnsi="Arial"/>
          <w:sz w:val="18"/>
          <w:szCs w:val="18"/>
          <w:b w:val="1"/>
          <w:bCs w:val="1"/>
          <w:color w:val="auto"/>
        </w:rPr>
        <w:t xml:space="preserve"> </w:t>
      </w:r>
      <w:r>
        <w:rPr>
          <w:rFonts w:ascii="Arial" w:cs="Arial" w:eastAsia="Arial" w:hAnsi="Arial"/>
          <w:sz w:val="18"/>
          <w:szCs w:val="18"/>
          <w:color w:val="auto"/>
        </w:rPr>
        <w:t>above, two recent independent studies comparing servicer</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in servicing non-performing residential loans confirmed that we lead the industry in realizing cash flows for investors and keeping families in their homes. We were able to reduce operating expenses by 31% in the third quarter of 2009 compared to the third quarter of 2008 and 20% in the first nine months of 2009 compared to 2008.</w:t>
      </w:r>
    </w:p>
    <w:p>
      <w:pPr>
        <w:spacing w:after="0" w:line="19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Separation of Ocwen Solutions. </w:t>
      </w:r>
      <w:r>
        <w:rPr>
          <w:rFonts w:ascii="Arial" w:cs="Arial" w:eastAsia="Arial" w:hAnsi="Arial"/>
          <w:sz w:val="18"/>
          <w:szCs w:val="18"/>
          <w:color w:val="auto"/>
        </w:rPr>
        <w:t>We completed the Separation on August 10, 2009.</w:t>
      </w:r>
    </w:p>
    <w:p>
      <w:pPr>
        <w:spacing w:after="0" w:line="231" w:lineRule="exact"/>
        <w:rPr>
          <w:sz w:val="20"/>
          <w:szCs w:val="20"/>
          <w:color w:val="auto"/>
        </w:rPr>
      </w:pPr>
    </w:p>
    <w:p>
      <w:pPr>
        <w:ind w:right="80" w:firstLine="439"/>
        <w:spacing w:after="0" w:line="256" w:lineRule="auto"/>
        <w:rPr>
          <w:sz w:val="20"/>
          <w:szCs w:val="20"/>
          <w:color w:val="auto"/>
        </w:rPr>
      </w:pPr>
      <w:r>
        <w:rPr>
          <w:rFonts w:ascii="Arial" w:cs="Arial" w:eastAsia="Arial" w:hAnsi="Arial"/>
          <w:sz w:val="18"/>
          <w:szCs w:val="18"/>
          <w:color w:val="auto"/>
        </w:rPr>
        <w:t>On November 12, 2008, our Board of Directors authorized management to pursue the Separation, through a tax-free spin-off into a newly formed publicly-traded company, of all of our business operations currently included within the OS business line except for BMS Holdings and GSS. In accordance with Section 367 of the Internal Revenue Code, Ocwen incurred income tax expense of $50,631 determined based on the excess of the fair market value of Altisource assets over Ocwen’s tax basis in the same assets.</w:t>
      </w:r>
    </w:p>
    <w:p>
      <w:pPr>
        <w:spacing w:after="0" w:line="19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made our decision based upon a strategic analysis that concluded that the Separation would:</w:t>
      </w:r>
    </w:p>
    <w:p>
      <w:pPr>
        <w:spacing w:after="0" w:line="239" w:lineRule="exact"/>
        <w:rPr>
          <w:sz w:val="20"/>
          <w:szCs w:val="20"/>
          <w:color w:val="auto"/>
        </w:rPr>
      </w:pPr>
    </w:p>
    <w:p>
      <w:pPr>
        <w:ind w:left="1160" w:hanging="571"/>
        <w:spacing w:after="0"/>
        <w:tabs>
          <w:tab w:leader="none" w:pos="1160" w:val="left"/>
        </w:tabs>
        <w:numPr>
          <w:ilvl w:val="0"/>
          <w:numId w:val="36"/>
        </w:numPr>
        <w:rPr>
          <w:rFonts w:ascii="Arial" w:cs="Arial" w:eastAsia="Arial" w:hAnsi="Arial"/>
          <w:sz w:val="15"/>
          <w:szCs w:val="15"/>
          <w:color w:val="auto"/>
        </w:rPr>
      </w:pPr>
      <w:r>
        <w:rPr>
          <w:rFonts w:ascii="Arial" w:cs="Arial" w:eastAsia="Arial" w:hAnsi="Arial"/>
          <w:sz w:val="15"/>
          <w:szCs w:val="15"/>
          <w:color w:val="auto"/>
        </w:rPr>
        <w:t>Allow each of Ocwen and Altisource to separately focus on their core business and be better able to respond to initiatives and market challenges;</w:t>
      </w:r>
    </w:p>
    <w:p>
      <w:pPr>
        <w:spacing w:after="0" w:line="286" w:lineRule="exact"/>
        <w:rPr>
          <w:rFonts w:ascii="Arial" w:cs="Arial" w:eastAsia="Arial" w:hAnsi="Arial"/>
          <w:sz w:val="15"/>
          <w:szCs w:val="15"/>
          <w:color w:val="auto"/>
        </w:rPr>
      </w:pPr>
    </w:p>
    <w:p>
      <w:pPr>
        <w:ind w:left="1160" w:hanging="571"/>
        <w:spacing w:after="0"/>
        <w:tabs>
          <w:tab w:leader="none" w:pos="11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Better position OS to pursue business opportunities with other servicers;</w:t>
      </w:r>
    </w:p>
    <w:p>
      <w:pPr>
        <w:spacing w:after="0" w:line="279" w:lineRule="exact"/>
        <w:rPr>
          <w:rFonts w:ascii="Arial" w:cs="Arial" w:eastAsia="Arial" w:hAnsi="Arial"/>
          <w:sz w:val="18"/>
          <w:szCs w:val="18"/>
          <w:color w:val="auto"/>
        </w:rPr>
      </w:pPr>
    </w:p>
    <w:p>
      <w:pPr>
        <w:ind w:left="1160" w:hanging="571"/>
        <w:spacing w:after="0"/>
        <w:tabs>
          <w:tab w:leader="none" w:pos="11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Provide OS the option of offering its stock as consideration to potential acquisition targets (subject to certain limitations);</w:t>
      </w:r>
    </w:p>
    <w:p>
      <w:pPr>
        <w:spacing w:after="0" w:line="279" w:lineRule="exact"/>
        <w:rPr>
          <w:rFonts w:ascii="Arial" w:cs="Arial" w:eastAsia="Arial" w:hAnsi="Arial"/>
          <w:sz w:val="18"/>
          <w:szCs w:val="18"/>
          <w:color w:val="auto"/>
        </w:rPr>
      </w:pPr>
    </w:p>
    <w:p>
      <w:pPr>
        <w:ind w:left="1160" w:hanging="571"/>
        <w:spacing w:after="0"/>
        <w:tabs>
          <w:tab w:leader="none" w:pos="11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Grant OS flexibility in creating its own capital structure which may include a subsequent raise of equity or debt; and</w:t>
      </w:r>
    </w:p>
    <w:p>
      <w:pPr>
        <w:spacing w:after="0" w:line="279" w:lineRule="exact"/>
        <w:rPr>
          <w:rFonts w:ascii="Arial" w:cs="Arial" w:eastAsia="Arial" w:hAnsi="Arial"/>
          <w:sz w:val="18"/>
          <w:szCs w:val="18"/>
          <w:color w:val="auto"/>
        </w:rPr>
      </w:pPr>
    </w:p>
    <w:p>
      <w:pPr>
        <w:ind w:left="1160" w:right="60" w:hanging="571"/>
        <w:spacing w:after="0" w:line="268" w:lineRule="auto"/>
        <w:tabs>
          <w:tab w:leader="none" w:pos="11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Allow potential investors to choose between the contrasting business models of knowledge processing or servicing, each of which may be valued differently by the equity markets.</w:t>
      </w:r>
    </w:p>
    <w:p>
      <w:pPr>
        <w:spacing w:after="0" w:line="186" w:lineRule="exact"/>
        <w:rPr>
          <w:sz w:val="20"/>
          <w:szCs w:val="20"/>
          <w:color w:val="auto"/>
        </w:rPr>
      </w:pPr>
    </w:p>
    <w:p>
      <w:pPr>
        <w:ind w:right="60" w:firstLine="439"/>
        <w:spacing w:after="0" w:line="291" w:lineRule="auto"/>
        <w:rPr>
          <w:sz w:val="20"/>
          <w:szCs w:val="20"/>
          <w:color w:val="auto"/>
        </w:rPr>
      </w:pPr>
      <w:r>
        <w:rPr>
          <w:rFonts w:ascii="Arial" w:cs="Arial" w:eastAsia="Arial" w:hAnsi="Arial"/>
          <w:sz w:val="16"/>
          <w:szCs w:val="16"/>
          <w:color w:val="auto"/>
        </w:rPr>
        <w:t>On August 10, 2009, the shares of Altisource were distributed to the Ocwen shareholders and Convertible Notes holders of record as of August 4, 2009, in the form of a pro rata stock distribution. Each Ocwen shareholder received one share of Altisource common stock for every three shares of Ocwen common stock held as of the close of business on the record date of the distribution, August 4, 2009. Each Convertible Notes holder participated in the distribution of Altisource shares based on the conversion ratio of the Convertible Notes, consistent with the pro rata distribution ratio of one share of Altisource common stock for every three shares of Ocwen common stock, without conversion of the Convertible Notes into common shares of Ocwen. Accordingly, upon the separation of Altisource and Ocwen, there was no adjustment to the conversion ratio of the Convertible Notes.</w:t>
      </w:r>
    </w:p>
    <w:p>
      <w:pPr>
        <w:spacing w:after="0" w:line="174" w:lineRule="exact"/>
        <w:rPr>
          <w:sz w:val="20"/>
          <w:szCs w:val="20"/>
          <w:color w:val="auto"/>
        </w:rPr>
      </w:pPr>
    </w:p>
    <w:p>
      <w:pPr>
        <w:ind w:right="200" w:firstLine="429"/>
        <w:spacing w:after="0" w:line="255" w:lineRule="auto"/>
        <w:rPr>
          <w:sz w:val="20"/>
          <w:szCs w:val="20"/>
          <w:color w:val="auto"/>
        </w:rPr>
      </w:pPr>
      <w:r>
        <w:rPr>
          <w:rFonts w:ascii="Arial" w:cs="Arial" w:eastAsia="Arial" w:hAnsi="Arial"/>
          <w:sz w:val="18"/>
          <w:szCs w:val="18"/>
          <w:color w:val="auto"/>
        </w:rPr>
        <w:t>Altisource’s largest customer will initially be Ocwen, and Altisource entered into long-term services contracts with Ocwen for terms of up to eight years. There are other arrangements between Altisource and Ocwen that will continue following the Separation to govern certain ongoing relationships and to provide for an orderly transition to the status of two independent companies. Under these agreements, Altisource and Ocwen will both provide and receive certain corporate services at prevailing market rates. See Note 23 to the Interim Consolidated Financial Statements for additional details of the contractual agreements between Ocwen and Altisource.</w:t>
      </w:r>
    </w:p>
    <w:p>
      <w:pPr>
        <w:spacing w:after="0" w:line="197" w:lineRule="exact"/>
        <w:rPr>
          <w:sz w:val="20"/>
          <w:szCs w:val="20"/>
          <w:color w:val="auto"/>
        </w:rPr>
      </w:pPr>
    </w:p>
    <w:p>
      <w:pPr>
        <w:ind w:right="400" w:firstLine="429"/>
        <w:spacing w:after="0" w:line="259" w:lineRule="auto"/>
        <w:rPr>
          <w:sz w:val="20"/>
          <w:szCs w:val="20"/>
          <w:color w:val="auto"/>
        </w:rPr>
      </w:pPr>
      <w:r>
        <w:rPr>
          <w:rFonts w:ascii="Arial" w:cs="Arial" w:eastAsia="Arial" w:hAnsi="Arial"/>
          <w:sz w:val="18"/>
          <w:szCs w:val="18"/>
          <w:color w:val="auto"/>
        </w:rPr>
        <w:t>Although Altisource is a separate company from Ocwen after the Separation, Altisource and Ocwen have the same Chairman of the Board, William C. Erbey. Mr. Erbey is also the current Chief Executive Officer of Ocwen and will remain in that role. (Mr. Erbey will serve as Altisource’s Non-executive Chairman). As a result, he has obligations to Ocwen as well as to Altisource.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31" w:lineRule="exact"/>
        <w:rPr>
          <w:sz w:val="20"/>
          <w:szCs w:val="20"/>
          <w:color w:val="auto"/>
        </w:rPr>
      </w:pPr>
    </w:p>
    <w:p>
      <w:pPr>
        <w:ind w:right="220" w:firstLine="439"/>
        <w:spacing w:after="0" w:line="259" w:lineRule="auto"/>
        <w:rPr>
          <w:sz w:val="20"/>
          <w:szCs w:val="20"/>
          <w:color w:val="auto"/>
        </w:rPr>
      </w:pPr>
      <w:r>
        <w:rPr>
          <w:rFonts w:ascii="Arial" w:cs="Arial" w:eastAsia="Arial" w:hAnsi="Arial"/>
          <w:sz w:val="18"/>
          <w:szCs w:val="18"/>
          <w:color w:val="auto"/>
        </w:rPr>
        <w:t>Revenue of our servicing segment is a function of UPB and the number of delinquent loans that resolve either through borrower payments, modifications (HAMP and non-HAMP) or through REO sales. The importance of loan resolution is heightened by our revenue recognition policies. We do not recognize delinquent servicing fees or late fees until cash is collected.</w:t>
      </w:r>
    </w:p>
    <w:p>
      <w:pPr>
        <w:sectPr>
          <w:pgSz w:w="11900" w:h="16838" w:orient="portrait"/>
          <w:cols w:equalWidth="0" w:num="1">
            <w:col w:w="11420"/>
          </w:cols>
          <w:pgMar w:left="240" w:top="125" w:right="239" w:bottom="1440" w:gutter="0" w:footer="0" w:header="0"/>
        </w:sectPr>
      </w:pP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41" w:name="page42"/>
    <w:bookmarkEnd w:id="41"/>
    <w:p>
      <w:pPr>
        <w:ind w:right="240" w:firstLine="436"/>
        <w:spacing w:after="0" w:line="268" w:lineRule="auto"/>
        <w:rPr>
          <w:sz w:val="20"/>
          <w:szCs w:val="20"/>
          <w:color w:val="auto"/>
        </w:rPr>
      </w:pPr>
      <w:r>
        <w:rPr>
          <w:rFonts w:ascii="Arial" w:cs="Arial" w:eastAsia="Arial" w:hAnsi="Arial"/>
          <w:sz w:val="18"/>
          <w:szCs w:val="18"/>
          <w:color w:val="auto"/>
        </w:rPr>
        <w:t>The following loan modification scenarios describe the timing of our revenue recognition. The following amounts, which are not presented in thousands, are illustrative and can fluctuate:</w:t>
      </w:r>
    </w:p>
    <w:p>
      <w:pPr>
        <w:spacing w:after="0" w:line="199" w:lineRule="exact"/>
        <w:rPr>
          <w:sz w:val="20"/>
          <w:szCs w:val="20"/>
          <w:color w:val="auto"/>
        </w:rPr>
      </w:pPr>
    </w:p>
    <w:p>
      <w:pPr>
        <w:ind w:left="1120" w:hanging="558"/>
        <w:spacing w:after="0"/>
        <w:tabs>
          <w:tab w:leader="none" w:pos="11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When a loan is brought current via our non-HAMP modification process, we earn $500 on deferred servicing fees and $500 on late fees.</w:t>
      </w:r>
    </w:p>
    <w:p>
      <w:pPr>
        <w:spacing w:after="0" w:line="302" w:lineRule="exact"/>
        <w:rPr>
          <w:rFonts w:ascii="Arial" w:cs="Arial" w:eastAsia="Arial" w:hAnsi="Arial"/>
          <w:sz w:val="16"/>
          <w:szCs w:val="16"/>
          <w:color w:val="auto"/>
        </w:rPr>
      </w:pPr>
    </w:p>
    <w:p>
      <w:pPr>
        <w:ind w:left="1120" w:right="640" w:hanging="558"/>
        <w:spacing w:after="0" w:line="259" w:lineRule="auto"/>
        <w:tabs>
          <w:tab w:leader="none" w:pos="11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When a loan is brought current via our HAMP modification process we earn $500 on deferred servicing fees, forfeit $500 of late fees and accrue $1,000 in HAMP success fees, or $1,500 if the loan was in imminent risk of default. However, if the loan is in imminent risk of default there will be no deferred servicing fees.</w:t>
      </w:r>
    </w:p>
    <w:p>
      <w:pPr>
        <w:spacing w:after="0" w:line="194" w:lineRule="exact"/>
        <w:rPr>
          <w:sz w:val="20"/>
          <w:szCs w:val="20"/>
          <w:color w:val="auto"/>
        </w:rPr>
      </w:pPr>
    </w:p>
    <w:p>
      <w:pPr>
        <w:ind w:right="560" w:firstLine="436"/>
        <w:spacing w:after="0" w:line="268" w:lineRule="auto"/>
        <w:rPr>
          <w:sz w:val="20"/>
          <w:szCs w:val="20"/>
          <w:color w:val="auto"/>
        </w:rPr>
      </w:pPr>
      <w:r>
        <w:rPr>
          <w:rFonts w:ascii="Arial" w:cs="Arial" w:eastAsia="Arial" w:hAnsi="Arial"/>
          <w:sz w:val="18"/>
          <w:szCs w:val="18"/>
          <w:color w:val="auto"/>
        </w:rPr>
        <w:t>We conceptualize the flow of loan modification activities as a pipeline leading to modification of the loan or sale of the REO. The following process describes our modification pipeline:</w:t>
      </w:r>
    </w:p>
    <w:p>
      <w:pPr>
        <w:spacing w:after="0" w:line="199" w:lineRule="exact"/>
        <w:rPr>
          <w:sz w:val="20"/>
          <w:szCs w:val="20"/>
          <w:color w:val="auto"/>
        </w:rPr>
      </w:pPr>
    </w:p>
    <w:p>
      <w:pPr>
        <w:ind w:left="1160" w:right="440" w:hanging="571"/>
        <w:spacing w:after="0" w:line="259" w:lineRule="auto"/>
        <w:tabs>
          <w:tab w:leader="none" w:pos="11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First, the loan and borrower are evaluated for HAMP eligibility. If the criteria are met, then the HAMP documentation and trial offer phases proceed. The three most common reasons for failure to qualify for HAMP are inability to meet the debt to income (DTI) ratio, inadequate documentation or inadequate or inconsistent income.</w:t>
      </w:r>
    </w:p>
    <w:p>
      <w:pPr>
        <w:spacing w:after="0" w:line="221" w:lineRule="exact"/>
        <w:rPr>
          <w:rFonts w:ascii="Arial" w:cs="Arial" w:eastAsia="Arial" w:hAnsi="Arial"/>
          <w:sz w:val="18"/>
          <w:szCs w:val="18"/>
          <w:color w:val="auto"/>
        </w:rPr>
      </w:pPr>
    </w:p>
    <w:p>
      <w:pPr>
        <w:ind w:left="1160" w:right="20" w:hanging="571"/>
        <w:spacing w:after="0" w:line="259" w:lineRule="auto"/>
        <w:tabs>
          <w:tab w:leader="none" w:pos="11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If the criteria to qualify for HAMP are not met, then the loan and borrower are evaluated utilizing non-HAMP criteria that are more flexible than HAMP and focus on ability to pay and maximizing returns for investors. If the criteria are met, then the non-HAMP documentation and trial offer phases proceed.</w:t>
      </w:r>
    </w:p>
    <w:p>
      <w:pPr>
        <w:spacing w:after="0" w:line="221" w:lineRule="exact"/>
        <w:rPr>
          <w:rFonts w:ascii="Arial" w:cs="Arial" w:eastAsia="Arial" w:hAnsi="Arial"/>
          <w:sz w:val="18"/>
          <w:szCs w:val="18"/>
          <w:color w:val="auto"/>
        </w:rPr>
      </w:pPr>
    </w:p>
    <w:p>
      <w:pPr>
        <w:ind w:left="1160" w:right="620" w:hanging="571"/>
        <w:spacing w:after="0" w:line="268" w:lineRule="auto"/>
        <w:tabs>
          <w:tab w:leader="none" w:pos="11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If the loan and borrower qualify for neither a HAMP nor a non-HAMP modification, then liquidation proceeds via either the short sale or foreclosure and REO sales process.</w:t>
      </w:r>
    </w:p>
    <w:p>
      <w:pPr>
        <w:spacing w:after="0" w:line="186" w:lineRule="exact"/>
        <w:rPr>
          <w:sz w:val="20"/>
          <w:szCs w:val="20"/>
          <w:color w:val="auto"/>
        </w:rPr>
      </w:pPr>
    </w:p>
    <w:p>
      <w:pPr>
        <w:jc w:val="both"/>
        <w:ind w:right="180" w:firstLine="439"/>
        <w:spacing w:after="0" w:line="259" w:lineRule="auto"/>
        <w:rPr>
          <w:sz w:val="20"/>
          <w:szCs w:val="20"/>
          <w:color w:val="auto"/>
        </w:rPr>
      </w:pPr>
      <w:r>
        <w:rPr>
          <w:rFonts w:ascii="Arial" w:cs="Arial" w:eastAsia="Arial" w:hAnsi="Arial"/>
          <w:sz w:val="18"/>
          <w:szCs w:val="18"/>
          <w:color w:val="auto"/>
        </w:rPr>
        <w:t>For the nine months ended September 30, 2009, 4% of completed modifications have been HAMP and the remaining 96% non-HAMP. The split between HAMP and non-HAMP modifications is to be expected since the earliest period in which completed HAMP modifications could occur was the third quarter. As of September 30, 2009, 53% of active trial modifications were HAMP and 47% were non-HAMP.</w:t>
      </w:r>
    </w:p>
    <w:p>
      <w:pPr>
        <w:spacing w:after="0" w:line="194" w:lineRule="exact"/>
        <w:rPr>
          <w:sz w:val="20"/>
          <w:szCs w:val="20"/>
          <w:color w:val="auto"/>
        </w:rPr>
      </w:pPr>
    </w:p>
    <w:p>
      <w:pPr>
        <w:ind w:right="200" w:firstLine="439"/>
        <w:spacing w:after="0" w:line="259" w:lineRule="auto"/>
        <w:rPr>
          <w:sz w:val="20"/>
          <w:szCs w:val="20"/>
          <w:color w:val="auto"/>
        </w:rPr>
      </w:pPr>
      <w:r>
        <w:rPr>
          <w:rFonts w:ascii="Arial" w:cs="Arial" w:eastAsia="Arial" w:hAnsi="Arial"/>
          <w:sz w:val="18"/>
          <w:szCs w:val="18"/>
          <w:color w:val="auto"/>
        </w:rPr>
        <w:t>Completed modifications have been lower in the second and third quarters of 2009 than in prior quarters due to the challenges in collecting the requisite documentation from borrowers and changes in our work streams required by the HAMP program. At this point, the principal process and system enhancements have been placed in production.</w:t>
      </w:r>
    </w:p>
    <w:p>
      <w:pPr>
        <w:spacing w:after="0" w:line="194" w:lineRule="exact"/>
        <w:rPr>
          <w:sz w:val="20"/>
          <w:szCs w:val="20"/>
          <w:color w:val="auto"/>
        </w:rPr>
      </w:pPr>
    </w:p>
    <w:p>
      <w:pPr>
        <w:ind w:right="620" w:firstLine="436"/>
        <w:spacing w:after="0" w:line="332" w:lineRule="auto"/>
        <w:rPr>
          <w:sz w:val="20"/>
          <w:szCs w:val="20"/>
          <w:color w:val="auto"/>
        </w:rPr>
      </w:pPr>
      <w:r>
        <w:rPr>
          <w:rFonts w:ascii="Arial" w:cs="Arial" w:eastAsia="Arial" w:hAnsi="Arial"/>
          <w:sz w:val="16"/>
          <w:szCs w:val="16"/>
          <w:color w:val="auto"/>
        </w:rPr>
        <w:t>We completed 7,003 modifications in the third quarter of 2009, of which 1,229 were HAMP and 5,774 were non-HAMP. The number of completed modifications in the third quarter of 2009 is 14% lower than the 8,157 modifications completed in the second quarter of 2009.</w:t>
      </w:r>
    </w:p>
    <w:p>
      <w:pPr>
        <w:spacing w:after="0" w:line="139" w:lineRule="exact"/>
        <w:rPr>
          <w:sz w:val="20"/>
          <w:szCs w:val="20"/>
          <w:color w:val="auto"/>
        </w:rPr>
      </w:pPr>
    </w:p>
    <w:p>
      <w:pPr>
        <w:ind w:right="40" w:firstLine="436"/>
        <w:spacing w:after="0" w:line="254" w:lineRule="auto"/>
        <w:rPr>
          <w:sz w:val="20"/>
          <w:szCs w:val="20"/>
          <w:color w:val="auto"/>
        </w:rPr>
      </w:pPr>
      <w:r>
        <w:rPr>
          <w:rFonts w:ascii="Arial" w:cs="Arial" w:eastAsia="Arial" w:hAnsi="Arial"/>
          <w:sz w:val="18"/>
          <w:szCs w:val="18"/>
          <w:color w:val="auto"/>
        </w:rPr>
        <w:t>The number of completed modifications correlates with the number of trial offers made to borrowers in the prior quarter, and this figure declined by 72% from the first quarter of 2009 to the second quarter. Trial offers increased by 39% in the third quarter of 2009 compared to the second quarter of 2009. Active trial modifications represent an inventory of potential completed modifications in the following quarter. We expect the 6,937 active trial modifications in the third quarter of 2009 to contribute about half of the completed modifications in the fourth quarter of 2009 with the remainder coming from non-HAMP modifications initiated and completed in the fourth quarter. We expect to complete 10,000 to 15,000 total modifications during the fourth quarter of which approximately 20% to 30% are likely be HAMP modifications.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231" w:lineRule="exact"/>
        <w:rPr>
          <w:sz w:val="20"/>
          <w:szCs w:val="20"/>
          <w:color w:val="auto"/>
        </w:rPr>
      </w:pPr>
    </w:p>
    <w:p>
      <w:pPr>
        <w:ind w:right="80" w:firstLine="439"/>
        <w:spacing w:after="0" w:line="255" w:lineRule="auto"/>
        <w:rPr>
          <w:sz w:val="20"/>
          <w:szCs w:val="20"/>
          <w:color w:val="auto"/>
        </w:rPr>
      </w:pPr>
      <w:r>
        <w:rPr>
          <w:rFonts w:ascii="Arial" w:cs="Arial" w:eastAsia="Arial" w:hAnsi="Arial"/>
          <w:sz w:val="18"/>
          <w:szCs w:val="18"/>
          <w:color w:val="auto"/>
        </w:rPr>
        <w:t>Cash totaled $195,584, or 10% of total assets at September 30, 2009. This compares to cash of $201,025, or 9% of total assets at December 31, 2008, and cash of $162,306, or 7% of total assets a year ago at September 30, 2008. Cash and available credit on advance facilities (representing undrawn capacity for which collateral has been pledged) totaled $408,869 as of September 30, 2009. Cash and available credit as of June 30, 2009 was $213,911. Thus, our cash and available credit increased by $194,958 or 91% through the quarter. The net increase is less than the net proceeds from our common stock offering having paid off other borrowings of $77,842.</w:t>
      </w:r>
    </w:p>
    <w:p>
      <w:pPr>
        <w:spacing w:after="0" w:line="197" w:lineRule="exact"/>
        <w:rPr>
          <w:sz w:val="20"/>
          <w:szCs w:val="20"/>
          <w:color w:val="auto"/>
        </w:rPr>
      </w:pPr>
    </w:p>
    <w:p>
      <w:pPr>
        <w:ind w:right="100" w:firstLine="439"/>
        <w:spacing w:after="0" w:line="298" w:lineRule="auto"/>
        <w:rPr>
          <w:sz w:val="20"/>
          <w:szCs w:val="20"/>
          <w:color w:val="auto"/>
        </w:rPr>
      </w:pPr>
      <w:r>
        <w:rPr>
          <w:rFonts w:ascii="Arial" w:cs="Arial" w:eastAsia="Arial" w:hAnsi="Arial"/>
          <w:sz w:val="16"/>
          <w:szCs w:val="16"/>
          <w:color w:val="auto"/>
        </w:rPr>
        <w:t>Our borrowings as of September 30, 2009 include $167,168 borrowed under the investment line term note that is used to finance the auction rate securities that we are carrying at a fair value of $250,099. In the first nine months of 2009, we repaid $33,551 of the investment line term note principal. This amount includes proceeds of $2,500 from the redemption at par of certain securities. On April 30, 2009, we renewed this term note through June 2010. We renewed this agreement early under terms substantially similar to the previous agreement except that amortization payments are now $3,000 per month.</w:t>
      </w:r>
    </w:p>
    <w:p>
      <w:pPr>
        <w:spacing w:after="0" w:line="167" w:lineRule="exact"/>
        <w:rPr>
          <w:sz w:val="20"/>
          <w:szCs w:val="20"/>
          <w:color w:val="auto"/>
        </w:rPr>
      </w:pPr>
    </w:p>
    <w:p>
      <w:pPr>
        <w:ind w:right="100" w:firstLine="439"/>
        <w:spacing w:after="0" w:line="294" w:lineRule="auto"/>
        <w:rPr>
          <w:sz w:val="20"/>
          <w:szCs w:val="20"/>
          <w:color w:val="auto"/>
        </w:rPr>
      </w:pPr>
      <w:r>
        <w:rPr>
          <w:rFonts w:ascii="Arial" w:cs="Arial" w:eastAsia="Arial" w:hAnsi="Arial"/>
          <w:sz w:val="16"/>
          <w:szCs w:val="16"/>
          <w:color w:val="auto"/>
        </w:rPr>
        <w:t>Excluding the investment line, our borrowings have decreased by $517,918 since December 31, 2008. The decline in borrowings of the Servicing segment reflects a decline in advances and the $97,987 repayment of our MSR facility, including a final payment of $41,994 on August 21, 2009. The decline in borrowings of the Loans and Residuals segment represents the early redemption of the $18,154 note on which the loans had been pledged as collateral, including a final payment of $11,315 on September 23, 2009. Corporate Items and Other borrowings declined as a result of the $33,551 repayments on the investment line through September 30, 2009 and the February 2009 repurchase of 3.25% Convertible Notes with a face value of $25,910.</w:t>
      </w:r>
    </w:p>
    <w:p>
      <w:pPr>
        <w:spacing w:after="0" w:line="170" w:lineRule="exact"/>
        <w:rPr>
          <w:sz w:val="20"/>
          <w:szCs w:val="20"/>
          <w:color w:val="auto"/>
        </w:rPr>
      </w:pPr>
    </w:p>
    <w:p>
      <w:pPr>
        <w:ind w:firstLine="439"/>
        <w:spacing w:after="0" w:line="290" w:lineRule="auto"/>
        <w:rPr>
          <w:sz w:val="20"/>
          <w:szCs w:val="20"/>
          <w:color w:val="auto"/>
        </w:rPr>
      </w:pPr>
      <w:r>
        <w:rPr>
          <w:rFonts w:ascii="Arial" w:cs="Arial" w:eastAsia="Arial" w:hAnsi="Arial"/>
          <w:sz w:val="16"/>
          <w:szCs w:val="16"/>
          <w:color w:val="auto"/>
        </w:rPr>
        <w:t>Excluding the investment line, our total maximum borrowing capacity was $1,317,000 as of September 30, 2009, a decrease of $23,747 as compared to December 31, 2008. This decrease is primarily due to a decline in the borrowing capacity of the Loans and Residuals and Financial Services segments. The continued strength in Servicing borrowing capacity is principally the result of entering into two new facilities in March 2009, expanding an existing facility in May 2009 and the early termination of a $165,000 medium term advance note in anticipation of a TALF offering. One of the new facilities represented a $60,000 advance in the form of zero-coupon bonds that we initially recorded at $45,373, net of a discount of $14,627. The other new facility is a $7,000 term note. Both of these new facilities are secured by the pledge of advances. We also increased the maximum borrowing capacity under an existing facility from $300,000 to $500,000 and extended the amortization date by one year to May 4, 2010.</w:t>
      </w:r>
    </w:p>
    <w:p>
      <w:pPr>
        <w:sectPr>
          <w:pgSz w:w="11900" w:h="16838" w:orient="portrait"/>
          <w:cols w:equalWidth="0" w:num="1">
            <w:col w:w="11420"/>
          </w:cols>
          <w:pgMar w:left="240" w:top="131" w:right="239" w:bottom="1130" w:gutter="0" w:footer="0" w:header="0"/>
        </w:sectPr>
      </w:pP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130" w:gutter="0" w:footer="0" w:header="0"/>
          <w:type w:val="continuous"/>
        </w:sectPr>
      </w:pPr>
    </w:p>
    <w:bookmarkStart w:id="42" w:name="page43"/>
    <w:bookmarkEnd w:id="42"/>
    <w:p>
      <w:pPr>
        <w:ind w:right="420" w:firstLine="429"/>
        <w:spacing w:after="0" w:line="259" w:lineRule="auto"/>
        <w:rPr>
          <w:sz w:val="20"/>
          <w:szCs w:val="20"/>
          <w:color w:val="auto"/>
        </w:rPr>
      </w:pPr>
      <w:r>
        <w:rPr>
          <w:rFonts w:ascii="Arial" w:cs="Arial" w:eastAsia="Arial" w:hAnsi="Arial"/>
          <w:sz w:val="18"/>
          <w:szCs w:val="18"/>
          <w:color w:val="auto"/>
        </w:rPr>
        <w:t>At September 30, 2009, excluding the investment line, $720,221 of our total maximum borrowing capacity remained unused, all attributable to the Servicing business. The unused borrowing capacity in the Servicing business may be utilized in the future by pledging additional qualifying collateral to our facilities.</w:t>
      </w:r>
    </w:p>
    <w:p>
      <w:pPr>
        <w:spacing w:after="0" w:line="194" w:lineRule="exact"/>
        <w:rPr>
          <w:sz w:val="20"/>
          <w:szCs w:val="20"/>
          <w:color w:val="auto"/>
        </w:rPr>
      </w:pPr>
    </w:p>
    <w:p>
      <w:pPr>
        <w:ind w:right="340" w:firstLine="436"/>
        <w:spacing w:after="0" w:line="306" w:lineRule="auto"/>
        <w:rPr>
          <w:sz w:val="20"/>
          <w:szCs w:val="20"/>
          <w:color w:val="auto"/>
        </w:rPr>
      </w:pPr>
      <w:r>
        <w:rPr>
          <w:rFonts w:ascii="Arial" w:cs="Arial" w:eastAsia="Arial" w:hAnsi="Arial"/>
          <w:sz w:val="16"/>
          <w:szCs w:val="16"/>
          <w:color w:val="auto"/>
        </w:rPr>
        <w:t>With the continuing decline of our advance balances and the success of our other liquidity initiatives, we believe that we will have sufficient borrowing capacity to finance advances on our current servicing portfolio through the first quarter of 2010 even if we are unable to negotiate any new facilities or any renewals or increases of existing facilities. However, we anticipate issuing an initial fixed-rate medium term TALF note of $165,000 to $200,000.</w:t>
      </w:r>
    </w:p>
    <w:p>
      <w:pPr>
        <w:spacing w:after="0" w:line="161" w:lineRule="exact"/>
        <w:rPr>
          <w:sz w:val="20"/>
          <w:szCs w:val="20"/>
          <w:color w:val="auto"/>
        </w:rPr>
      </w:pPr>
    </w:p>
    <w:p>
      <w:pPr>
        <w:ind w:right="80" w:firstLine="439"/>
        <w:spacing w:after="0" w:line="291" w:lineRule="auto"/>
        <w:rPr>
          <w:sz w:val="20"/>
          <w:szCs w:val="20"/>
          <w:color w:val="auto"/>
        </w:rPr>
      </w:pPr>
      <w:r>
        <w:rPr>
          <w:rFonts w:ascii="Arial" w:cs="Arial" w:eastAsia="Arial" w:hAnsi="Arial"/>
          <w:sz w:val="16"/>
          <w:szCs w:val="16"/>
          <w:color w:val="auto"/>
        </w:rPr>
        <w:t>In the first nine months of 2009, financing costs declined from the level in the first nine months of 2008 due to lower advance balances and the strategy we implemented to reduce interest expense by using our cash reserves and proceeds from our equity offering to reduce advance finance borrowings. One-month LIBOR, which is the reference rate for most of our borrowings declined significantly in the first nine months of 2009, although the effect of this decrease on our cost of borrowing was more than offset by higher facility costs and higher average spreads over LIBOR. As a result, the interest rate we incurred on the average balance of our debt outstanding under match funded facilities and lines of credit and other secured borrowings increased to 6.86% for the first nine months of 2009 from 6.22% for the first nine months of 2008.</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31" w:lineRule="exact"/>
        <w:rPr>
          <w:sz w:val="20"/>
          <w:szCs w:val="20"/>
          <w:color w:val="auto"/>
        </w:rPr>
      </w:pPr>
    </w:p>
    <w:p>
      <w:pPr>
        <w:ind w:right="20" w:firstLine="439"/>
        <w:spacing w:after="0" w:line="291" w:lineRule="auto"/>
        <w:rPr>
          <w:sz w:val="20"/>
          <w:szCs w:val="20"/>
          <w:color w:val="auto"/>
        </w:rPr>
      </w:pPr>
      <w:r>
        <w:rPr>
          <w:rFonts w:ascii="Arial" w:cs="Arial" w:eastAsia="Arial" w:hAnsi="Arial"/>
          <w:sz w:val="16"/>
          <w:szCs w:val="16"/>
          <w:color w:val="auto"/>
        </w:rPr>
        <w:t>Our ability to measure and report our operating results and financial position is significantly influenced by the need to estimate the impact or outcome of risks in the marketplace or other future events. Our critical accounting policies are those that relate to the estimation and measurement of these risks. Because they inherently involve significant judgments and uncertainties, an understanding of these policies is fundamental to understanding Management’s Discussion and Analysis of Results of Operations and Financial Condition. Our significant accounting policies are discussed in detail on pages 24 through 27 of Management’s Discussion and Analysis of Results of Operations and Financial Condition and in Note 1 of our Consolidated Financial Statements for the year ended December 31, 2008 included in Exhibit 99.1 on Form 8-K filed July 16, 2009. Such policies have not changed during 2009.</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AND CHANGES IN FINANCIAL CONDITION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Operations Summary</w:t>
      </w:r>
    </w:p>
    <w:p>
      <w:pPr>
        <w:spacing w:after="0" w:line="231"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The following table summarizes our consolidated operating results for the periods ended September 30, 2009 and 2008. We have provided a more complete discussion of operating results by line of business in the Segments section.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8"/>
                <w:szCs w:val="18"/>
                <w:b w:val="1"/>
                <w:bCs w:val="1"/>
                <w:color w:val="auto"/>
                <w:w w:val="89"/>
              </w:rPr>
              <w:t>Three months</w:t>
            </w:r>
          </w:p>
        </w:tc>
        <w:tc>
          <w:tcPr>
            <w:tcW w:w="84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4"/>
          </w:tcPr>
          <w:p>
            <w:pPr>
              <w:jc w:val="right"/>
              <w:ind w:right="360"/>
              <w:spacing w:after="0"/>
              <w:rPr>
                <w:sz w:val="20"/>
                <w:szCs w:val="20"/>
                <w:color w:val="auto"/>
              </w:rPr>
            </w:pPr>
            <w:r>
              <w:rPr>
                <w:rFonts w:ascii="Arial" w:cs="Arial" w:eastAsia="Arial" w:hAnsi="Arial"/>
                <w:sz w:val="18"/>
                <w:szCs w:val="18"/>
                <w:b w:val="1"/>
                <w:bCs w:val="1"/>
                <w:color w:val="auto"/>
                <w:w w:val="89"/>
              </w:rPr>
              <w:t>Nine months</w:t>
            </w:r>
          </w:p>
        </w:tc>
        <w:tc>
          <w:tcPr>
            <w:tcW w:w="7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ind w:right="252"/>
              <w:spacing w:after="0" w:line="201" w:lineRule="exact"/>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jc w:val="right"/>
              <w:ind w:right="212"/>
              <w:spacing w:after="0" w:line="201" w:lineRule="exact"/>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ind w:right="152"/>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ind w:right="152"/>
              <w:spacing w:after="0"/>
              <w:rPr>
                <w:sz w:val="20"/>
                <w:szCs w:val="20"/>
                <w:color w:val="auto"/>
              </w:rPr>
            </w:pPr>
            <w:r>
              <w:rPr>
                <w:rFonts w:ascii="Arial" w:cs="Arial" w:eastAsia="Arial" w:hAnsi="Arial"/>
                <w:sz w:val="18"/>
                <w:szCs w:val="18"/>
                <w:b w:val="1"/>
                <w:bCs w:val="1"/>
                <w:color w:val="auto"/>
                <w:w w:val="99"/>
              </w:rPr>
              <w:t>2008</w:t>
            </w:r>
          </w:p>
        </w:tc>
        <w:tc>
          <w:tcPr>
            <w:tcW w:w="240" w:type="dxa"/>
            <w:vAlign w:val="bottom"/>
          </w:tcPr>
          <w:p>
            <w:pPr>
              <w:spacing w:after="0"/>
              <w:rPr>
                <w:sz w:val="20"/>
                <w:szCs w:val="20"/>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Change</w:t>
            </w:r>
          </w:p>
        </w:tc>
        <w:tc>
          <w:tcPr>
            <w:tcW w:w="200" w:type="dxa"/>
            <w:vAlign w:val="bottom"/>
          </w:tcPr>
          <w:p>
            <w:pPr>
              <w:spacing w:after="0"/>
              <w:rPr>
                <w:sz w:val="20"/>
                <w:szCs w:val="20"/>
                <w:color w:val="auto"/>
              </w:rPr>
            </w:pPr>
          </w:p>
        </w:tc>
        <w:tc>
          <w:tcPr>
            <w:tcW w:w="780" w:type="dxa"/>
            <w:vAlign w:val="bottom"/>
          </w:tcPr>
          <w:p>
            <w:pPr>
              <w:jc w:val="right"/>
              <w:ind w:right="232"/>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232"/>
              <w:spacing w:after="0"/>
              <w:rPr>
                <w:sz w:val="20"/>
                <w:szCs w:val="20"/>
                <w:color w:val="auto"/>
              </w:rPr>
            </w:pPr>
            <w:r>
              <w:rPr>
                <w:rFonts w:ascii="Arial" w:cs="Arial" w:eastAsia="Arial" w:hAnsi="Arial"/>
                <w:sz w:val="18"/>
                <w:szCs w:val="18"/>
                <w:b w:val="1"/>
                <w:bCs w:val="1"/>
                <w:color w:val="auto"/>
              </w:rPr>
              <w:t>2008</w:t>
            </w:r>
          </w:p>
        </w:tc>
        <w:tc>
          <w:tcPr>
            <w:tcW w:w="240" w:type="dxa"/>
            <w:vAlign w:val="bottom"/>
          </w:tcPr>
          <w:p>
            <w:pPr>
              <w:spacing w:after="0"/>
              <w:rPr>
                <w:sz w:val="20"/>
                <w:szCs w:val="20"/>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6"/>
              </w:rPr>
              <w:t>Change</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520" w:type="dxa"/>
            <w:vAlign w:val="bottom"/>
            <w:shd w:val="clear" w:color="auto" w:fill="EAF9E8"/>
          </w:tcPr>
          <w:p>
            <w:pPr>
              <w:spacing w:after="0"/>
              <w:rPr>
                <w:sz w:val="20"/>
                <w:szCs w:val="20"/>
                <w:color w:val="auto"/>
              </w:rPr>
            </w:pPr>
            <w:r>
              <w:rPr>
                <w:rFonts w:ascii="Arial" w:cs="Arial" w:eastAsia="Arial" w:hAnsi="Arial"/>
                <w:sz w:val="18"/>
                <w:szCs w:val="18"/>
                <w:color w:val="auto"/>
              </w:rPr>
              <w:t>Consolidated:</w:t>
            </w:r>
          </w:p>
        </w:tc>
        <w:tc>
          <w:tcPr>
            <w:tcW w:w="220" w:type="dxa"/>
            <w:vAlign w:val="bottom"/>
            <w:shd w:val="clear" w:color="auto" w:fill="EAF9E8"/>
          </w:tcPr>
          <w:p>
            <w:pPr>
              <w:spacing w:after="0"/>
              <w:rPr>
                <w:sz w:val="21"/>
                <w:szCs w:val="21"/>
                <w:color w:val="auto"/>
              </w:rPr>
            </w:pPr>
          </w:p>
        </w:tc>
        <w:tc>
          <w:tcPr>
            <w:tcW w:w="160" w:type="dxa"/>
            <w:vAlign w:val="bottom"/>
            <w:tcBorders>
              <w:top w:val="single" w:sz="8" w:color="auto"/>
            </w:tcBorders>
            <w:shd w:val="clear" w:color="auto" w:fill="EAF9E8"/>
          </w:tcPr>
          <w:p>
            <w:pPr>
              <w:spacing w:after="0"/>
              <w:rPr>
                <w:sz w:val="21"/>
                <w:szCs w:val="21"/>
                <w:color w:val="auto"/>
              </w:rPr>
            </w:pPr>
          </w:p>
        </w:tc>
        <w:tc>
          <w:tcPr>
            <w:tcW w:w="680" w:type="dxa"/>
            <w:vAlign w:val="bottom"/>
            <w:tcBorders>
              <w:top w:val="single" w:sz="8" w:color="auto"/>
            </w:tcBorders>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180" w:type="dxa"/>
            <w:vAlign w:val="bottom"/>
            <w:tcBorders>
              <w:top w:val="single" w:sz="8" w:color="auto"/>
            </w:tcBorders>
            <w:shd w:val="clear" w:color="auto" w:fill="EAF9E8"/>
          </w:tcPr>
          <w:p>
            <w:pPr>
              <w:spacing w:after="0"/>
              <w:rPr>
                <w:sz w:val="21"/>
                <w:szCs w:val="21"/>
                <w:color w:val="auto"/>
              </w:rPr>
            </w:pPr>
          </w:p>
        </w:tc>
        <w:tc>
          <w:tcPr>
            <w:tcW w:w="660" w:type="dxa"/>
            <w:vAlign w:val="bottom"/>
            <w:tcBorders>
              <w:top w:val="single" w:sz="8" w:color="auto"/>
            </w:tcBorders>
            <w:shd w:val="clear" w:color="auto" w:fill="EAF9E8"/>
          </w:tcPr>
          <w:p>
            <w:pPr>
              <w:spacing w:after="0"/>
              <w:rPr>
                <w:sz w:val="21"/>
                <w:szCs w:val="21"/>
                <w:color w:val="auto"/>
              </w:rPr>
            </w:pPr>
          </w:p>
        </w:tc>
        <w:tc>
          <w:tcPr>
            <w:tcW w:w="240" w:type="dxa"/>
            <w:vAlign w:val="bottom"/>
            <w:shd w:val="clear" w:color="auto" w:fill="EAF9E8"/>
          </w:tcPr>
          <w:p>
            <w:pPr>
              <w:spacing w:after="0"/>
              <w:rPr>
                <w:sz w:val="21"/>
                <w:szCs w:val="21"/>
                <w:color w:val="auto"/>
              </w:rPr>
            </w:pPr>
          </w:p>
        </w:tc>
        <w:tc>
          <w:tcPr>
            <w:tcW w:w="840" w:type="dxa"/>
            <w:vAlign w:val="bottom"/>
            <w:tcBorders>
              <w:top w:val="single" w:sz="8" w:color="auto"/>
            </w:tcBorders>
            <w:shd w:val="clear" w:color="auto" w:fill="EAF9E8"/>
          </w:tcPr>
          <w:p>
            <w:pPr>
              <w:spacing w:after="0"/>
              <w:rPr>
                <w:sz w:val="21"/>
                <w:szCs w:val="21"/>
                <w:color w:val="auto"/>
              </w:rPr>
            </w:pPr>
          </w:p>
        </w:tc>
        <w:tc>
          <w:tcPr>
            <w:tcW w:w="260" w:type="dxa"/>
            <w:vAlign w:val="bottom"/>
            <w:shd w:val="clear" w:color="auto" w:fill="EAF9E8"/>
          </w:tcPr>
          <w:p>
            <w:pPr>
              <w:spacing w:after="0"/>
              <w:rPr>
                <w:sz w:val="21"/>
                <w:szCs w:val="21"/>
                <w:color w:val="auto"/>
              </w:rPr>
            </w:pPr>
          </w:p>
        </w:tc>
        <w:tc>
          <w:tcPr>
            <w:tcW w:w="200" w:type="dxa"/>
            <w:vAlign w:val="bottom"/>
            <w:tcBorders>
              <w:top w:val="single" w:sz="8" w:color="auto"/>
            </w:tcBorders>
            <w:shd w:val="clear" w:color="auto" w:fill="EAF9E8"/>
          </w:tcPr>
          <w:p>
            <w:pPr>
              <w:spacing w:after="0"/>
              <w:rPr>
                <w:sz w:val="21"/>
                <w:szCs w:val="21"/>
                <w:color w:val="auto"/>
              </w:rPr>
            </w:pPr>
          </w:p>
        </w:tc>
        <w:tc>
          <w:tcPr>
            <w:tcW w:w="780" w:type="dxa"/>
            <w:vAlign w:val="bottom"/>
            <w:tcBorders>
              <w:top w:val="single" w:sz="8" w:color="auto"/>
            </w:tcBorders>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200" w:type="dxa"/>
            <w:vAlign w:val="bottom"/>
            <w:tcBorders>
              <w:top w:val="single" w:sz="8" w:color="auto"/>
            </w:tcBorders>
            <w:shd w:val="clear" w:color="auto" w:fill="EAF9E8"/>
          </w:tcPr>
          <w:p>
            <w:pPr>
              <w:spacing w:after="0"/>
              <w:rPr>
                <w:sz w:val="21"/>
                <w:szCs w:val="21"/>
                <w:color w:val="auto"/>
              </w:rPr>
            </w:pPr>
          </w:p>
        </w:tc>
        <w:tc>
          <w:tcPr>
            <w:tcW w:w="800" w:type="dxa"/>
            <w:vAlign w:val="bottom"/>
            <w:tcBorders>
              <w:top w:val="single" w:sz="8" w:color="auto"/>
            </w:tcBorders>
            <w:shd w:val="clear" w:color="auto" w:fill="EAF9E8"/>
          </w:tcPr>
          <w:p>
            <w:pPr>
              <w:spacing w:after="0"/>
              <w:rPr>
                <w:sz w:val="21"/>
                <w:szCs w:val="21"/>
                <w:color w:val="auto"/>
              </w:rPr>
            </w:pPr>
          </w:p>
        </w:tc>
        <w:tc>
          <w:tcPr>
            <w:tcW w:w="240" w:type="dxa"/>
            <w:vAlign w:val="bottom"/>
            <w:shd w:val="clear" w:color="auto" w:fill="EAF9E8"/>
          </w:tcPr>
          <w:p>
            <w:pPr>
              <w:spacing w:after="0"/>
              <w:rPr>
                <w:sz w:val="21"/>
                <w:szCs w:val="21"/>
                <w:color w:val="auto"/>
              </w:rPr>
            </w:pPr>
          </w:p>
        </w:tc>
        <w:tc>
          <w:tcPr>
            <w:tcW w:w="760" w:type="dxa"/>
            <w:vAlign w:val="bottom"/>
            <w:tcBorders>
              <w:top w:val="single" w:sz="8" w:color="auto"/>
            </w:tcBorders>
            <w:shd w:val="clear" w:color="auto" w:fill="EAF9E8"/>
          </w:tcPr>
          <w:p>
            <w:pPr>
              <w:spacing w:after="0"/>
              <w:rPr>
                <w:sz w:val="21"/>
                <w:szCs w:val="21"/>
                <w:color w:val="auto"/>
              </w:rPr>
            </w:pPr>
          </w:p>
        </w:tc>
        <w:tc>
          <w:tcPr>
            <w:tcW w:w="2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520" w:type="dxa"/>
            <w:vAlign w:val="bottom"/>
          </w:tcPr>
          <w:p>
            <w:pPr>
              <w:ind w:left="140"/>
              <w:spacing w:after="0"/>
              <w:rPr>
                <w:sz w:val="20"/>
                <w:szCs w:val="20"/>
                <w:color w:val="auto"/>
              </w:rPr>
            </w:pPr>
            <w:r>
              <w:rPr>
                <w:rFonts w:ascii="Arial" w:cs="Arial" w:eastAsia="Arial" w:hAnsi="Arial"/>
                <w:sz w:val="18"/>
                <w:szCs w:val="18"/>
                <w:color w:val="auto"/>
              </w:rPr>
              <w:t>Revenue</w:t>
            </w:r>
          </w:p>
        </w:tc>
        <w:tc>
          <w:tcPr>
            <w:tcW w:w="38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83,352</w:t>
            </w:r>
          </w:p>
        </w:tc>
        <w:tc>
          <w:tcPr>
            <w:tcW w:w="100" w:type="dxa"/>
            <w:vAlign w:val="bottom"/>
          </w:tcPr>
          <w:p>
            <w:pPr>
              <w:spacing w:after="0"/>
              <w:rPr>
                <w:sz w:val="21"/>
                <w:szCs w:val="21"/>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121,261</w:t>
            </w:r>
          </w:p>
        </w:tc>
        <w:tc>
          <w:tcPr>
            <w:tcW w:w="1300" w:type="dxa"/>
            <w:vAlign w:val="bottom"/>
            <w:gridSpan w:val="3"/>
          </w:tcPr>
          <w:p>
            <w:pPr>
              <w:jc w:val="right"/>
              <w:ind w:right="12"/>
              <w:spacing w:after="0"/>
              <w:rPr>
                <w:sz w:val="20"/>
                <w:szCs w:val="20"/>
                <w:color w:val="auto"/>
              </w:rPr>
            </w:pPr>
            <w:r>
              <w:rPr>
                <w:rFonts w:ascii="Arial" w:cs="Arial" w:eastAsia="Arial" w:hAnsi="Arial"/>
                <w:sz w:val="18"/>
                <w:szCs w:val="18"/>
                <w:color w:val="auto"/>
              </w:rPr>
              <w:t>(31)% $</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307,121</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380,737</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520" w:type="dxa"/>
            <w:vAlign w:val="bottom"/>
            <w:shd w:val="clear" w:color="auto" w:fill="EAF9E8"/>
          </w:tcPr>
          <w:p>
            <w:pPr>
              <w:ind w:left="140"/>
              <w:spacing w:after="0"/>
              <w:rPr>
                <w:sz w:val="20"/>
                <w:szCs w:val="20"/>
                <w:color w:val="auto"/>
              </w:rPr>
            </w:pPr>
            <w:r>
              <w:rPr>
                <w:rFonts w:ascii="Arial" w:cs="Arial" w:eastAsia="Arial" w:hAnsi="Arial"/>
                <w:sz w:val="18"/>
                <w:szCs w:val="18"/>
                <w:color w:val="auto"/>
              </w:rPr>
              <w:t>Operating expenses</w:t>
            </w:r>
          </w:p>
        </w:tc>
        <w:tc>
          <w:tcPr>
            <w:tcW w:w="22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6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53,373</w:t>
            </w:r>
          </w:p>
        </w:tc>
        <w:tc>
          <w:tcPr>
            <w:tcW w:w="10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180" w:type="dxa"/>
            <w:vAlign w:val="bottom"/>
            <w:shd w:val="clear" w:color="auto" w:fill="EAF9E8"/>
          </w:tcPr>
          <w:p>
            <w:pPr>
              <w:spacing w:after="0"/>
              <w:rPr>
                <w:sz w:val="21"/>
                <w:szCs w:val="21"/>
                <w:color w:val="auto"/>
              </w:rPr>
            </w:pPr>
          </w:p>
        </w:tc>
        <w:tc>
          <w:tcPr>
            <w:tcW w:w="90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77,458</w:t>
            </w:r>
          </w:p>
        </w:tc>
        <w:tc>
          <w:tcPr>
            <w:tcW w:w="110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(31)</w:t>
            </w:r>
          </w:p>
        </w:tc>
        <w:tc>
          <w:tcPr>
            <w:tcW w:w="200" w:type="dxa"/>
            <w:vAlign w:val="bottom"/>
            <w:shd w:val="clear" w:color="auto" w:fill="EAF9E8"/>
          </w:tcPr>
          <w:p>
            <w:pPr>
              <w:spacing w:after="0"/>
              <w:rPr>
                <w:sz w:val="21"/>
                <w:szCs w:val="21"/>
                <w:color w:val="auto"/>
              </w:rPr>
            </w:pPr>
          </w:p>
        </w:tc>
        <w:tc>
          <w:tcPr>
            <w:tcW w:w="8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198,289</w:t>
            </w:r>
          </w:p>
        </w:tc>
        <w:tc>
          <w:tcPr>
            <w:tcW w:w="120" w:type="dxa"/>
            <w:vAlign w:val="bottom"/>
            <w:shd w:val="clear" w:color="auto" w:fill="EAF9E8"/>
          </w:tcPr>
          <w:p>
            <w:pPr>
              <w:spacing w:after="0"/>
              <w:rPr>
                <w:sz w:val="21"/>
                <w:szCs w:val="21"/>
                <w:color w:val="auto"/>
              </w:rPr>
            </w:pPr>
          </w:p>
        </w:tc>
        <w:tc>
          <w:tcPr>
            <w:tcW w:w="200" w:type="dxa"/>
            <w:vAlign w:val="bottom"/>
            <w:shd w:val="clear" w:color="auto" w:fill="EAF9E8"/>
          </w:tcPr>
          <w:p>
            <w:pPr>
              <w:spacing w:after="0"/>
              <w:rPr>
                <w:sz w:val="21"/>
                <w:szCs w:val="21"/>
                <w:color w:val="auto"/>
              </w:rPr>
            </w:pPr>
          </w:p>
        </w:tc>
        <w:tc>
          <w:tcPr>
            <w:tcW w:w="104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246,799</w:t>
            </w:r>
          </w:p>
        </w:tc>
        <w:tc>
          <w:tcPr>
            <w:tcW w:w="98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4520" w:type="dxa"/>
            <w:vAlign w:val="bottom"/>
          </w:tcPr>
          <w:p>
            <w:pPr>
              <w:ind w:left="140"/>
              <w:spacing w:after="0"/>
              <w:rPr>
                <w:sz w:val="20"/>
                <w:szCs w:val="20"/>
                <w:color w:val="auto"/>
              </w:rPr>
            </w:pPr>
            <w:r>
              <w:rPr>
                <w:rFonts w:ascii="Arial" w:cs="Arial" w:eastAsia="Arial" w:hAnsi="Arial"/>
                <w:sz w:val="18"/>
                <w:szCs w:val="18"/>
                <w:color w:val="auto"/>
              </w:rPr>
              <w:t>Income from operations</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29,979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43,803</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108,832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133,938</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520" w:type="dxa"/>
            <w:vAlign w:val="bottom"/>
            <w:shd w:val="clear" w:color="auto" w:fill="EAF9E8"/>
          </w:tcPr>
          <w:p>
            <w:pPr>
              <w:ind w:left="140"/>
              <w:spacing w:after="0"/>
              <w:rPr>
                <w:sz w:val="20"/>
                <w:szCs w:val="20"/>
                <w:color w:val="auto"/>
              </w:rPr>
            </w:pPr>
            <w:r>
              <w:rPr>
                <w:rFonts w:ascii="Arial" w:cs="Arial" w:eastAsia="Arial" w:hAnsi="Arial"/>
                <w:sz w:val="18"/>
                <w:szCs w:val="18"/>
                <w:color w:val="auto"/>
              </w:rPr>
              <w:t>Other income (expense), net</w:t>
            </w:r>
          </w:p>
        </w:tc>
        <w:tc>
          <w:tcPr>
            <w:tcW w:w="22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78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(6,521)</w:t>
            </w:r>
          </w:p>
        </w:tc>
        <w:tc>
          <w:tcPr>
            <w:tcW w:w="120" w:type="dxa"/>
            <w:vAlign w:val="bottom"/>
            <w:shd w:val="clear" w:color="auto" w:fill="EAF9E8"/>
          </w:tcPr>
          <w:p>
            <w:pPr>
              <w:spacing w:after="0"/>
              <w:rPr>
                <w:sz w:val="21"/>
                <w:szCs w:val="21"/>
                <w:color w:val="auto"/>
              </w:rPr>
            </w:pPr>
          </w:p>
        </w:tc>
        <w:tc>
          <w:tcPr>
            <w:tcW w:w="180" w:type="dxa"/>
            <w:vAlign w:val="bottom"/>
            <w:shd w:val="clear" w:color="auto" w:fill="EAF9E8"/>
          </w:tcPr>
          <w:p>
            <w:pPr>
              <w:spacing w:after="0"/>
              <w:rPr>
                <w:sz w:val="21"/>
                <w:szCs w:val="21"/>
                <w:color w:val="auto"/>
              </w:rPr>
            </w:pPr>
          </w:p>
        </w:tc>
        <w:tc>
          <w:tcPr>
            <w:tcW w:w="90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(20,393)</w:t>
            </w:r>
          </w:p>
        </w:tc>
        <w:tc>
          <w:tcPr>
            <w:tcW w:w="110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(68)</w:t>
            </w:r>
          </w:p>
        </w:tc>
        <w:tc>
          <w:tcPr>
            <w:tcW w:w="200" w:type="dxa"/>
            <w:vAlign w:val="bottom"/>
            <w:shd w:val="clear" w:color="auto" w:fill="EAF9E8"/>
          </w:tcPr>
          <w:p>
            <w:pPr>
              <w:spacing w:after="0"/>
              <w:rPr>
                <w:sz w:val="21"/>
                <w:szCs w:val="21"/>
                <w:color w:val="auto"/>
              </w:rPr>
            </w:pPr>
          </w:p>
        </w:tc>
        <w:tc>
          <w:tcPr>
            <w:tcW w:w="88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(35,765)</w:t>
            </w:r>
          </w:p>
        </w:tc>
        <w:tc>
          <w:tcPr>
            <w:tcW w:w="120" w:type="dxa"/>
            <w:vAlign w:val="bottom"/>
            <w:shd w:val="clear" w:color="auto" w:fill="EAF9E8"/>
          </w:tcPr>
          <w:p>
            <w:pPr>
              <w:spacing w:after="0"/>
              <w:rPr>
                <w:sz w:val="21"/>
                <w:szCs w:val="21"/>
                <w:color w:val="auto"/>
              </w:rPr>
            </w:pPr>
          </w:p>
        </w:tc>
        <w:tc>
          <w:tcPr>
            <w:tcW w:w="200" w:type="dxa"/>
            <w:vAlign w:val="bottom"/>
            <w:shd w:val="clear" w:color="auto" w:fill="EAF9E8"/>
          </w:tcPr>
          <w:p>
            <w:pPr>
              <w:spacing w:after="0"/>
              <w:rPr>
                <w:sz w:val="21"/>
                <w:szCs w:val="21"/>
                <w:color w:val="auto"/>
              </w:rPr>
            </w:pPr>
          </w:p>
        </w:tc>
        <w:tc>
          <w:tcPr>
            <w:tcW w:w="104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(98,999)</w:t>
            </w:r>
          </w:p>
        </w:tc>
        <w:tc>
          <w:tcPr>
            <w:tcW w:w="98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4520" w:type="dxa"/>
            <w:vAlign w:val="bottom"/>
          </w:tcPr>
          <w:p>
            <w:pPr>
              <w:ind w:left="140"/>
              <w:spacing w:after="0"/>
              <w:rPr>
                <w:sz w:val="20"/>
                <w:szCs w:val="20"/>
                <w:color w:val="auto"/>
              </w:rPr>
            </w:pPr>
            <w:r>
              <w:rPr>
                <w:rFonts w:ascii="Arial" w:cs="Arial" w:eastAsia="Arial" w:hAnsi="Arial"/>
                <w:sz w:val="18"/>
                <w:szCs w:val="18"/>
                <w:color w:val="auto"/>
              </w:rPr>
              <w:t>Income from continuing operations before taxes</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23,458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23,410</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73,067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34,939</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520" w:type="dxa"/>
            <w:vAlign w:val="bottom"/>
            <w:shd w:val="clear" w:color="auto" w:fill="EAF9E8"/>
          </w:tcPr>
          <w:p>
            <w:pPr>
              <w:ind w:left="140"/>
              <w:spacing w:after="0"/>
              <w:rPr>
                <w:sz w:val="20"/>
                <w:szCs w:val="20"/>
                <w:color w:val="auto"/>
              </w:rPr>
            </w:pPr>
            <w:r>
              <w:rPr>
                <w:rFonts w:ascii="Arial" w:cs="Arial" w:eastAsia="Arial" w:hAnsi="Arial"/>
                <w:sz w:val="18"/>
                <w:szCs w:val="18"/>
                <w:color w:val="auto"/>
              </w:rPr>
              <w:t>Income tax expense</w:t>
            </w:r>
          </w:p>
        </w:tc>
        <w:tc>
          <w:tcPr>
            <w:tcW w:w="22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6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65,294</w:t>
            </w:r>
          </w:p>
        </w:tc>
        <w:tc>
          <w:tcPr>
            <w:tcW w:w="10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180" w:type="dxa"/>
            <w:vAlign w:val="bottom"/>
            <w:shd w:val="clear" w:color="auto" w:fill="EAF9E8"/>
          </w:tcPr>
          <w:p>
            <w:pPr>
              <w:spacing w:after="0"/>
              <w:rPr>
                <w:sz w:val="21"/>
                <w:szCs w:val="21"/>
                <w:color w:val="auto"/>
              </w:rPr>
            </w:pPr>
          </w:p>
        </w:tc>
        <w:tc>
          <w:tcPr>
            <w:tcW w:w="90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8,330</w:t>
            </w:r>
          </w:p>
        </w:tc>
        <w:tc>
          <w:tcPr>
            <w:tcW w:w="110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nm</w:t>
            </w:r>
          </w:p>
        </w:tc>
        <w:tc>
          <w:tcPr>
            <w:tcW w:w="200" w:type="dxa"/>
            <w:vAlign w:val="bottom"/>
            <w:shd w:val="clear" w:color="auto" w:fill="EAF9E8"/>
          </w:tcPr>
          <w:p>
            <w:pPr>
              <w:spacing w:after="0"/>
              <w:rPr>
                <w:sz w:val="21"/>
                <w:szCs w:val="21"/>
                <w:color w:val="auto"/>
              </w:rPr>
            </w:pPr>
          </w:p>
        </w:tc>
        <w:tc>
          <w:tcPr>
            <w:tcW w:w="8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82,803</w:t>
            </w:r>
          </w:p>
        </w:tc>
        <w:tc>
          <w:tcPr>
            <w:tcW w:w="120" w:type="dxa"/>
            <w:vAlign w:val="bottom"/>
            <w:shd w:val="clear" w:color="auto" w:fill="EAF9E8"/>
          </w:tcPr>
          <w:p>
            <w:pPr>
              <w:spacing w:after="0"/>
              <w:rPr>
                <w:sz w:val="21"/>
                <w:szCs w:val="21"/>
                <w:color w:val="auto"/>
              </w:rPr>
            </w:pPr>
          </w:p>
        </w:tc>
        <w:tc>
          <w:tcPr>
            <w:tcW w:w="200" w:type="dxa"/>
            <w:vAlign w:val="bottom"/>
            <w:shd w:val="clear" w:color="auto" w:fill="EAF9E8"/>
          </w:tcPr>
          <w:p>
            <w:pPr>
              <w:spacing w:after="0"/>
              <w:rPr>
                <w:sz w:val="21"/>
                <w:szCs w:val="21"/>
                <w:color w:val="auto"/>
              </w:rPr>
            </w:pPr>
          </w:p>
        </w:tc>
        <w:tc>
          <w:tcPr>
            <w:tcW w:w="104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11,693</w:t>
            </w:r>
          </w:p>
        </w:tc>
        <w:tc>
          <w:tcPr>
            <w:tcW w:w="98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4520" w:type="dxa"/>
            <w:vAlign w:val="bottom"/>
          </w:tcPr>
          <w:p>
            <w:pPr>
              <w:ind w:left="140"/>
              <w:spacing w:after="0"/>
              <w:rPr>
                <w:sz w:val="20"/>
                <w:szCs w:val="20"/>
                <w:color w:val="auto"/>
              </w:rPr>
            </w:pPr>
            <w:r>
              <w:rPr>
                <w:rFonts w:ascii="Arial" w:cs="Arial" w:eastAsia="Arial" w:hAnsi="Arial"/>
                <w:sz w:val="18"/>
                <w:szCs w:val="18"/>
                <w:color w:val="auto"/>
              </w:rPr>
              <w:t>Income from continuing operations</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(41,836)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15,080</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nm</w:t>
            </w:r>
          </w:p>
        </w:tc>
        <w:tc>
          <w:tcPr>
            <w:tcW w:w="20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(9,736)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23,246</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520" w:type="dxa"/>
            <w:vAlign w:val="bottom"/>
            <w:shd w:val="clear" w:color="auto" w:fill="EAF9E8"/>
          </w:tcPr>
          <w:p>
            <w:pPr>
              <w:ind w:left="140"/>
              <w:spacing w:after="0"/>
              <w:rPr>
                <w:sz w:val="20"/>
                <w:szCs w:val="20"/>
                <w:color w:val="auto"/>
              </w:rPr>
            </w:pPr>
            <w:r>
              <w:rPr>
                <w:rFonts w:ascii="Arial" w:cs="Arial" w:eastAsia="Arial" w:hAnsi="Arial"/>
                <w:sz w:val="18"/>
                <w:szCs w:val="18"/>
                <w:color w:val="auto"/>
                <w:w w:val="97"/>
              </w:rPr>
              <w:t>Income (loss) from discontinued operations, net of taxes</w:t>
            </w:r>
          </w:p>
        </w:tc>
        <w:tc>
          <w:tcPr>
            <w:tcW w:w="22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78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(231)</w:t>
            </w:r>
          </w:p>
        </w:tc>
        <w:tc>
          <w:tcPr>
            <w:tcW w:w="120" w:type="dxa"/>
            <w:vAlign w:val="bottom"/>
            <w:shd w:val="clear" w:color="auto" w:fill="EAF9E8"/>
          </w:tcPr>
          <w:p>
            <w:pPr>
              <w:spacing w:after="0"/>
              <w:rPr>
                <w:sz w:val="21"/>
                <w:szCs w:val="21"/>
                <w:color w:val="auto"/>
              </w:rPr>
            </w:pPr>
          </w:p>
        </w:tc>
        <w:tc>
          <w:tcPr>
            <w:tcW w:w="180" w:type="dxa"/>
            <w:vAlign w:val="bottom"/>
            <w:shd w:val="clear" w:color="auto" w:fill="EAF9E8"/>
          </w:tcPr>
          <w:p>
            <w:pPr>
              <w:spacing w:after="0"/>
              <w:rPr>
                <w:sz w:val="21"/>
                <w:szCs w:val="21"/>
                <w:color w:val="auto"/>
              </w:rPr>
            </w:pPr>
          </w:p>
        </w:tc>
        <w:tc>
          <w:tcPr>
            <w:tcW w:w="90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(186)</w:t>
            </w:r>
          </w:p>
        </w:tc>
        <w:tc>
          <w:tcPr>
            <w:tcW w:w="8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24</w:t>
            </w:r>
          </w:p>
        </w:tc>
        <w:tc>
          <w:tcPr>
            <w:tcW w:w="260" w:type="dxa"/>
            <w:vAlign w:val="bottom"/>
            <w:shd w:val="clear" w:color="auto" w:fill="EAF9E8"/>
          </w:tcPr>
          <w:p>
            <w:pPr>
              <w:spacing w:after="0"/>
              <w:rPr>
                <w:sz w:val="21"/>
                <w:szCs w:val="21"/>
                <w:color w:val="auto"/>
              </w:rPr>
            </w:pPr>
          </w:p>
        </w:tc>
        <w:tc>
          <w:tcPr>
            <w:tcW w:w="200" w:type="dxa"/>
            <w:vAlign w:val="bottom"/>
            <w:shd w:val="clear" w:color="auto" w:fill="EAF9E8"/>
          </w:tcPr>
          <w:p>
            <w:pPr>
              <w:spacing w:after="0"/>
              <w:rPr>
                <w:sz w:val="21"/>
                <w:szCs w:val="21"/>
                <w:color w:val="auto"/>
              </w:rPr>
            </w:pPr>
          </w:p>
        </w:tc>
        <w:tc>
          <w:tcPr>
            <w:tcW w:w="8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633</w:t>
            </w:r>
          </w:p>
        </w:tc>
        <w:tc>
          <w:tcPr>
            <w:tcW w:w="120" w:type="dxa"/>
            <w:vAlign w:val="bottom"/>
            <w:shd w:val="clear" w:color="auto" w:fill="EAF9E8"/>
          </w:tcPr>
          <w:p>
            <w:pPr>
              <w:spacing w:after="0"/>
              <w:rPr>
                <w:sz w:val="21"/>
                <w:szCs w:val="21"/>
                <w:color w:val="auto"/>
              </w:rPr>
            </w:pPr>
          </w:p>
        </w:tc>
        <w:tc>
          <w:tcPr>
            <w:tcW w:w="200" w:type="dxa"/>
            <w:vAlign w:val="bottom"/>
            <w:shd w:val="clear" w:color="auto" w:fill="EAF9E8"/>
          </w:tcPr>
          <w:p>
            <w:pPr>
              <w:spacing w:after="0"/>
              <w:rPr>
                <w:sz w:val="21"/>
                <w:szCs w:val="21"/>
                <w:color w:val="auto"/>
              </w:rPr>
            </w:pPr>
          </w:p>
        </w:tc>
        <w:tc>
          <w:tcPr>
            <w:tcW w:w="104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(5,572)</w:t>
            </w:r>
          </w:p>
        </w:tc>
        <w:tc>
          <w:tcPr>
            <w:tcW w:w="98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4520" w:type="dxa"/>
            <w:vAlign w:val="bottom"/>
          </w:tcPr>
          <w:p>
            <w:pPr>
              <w:ind w:left="140"/>
              <w:spacing w:after="0"/>
              <w:rPr>
                <w:sz w:val="20"/>
                <w:szCs w:val="20"/>
                <w:color w:val="auto"/>
              </w:rPr>
            </w:pPr>
            <w:r>
              <w:rPr>
                <w:rFonts w:ascii="Arial" w:cs="Arial" w:eastAsia="Arial" w:hAnsi="Arial"/>
                <w:sz w:val="18"/>
                <w:szCs w:val="18"/>
                <w:color w:val="auto"/>
              </w:rPr>
              <w:t>Net income (loss)</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(42,067)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14,894</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nm</w:t>
            </w:r>
          </w:p>
        </w:tc>
        <w:tc>
          <w:tcPr>
            <w:tcW w:w="20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(9,103)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17,674</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20" w:type="dxa"/>
            <w:vAlign w:val="bottom"/>
            <w:shd w:val="clear" w:color="auto" w:fill="EAF9E8"/>
          </w:tcPr>
          <w:p>
            <w:pPr>
              <w:ind w:left="140"/>
              <w:spacing w:after="0"/>
              <w:rPr>
                <w:sz w:val="20"/>
                <w:szCs w:val="20"/>
                <w:color w:val="auto"/>
              </w:rPr>
            </w:pPr>
            <w:r>
              <w:rPr>
                <w:rFonts w:ascii="Arial" w:cs="Arial" w:eastAsia="Arial" w:hAnsi="Arial"/>
                <w:sz w:val="18"/>
                <w:szCs w:val="18"/>
                <w:color w:val="auto"/>
                <w:w w:val="94"/>
              </w:rPr>
              <w:t>Net loss (income) attributable to non-controlling interest in</w:t>
            </w:r>
          </w:p>
        </w:tc>
        <w:tc>
          <w:tcPr>
            <w:tcW w:w="2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6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66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84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7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80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76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520" w:type="dxa"/>
            <w:vAlign w:val="bottom"/>
            <w:shd w:val="clear" w:color="auto" w:fill="EAF9E8"/>
          </w:tcPr>
          <w:p>
            <w:pPr>
              <w:ind w:left="300"/>
              <w:spacing w:after="0"/>
              <w:rPr>
                <w:sz w:val="20"/>
                <w:szCs w:val="20"/>
                <w:color w:val="auto"/>
              </w:rPr>
            </w:pPr>
            <w:r>
              <w:rPr>
                <w:rFonts w:ascii="Arial" w:cs="Arial" w:eastAsia="Arial" w:hAnsi="Arial"/>
                <w:sz w:val="18"/>
                <w:szCs w:val="18"/>
                <w:color w:val="auto"/>
              </w:rPr>
              <w:t>subsidiaries</w:t>
            </w:r>
          </w:p>
        </w:tc>
        <w:tc>
          <w:tcPr>
            <w:tcW w:w="22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6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90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82</w:t>
            </w:r>
          </w:p>
        </w:tc>
        <w:tc>
          <w:tcPr>
            <w:tcW w:w="110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(56)</w:t>
            </w:r>
          </w:p>
        </w:tc>
        <w:tc>
          <w:tcPr>
            <w:tcW w:w="200" w:type="dxa"/>
            <w:vAlign w:val="bottom"/>
            <w:shd w:val="clear" w:color="auto" w:fill="EAF9E8"/>
          </w:tcPr>
          <w:p>
            <w:pPr>
              <w:spacing w:after="0"/>
              <w:rPr>
                <w:sz w:val="19"/>
                <w:szCs w:val="19"/>
                <w:color w:val="auto"/>
              </w:rPr>
            </w:pPr>
          </w:p>
        </w:tc>
        <w:tc>
          <w:tcPr>
            <w:tcW w:w="8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11</w:t>
            </w:r>
          </w:p>
        </w:tc>
        <w:tc>
          <w:tcPr>
            <w:tcW w:w="120" w:type="dxa"/>
            <w:vAlign w:val="bottom"/>
            <w:shd w:val="clear" w:color="auto" w:fill="EAF9E8"/>
          </w:tcPr>
          <w:p>
            <w:pPr>
              <w:spacing w:after="0"/>
              <w:rPr>
                <w:sz w:val="19"/>
                <w:szCs w:val="19"/>
                <w:color w:val="auto"/>
              </w:rPr>
            </w:pPr>
          </w:p>
        </w:tc>
        <w:tc>
          <w:tcPr>
            <w:tcW w:w="200" w:type="dxa"/>
            <w:vAlign w:val="bottom"/>
            <w:shd w:val="clear" w:color="auto" w:fill="EAF9E8"/>
          </w:tcPr>
          <w:p>
            <w:pPr>
              <w:spacing w:after="0"/>
              <w:rPr>
                <w:sz w:val="19"/>
                <w:szCs w:val="19"/>
                <w:color w:val="auto"/>
              </w:rPr>
            </w:pPr>
          </w:p>
        </w:tc>
        <w:tc>
          <w:tcPr>
            <w:tcW w:w="104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(143)</w:t>
            </w:r>
          </w:p>
        </w:tc>
        <w:tc>
          <w:tcPr>
            <w:tcW w:w="98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vMerge w:val="restart"/>
          </w:tcPr>
          <w:p>
            <w:pPr>
              <w:ind w:left="140"/>
              <w:spacing w:after="0"/>
              <w:rPr>
                <w:sz w:val="20"/>
                <w:szCs w:val="20"/>
                <w:color w:val="auto"/>
              </w:rPr>
            </w:pPr>
            <w:r>
              <w:rPr>
                <w:rFonts w:ascii="Arial" w:cs="Arial" w:eastAsia="Arial" w:hAnsi="Arial"/>
                <w:sz w:val="18"/>
                <w:szCs w:val="18"/>
                <w:color w:val="auto"/>
              </w:rPr>
              <w:t>Net income (loss) attributable to Ocwen Financial</w:t>
            </w: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45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520" w:type="dxa"/>
            <w:vAlign w:val="bottom"/>
          </w:tcPr>
          <w:p>
            <w:pPr>
              <w:ind w:left="300"/>
              <w:spacing w:after="0"/>
              <w:rPr>
                <w:sz w:val="20"/>
                <w:szCs w:val="20"/>
                <w:color w:val="auto"/>
              </w:rPr>
            </w:pPr>
            <w:r>
              <w:rPr>
                <w:rFonts w:ascii="Arial" w:cs="Arial" w:eastAsia="Arial" w:hAnsi="Arial"/>
                <w:sz w:val="18"/>
                <w:szCs w:val="18"/>
                <w:color w:val="auto"/>
              </w:rPr>
              <w:t>Corporation</w:t>
            </w:r>
          </w:p>
        </w:tc>
        <w:tc>
          <w:tcPr>
            <w:tcW w:w="38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(42,031)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14,976</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nm</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(9,092)</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17,531</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45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restart"/>
          </w:tcPr>
          <w:p>
            <w:pPr>
              <w:spacing w:after="0"/>
              <w:rPr>
                <w:sz w:val="20"/>
                <w:szCs w:val="20"/>
                <w:color w:val="auto"/>
              </w:rPr>
            </w:pPr>
          </w:p>
        </w:tc>
        <w:tc>
          <w:tcPr>
            <w:tcW w:w="4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520" w:type="dxa"/>
            <w:vAlign w:val="bottom"/>
            <w:shd w:val="clear" w:color="auto" w:fill="EAF9E8"/>
          </w:tcPr>
          <w:p>
            <w:pPr>
              <w:spacing w:after="0"/>
              <w:rPr>
                <w:sz w:val="20"/>
                <w:szCs w:val="20"/>
                <w:color w:val="auto"/>
              </w:rPr>
            </w:pPr>
            <w:r>
              <w:rPr>
                <w:rFonts w:ascii="Arial" w:cs="Arial" w:eastAsia="Arial" w:hAnsi="Arial"/>
                <w:sz w:val="18"/>
                <w:szCs w:val="18"/>
                <w:color w:val="auto"/>
                <w:w w:val="98"/>
              </w:rPr>
              <w:t>Segment income (loss) from continuing operations before</w:t>
            </w:r>
          </w:p>
        </w:tc>
        <w:tc>
          <w:tcPr>
            <w:tcW w:w="2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6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66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84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7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80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76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520" w:type="dxa"/>
            <w:vAlign w:val="bottom"/>
            <w:shd w:val="clear" w:color="auto" w:fill="EAF9E8"/>
          </w:tcPr>
          <w:p>
            <w:pPr>
              <w:ind w:left="140"/>
              <w:spacing w:after="0"/>
              <w:rPr>
                <w:sz w:val="20"/>
                <w:szCs w:val="20"/>
                <w:color w:val="auto"/>
              </w:rPr>
            </w:pPr>
            <w:r>
              <w:rPr>
                <w:rFonts w:ascii="Arial" w:cs="Arial" w:eastAsia="Arial" w:hAnsi="Arial"/>
                <w:sz w:val="18"/>
                <w:szCs w:val="18"/>
                <w:color w:val="auto"/>
              </w:rPr>
              <w:t>taxes:</w:t>
            </w:r>
          </w:p>
        </w:tc>
        <w:tc>
          <w:tcPr>
            <w:tcW w:w="22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6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66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840" w:type="dxa"/>
            <w:vAlign w:val="bottom"/>
            <w:shd w:val="clear" w:color="auto" w:fill="EAF9E8"/>
          </w:tcPr>
          <w:p>
            <w:pPr>
              <w:spacing w:after="0"/>
              <w:rPr>
                <w:sz w:val="19"/>
                <w:szCs w:val="19"/>
                <w:color w:val="auto"/>
              </w:rPr>
            </w:pPr>
          </w:p>
        </w:tc>
        <w:tc>
          <w:tcPr>
            <w:tcW w:w="260" w:type="dxa"/>
            <w:vAlign w:val="bottom"/>
            <w:shd w:val="clear" w:color="auto" w:fill="EAF9E8"/>
          </w:tcPr>
          <w:p>
            <w:pPr>
              <w:spacing w:after="0"/>
              <w:rPr>
                <w:sz w:val="19"/>
                <w:szCs w:val="19"/>
                <w:color w:val="auto"/>
              </w:rPr>
            </w:pPr>
          </w:p>
        </w:tc>
        <w:tc>
          <w:tcPr>
            <w:tcW w:w="200" w:type="dxa"/>
            <w:vAlign w:val="bottom"/>
            <w:shd w:val="clear" w:color="auto" w:fill="EAF9E8"/>
          </w:tcPr>
          <w:p>
            <w:pPr>
              <w:spacing w:after="0"/>
              <w:rPr>
                <w:sz w:val="19"/>
                <w:szCs w:val="19"/>
                <w:color w:val="auto"/>
              </w:rPr>
            </w:pPr>
          </w:p>
        </w:tc>
        <w:tc>
          <w:tcPr>
            <w:tcW w:w="7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200" w:type="dxa"/>
            <w:vAlign w:val="bottom"/>
            <w:shd w:val="clear" w:color="auto" w:fill="EAF9E8"/>
          </w:tcPr>
          <w:p>
            <w:pPr>
              <w:spacing w:after="0"/>
              <w:rPr>
                <w:sz w:val="19"/>
                <w:szCs w:val="19"/>
                <w:color w:val="auto"/>
              </w:rPr>
            </w:pPr>
          </w:p>
        </w:tc>
        <w:tc>
          <w:tcPr>
            <w:tcW w:w="80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760" w:type="dxa"/>
            <w:vAlign w:val="bottom"/>
            <w:shd w:val="clear" w:color="auto" w:fill="EAF9E8"/>
          </w:tcPr>
          <w:p>
            <w:pPr>
              <w:spacing w:after="0"/>
              <w:rPr>
                <w:sz w:val="19"/>
                <w:szCs w:val="19"/>
                <w:color w:val="auto"/>
              </w:rPr>
            </w:pPr>
          </w:p>
        </w:tc>
        <w:tc>
          <w:tcPr>
            <w:tcW w:w="22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520" w:type="dxa"/>
            <w:vAlign w:val="bottom"/>
          </w:tcPr>
          <w:p>
            <w:pPr>
              <w:ind w:left="300"/>
              <w:spacing w:after="0"/>
              <w:rPr>
                <w:sz w:val="20"/>
                <w:szCs w:val="20"/>
                <w:color w:val="auto"/>
              </w:rPr>
            </w:pPr>
            <w:r>
              <w:rPr>
                <w:rFonts w:ascii="Arial" w:cs="Arial" w:eastAsia="Arial" w:hAnsi="Arial"/>
                <w:sz w:val="18"/>
                <w:szCs w:val="18"/>
                <w:color w:val="auto"/>
              </w:rPr>
              <w:t>Servicing</w:t>
            </w:r>
          </w:p>
        </w:tc>
        <w:tc>
          <w:tcPr>
            <w:tcW w:w="38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17,681</w:t>
            </w:r>
          </w:p>
        </w:tc>
        <w:tc>
          <w:tcPr>
            <w:tcW w:w="100" w:type="dxa"/>
            <w:vAlign w:val="bottom"/>
          </w:tcPr>
          <w:p>
            <w:pPr>
              <w:spacing w:after="0"/>
              <w:rPr>
                <w:sz w:val="21"/>
                <w:szCs w:val="21"/>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29,024</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(39)</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58,381</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82,315</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520" w:type="dxa"/>
            <w:vAlign w:val="bottom"/>
            <w:shd w:val="clear" w:color="auto" w:fill="EAF9E8"/>
          </w:tcPr>
          <w:p>
            <w:pPr>
              <w:ind w:left="300"/>
              <w:spacing w:after="0"/>
              <w:rPr>
                <w:sz w:val="20"/>
                <w:szCs w:val="20"/>
                <w:color w:val="auto"/>
              </w:rPr>
            </w:pPr>
            <w:r>
              <w:rPr>
                <w:rFonts w:ascii="Arial" w:cs="Arial" w:eastAsia="Arial" w:hAnsi="Arial"/>
                <w:sz w:val="18"/>
                <w:szCs w:val="18"/>
                <w:color w:val="auto"/>
              </w:rPr>
              <w:t>Loans and Residuals</w:t>
            </w:r>
          </w:p>
        </w:tc>
        <w:tc>
          <w:tcPr>
            <w:tcW w:w="22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78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(82)</w:t>
            </w:r>
          </w:p>
        </w:tc>
        <w:tc>
          <w:tcPr>
            <w:tcW w:w="120" w:type="dxa"/>
            <w:vAlign w:val="bottom"/>
            <w:shd w:val="clear" w:color="auto" w:fill="EAF9E8"/>
          </w:tcPr>
          <w:p>
            <w:pPr>
              <w:spacing w:after="0"/>
              <w:rPr>
                <w:sz w:val="21"/>
                <w:szCs w:val="21"/>
                <w:color w:val="auto"/>
              </w:rPr>
            </w:pPr>
          </w:p>
        </w:tc>
        <w:tc>
          <w:tcPr>
            <w:tcW w:w="180" w:type="dxa"/>
            <w:vAlign w:val="bottom"/>
            <w:shd w:val="clear" w:color="auto" w:fill="EAF9E8"/>
          </w:tcPr>
          <w:p>
            <w:pPr>
              <w:spacing w:after="0"/>
              <w:rPr>
                <w:sz w:val="21"/>
                <w:szCs w:val="21"/>
                <w:color w:val="auto"/>
              </w:rPr>
            </w:pPr>
          </w:p>
        </w:tc>
        <w:tc>
          <w:tcPr>
            <w:tcW w:w="90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(521)</w:t>
            </w:r>
          </w:p>
        </w:tc>
        <w:tc>
          <w:tcPr>
            <w:tcW w:w="110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(84)</w:t>
            </w:r>
          </w:p>
        </w:tc>
        <w:tc>
          <w:tcPr>
            <w:tcW w:w="200" w:type="dxa"/>
            <w:vAlign w:val="bottom"/>
            <w:shd w:val="clear" w:color="auto" w:fill="EAF9E8"/>
          </w:tcPr>
          <w:p>
            <w:pPr>
              <w:spacing w:after="0"/>
              <w:rPr>
                <w:sz w:val="21"/>
                <w:szCs w:val="21"/>
                <w:color w:val="auto"/>
              </w:rPr>
            </w:pPr>
          </w:p>
        </w:tc>
        <w:tc>
          <w:tcPr>
            <w:tcW w:w="88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(7,063)</w:t>
            </w:r>
          </w:p>
        </w:tc>
        <w:tc>
          <w:tcPr>
            <w:tcW w:w="120" w:type="dxa"/>
            <w:vAlign w:val="bottom"/>
            <w:shd w:val="clear" w:color="auto" w:fill="EAF9E8"/>
          </w:tcPr>
          <w:p>
            <w:pPr>
              <w:spacing w:after="0"/>
              <w:rPr>
                <w:sz w:val="21"/>
                <w:szCs w:val="21"/>
                <w:color w:val="auto"/>
              </w:rPr>
            </w:pPr>
          </w:p>
        </w:tc>
        <w:tc>
          <w:tcPr>
            <w:tcW w:w="200" w:type="dxa"/>
            <w:vAlign w:val="bottom"/>
            <w:shd w:val="clear" w:color="auto" w:fill="EAF9E8"/>
          </w:tcPr>
          <w:p>
            <w:pPr>
              <w:spacing w:after="0"/>
              <w:rPr>
                <w:sz w:val="21"/>
                <w:szCs w:val="21"/>
                <w:color w:val="auto"/>
              </w:rPr>
            </w:pPr>
          </w:p>
        </w:tc>
        <w:tc>
          <w:tcPr>
            <w:tcW w:w="104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(9,622)</w:t>
            </w:r>
          </w:p>
        </w:tc>
        <w:tc>
          <w:tcPr>
            <w:tcW w:w="98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520" w:type="dxa"/>
            <w:vAlign w:val="bottom"/>
          </w:tcPr>
          <w:p>
            <w:pPr>
              <w:ind w:left="300"/>
              <w:spacing w:after="0"/>
              <w:rPr>
                <w:sz w:val="20"/>
                <w:szCs w:val="20"/>
                <w:color w:val="auto"/>
              </w:rPr>
            </w:pPr>
            <w:r>
              <w:rPr>
                <w:rFonts w:ascii="Arial" w:cs="Arial" w:eastAsia="Arial" w:hAnsi="Arial"/>
                <w:sz w:val="18"/>
                <w:szCs w:val="18"/>
                <w:color w:val="auto"/>
              </w:rPr>
              <w:t>Asset Management Vehicles</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(1,638)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(3,324)</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(51)</w:t>
            </w:r>
          </w:p>
        </w:tc>
        <w:tc>
          <w:tcPr>
            <w:tcW w:w="200" w:type="dxa"/>
            <w:vAlign w:val="bottom"/>
          </w:tcPr>
          <w:p>
            <w:pPr>
              <w:spacing w:after="0"/>
              <w:rPr>
                <w:sz w:val="21"/>
                <w:szCs w:val="21"/>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(3,567)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(6,046)</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520" w:type="dxa"/>
            <w:vAlign w:val="bottom"/>
            <w:shd w:val="clear" w:color="auto" w:fill="EAF9E8"/>
          </w:tcPr>
          <w:p>
            <w:pPr>
              <w:ind w:left="300"/>
              <w:spacing w:after="0"/>
              <w:rPr>
                <w:sz w:val="20"/>
                <w:szCs w:val="20"/>
                <w:color w:val="auto"/>
              </w:rPr>
            </w:pPr>
            <w:r>
              <w:rPr>
                <w:rFonts w:ascii="Arial" w:cs="Arial" w:eastAsia="Arial" w:hAnsi="Arial"/>
                <w:sz w:val="18"/>
                <w:szCs w:val="18"/>
                <w:color w:val="auto"/>
              </w:rPr>
              <w:t>Mortgage Services</w:t>
            </w:r>
          </w:p>
        </w:tc>
        <w:tc>
          <w:tcPr>
            <w:tcW w:w="22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6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3,819</w:t>
            </w:r>
          </w:p>
        </w:tc>
        <w:tc>
          <w:tcPr>
            <w:tcW w:w="10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180" w:type="dxa"/>
            <w:vAlign w:val="bottom"/>
            <w:shd w:val="clear" w:color="auto" w:fill="EAF9E8"/>
          </w:tcPr>
          <w:p>
            <w:pPr>
              <w:spacing w:after="0"/>
              <w:rPr>
                <w:sz w:val="21"/>
                <w:szCs w:val="21"/>
                <w:color w:val="auto"/>
              </w:rPr>
            </w:pPr>
          </w:p>
        </w:tc>
        <w:tc>
          <w:tcPr>
            <w:tcW w:w="90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2,706</w:t>
            </w:r>
          </w:p>
        </w:tc>
        <w:tc>
          <w:tcPr>
            <w:tcW w:w="8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41</w:t>
            </w:r>
          </w:p>
        </w:tc>
        <w:tc>
          <w:tcPr>
            <w:tcW w:w="260" w:type="dxa"/>
            <w:vAlign w:val="bottom"/>
            <w:shd w:val="clear" w:color="auto" w:fill="EAF9E8"/>
          </w:tcPr>
          <w:p>
            <w:pPr>
              <w:spacing w:after="0"/>
              <w:rPr>
                <w:sz w:val="21"/>
                <w:szCs w:val="21"/>
                <w:color w:val="auto"/>
              </w:rPr>
            </w:pPr>
          </w:p>
        </w:tc>
        <w:tc>
          <w:tcPr>
            <w:tcW w:w="200" w:type="dxa"/>
            <w:vAlign w:val="bottom"/>
            <w:shd w:val="clear" w:color="auto" w:fill="EAF9E8"/>
          </w:tcPr>
          <w:p>
            <w:pPr>
              <w:spacing w:after="0"/>
              <w:rPr>
                <w:sz w:val="21"/>
                <w:szCs w:val="21"/>
                <w:color w:val="auto"/>
              </w:rPr>
            </w:pPr>
          </w:p>
        </w:tc>
        <w:tc>
          <w:tcPr>
            <w:tcW w:w="8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17,815</w:t>
            </w:r>
          </w:p>
        </w:tc>
        <w:tc>
          <w:tcPr>
            <w:tcW w:w="120" w:type="dxa"/>
            <w:vAlign w:val="bottom"/>
            <w:shd w:val="clear" w:color="auto" w:fill="EAF9E8"/>
          </w:tcPr>
          <w:p>
            <w:pPr>
              <w:spacing w:after="0"/>
              <w:rPr>
                <w:sz w:val="21"/>
                <w:szCs w:val="21"/>
                <w:color w:val="auto"/>
              </w:rPr>
            </w:pPr>
          </w:p>
        </w:tc>
        <w:tc>
          <w:tcPr>
            <w:tcW w:w="200" w:type="dxa"/>
            <w:vAlign w:val="bottom"/>
            <w:shd w:val="clear" w:color="auto" w:fill="EAF9E8"/>
          </w:tcPr>
          <w:p>
            <w:pPr>
              <w:spacing w:after="0"/>
              <w:rPr>
                <w:sz w:val="21"/>
                <w:szCs w:val="21"/>
                <w:color w:val="auto"/>
              </w:rPr>
            </w:pPr>
          </w:p>
        </w:tc>
        <w:tc>
          <w:tcPr>
            <w:tcW w:w="104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10,089</w:t>
            </w:r>
          </w:p>
        </w:tc>
        <w:tc>
          <w:tcPr>
            <w:tcW w:w="98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520" w:type="dxa"/>
            <w:vAlign w:val="bottom"/>
          </w:tcPr>
          <w:p>
            <w:pPr>
              <w:ind w:left="300"/>
              <w:spacing w:after="0"/>
              <w:rPr>
                <w:sz w:val="20"/>
                <w:szCs w:val="20"/>
                <w:color w:val="auto"/>
              </w:rPr>
            </w:pPr>
            <w:r>
              <w:rPr>
                <w:rFonts w:ascii="Arial" w:cs="Arial" w:eastAsia="Arial" w:hAnsi="Arial"/>
                <w:sz w:val="18"/>
                <w:szCs w:val="18"/>
                <w:color w:val="auto"/>
              </w:rPr>
              <w:t>Financial Services</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(2,935)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(3,816)</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(23)</w:t>
            </w:r>
          </w:p>
        </w:tc>
        <w:tc>
          <w:tcPr>
            <w:tcW w:w="200" w:type="dxa"/>
            <w:vAlign w:val="bottom"/>
          </w:tcPr>
          <w:p>
            <w:pPr>
              <w:spacing w:after="0"/>
              <w:rPr>
                <w:sz w:val="21"/>
                <w:szCs w:val="21"/>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(5,969)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(6,387)</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520" w:type="dxa"/>
            <w:vAlign w:val="bottom"/>
            <w:shd w:val="clear" w:color="auto" w:fill="EAF9E8"/>
          </w:tcPr>
          <w:p>
            <w:pPr>
              <w:ind w:left="300"/>
              <w:spacing w:after="0"/>
              <w:rPr>
                <w:sz w:val="20"/>
                <w:szCs w:val="20"/>
                <w:color w:val="auto"/>
              </w:rPr>
            </w:pPr>
            <w:r>
              <w:rPr>
                <w:rFonts w:ascii="Arial" w:cs="Arial" w:eastAsia="Arial" w:hAnsi="Arial"/>
                <w:sz w:val="18"/>
                <w:szCs w:val="18"/>
                <w:color w:val="auto"/>
              </w:rPr>
              <w:t>Technology Products</w:t>
            </w:r>
          </w:p>
        </w:tc>
        <w:tc>
          <w:tcPr>
            <w:tcW w:w="22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6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2,331</w:t>
            </w:r>
          </w:p>
        </w:tc>
        <w:tc>
          <w:tcPr>
            <w:tcW w:w="10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180" w:type="dxa"/>
            <w:vAlign w:val="bottom"/>
            <w:shd w:val="clear" w:color="auto" w:fill="EAF9E8"/>
          </w:tcPr>
          <w:p>
            <w:pPr>
              <w:spacing w:after="0"/>
              <w:rPr>
                <w:sz w:val="21"/>
                <w:szCs w:val="21"/>
                <w:color w:val="auto"/>
              </w:rPr>
            </w:pPr>
          </w:p>
        </w:tc>
        <w:tc>
          <w:tcPr>
            <w:tcW w:w="90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2,057</w:t>
            </w:r>
          </w:p>
        </w:tc>
        <w:tc>
          <w:tcPr>
            <w:tcW w:w="8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13</w:t>
            </w:r>
          </w:p>
        </w:tc>
        <w:tc>
          <w:tcPr>
            <w:tcW w:w="260" w:type="dxa"/>
            <w:vAlign w:val="bottom"/>
            <w:shd w:val="clear" w:color="auto" w:fill="EAF9E8"/>
          </w:tcPr>
          <w:p>
            <w:pPr>
              <w:spacing w:after="0"/>
              <w:rPr>
                <w:sz w:val="21"/>
                <w:szCs w:val="21"/>
                <w:color w:val="auto"/>
              </w:rPr>
            </w:pPr>
          </w:p>
        </w:tc>
        <w:tc>
          <w:tcPr>
            <w:tcW w:w="200" w:type="dxa"/>
            <w:vAlign w:val="bottom"/>
            <w:shd w:val="clear" w:color="auto" w:fill="EAF9E8"/>
          </w:tcPr>
          <w:p>
            <w:pPr>
              <w:spacing w:after="0"/>
              <w:rPr>
                <w:sz w:val="21"/>
                <w:szCs w:val="21"/>
                <w:color w:val="auto"/>
              </w:rPr>
            </w:pPr>
          </w:p>
        </w:tc>
        <w:tc>
          <w:tcPr>
            <w:tcW w:w="8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9,590</w:t>
            </w:r>
          </w:p>
        </w:tc>
        <w:tc>
          <w:tcPr>
            <w:tcW w:w="120" w:type="dxa"/>
            <w:vAlign w:val="bottom"/>
            <w:shd w:val="clear" w:color="auto" w:fill="EAF9E8"/>
          </w:tcPr>
          <w:p>
            <w:pPr>
              <w:spacing w:after="0"/>
              <w:rPr>
                <w:sz w:val="21"/>
                <w:szCs w:val="21"/>
                <w:color w:val="auto"/>
              </w:rPr>
            </w:pPr>
          </w:p>
        </w:tc>
        <w:tc>
          <w:tcPr>
            <w:tcW w:w="200" w:type="dxa"/>
            <w:vAlign w:val="bottom"/>
            <w:shd w:val="clear" w:color="auto" w:fill="EAF9E8"/>
          </w:tcPr>
          <w:p>
            <w:pPr>
              <w:spacing w:after="0"/>
              <w:rPr>
                <w:sz w:val="21"/>
                <w:szCs w:val="21"/>
                <w:color w:val="auto"/>
              </w:rPr>
            </w:pPr>
          </w:p>
        </w:tc>
        <w:tc>
          <w:tcPr>
            <w:tcW w:w="104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635</w:t>
            </w:r>
          </w:p>
        </w:tc>
        <w:tc>
          <w:tcPr>
            <w:tcW w:w="98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520" w:type="dxa"/>
            <w:vAlign w:val="bottom"/>
          </w:tcPr>
          <w:p>
            <w:pPr>
              <w:ind w:left="300"/>
              <w:spacing w:after="0"/>
              <w:rPr>
                <w:sz w:val="20"/>
                <w:szCs w:val="20"/>
                <w:color w:val="auto"/>
              </w:rPr>
            </w:pPr>
            <w:r>
              <w:rPr>
                <w:rFonts w:ascii="Arial" w:cs="Arial" w:eastAsia="Arial" w:hAnsi="Arial"/>
                <w:sz w:val="18"/>
                <w:szCs w:val="18"/>
                <w:color w:val="auto"/>
              </w:rPr>
              <w:t>Corporate Items and Other</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4,282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(2,716)</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nm</w:t>
            </w:r>
          </w:p>
        </w:tc>
        <w:tc>
          <w:tcPr>
            <w:tcW w:w="200" w:type="dxa"/>
            <w:vAlign w:val="bottom"/>
          </w:tcPr>
          <w:p>
            <w:pPr>
              <w:spacing w:after="0"/>
              <w:rPr>
                <w:sz w:val="21"/>
                <w:szCs w:val="21"/>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3,880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(36,045)</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tcPr>
          <w:p>
            <w:pPr>
              <w:spacing w:after="0"/>
              <w:rPr>
                <w:sz w:val="21"/>
                <w:szCs w:val="21"/>
                <w:color w:val="auto"/>
              </w:rPr>
            </w:pPr>
          </w:p>
        </w:tc>
        <w:tc>
          <w:tcPr>
            <w:tcW w:w="4520" w:type="dxa"/>
            <w:vAlign w:val="bottom"/>
            <w:shd w:val="clear" w:color="auto" w:fill="EAF9E8"/>
          </w:tcPr>
          <w:p>
            <w:pPr>
              <w:spacing w:after="0"/>
              <w:rPr>
                <w:sz w:val="21"/>
                <w:szCs w:val="21"/>
                <w:color w:val="auto"/>
              </w:rPr>
            </w:pPr>
          </w:p>
        </w:tc>
        <w:tc>
          <w:tcPr>
            <w:tcW w:w="220" w:type="dxa"/>
            <w:vAlign w:val="bottom"/>
            <w:shd w:val="clear" w:color="auto" w:fill="EAF9E8"/>
          </w:tcPr>
          <w:p>
            <w:pPr>
              <w:spacing w:after="0"/>
              <w:rPr>
                <w:sz w:val="21"/>
                <w:szCs w:val="21"/>
                <w:color w:val="auto"/>
              </w:rPr>
            </w:pPr>
          </w:p>
        </w:tc>
        <w:tc>
          <w:tcPr>
            <w:tcW w:w="160" w:type="dxa"/>
            <w:vAlign w:val="bottom"/>
            <w:shd w:val="clear" w:color="auto" w:fill="EAF9E8"/>
          </w:tcPr>
          <w:p>
            <w:pPr>
              <w:jc w:val="right"/>
              <w:ind w:right="3"/>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23,458</w:t>
            </w:r>
          </w:p>
        </w:tc>
        <w:tc>
          <w:tcPr>
            <w:tcW w:w="10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18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23,410</w:t>
            </w:r>
          </w:p>
        </w:tc>
        <w:tc>
          <w:tcPr>
            <w:tcW w:w="110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EAF9E8"/>
          </w:tcPr>
          <w:p>
            <w:pPr>
              <w:jc w:val="right"/>
              <w:ind w:right="12"/>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73,067</w:t>
            </w:r>
          </w:p>
        </w:tc>
        <w:tc>
          <w:tcPr>
            <w:tcW w:w="3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34,939</w:t>
            </w:r>
          </w:p>
        </w:tc>
        <w:tc>
          <w:tcPr>
            <w:tcW w:w="98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31" w:right="239" w:bottom="1440" w:gutter="0" w:footer="0" w:header="0"/>
        </w:sectPr>
      </w:pP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43" w:name="page44"/>
    <w:bookmarkEnd w:id="43"/>
    <w:p>
      <w:pPr>
        <w:ind w:right="80" w:firstLine="439"/>
        <w:spacing w:after="0" w:line="294" w:lineRule="auto"/>
        <w:rPr>
          <w:sz w:val="20"/>
          <w:szCs w:val="20"/>
          <w:color w:val="auto"/>
        </w:rPr>
      </w:pPr>
      <w:r>
        <w:rPr>
          <w:rFonts w:ascii="Arial" w:cs="Arial" w:eastAsia="Arial" w:hAnsi="Arial"/>
          <w:sz w:val="16"/>
          <w:szCs w:val="16"/>
          <w:color w:val="auto"/>
        </w:rPr>
        <w:t>Income from operations declined by 32% in the third quarter of 2009 as compared to 2008 reflecting a significant reduction in revenue that was partially offset by a decline in operating expense. Higher income tax expense, including a one-time tax expense arising from the Separation, was partially offset by lower interest expense and a net unrealized gain on securities and loans, resulting in a $57,007 decrease in net income (loss) attributable to Ocwen. We completed the Separation transaction on August 10, 2009 by distributing our Ocwen Solutions line of business, except for BMS Holdings and GSS. The consolidated operating results for the third quarter of 2009 include the results of the separated businesses through August 9, 2009.</w:t>
      </w:r>
    </w:p>
    <w:p>
      <w:pPr>
        <w:spacing w:after="0" w:line="170" w:lineRule="exact"/>
        <w:rPr>
          <w:sz w:val="20"/>
          <w:szCs w:val="20"/>
          <w:color w:val="auto"/>
        </w:rPr>
      </w:pPr>
    </w:p>
    <w:p>
      <w:pPr>
        <w:jc w:val="both"/>
        <w:ind w:firstLine="436"/>
        <w:spacing w:after="0" w:line="259" w:lineRule="auto"/>
        <w:rPr>
          <w:sz w:val="20"/>
          <w:szCs w:val="20"/>
          <w:color w:val="auto"/>
        </w:rPr>
      </w:pPr>
      <w:r>
        <w:rPr>
          <w:rFonts w:ascii="Arial" w:cs="Arial" w:eastAsia="Arial" w:hAnsi="Arial"/>
          <w:sz w:val="18"/>
          <w:szCs w:val="18"/>
          <w:color w:val="auto"/>
        </w:rPr>
        <w:t>Total revenues declined by $37,909 or 31% in the third quarter of 2009 as compared to 2008 principally because of a decrease in Servicing revenue and the impact of the Separation. The two primary drivers of the decline in Servicing revenue are lower UPB and a decline in completed loan modifications in connection with the implementation of the HAMP.</w:t>
      </w:r>
    </w:p>
    <w:p>
      <w:pPr>
        <w:spacing w:after="0" w:line="194" w:lineRule="exact"/>
        <w:rPr>
          <w:sz w:val="20"/>
          <w:szCs w:val="20"/>
          <w:color w:val="auto"/>
        </w:rPr>
      </w:pPr>
    </w:p>
    <w:p>
      <w:pPr>
        <w:ind w:firstLine="436"/>
        <w:spacing w:after="0" w:line="255" w:lineRule="auto"/>
        <w:rPr>
          <w:sz w:val="20"/>
          <w:szCs w:val="20"/>
          <w:color w:val="auto"/>
        </w:rPr>
      </w:pPr>
      <w:r>
        <w:rPr>
          <w:rFonts w:ascii="Arial" w:cs="Arial" w:eastAsia="Arial" w:hAnsi="Arial"/>
          <w:sz w:val="18"/>
          <w:szCs w:val="18"/>
          <w:color w:val="auto"/>
        </w:rPr>
        <w:t>Total operating expenses were $24,085, or 31% lower in the third quarter of 2009 as compared to 2008. This is primarily due to declines in operating expenses at the Servicing segment and the impact of the Separation. Operating expenses of the Servicing segment declined primarily due to lower amortization of servicing rights on a smaller servicing portfolio and lower servicing and origination expense as a result of a reduction in loan payoffs and reduced staffing levels. Operating expenses in the third quarter of 2009 include approximately $1,528 of affiliate expenses payable to Altisource subsequent to August 10, 2009 through September 30, 2009 for technology and communication expenses.</w:t>
      </w:r>
    </w:p>
    <w:p>
      <w:pPr>
        <w:spacing w:after="0" w:line="197" w:lineRule="exact"/>
        <w:rPr>
          <w:sz w:val="20"/>
          <w:szCs w:val="20"/>
          <w:color w:val="auto"/>
        </w:rPr>
      </w:pPr>
    </w:p>
    <w:p>
      <w:pPr>
        <w:ind w:right="280" w:firstLine="439"/>
        <w:spacing w:after="0" w:line="268" w:lineRule="auto"/>
        <w:rPr>
          <w:sz w:val="20"/>
          <w:szCs w:val="20"/>
          <w:color w:val="auto"/>
        </w:rPr>
      </w:pPr>
      <w:r>
        <w:rPr>
          <w:rFonts w:ascii="Arial" w:cs="Arial" w:eastAsia="Arial" w:hAnsi="Arial"/>
          <w:sz w:val="18"/>
          <w:szCs w:val="18"/>
          <w:color w:val="auto"/>
        </w:rPr>
        <w:t>Other expense, net, for the third quarter of 2009 was $6,521 as compared to $20,393 for the third quarter of 2008, a favorable variance of $13,872. This variance is primarily the result of the following factors:</w:t>
      </w:r>
    </w:p>
    <w:p>
      <w:pPr>
        <w:spacing w:after="0" w:line="199" w:lineRule="exact"/>
        <w:rPr>
          <w:sz w:val="20"/>
          <w:szCs w:val="20"/>
          <w:color w:val="auto"/>
        </w:rPr>
      </w:pPr>
    </w:p>
    <w:p>
      <w:pPr>
        <w:jc w:val="both"/>
        <w:ind w:left="1160" w:right="380" w:hanging="571"/>
        <w:spacing w:after="0" w:line="306" w:lineRule="auto"/>
        <w:tabs>
          <w:tab w:leader="none" w:pos="11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In the Servicing segment, interest expense on match funded liabilities and lines of credit was $1,218 lower in the third quarter of 2009. This decline occurred primarily because the decline in the average balance of advances outweighed the impact of an increase in interest rates that resulted from higher spreads over LIBOR and higher facility fees charged by lenders on new and renewed financing facilities.</w:t>
      </w:r>
    </w:p>
    <w:p>
      <w:pPr>
        <w:spacing w:after="0" w:line="187" w:lineRule="exact"/>
        <w:rPr>
          <w:rFonts w:ascii="Arial" w:cs="Arial" w:eastAsia="Arial" w:hAnsi="Arial"/>
          <w:sz w:val="16"/>
          <w:szCs w:val="16"/>
          <w:color w:val="auto"/>
        </w:rPr>
      </w:pPr>
    </w:p>
    <w:p>
      <w:pPr>
        <w:ind w:left="1160" w:hanging="571"/>
        <w:spacing w:after="0" w:line="332" w:lineRule="auto"/>
        <w:tabs>
          <w:tab w:leader="none" w:pos="11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In the Loans and Residuals segment, a $1,585 increase in unrealized gains on residual securities in the third quarter of 2009 was partly offset by a $568 increase in charges to reduce loans to fair value and a $502 decrease in net interest income related to loans and residuals.</w:t>
      </w:r>
    </w:p>
    <w:p>
      <w:pPr>
        <w:spacing w:after="0" w:line="166" w:lineRule="exact"/>
        <w:rPr>
          <w:rFonts w:ascii="Arial" w:cs="Arial" w:eastAsia="Arial" w:hAnsi="Arial"/>
          <w:sz w:val="16"/>
          <w:szCs w:val="16"/>
          <w:color w:val="auto"/>
        </w:rPr>
      </w:pPr>
    </w:p>
    <w:p>
      <w:pPr>
        <w:ind w:left="1160" w:hanging="571"/>
        <w:spacing w:after="0"/>
        <w:tabs>
          <w:tab w:leader="none" w:pos="11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In the Asset Management Vehicles segment, our equity interest in the losses of OSI and ONL and affiliates for the third quarter of 2009 was</w:t>
      </w:r>
    </w:p>
    <w:p>
      <w:pPr>
        <w:spacing w:after="0" w:line="38" w:lineRule="exact"/>
        <w:rPr>
          <w:rFonts w:ascii="Arial" w:cs="Arial" w:eastAsia="Arial" w:hAnsi="Arial"/>
          <w:sz w:val="16"/>
          <w:szCs w:val="16"/>
          <w:color w:val="auto"/>
        </w:rPr>
      </w:pPr>
    </w:p>
    <w:p>
      <w:pPr>
        <w:ind w:left="1160" w:right="60"/>
        <w:spacing w:after="0" w:line="261" w:lineRule="auto"/>
        <w:rPr>
          <w:rFonts w:ascii="Arial" w:cs="Arial" w:eastAsia="Arial" w:hAnsi="Arial"/>
          <w:sz w:val="16"/>
          <w:szCs w:val="16"/>
          <w:color w:val="auto"/>
        </w:rPr>
      </w:pPr>
      <w:r>
        <w:rPr>
          <w:rFonts w:ascii="Arial" w:cs="Arial" w:eastAsia="Arial" w:hAnsi="Arial"/>
          <w:sz w:val="18"/>
          <w:szCs w:val="18"/>
          <w:color w:val="auto"/>
        </w:rPr>
        <w:t>$1,869 lower than the third quarter of 2008. The higher losses in 2008 reflect higher charges to reduce residual securities, loans and real estate to fair value.</w:t>
      </w:r>
    </w:p>
    <w:p>
      <w:pPr>
        <w:spacing w:after="0" w:line="218" w:lineRule="exact"/>
        <w:rPr>
          <w:rFonts w:ascii="Arial" w:cs="Arial" w:eastAsia="Arial" w:hAnsi="Arial"/>
          <w:sz w:val="16"/>
          <w:szCs w:val="16"/>
          <w:color w:val="auto"/>
        </w:rPr>
      </w:pPr>
    </w:p>
    <w:p>
      <w:pPr>
        <w:ind w:left="1160" w:right="420" w:hanging="571"/>
        <w:spacing w:after="0" w:line="259" w:lineRule="auto"/>
        <w:tabs>
          <w:tab w:leader="none" w:pos="11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 Corporate Items and Other, we recorded an unrealized gain of $7,314 on our auction rate securities in the third quarter of 2009 based on improvements in the underlying collateral markets and liquidity solution discussions with counterparties. We did not recognize any gains or losses on auction rate securities in the third quarter of 2008.</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Summary</w:t>
      </w:r>
    </w:p>
    <w:p>
      <w:pPr>
        <w:spacing w:after="0" w:line="231" w:lineRule="exact"/>
        <w:rPr>
          <w:sz w:val="20"/>
          <w:szCs w:val="20"/>
          <w:color w:val="auto"/>
        </w:rPr>
      </w:pPr>
    </w:p>
    <w:p>
      <w:pPr>
        <w:ind w:firstLine="429"/>
        <w:spacing w:after="0" w:line="256" w:lineRule="auto"/>
        <w:rPr>
          <w:sz w:val="20"/>
          <w:szCs w:val="20"/>
          <w:color w:val="auto"/>
        </w:rPr>
      </w:pPr>
      <w:r>
        <w:rPr>
          <w:rFonts w:ascii="Arial" w:cs="Arial" w:eastAsia="Arial" w:hAnsi="Arial"/>
          <w:sz w:val="18"/>
          <w:szCs w:val="18"/>
          <w:color w:val="auto"/>
        </w:rPr>
        <w:t>As of September 30, 2009, total assets declined by $362,047, or 16% from December 31, 2008. This decrease was due to declines in all asset categories except for trading securities. The Separation led to reductions in cash, deferred tax assets, net, and goodwill and intangibles, net. We discuss the declines in match funded advances and MSRs under the respective subsections in the Segments—Servicing section. We discuss the increase in auction rate trading securities under the respective subsection in the Segments—Corporate Items and Other section.</w:t>
      </w:r>
    </w:p>
    <w:p>
      <w:pPr>
        <w:spacing w:after="0" w:line="197" w:lineRule="exact"/>
        <w:rPr>
          <w:sz w:val="20"/>
          <w:szCs w:val="20"/>
          <w:color w:val="auto"/>
        </w:rPr>
      </w:pPr>
    </w:p>
    <w:p>
      <w:pPr>
        <w:ind w:right="20" w:firstLine="436"/>
        <w:spacing w:after="0" w:line="298" w:lineRule="auto"/>
        <w:rPr>
          <w:sz w:val="20"/>
          <w:szCs w:val="20"/>
          <w:color w:val="auto"/>
        </w:rPr>
      </w:pPr>
      <w:r>
        <w:rPr>
          <w:rFonts w:ascii="Arial" w:cs="Arial" w:eastAsia="Arial" w:hAnsi="Arial"/>
          <w:sz w:val="16"/>
          <w:szCs w:val="16"/>
          <w:color w:val="auto"/>
        </w:rPr>
        <w:t>Total liabilities declined by $609,866, or 37% from December 31, 2008 to September 30, 2009. This decrease was the result of declines in all liability categories except for income taxes payable. We discuss the significant declines in match funded liabilities, lines of credit and other secured borrowings and servicer liabilities under the respective subsections in the Segments—Servicing section. We discuss the declines in the investment line and debt securities, as well as the increase in income taxes payable, under the respective subsection in the Segments—Corporate Items and Other section.</w:t>
      </w:r>
    </w:p>
    <w:p>
      <w:pPr>
        <w:spacing w:after="0" w:line="167" w:lineRule="exact"/>
        <w:rPr>
          <w:sz w:val="20"/>
          <w:szCs w:val="20"/>
          <w:color w:val="auto"/>
        </w:rPr>
      </w:pPr>
    </w:p>
    <w:p>
      <w:pPr>
        <w:jc w:val="both"/>
        <w:ind w:right="160" w:firstLine="429"/>
        <w:spacing w:after="0" w:line="256" w:lineRule="auto"/>
        <w:rPr>
          <w:sz w:val="20"/>
          <w:szCs w:val="20"/>
          <w:color w:val="auto"/>
        </w:rPr>
      </w:pPr>
      <w:r>
        <w:rPr>
          <w:rFonts w:ascii="Arial" w:cs="Arial" w:eastAsia="Arial" w:hAnsi="Arial"/>
          <w:sz w:val="18"/>
          <w:szCs w:val="18"/>
          <w:color w:val="auto"/>
        </w:rPr>
        <w:t>At September 30, 2009, total equity was $857,460, an increase of $247,819 over December 31, 2008. This increase was primarily due to net proceeds of $274,980 from the public offering of 32,200,000 shares of common stock in August and proceeds of $60,187 from the private placement of 5,471,500 shares of common stock in April. Offsetting these increases were the distribution of $71,448 of net assets in connection with the Separation, the repurchase of 1,000,000 shares of common stock for $11,000 and a net loss of $9,092.</w:t>
      </w:r>
    </w:p>
    <w:p>
      <w:pPr>
        <w:spacing w:after="0" w:line="19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a discussion of our current liquidity position, see the Executive Summary—Liquidity and the Liquidity and Capital Resources sections.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SEGMENTS</w:t>
      </w:r>
    </w:p>
    <w:p>
      <w:pPr>
        <w:spacing w:after="0" w:line="231" w:lineRule="exact"/>
        <w:rPr>
          <w:sz w:val="20"/>
          <w:szCs w:val="20"/>
          <w:color w:val="auto"/>
        </w:rPr>
      </w:pPr>
    </w:p>
    <w:p>
      <w:pPr>
        <w:ind w:right="40" w:firstLine="436"/>
        <w:spacing w:after="0" w:line="291" w:lineRule="auto"/>
        <w:rPr>
          <w:sz w:val="20"/>
          <w:szCs w:val="20"/>
          <w:color w:val="auto"/>
        </w:rPr>
      </w:pPr>
      <w:r>
        <w:rPr>
          <w:rFonts w:ascii="Arial" w:cs="Arial" w:eastAsia="Arial" w:hAnsi="Arial"/>
          <w:sz w:val="16"/>
          <w:szCs w:val="16"/>
          <w:color w:val="auto"/>
        </w:rPr>
        <w:t>The following section provides a discussion of changes in the financial condition of our business segments during the nine months ended September 30, 2009 and a discussion of the results of continuing operations of our business segments for the three and nine months ended September 30, 2009 and 2008. Due to the Separation, as of August 10, 2009, neither the assets and liabilities, nor the subsequent operations of the Mortgage Services, Financial Services and Technology Products segments, except for BMS and GSS, are included in our results. These partial quarter results of Ocwen Solutions may not be indicative of results for the full quarter and were ahead of the previous quarter’s results for the same period, excluding a one-time expense for facility closures of $2,304. As a separate, publicly-traded company, Altisource Portfolio Solutions S.A. (NASDAQ:ASPS) will file a Form 10-Q with the Securities and Exchange Commission.</w:t>
      </w:r>
    </w:p>
    <w:p>
      <w:pPr>
        <w:sectPr>
          <w:pgSz w:w="11900" w:h="16838" w:orient="portrait"/>
          <w:cols w:equalWidth="0" w:num="1">
            <w:col w:w="11380"/>
          </w:cols>
          <w:pgMar w:left="240" w:top="131" w:right="279" w:bottom="1440" w:gutter="0" w:footer="0" w:header="0"/>
        </w:sectPr>
      </w:pP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type w:val="continuous"/>
        </w:sectPr>
      </w:pPr>
    </w:p>
    <w:bookmarkStart w:id="44" w:name="page45"/>
    <w:bookmarkEnd w:id="44"/>
    <w:p>
      <w:pPr>
        <w:ind w:left="440"/>
        <w:spacing w:after="0"/>
        <w:rPr>
          <w:sz w:val="20"/>
          <w:szCs w:val="20"/>
          <w:color w:val="auto"/>
        </w:rPr>
      </w:pPr>
      <w:r>
        <w:rPr>
          <w:rFonts w:ascii="Arial" w:cs="Arial" w:eastAsia="Arial" w:hAnsi="Arial"/>
          <w:sz w:val="18"/>
          <w:szCs w:val="18"/>
          <w:color w:val="auto"/>
        </w:rPr>
        <w:t>The following table presents assets and liabilities of each of our business segments at September 30, 2009:</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60" w:type="dxa"/>
            <w:vAlign w:val="bottom"/>
            <w:gridSpan w:val="11"/>
          </w:tcPr>
          <w:p>
            <w:pPr>
              <w:jc w:val="right"/>
              <w:ind w:right="780"/>
              <w:spacing w:after="0"/>
              <w:rPr>
                <w:sz w:val="20"/>
                <w:szCs w:val="20"/>
                <w:color w:val="auto"/>
              </w:rPr>
            </w:pPr>
            <w:r>
              <w:rPr>
                <w:rFonts w:ascii="Arial" w:cs="Arial" w:eastAsia="Arial" w:hAnsi="Arial"/>
                <w:sz w:val="14"/>
                <w:szCs w:val="14"/>
                <w:b w:val="1"/>
                <w:bCs w:val="1"/>
                <w:color w:val="auto"/>
              </w:rPr>
              <w:t>Ocwen Asset Management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5"/>
          </w:tcPr>
          <w:p>
            <w:pPr>
              <w:jc w:val="right"/>
              <w:ind w:right="29"/>
              <w:spacing w:after="0"/>
              <w:rPr>
                <w:sz w:val="20"/>
                <w:szCs w:val="20"/>
                <w:color w:val="auto"/>
              </w:rPr>
            </w:pPr>
            <w:r>
              <w:rPr>
                <w:rFonts w:ascii="Arial" w:cs="Arial" w:eastAsia="Arial" w:hAnsi="Arial"/>
                <w:sz w:val="14"/>
                <w:szCs w:val="14"/>
                <w:b w:val="1"/>
                <w:bCs w:val="1"/>
                <w:color w:val="auto"/>
                <w:w w:val="84"/>
              </w:rPr>
              <w:t>Ocwen Solutions</w:t>
            </w: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89"/>
              </w:rPr>
              <w:t>Corporate</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77"/>
              </w:rPr>
              <w:t>Business</w:t>
            </w:r>
          </w:p>
        </w:tc>
        <w:tc>
          <w:tcPr>
            <w:tcW w:w="0" w:type="dxa"/>
            <w:vAlign w:val="bottom"/>
          </w:tcPr>
          <w:p>
            <w:pPr>
              <w:spacing w:after="0"/>
              <w:rPr>
                <w:sz w:val="1"/>
                <w:szCs w:val="1"/>
                <w:color w:val="auto"/>
              </w:rPr>
            </w:pPr>
          </w:p>
        </w:tc>
      </w:tr>
      <w:tr>
        <w:trPr>
          <w:trHeight w:val="129"/>
        </w:trPr>
        <w:tc>
          <w:tcPr>
            <w:tcW w:w="22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center"/>
              <w:ind w:right="72"/>
              <w:spacing w:after="0" w:line="129" w:lineRule="exact"/>
              <w:rPr>
                <w:sz w:val="20"/>
                <w:szCs w:val="20"/>
                <w:color w:val="auto"/>
              </w:rPr>
            </w:pPr>
            <w:r>
              <w:rPr>
                <w:rFonts w:ascii="Arial" w:cs="Arial" w:eastAsia="Arial" w:hAnsi="Arial"/>
                <w:sz w:val="14"/>
                <w:szCs w:val="14"/>
                <w:b w:val="1"/>
                <w:bCs w:val="1"/>
                <w:color w:val="auto"/>
                <w:w w:val="78"/>
              </w:rPr>
              <w:t>Asset</w:t>
            </w: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Corporate</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3"/>
          </w:tcPr>
          <w:p>
            <w:pPr>
              <w:jc w:val="center"/>
              <w:ind w:right="160"/>
              <w:spacing w:after="0" w:line="135" w:lineRule="exact"/>
              <w:rPr>
                <w:sz w:val="20"/>
                <w:szCs w:val="20"/>
                <w:color w:val="auto"/>
              </w:rPr>
            </w:pPr>
            <w:r>
              <w:rPr>
                <w:rFonts w:ascii="Arial" w:cs="Arial" w:eastAsia="Arial" w:hAnsi="Arial"/>
                <w:sz w:val="14"/>
                <w:szCs w:val="14"/>
                <w:b w:val="1"/>
                <w:bCs w:val="1"/>
                <w:color w:val="auto"/>
                <w:w w:val="85"/>
              </w:rPr>
              <w:t>Loans and</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88"/>
              </w:rPr>
              <w:t>Management</w:t>
            </w:r>
          </w:p>
        </w:tc>
        <w:tc>
          <w:tcPr>
            <w:tcW w:w="80" w:type="dxa"/>
            <w:vAlign w:val="bottom"/>
          </w:tcPr>
          <w:p>
            <w:pPr>
              <w:spacing w:after="0"/>
              <w:rPr>
                <w:sz w:val="11"/>
                <w:szCs w:val="11"/>
                <w:color w:val="auto"/>
              </w:rPr>
            </w:pPr>
          </w:p>
        </w:tc>
        <w:tc>
          <w:tcPr>
            <w:tcW w:w="740" w:type="dxa"/>
            <w:vAlign w:val="bottom"/>
            <w:gridSpan w:val="3"/>
          </w:tcPr>
          <w:p>
            <w:pPr>
              <w:jc w:val="right"/>
              <w:ind w:right="160"/>
              <w:spacing w:after="0" w:line="135" w:lineRule="exact"/>
              <w:rPr>
                <w:sz w:val="20"/>
                <w:szCs w:val="20"/>
                <w:color w:val="auto"/>
              </w:rPr>
            </w:pPr>
            <w:r>
              <w:rPr>
                <w:rFonts w:ascii="Arial" w:cs="Arial" w:eastAsia="Arial" w:hAnsi="Arial"/>
                <w:sz w:val="14"/>
                <w:szCs w:val="14"/>
                <w:b w:val="1"/>
                <w:bCs w:val="1"/>
                <w:color w:val="auto"/>
                <w:w w:val="88"/>
              </w:rPr>
              <w:t>Mortgage</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gridSpan w:val="2"/>
          </w:tcPr>
          <w:p>
            <w:pPr>
              <w:jc w:val="right"/>
              <w:ind w:right="260"/>
              <w:spacing w:after="0" w:line="135" w:lineRule="exact"/>
              <w:rPr>
                <w:sz w:val="20"/>
                <w:szCs w:val="20"/>
                <w:color w:val="auto"/>
              </w:rPr>
            </w:pPr>
            <w:r>
              <w:rPr>
                <w:rFonts w:ascii="Arial" w:cs="Arial" w:eastAsia="Arial" w:hAnsi="Arial"/>
                <w:sz w:val="14"/>
                <w:szCs w:val="14"/>
                <w:b w:val="1"/>
                <w:bCs w:val="1"/>
                <w:color w:val="auto"/>
                <w:w w:val="95"/>
              </w:rPr>
              <w:t>Financial</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jc w:val="right"/>
              <w:ind w:right="132"/>
              <w:spacing w:after="0" w:line="135" w:lineRule="exact"/>
              <w:rPr>
                <w:sz w:val="20"/>
                <w:szCs w:val="20"/>
                <w:color w:val="auto"/>
              </w:rPr>
            </w:pPr>
            <w:r>
              <w:rPr>
                <w:rFonts w:ascii="Arial" w:cs="Arial" w:eastAsia="Arial" w:hAnsi="Arial"/>
                <w:sz w:val="14"/>
                <w:szCs w:val="14"/>
                <w:b w:val="1"/>
                <w:bCs w:val="1"/>
                <w:color w:val="auto"/>
                <w:w w:val="89"/>
              </w:rPr>
              <w:t>Technology</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3"/>
          </w:tcPr>
          <w:p>
            <w:pPr>
              <w:jc w:val="center"/>
              <w:ind w:right="140"/>
              <w:spacing w:after="0" w:line="135" w:lineRule="exact"/>
              <w:rPr>
                <w:sz w:val="20"/>
                <w:szCs w:val="20"/>
                <w:color w:val="auto"/>
              </w:rPr>
            </w:pPr>
            <w:r>
              <w:rPr>
                <w:rFonts w:ascii="Arial" w:cs="Arial" w:eastAsia="Arial" w:hAnsi="Arial"/>
                <w:sz w:val="14"/>
                <w:szCs w:val="14"/>
                <w:b w:val="1"/>
                <w:bCs w:val="1"/>
                <w:color w:val="auto"/>
                <w:w w:val="85"/>
              </w:rPr>
              <w:t>Items and</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83"/>
              </w:rPr>
              <w:t>Segments</w:t>
            </w:r>
          </w:p>
        </w:tc>
        <w:tc>
          <w:tcPr>
            <w:tcW w:w="0" w:type="dxa"/>
            <w:vAlign w:val="bottom"/>
          </w:tcPr>
          <w:p>
            <w:pPr>
              <w:spacing w:after="0"/>
              <w:rPr>
                <w:sz w:val="1"/>
                <w:szCs w:val="1"/>
                <w:color w:val="auto"/>
              </w:rPr>
            </w:pPr>
          </w:p>
        </w:tc>
      </w:tr>
      <w:tr>
        <w:trPr>
          <w:trHeight w:val="168"/>
        </w:trPr>
        <w:tc>
          <w:tcPr>
            <w:tcW w:w="2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4"/>
                <w:szCs w:val="14"/>
                <w:b w:val="1"/>
                <w:bCs w:val="1"/>
                <w:color w:val="auto"/>
              </w:rPr>
              <w:t>Servicing</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4"/>
              </w:rPr>
              <w:t>Residuals</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0"/>
              </w:rPr>
              <w:t>Vehicles</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3"/>
              </w:rPr>
              <w:t>Services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7"/>
              </w:rPr>
              <w:t>Services</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ind w:right="192"/>
              <w:spacing w:after="0"/>
              <w:rPr>
                <w:sz w:val="20"/>
                <w:szCs w:val="20"/>
                <w:color w:val="auto"/>
              </w:rPr>
            </w:pPr>
            <w:r>
              <w:rPr>
                <w:rFonts w:ascii="Arial" w:cs="Arial" w:eastAsia="Arial" w:hAnsi="Arial"/>
                <w:sz w:val="14"/>
                <w:szCs w:val="14"/>
                <w:b w:val="1"/>
                <w:bCs w:val="1"/>
                <w:color w:val="auto"/>
              </w:rPr>
              <w:t>Products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Other</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4"/>
                <w:szCs w:val="14"/>
                <w:b w:val="1"/>
                <w:bCs w:val="1"/>
                <w:color w:val="auto"/>
                <w:w w:val="96"/>
              </w:rPr>
              <w:t>Eliminations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Consolidated</w:t>
            </w:r>
          </w:p>
        </w:tc>
        <w:tc>
          <w:tcPr>
            <w:tcW w:w="0" w:type="dxa"/>
            <w:vAlign w:val="bottom"/>
          </w:tcPr>
          <w:p>
            <w:pPr>
              <w:spacing w:after="0"/>
              <w:rPr>
                <w:sz w:val="1"/>
                <w:szCs w:val="1"/>
                <w:color w:val="auto"/>
              </w:rPr>
            </w:pPr>
          </w:p>
        </w:tc>
      </w:tr>
      <w:tr>
        <w:trPr>
          <w:trHeight w:val="243"/>
        </w:trPr>
        <w:tc>
          <w:tcPr>
            <w:tcW w:w="2200" w:type="dxa"/>
            <w:vAlign w:val="bottom"/>
            <w:tcBorders>
              <w:top w:val="single" w:sz="8" w:color="EAF9E8"/>
            </w:tcBorders>
            <w:shd w:val="clear" w:color="auto" w:fill="EAF9E8"/>
          </w:tcPr>
          <w:p>
            <w:pPr>
              <w:spacing w:after="0"/>
              <w:rPr>
                <w:sz w:val="20"/>
                <w:szCs w:val="20"/>
                <w:color w:val="auto"/>
              </w:rPr>
            </w:pPr>
            <w:r>
              <w:rPr>
                <w:rFonts w:ascii="Arial" w:cs="Arial" w:eastAsia="Arial" w:hAnsi="Arial"/>
                <w:sz w:val="14"/>
                <w:szCs w:val="14"/>
                <w:b w:val="1"/>
                <w:bCs w:val="1"/>
                <w:color w:val="auto"/>
              </w:rPr>
              <w:t>Assets</w:t>
            </w:r>
          </w:p>
        </w:tc>
        <w:tc>
          <w:tcPr>
            <w:tcW w:w="100" w:type="dxa"/>
            <w:vAlign w:val="bottom"/>
            <w:tcBorders>
              <w:top w:val="single" w:sz="8" w:color="auto"/>
            </w:tcBorders>
            <w:shd w:val="clear" w:color="auto" w:fill="EAF9E8"/>
          </w:tcPr>
          <w:p>
            <w:pPr>
              <w:spacing w:after="0"/>
              <w:rPr>
                <w:sz w:val="21"/>
                <w:szCs w:val="21"/>
                <w:color w:val="auto"/>
              </w:rPr>
            </w:pPr>
          </w:p>
        </w:tc>
        <w:tc>
          <w:tcPr>
            <w:tcW w:w="680" w:type="dxa"/>
            <w:vAlign w:val="bottom"/>
            <w:tcBorders>
              <w:top w:val="single" w:sz="8" w:color="auto"/>
            </w:tcBorders>
            <w:shd w:val="clear" w:color="auto" w:fill="EAF9E8"/>
          </w:tcPr>
          <w:p>
            <w:pPr>
              <w:spacing w:after="0"/>
              <w:rPr>
                <w:sz w:val="21"/>
                <w:szCs w:val="21"/>
                <w:color w:val="auto"/>
              </w:rPr>
            </w:pPr>
          </w:p>
        </w:tc>
        <w:tc>
          <w:tcPr>
            <w:tcW w:w="20" w:type="dxa"/>
            <w:vAlign w:val="bottom"/>
            <w:tcBorders>
              <w:top w:val="single" w:sz="8" w:color="EAF9E8"/>
            </w:tcBorders>
            <w:shd w:val="clear" w:color="auto" w:fill="EAF9E8"/>
          </w:tcPr>
          <w:p>
            <w:pPr>
              <w:spacing w:after="0"/>
              <w:rPr>
                <w:sz w:val="21"/>
                <w:szCs w:val="21"/>
                <w:color w:val="auto"/>
              </w:rPr>
            </w:pPr>
          </w:p>
        </w:tc>
        <w:tc>
          <w:tcPr>
            <w:tcW w:w="100" w:type="dxa"/>
            <w:vAlign w:val="bottom"/>
            <w:tcBorders>
              <w:top w:val="single" w:sz="8" w:color="EAF9E8"/>
            </w:tcBorders>
            <w:shd w:val="clear" w:color="auto" w:fill="EAF9E8"/>
          </w:tcPr>
          <w:p>
            <w:pPr>
              <w:spacing w:after="0"/>
              <w:rPr>
                <w:sz w:val="21"/>
                <w:szCs w:val="21"/>
                <w:color w:val="auto"/>
              </w:rPr>
            </w:pPr>
          </w:p>
        </w:tc>
        <w:tc>
          <w:tcPr>
            <w:tcW w:w="80" w:type="dxa"/>
            <w:vAlign w:val="bottom"/>
            <w:tcBorders>
              <w:top w:val="single" w:sz="8" w:color="EAF9E8"/>
            </w:tcBorders>
            <w:shd w:val="clear" w:color="auto" w:fill="EAF9E8"/>
          </w:tcPr>
          <w:p>
            <w:pPr>
              <w:spacing w:after="0"/>
              <w:rPr>
                <w:sz w:val="21"/>
                <w:szCs w:val="21"/>
                <w:color w:val="auto"/>
              </w:rPr>
            </w:pPr>
          </w:p>
        </w:tc>
        <w:tc>
          <w:tcPr>
            <w:tcW w:w="40" w:type="dxa"/>
            <w:vAlign w:val="bottom"/>
            <w:tcBorders>
              <w:top w:val="single" w:sz="8" w:color="EAF9E8"/>
            </w:tcBorders>
            <w:shd w:val="clear" w:color="auto" w:fill="EAF9E8"/>
          </w:tcPr>
          <w:p>
            <w:pPr>
              <w:spacing w:after="0"/>
              <w:rPr>
                <w:sz w:val="21"/>
                <w:szCs w:val="21"/>
                <w:color w:val="auto"/>
              </w:rPr>
            </w:pPr>
          </w:p>
        </w:tc>
        <w:tc>
          <w:tcPr>
            <w:tcW w:w="660" w:type="dxa"/>
            <w:vAlign w:val="bottom"/>
            <w:tcBorders>
              <w:top w:val="single" w:sz="8" w:color="auto"/>
            </w:tcBorders>
            <w:shd w:val="clear" w:color="auto" w:fill="EAF9E8"/>
          </w:tcPr>
          <w:p>
            <w:pPr>
              <w:spacing w:after="0"/>
              <w:rPr>
                <w:sz w:val="21"/>
                <w:szCs w:val="21"/>
                <w:color w:val="auto"/>
              </w:rPr>
            </w:pPr>
          </w:p>
        </w:tc>
        <w:tc>
          <w:tcPr>
            <w:tcW w:w="60" w:type="dxa"/>
            <w:vAlign w:val="bottom"/>
            <w:tcBorders>
              <w:top w:val="single" w:sz="8" w:color="EAF9E8"/>
            </w:tcBorders>
            <w:shd w:val="clear" w:color="auto" w:fill="EAF9E8"/>
          </w:tcPr>
          <w:p>
            <w:pPr>
              <w:spacing w:after="0"/>
              <w:rPr>
                <w:sz w:val="21"/>
                <w:szCs w:val="21"/>
                <w:color w:val="auto"/>
              </w:rPr>
            </w:pPr>
          </w:p>
        </w:tc>
        <w:tc>
          <w:tcPr>
            <w:tcW w:w="60" w:type="dxa"/>
            <w:vAlign w:val="bottom"/>
            <w:tcBorders>
              <w:top w:val="single" w:sz="8" w:color="EAF9E8"/>
            </w:tcBorders>
            <w:shd w:val="clear" w:color="auto" w:fill="EAF9E8"/>
          </w:tcPr>
          <w:p>
            <w:pPr>
              <w:spacing w:after="0"/>
              <w:rPr>
                <w:sz w:val="21"/>
                <w:szCs w:val="21"/>
                <w:color w:val="auto"/>
              </w:rPr>
            </w:pPr>
          </w:p>
        </w:tc>
        <w:tc>
          <w:tcPr>
            <w:tcW w:w="120" w:type="dxa"/>
            <w:vAlign w:val="bottom"/>
            <w:tcBorders>
              <w:top w:val="single" w:sz="8" w:color="EAF9E8"/>
            </w:tcBorders>
            <w:shd w:val="clear" w:color="auto" w:fill="EAF9E8"/>
          </w:tcPr>
          <w:p>
            <w:pPr>
              <w:spacing w:after="0"/>
              <w:rPr>
                <w:sz w:val="21"/>
                <w:szCs w:val="21"/>
                <w:color w:val="auto"/>
              </w:rPr>
            </w:pPr>
          </w:p>
        </w:tc>
        <w:tc>
          <w:tcPr>
            <w:tcW w:w="920" w:type="dxa"/>
            <w:vAlign w:val="bottom"/>
            <w:tcBorders>
              <w:top w:val="single" w:sz="8" w:color="auto"/>
            </w:tcBorders>
            <w:shd w:val="clear" w:color="auto" w:fill="EAF9E8"/>
          </w:tcPr>
          <w:p>
            <w:pPr>
              <w:spacing w:after="0"/>
              <w:rPr>
                <w:sz w:val="21"/>
                <w:szCs w:val="21"/>
                <w:color w:val="auto"/>
              </w:rPr>
            </w:pPr>
          </w:p>
        </w:tc>
        <w:tc>
          <w:tcPr>
            <w:tcW w:w="120" w:type="dxa"/>
            <w:vAlign w:val="bottom"/>
            <w:tcBorders>
              <w:top w:val="single" w:sz="8" w:color="EAF9E8"/>
            </w:tcBorders>
            <w:shd w:val="clear" w:color="auto" w:fill="EAF9E8"/>
          </w:tcPr>
          <w:p>
            <w:pPr>
              <w:spacing w:after="0"/>
              <w:rPr>
                <w:sz w:val="21"/>
                <w:szCs w:val="21"/>
                <w:color w:val="auto"/>
              </w:rPr>
            </w:pPr>
          </w:p>
        </w:tc>
        <w:tc>
          <w:tcPr>
            <w:tcW w:w="80" w:type="dxa"/>
            <w:vAlign w:val="bottom"/>
            <w:tcBorders>
              <w:top w:val="single" w:sz="8" w:color="EAF9E8"/>
            </w:tcBorders>
            <w:shd w:val="clear" w:color="auto" w:fill="EAF9E8"/>
          </w:tcPr>
          <w:p>
            <w:pPr>
              <w:spacing w:after="0"/>
              <w:rPr>
                <w:sz w:val="21"/>
                <w:szCs w:val="21"/>
                <w:color w:val="auto"/>
              </w:rPr>
            </w:pPr>
          </w:p>
        </w:tc>
        <w:tc>
          <w:tcPr>
            <w:tcW w:w="40" w:type="dxa"/>
            <w:vAlign w:val="bottom"/>
            <w:tcBorders>
              <w:top w:val="single" w:sz="8" w:color="EAF9E8"/>
            </w:tcBorders>
            <w:shd w:val="clear" w:color="auto" w:fill="EAF9E8"/>
          </w:tcPr>
          <w:p>
            <w:pPr>
              <w:spacing w:after="0"/>
              <w:rPr>
                <w:sz w:val="21"/>
                <w:szCs w:val="21"/>
                <w:color w:val="auto"/>
              </w:rPr>
            </w:pPr>
          </w:p>
        </w:tc>
        <w:tc>
          <w:tcPr>
            <w:tcW w:w="640" w:type="dxa"/>
            <w:vAlign w:val="bottom"/>
            <w:tcBorders>
              <w:top w:val="single" w:sz="8" w:color="auto"/>
            </w:tcBorders>
            <w:shd w:val="clear" w:color="auto" w:fill="EAF9E8"/>
          </w:tcPr>
          <w:p>
            <w:pPr>
              <w:spacing w:after="0"/>
              <w:rPr>
                <w:sz w:val="21"/>
                <w:szCs w:val="21"/>
                <w:color w:val="auto"/>
              </w:rPr>
            </w:pPr>
          </w:p>
        </w:tc>
        <w:tc>
          <w:tcPr>
            <w:tcW w:w="60" w:type="dxa"/>
            <w:vAlign w:val="bottom"/>
            <w:tcBorders>
              <w:top w:val="single" w:sz="8" w:color="EAF9E8"/>
            </w:tcBorders>
            <w:shd w:val="clear" w:color="auto" w:fill="EAF9E8"/>
          </w:tcPr>
          <w:p>
            <w:pPr>
              <w:spacing w:after="0"/>
              <w:rPr>
                <w:sz w:val="21"/>
                <w:szCs w:val="21"/>
                <w:color w:val="auto"/>
              </w:rPr>
            </w:pPr>
          </w:p>
        </w:tc>
        <w:tc>
          <w:tcPr>
            <w:tcW w:w="60" w:type="dxa"/>
            <w:vAlign w:val="bottom"/>
            <w:tcBorders>
              <w:top w:val="single" w:sz="8" w:color="EAF9E8"/>
            </w:tcBorders>
            <w:shd w:val="clear" w:color="auto" w:fill="EAF9E8"/>
          </w:tcPr>
          <w:p>
            <w:pPr>
              <w:spacing w:after="0"/>
              <w:rPr>
                <w:sz w:val="21"/>
                <w:szCs w:val="21"/>
                <w:color w:val="auto"/>
              </w:rPr>
            </w:pPr>
          </w:p>
        </w:tc>
        <w:tc>
          <w:tcPr>
            <w:tcW w:w="100" w:type="dxa"/>
            <w:vAlign w:val="bottom"/>
            <w:tcBorders>
              <w:top w:val="single" w:sz="8" w:color="EAF9E8"/>
            </w:tcBorders>
            <w:shd w:val="clear" w:color="auto" w:fill="EAF9E8"/>
          </w:tcPr>
          <w:p>
            <w:pPr>
              <w:spacing w:after="0"/>
              <w:rPr>
                <w:sz w:val="21"/>
                <w:szCs w:val="21"/>
                <w:color w:val="auto"/>
              </w:rPr>
            </w:pPr>
          </w:p>
        </w:tc>
        <w:tc>
          <w:tcPr>
            <w:tcW w:w="20" w:type="dxa"/>
            <w:vAlign w:val="bottom"/>
            <w:tcBorders>
              <w:top w:val="single" w:sz="8" w:color="EAF9E8"/>
            </w:tcBorders>
            <w:shd w:val="clear" w:color="auto" w:fill="EAF9E8"/>
          </w:tcPr>
          <w:p>
            <w:pPr>
              <w:spacing w:after="0"/>
              <w:rPr>
                <w:sz w:val="21"/>
                <w:szCs w:val="21"/>
                <w:color w:val="auto"/>
              </w:rPr>
            </w:pPr>
          </w:p>
        </w:tc>
        <w:tc>
          <w:tcPr>
            <w:tcW w:w="780" w:type="dxa"/>
            <w:vAlign w:val="bottom"/>
            <w:tcBorders>
              <w:top w:val="single" w:sz="8" w:color="auto"/>
            </w:tcBorders>
            <w:shd w:val="clear" w:color="auto" w:fill="EAF9E8"/>
          </w:tcPr>
          <w:p>
            <w:pPr>
              <w:spacing w:after="0"/>
              <w:rPr>
                <w:sz w:val="21"/>
                <w:szCs w:val="21"/>
                <w:color w:val="auto"/>
              </w:rPr>
            </w:pPr>
          </w:p>
        </w:tc>
        <w:tc>
          <w:tcPr>
            <w:tcW w:w="80" w:type="dxa"/>
            <w:vAlign w:val="bottom"/>
            <w:tcBorders>
              <w:top w:val="single" w:sz="8" w:color="EAF9E8"/>
            </w:tcBorders>
            <w:shd w:val="clear" w:color="auto" w:fill="EAF9E8"/>
          </w:tcPr>
          <w:p>
            <w:pPr>
              <w:spacing w:after="0"/>
              <w:rPr>
                <w:sz w:val="21"/>
                <w:szCs w:val="21"/>
                <w:color w:val="auto"/>
              </w:rPr>
            </w:pPr>
          </w:p>
        </w:tc>
        <w:tc>
          <w:tcPr>
            <w:tcW w:w="60" w:type="dxa"/>
            <w:vAlign w:val="bottom"/>
            <w:tcBorders>
              <w:top w:val="single" w:sz="8" w:color="EAF9E8"/>
            </w:tcBorders>
            <w:shd w:val="clear" w:color="auto" w:fill="EAF9E8"/>
          </w:tcPr>
          <w:p>
            <w:pPr>
              <w:spacing w:after="0"/>
              <w:rPr>
                <w:sz w:val="21"/>
                <w:szCs w:val="21"/>
                <w:color w:val="auto"/>
              </w:rPr>
            </w:pPr>
          </w:p>
        </w:tc>
        <w:tc>
          <w:tcPr>
            <w:tcW w:w="120" w:type="dxa"/>
            <w:vAlign w:val="bottom"/>
            <w:tcBorders>
              <w:top w:val="single" w:sz="8" w:color="EAF9E8"/>
            </w:tcBorders>
            <w:shd w:val="clear" w:color="auto" w:fill="EAF9E8"/>
          </w:tcPr>
          <w:p>
            <w:pPr>
              <w:spacing w:after="0"/>
              <w:rPr>
                <w:sz w:val="21"/>
                <w:szCs w:val="21"/>
                <w:color w:val="auto"/>
              </w:rPr>
            </w:pPr>
          </w:p>
        </w:tc>
        <w:tc>
          <w:tcPr>
            <w:tcW w:w="920" w:type="dxa"/>
            <w:vAlign w:val="bottom"/>
            <w:tcBorders>
              <w:top w:val="single" w:sz="8" w:color="auto"/>
            </w:tcBorders>
            <w:shd w:val="clear" w:color="auto" w:fill="EAF9E8"/>
          </w:tcPr>
          <w:p>
            <w:pPr>
              <w:spacing w:after="0"/>
              <w:rPr>
                <w:sz w:val="21"/>
                <w:szCs w:val="21"/>
                <w:color w:val="auto"/>
              </w:rPr>
            </w:pPr>
          </w:p>
        </w:tc>
        <w:tc>
          <w:tcPr>
            <w:tcW w:w="120" w:type="dxa"/>
            <w:vAlign w:val="bottom"/>
            <w:tcBorders>
              <w:top w:val="single" w:sz="8" w:color="EAF9E8"/>
            </w:tcBorders>
            <w:shd w:val="clear" w:color="auto" w:fill="EAF9E8"/>
          </w:tcPr>
          <w:p>
            <w:pPr>
              <w:spacing w:after="0"/>
              <w:rPr>
                <w:sz w:val="21"/>
                <w:szCs w:val="21"/>
                <w:color w:val="auto"/>
              </w:rPr>
            </w:pPr>
          </w:p>
        </w:tc>
        <w:tc>
          <w:tcPr>
            <w:tcW w:w="80" w:type="dxa"/>
            <w:vAlign w:val="bottom"/>
            <w:tcBorders>
              <w:top w:val="single" w:sz="8" w:color="EAF9E8"/>
            </w:tcBorders>
            <w:shd w:val="clear" w:color="auto" w:fill="EAF9E8"/>
          </w:tcPr>
          <w:p>
            <w:pPr>
              <w:spacing w:after="0"/>
              <w:rPr>
                <w:sz w:val="21"/>
                <w:szCs w:val="21"/>
                <w:color w:val="auto"/>
              </w:rPr>
            </w:pPr>
          </w:p>
        </w:tc>
        <w:tc>
          <w:tcPr>
            <w:tcW w:w="40" w:type="dxa"/>
            <w:vAlign w:val="bottom"/>
            <w:tcBorders>
              <w:top w:val="single" w:sz="8" w:color="EAF9E8"/>
            </w:tcBorders>
            <w:shd w:val="clear" w:color="auto" w:fill="EAF9E8"/>
          </w:tcPr>
          <w:p>
            <w:pPr>
              <w:spacing w:after="0"/>
              <w:rPr>
                <w:sz w:val="21"/>
                <w:szCs w:val="21"/>
                <w:color w:val="auto"/>
              </w:rPr>
            </w:pPr>
          </w:p>
        </w:tc>
        <w:tc>
          <w:tcPr>
            <w:tcW w:w="660" w:type="dxa"/>
            <w:vAlign w:val="bottom"/>
            <w:tcBorders>
              <w:top w:val="single" w:sz="8" w:color="auto"/>
            </w:tcBorders>
            <w:shd w:val="clear" w:color="auto" w:fill="EAF9E8"/>
          </w:tcPr>
          <w:p>
            <w:pPr>
              <w:spacing w:after="0"/>
              <w:rPr>
                <w:sz w:val="21"/>
                <w:szCs w:val="21"/>
                <w:color w:val="auto"/>
              </w:rPr>
            </w:pPr>
          </w:p>
        </w:tc>
        <w:tc>
          <w:tcPr>
            <w:tcW w:w="80" w:type="dxa"/>
            <w:vAlign w:val="bottom"/>
            <w:tcBorders>
              <w:top w:val="single" w:sz="8" w:color="EAF9E8"/>
            </w:tcBorders>
            <w:shd w:val="clear" w:color="auto" w:fill="EAF9E8"/>
          </w:tcPr>
          <w:p>
            <w:pPr>
              <w:spacing w:after="0"/>
              <w:rPr>
                <w:sz w:val="21"/>
                <w:szCs w:val="21"/>
                <w:color w:val="auto"/>
              </w:rPr>
            </w:pPr>
          </w:p>
        </w:tc>
        <w:tc>
          <w:tcPr>
            <w:tcW w:w="60" w:type="dxa"/>
            <w:vAlign w:val="bottom"/>
            <w:tcBorders>
              <w:top w:val="single" w:sz="8" w:color="EAF9E8"/>
            </w:tcBorders>
            <w:shd w:val="clear" w:color="auto" w:fill="EAF9E8"/>
          </w:tcPr>
          <w:p>
            <w:pPr>
              <w:spacing w:after="0"/>
              <w:rPr>
                <w:sz w:val="21"/>
                <w:szCs w:val="21"/>
                <w:color w:val="auto"/>
              </w:rPr>
            </w:pPr>
          </w:p>
        </w:tc>
        <w:tc>
          <w:tcPr>
            <w:tcW w:w="80" w:type="dxa"/>
            <w:vAlign w:val="bottom"/>
            <w:tcBorders>
              <w:top w:val="single" w:sz="8" w:color="auto"/>
            </w:tcBorders>
            <w:shd w:val="clear" w:color="auto" w:fill="EAF9E8"/>
          </w:tcPr>
          <w:p>
            <w:pPr>
              <w:spacing w:after="0"/>
              <w:rPr>
                <w:sz w:val="21"/>
                <w:szCs w:val="21"/>
                <w:color w:val="auto"/>
              </w:rPr>
            </w:pPr>
          </w:p>
        </w:tc>
        <w:tc>
          <w:tcPr>
            <w:tcW w:w="820" w:type="dxa"/>
            <w:vAlign w:val="bottom"/>
            <w:tcBorders>
              <w:top w:val="single" w:sz="8" w:color="auto"/>
            </w:tcBorders>
            <w:shd w:val="clear" w:color="auto" w:fill="EAF9E8"/>
          </w:tcPr>
          <w:p>
            <w:pPr>
              <w:spacing w:after="0"/>
              <w:rPr>
                <w:sz w:val="21"/>
                <w:szCs w:val="21"/>
                <w:color w:val="auto"/>
              </w:rPr>
            </w:pPr>
          </w:p>
        </w:tc>
        <w:tc>
          <w:tcPr>
            <w:tcW w:w="140" w:type="dxa"/>
            <w:vAlign w:val="bottom"/>
            <w:tcBorders>
              <w:top w:val="single" w:sz="8" w:color="EAF9E8"/>
            </w:tcBorders>
            <w:shd w:val="clear" w:color="auto" w:fill="EAF9E8"/>
          </w:tcPr>
          <w:p>
            <w:pPr>
              <w:spacing w:after="0"/>
              <w:rPr>
                <w:sz w:val="21"/>
                <w:szCs w:val="21"/>
                <w:color w:val="auto"/>
              </w:rPr>
            </w:pPr>
          </w:p>
        </w:tc>
        <w:tc>
          <w:tcPr>
            <w:tcW w:w="120" w:type="dxa"/>
            <w:vAlign w:val="bottom"/>
            <w:tcBorders>
              <w:top w:val="single" w:sz="8" w:color="EAF9E8"/>
            </w:tcBorders>
            <w:shd w:val="clear" w:color="auto" w:fill="EAF9E8"/>
          </w:tcPr>
          <w:p>
            <w:pPr>
              <w:spacing w:after="0"/>
              <w:rPr>
                <w:sz w:val="21"/>
                <w:szCs w:val="21"/>
                <w:color w:val="auto"/>
              </w:rPr>
            </w:pPr>
          </w:p>
        </w:tc>
        <w:tc>
          <w:tcPr>
            <w:tcW w:w="960" w:type="dxa"/>
            <w:vAlign w:val="bottom"/>
            <w:tcBorders>
              <w:top w:val="single" w:sz="8" w:color="auto"/>
            </w:tcBorders>
            <w:shd w:val="clear" w:color="auto" w:fill="EAF9E8"/>
          </w:tcPr>
          <w:p>
            <w:pPr>
              <w:spacing w:after="0"/>
              <w:rPr>
                <w:sz w:val="21"/>
                <w:szCs w:val="21"/>
                <w:color w:val="auto"/>
              </w:rPr>
            </w:pPr>
          </w:p>
        </w:tc>
        <w:tc>
          <w:tcPr>
            <w:tcW w:w="140" w:type="dxa"/>
            <w:vAlign w:val="bottom"/>
            <w:tcBorders>
              <w:top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200" w:type="dxa"/>
            <w:vAlign w:val="bottom"/>
          </w:tcPr>
          <w:p>
            <w:pPr>
              <w:ind w:left="160"/>
              <w:spacing w:after="0"/>
              <w:rPr>
                <w:sz w:val="20"/>
                <w:szCs w:val="20"/>
                <w:color w:val="auto"/>
              </w:rPr>
            </w:pPr>
            <w:r>
              <w:rPr>
                <w:rFonts w:ascii="Arial" w:cs="Arial" w:eastAsia="Arial" w:hAnsi="Arial"/>
                <w:sz w:val="14"/>
                <w:szCs w:val="14"/>
                <w:color w:val="auto"/>
              </w:rPr>
              <w:t>Cash</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6</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3"/>
          </w:tcPr>
          <w:p>
            <w:pPr>
              <w:jc w:val="right"/>
              <w:ind w:right="60"/>
              <w:spacing w:after="0"/>
              <w:rPr>
                <w:sz w:val="20"/>
                <w:szCs w:val="20"/>
                <w:color w:val="auto"/>
              </w:rPr>
            </w:pPr>
            <w:r>
              <w:rPr>
                <w:rFonts w:ascii="Arial" w:cs="Arial" w:eastAsia="Arial" w:hAnsi="Arial"/>
                <w:sz w:val="14"/>
                <w:szCs w:val="14"/>
                <w:color w:val="auto"/>
              </w:rPr>
              <w:t>141</w:t>
            </w:r>
          </w:p>
        </w:tc>
        <w:tc>
          <w:tcPr>
            <w:tcW w:w="180" w:type="dxa"/>
            <w:vAlign w:val="bottom"/>
            <w:gridSpan w:val="2"/>
          </w:tcPr>
          <w:p>
            <w:pPr>
              <w:jc w:val="right"/>
              <w:ind w:right="9"/>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gridSpan w:val="3"/>
          </w:tcPr>
          <w:p>
            <w:pPr>
              <w:jc w:val="right"/>
              <w:ind w:right="60"/>
              <w:spacing w:after="0"/>
              <w:rPr>
                <w:sz w:val="20"/>
                <w:szCs w:val="20"/>
                <w:color w:val="auto"/>
              </w:rPr>
            </w:pPr>
            <w:r>
              <w:rPr>
                <w:rFonts w:ascii="Arial" w:cs="Arial" w:eastAsia="Arial" w:hAnsi="Arial"/>
                <w:sz w:val="14"/>
                <w:szCs w:val="14"/>
                <w:color w:val="auto"/>
              </w:rPr>
              <w:t>243</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1"/>
                <w:szCs w:val="21"/>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80" w:type="dxa"/>
            <w:vAlign w:val="bottom"/>
            <w:gridSpan w:val="2"/>
          </w:tcPr>
          <w:p>
            <w:pPr>
              <w:jc w:val="right"/>
              <w:ind w:right="9"/>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3"/>
          </w:tcPr>
          <w:p>
            <w:pPr>
              <w:jc w:val="right"/>
              <w:ind w:right="80"/>
              <w:spacing w:after="0"/>
              <w:rPr>
                <w:sz w:val="20"/>
                <w:szCs w:val="20"/>
                <w:color w:val="auto"/>
              </w:rPr>
            </w:pPr>
            <w:r>
              <w:rPr>
                <w:rFonts w:ascii="Arial" w:cs="Arial" w:eastAsia="Arial" w:hAnsi="Arial"/>
                <w:sz w:val="14"/>
                <w:szCs w:val="14"/>
                <w:color w:val="auto"/>
              </w:rPr>
              <w:t>195,464</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ind w:left="700"/>
              <w:spacing w:after="0"/>
              <w:rPr>
                <w:sz w:val="20"/>
                <w:szCs w:val="20"/>
                <w:color w:val="auto"/>
              </w:rPr>
            </w:pPr>
            <w:r>
              <w:rPr>
                <w:rFonts w:ascii="Arial" w:cs="Arial" w:eastAsia="Arial" w:hAnsi="Arial"/>
                <w:sz w:val="14"/>
                <w:szCs w:val="14"/>
                <w:color w:val="auto"/>
                <w:w w:val="71"/>
              </w:rPr>
              <w:t>—</w:t>
            </w:r>
          </w:p>
        </w:tc>
        <w:tc>
          <w:tcPr>
            <w:tcW w:w="260" w:type="dxa"/>
            <w:vAlign w:val="bottom"/>
            <w:gridSpan w:val="2"/>
          </w:tcPr>
          <w:p>
            <w:pPr>
              <w:jc w:val="right"/>
              <w:ind w:right="9"/>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195,854</w:t>
            </w:r>
          </w:p>
        </w:tc>
        <w:tc>
          <w:tcPr>
            <w:tcW w:w="0" w:type="dxa"/>
            <w:vAlign w:val="bottom"/>
          </w:tcPr>
          <w:p>
            <w:pPr>
              <w:spacing w:after="0"/>
              <w:rPr>
                <w:sz w:val="1"/>
                <w:szCs w:val="1"/>
                <w:color w:val="auto"/>
              </w:rPr>
            </w:pPr>
          </w:p>
        </w:tc>
      </w:tr>
      <w:tr>
        <w:trPr>
          <w:trHeight w:val="243"/>
        </w:trPr>
        <w:tc>
          <w:tcPr>
            <w:tcW w:w="2200" w:type="dxa"/>
            <w:vAlign w:val="bottom"/>
            <w:shd w:val="clear" w:color="auto" w:fill="EAF9E8"/>
          </w:tcPr>
          <w:p>
            <w:pPr>
              <w:ind w:left="160"/>
              <w:spacing w:after="0"/>
              <w:rPr>
                <w:sz w:val="20"/>
                <w:szCs w:val="20"/>
                <w:color w:val="auto"/>
              </w:rPr>
            </w:pPr>
            <w:r>
              <w:rPr>
                <w:rFonts w:ascii="Arial" w:cs="Arial" w:eastAsia="Arial" w:hAnsi="Arial"/>
                <w:sz w:val="14"/>
                <w:szCs w:val="14"/>
                <w:color w:val="auto"/>
              </w:rPr>
              <w:t>Trading securities, at fair value:</w:t>
            </w:r>
          </w:p>
        </w:tc>
        <w:tc>
          <w:tcPr>
            <w:tcW w:w="100" w:type="dxa"/>
            <w:vAlign w:val="bottom"/>
            <w:shd w:val="clear" w:color="auto" w:fill="EAF9E8"/>
          </w:tcPr>
          <w:p>
            <w:pPr>
              <w:spacing w:after="0"/>
              <w:rPr>
                <w:sz w:val="21"/>
                <w:szCs w:val="21"/>
                <w:color w:val="auto"/>
              </w:rPr>
            </w:pPr>
          </w:p>
        </w:tc>
        <w:tc>
          <w:tcPr>
            <w:tcW w:w="680" w:type="dxa"/>
            <w:vAlign w:val="bottom"/>
            <w:shd w:val="clear" w:color="auto" w:fill="EAF9E8"/>
          </w:tcPr>
          <w:p>
            <w:pPr>
              <w:spacing w:after="0"/>
              <w:rPr>
                <w:sz w:val="21"/>
                <w:szCs w:val="21"/>
                <w:color w:val="auto"/>
              </w:rPr>
            </w:pPr>
          </w:p>
        </w:tc>
        <w:tc>
          <w:tcPr>
            <w:tcW w:w="2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40" w:type="dxa"/>
            <w:vAlign w:val="bottom"/>
            <w:shd w:val="clear" w:color="auto" w:fill="EAF9E8"/>
          </w:tcPr>
          <w:p>
            <w:pPr>
              <w:spacing w:after="0"/>
              <w:rPr>
                <w:sz w:val="21"/>
                <w:szCs w:val="21"/>
                <w:color w:val="auto"/>
              </w:rPr>
            </w:pPr>
          </w:p>
        </w:tc>
        <w:tc>
          <w:tcPr>
            <w:tcW w:w="660" w:type="dxa"/>
            <w:vAlign w:val="bottom"/>
            <w:shd w:val="clear" w:color="auto" w:fill="EAF9E8"/>
          </w:tcPr>
          <w:p>
            <w:pPr>
              <w:spacing w:after="0"/>
              <w:rPr>
                <w:sz w:val="21"/>
                <w:szCs w:val="21"/>
                <w:color w:val="auto"/>
              </w:rPr>
            </w:pPr>
          </w:p>
        </w:tc>
        <w:tc>
          <w:tcPr>
            <w:tcW w:w="60" w:type="dxa"/>
            <w:vAlign w:val="bottom"/>
            <w:shd w:val="clear" w:color="auto" w:fill="EAF9E8"/>
          </w:tcPr>
          <w:p>
            <w:pPr>
              <w:spacing w:after="0"/>
              <w:rPr>
                <w:sz w:val="21"/>
                <w:szCs w:val="21"/>
                <w:color w:val="auto"/>
              </w:rPr>
            </w:pPr>
          </w:p>
        </w:tc>
        <w:tc>
          <w:tcPr>
            <w:tcW w:w="6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92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40" w:type="dxa"/>
            <w:vAlign w:val="bottom"/>
            <w:shd w:val="clear" w:color="auto" w:fill="EAF9E8"/>
          </w:tcPr>
          <w:p>
            <w:pPr>
              <w:spacing w:after="0"/>
              <w:rPr>
                <w:sz w:val="21"/>
                <w:szCs w:val="21"/>
                <w:color w:val="auto"/>
              </w:rPr>
            </w:pPr>
          </w:p>
        </w:tc>
        <w:tc>
          <w:tcPr>
            <w:tcW w:w="640" w:type="dxa"/>
            <w:vAlign w:val="bottom"/>
            <w:shd w:val="clear" w:color="auto" w:fill="EAF9E8"/>
          </w:tcPr>
          <w:p>
            <w:pPr>
              <w:spacing w:after="0"/>
              <w:rPr>
                <w:sz w:val="21"/>
                <w:szCs w:val="21"/>
                <w:color w:val="auto"/>
              </w:rPr>
            </w:pPr>
          </w:p>
        </w:tc>
        <w:tc>
          <w:tcPr>
            <w:tcW w:w="60" w:type="dxa"/>
            <w:vAlign w:val="bottom"/>
            <w:shd w:val="clear" w:color="auto" w:fill="EAF9E8"/>
          </w:tcPr>
          <w:p>
            <w:pPr>
              <w:spacing w:after="0"/>
              <w:rPr>
                <w:sz w:val="21"/>
                <w:szCs w:val="21"/>
                <w:color w:val="auto"/>
              </w:rPr>
            </w:pPr>
          </w:p>
        </w:tc>
        <w:tc>
          <w:tcPr>
            <w:tcW w:w="6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20" w:type="dxa"/>
            <w:vAlign w:val="bottom"/>
            <w:shd w:val="clear" w:color="auto" w:fill="EAF9E8"/>
          </w:tcPr>
          <w:p>
            <w:pPr>
              <w:spacing w:after="0"/>
              <w:rPr>
                <w:sz w:val="21"/>
                <w:szCs w:val="21"/>
                <w:color w:val="auto"/>
              </w:rPr>
            </w:pPr>
          </w:p>
        </w:tc>
        <w:tc>
          <w:tcPr>
            <w:tcW w:w="78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6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92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40" w:type="dxa"/>
            <w:vAlign w:val="bottom"/>
            <w:shd w:val="clear" w:color="auto" w:fill="EAF9E8"/>
          </w:tcPr>
          <w:p>
            <w:pPr>
              <w:spacing w:after="0"/>
              <w:rPr>
                <w:sz w:val="21"/>
                <w:szCs w:val="21"/>
                <w:color w:val="auto"/>
              </w:rPr>
            </w:pPr>
          </w:p>
        </w:tc>
        <w:tc>
          <w:tcPr>
            <w:tcW w:w="66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6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82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96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200" w:type="dxa"/>
            <w:vAlign w:val="bottom"/>
          </w:tcPr>
          <w:p>
            <w:pPr>
              <w:ind w:left="320"/>
              <w:spacing w:after="0"/>
              <w:rPr>
                <w:sz w:val="20"/>
                <w:szCs w:val="20"/>
                <w:color w:val="auto"/>
              </w:rPr>
            </w:pPr>
            <w:r>
              <w:rPr>
                <w:rFonts w:ascii="Arial" w:cs="Arial" w:eastAsia="Arial" w:hAnsi="Arial"/>
                <w:sz w:val="14"/>
                <w:szCs w:val="14"/>
                <w:color w:val="auto"/>
              </w:rPr>
              <w:t>Auction rate</w:t>
            </w:r>
          </w:p>
        </w:tc>
        <w:tc>
          <w:tcPr>
            <w:tcW w:w="100" w:type="dxa"/>
            <w:vAlign w:val="bottom"/>
          </w:tcPr>
          <w:p>
            <w:pPr>
              <w:spacing w:after="0"/>
              <w:rPr>
                <w:sz w:val="21"/>
                <w:szCs w:val="21"/>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gridSpan w:val="3"/>
          </w:tcPr>
          <w:p>
            <w:pPr>
              <w:jc w:val="right"/>
              <w:ind w:right="80"/>
              <w:spacing w:after="0"/>
              <w:rPr>
                <w:sz w:val="20"/>
                <w:szCs w:val="20"/>
                <w:color w:val="auto"/>
              </w:rPr>
            </w:pPr>
            <w:r>
              <w:rPr>
                <w:rFonts w:ascii="Arial" w:cs="Arial" w:eastAsia="Arial" w:hAnsi="Arial"/>
                <w:sz w:val="14"/>
                <w:szCs w:val="14"/>
                <w:color w:val="auto"/>
              </w:rPr>
              <w:t>250,099</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ind w:left="700"/>
              <w:spacing w:after="0"/>
              <w:rPr>
                <w:sz w:val="20"/>
                <w:szCs w:val="20"/>
                <w:color w:val="auto"/>
              </w:rPr>
            </w:pPr>
            <w:r>
              <w:rPr>
                <w:rFonts w:ascii="Arial" w:cs="Arial" w:eastAsia="Arial" w:hAnsi="Arial"/>
                <w:sz w:val="14"/>
                <w:szCs w:val="14"/>
                <w:color w:val="auto"/>
                <w:w w:val="71"/>
              </w:rPr>
              <w:t>—</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250,099</w:t>
            </w:r>
          </w:p>
        </w:tc>
        <w:tc>
          <w:tcPr>
            <w:tcW w:w="0" w:type="dxa"/>
            <w:vAlign w:val="bottom"/>
          </w:tcPr>
          <w:p>
            <w:pPr>
              <w:spacing w:after="0"/>
              <w:rPr>
                <w:sz w:val="1"/>
                <w:szCs w:val="1"/>
                <w:color w:val="auto"/>
              </w:rPr>
            </w:pPr>
          </w:p>
        </w:tc>
      </w:tr>
      <w:tr>
        <w:trPr>
          <w:trHeight w:val="243"/>
        </w:trPr>
        <w:tc>
          <w:tcPr>
            <w:tcW w:w="2200" w:type="dxa"/>
            <w:vAlign w:val="bottom"/>
            <w:shd w:val="clear" w:color="auto" w:fill="EAF9E8"/>
          </w:tcPr>
          <w:p>
            <w:pPr>
              <w:ind w:left="320"/>
              <w:spacing w:after="0"/>
              <w:rPr>
                <w:sz w:val="20"/>
                <w:szCs w:val="20"/>
                <w:color w:val="auto"/>
              </w:rPr>
            </w:pPr>
            <w:r>
              <w:rPr>
                <w:rFonts w:ascii="Arial" w:cs="Arial" w:eastAsia="Arial" w:hAnsi="Arial"/>
                <w:sz w:val="14"/>
                <w:szCs w:val="14"/>
                <w:color w:val="auto"/>
              </w:rPr>
              <w:t>Subordinates and residuals</w:t>
            </w:r>
          </w:p>
        </w:tc>
        <w:tc>
          <w:tcPr>
            <w:tcW w:w="100" w:type="dxa"/>
            <w:vAlign w:val="bottom"/>
            <w:shd w:val="clear" w:color="auto" w:fill="EAF9E8"/>
          </w:tcPr>
          <w:p>
            <w:pPr>
              <w:spacing w:after="0"/>
              <w:rPr>
                <w:sz w:val="21"/>
                <w:szCs w:val="21"/>
                <w:color w:val="auto"/>
              </w:rPr>
            </w:pPr>
          </w:p>
        </w:tc>
        <w:tc>
          <w:tcPr>
            <w:tcW w:w="700" w:type="dxa"/>
            <w:vAlign w:val="bottom"/>
            <w:gridSpan w:val="2"/>
            <w:shd w:val="clear" w:color="auto" w:fill="EAF9E8"/>
          </w:tcPr>
          <w:p>
            <w:pPr>
              <w:jc w:val="right"/>
              <w:ind w:right="20"/>
              <w:spacing w:after="0"/>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760" w:type="dxa"/>
            <w:vAlign w:val="bottom"/>
            <w:gridSpan w:val="3"/>
            <w:shd w:val="clear" w:color="auto" w:fill="EAF9E8"/>
          </w:tcPr>
          <w:p>
            <w:pPr>
              <w:jc w:val="right"/>
              <w:ind w:right="60"/>
              <w:spacing w:after="0"/>
              <w:rPr>
                <w:sz w:val="20"/>
                <w:szCs w:val="20"/>
                <w:color w:val="auto"/>
              </w:rPr>
            </w:pPr>
            <w:r>
              <w:rPr>
                <w:rFonts w:ascii="Arial" w:cs="Arial" w:eastAsia="Arial" w:hAnsi="Arial"/>
                <w:sz w:val="14"/>
                <w:szCs w:val="14"/>
                <w:color w:val="auto"/>
              </w:rPr>
              <w:t>4,327</w:t>
            </w:r>
          </w:p>
        </w:tc>
        <w:tc>
          <w:tcPr>
            <w:tcW w:w="6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1040" w:type="dxa"/>
            <w:vAlign w:val="bottom"/>
            <w:gridSpan w:val="2"/>
            <w:shd w:val="clear" w:color="auto" w:fill="EAF9E8"/>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EAF9E8"/>
          </w:tcPr>
          <w:p>
            <w:pPr>
              <w:spacing w:after="0"/>
              <w:rPr>
                <w:sz w:val="21"/>
                <w:szCs w:val="21"/>
                <w:color w:val="auto"/>
              </w:rPr>
            </w:pPr>
          </w:p>
        </w:tc>
        <w:tc>
          <w:tcPr>
            <w:tcW w:w="40" w:type="dxa"/>
            <w:vAlign w:val="bottom"/>
            <w:shd w:val="clear" w:color="auto" w:fill="EAF9E8"/>
          </w:tcPr>
          <w:p>
            <w:pPr>
              <w:spacing w:after="0"/>
              <w:rPr>
                <w:sz w:val="21"/>
                <w:szCs w:val="21"/>
                <w:color w:val="auto"/>
              </w:rPr>
            </w:pPr>
          </w:p>
        </w:tc>
        <w:tc>
          <w:tcPr>
            <w:tcW w:w="700" w:type="dxa"/>
            <w:vAlign w:val="bottom"/>
            <w:gridSpan w:val="2"/>
            <w:shd w:val="clear" w:color="auto" w:fill="EAF9E8"/>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20" w:type="dxa"/>
            <w:vAlign w:val="bottom"/>
            <w:shd w:val="clear" w:color="auto" w:fill="EAF9E8"/>
          </w:tcPr>
          <w:p>
            <w:pPr>
              <w:spacing w:after="0"/>
              <w:rPr>
                <w:sz w:val="21"/>
                <w:szCs w:val="21"/>
                <w:color w:val="auto"/>
              </w:rPr>
            </w:pPr>
          </w:p>
        </w:tc>
        <w:tc>
          <w:tcPr>
            <w:tcW w:w="860" w:type="dxa"/>
            <w:vAlign w:val="bottom"/>
            <w:gridSpan w:val="2"/>
            <w:shd w:val="clear" w:color="auto" w:fill="EAF9E8"/>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920" w:type="dxa"/>
            <w:vAlign w:val="bottom"/>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780" w:type="dxa"/>
            <w:vAlign w:val="bottom"/>
            <w:gridSpan w:val="3"/>
            <w:shd w:val="clear" w:color="auto" w:fill="EAF9E8"/>
          </w:tcPr>
          <w:p>
            <w:pPr>
              <w:jc w:val="right"/>
              <w:ind w:right="80"/>
              <w:spacing w:after="0"/>
              <w:rPr>
                <w:sz w:val="20"/>
                <w:szCs w:val="20"/>
                <w:color w:val="auto"/>
              </w:rPr>
            </w:pPr>
            <w:r>
              <w:rPr>
                <w:rFonts w:ascii="Arial" w:cs="Arial" w:eastAsia="Arial" w:hAnsi="Arial"/>
                <w:sz w:val="14"/>
                <w:szCs w:val="14"/>
                <w:color w:val="auto"/>
              </w:rPr>
              <w:t>90</w:t>
            </w:r>
          </w:p>
        </w:tc>
        <w:tc>
          <w:tcPr>
            <w:tcW w:w="6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820" w:type="dxa"/>
            <w:vAlign w:val="bottom"/>
            <w:shd w:val="clear" w:color="auto" w:fill="EAF9E8"/>
          </w:tcPr>
          <w:p>
            <w:pPr>
              <w:ind w:left="700"/>
              <w:spacing w:after="0"/>
              <w:rPr>
                <w:sz w:val="20"/>
                <w:szCs w:val="20"/>
                <w:color w:val="auto"/>
              </w:rPr>
            </w:pPr>
            <w:r>
              <w:rPr>
                <w:rFonts w:ascii="Arial" w:cs="Arial" w:eastAsia="Arial" w:hAnsi="Arial"/>
                <w:sz w:val="14"/>
                <w:szCs w:val="14"/>
                <w:color w:val="auto"/>
                <w:w w:val="71"/>
              </w:rPr>
              <w:t>—</w:t>
            </w:r>
          </w:p>
        </w:tc>
        <w:tc>
          <w:tcPr>
            <w:tcW w:w="14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1100" w:type="dxa"/>
            <w:vAlign w:val="bottom"/>
            <w:gridSpan w:val="2"/>
            <w:shd w:val="clear" w:color="auto" w:fill="EAF9E8"/>
          </w:tcPr>
          <w:p>
            <w:pPr>
              <w:jc w:val="right"/>
              <w:ind w:right="140"/>
              <w:spacing w:after="0"/>
              <w:rPr>
                <w:sz w:val="20"/>
                <w:szCs w:val="20"/>
                <w:color w:val="auto"/>
              </w:rPr>
            </w:pPr>
            <w:r>
              <w:rPr>
                <w:rFonts w:ascii="Arial" w:cs="Arial" w:eastAsia="Arial" w:hAnsi="Arial"/>
                <w:sz w:val="14"/>
                <w:szCs w:val="14"/>
                <w:color w:val="auto"/>
              </w:rPr>
              <w:t>4,417</w:t>
            </w:r>
          </w:p>
        </w:tc>
        <w:tc>
          <w:tcPr>
            <w:tcW w:w="0" w:type="dxa"/>
            <w:vAlign w:val="bottom"/>
          </w:tcPr>
          <w:p>
            <w:pPr>
              <w:spacing w:after="0"/>
              <w:rPr>
                <w:sz w:val="1"/>
                <w:szCs w:val="1"/>
                <w:color w:val="auto"/>
              </w:rPr>
            </w:pPr>
          </w:p>
        </w:tc>
      </w:tr>
      <w:tr>
        <w:trPr>
          <w:trHeight w:val="243"/>
        </w:trPr>
        <w:tc>
          <w:tcPr>
            <w:tcW w:w="2200" w:type="dxa"/>
            <w:vAlign w:val="bottom"/>
          </w:tcPr>
          <w:p>
            <w:pPr>
              <w:ind w:left="160"/>
              <w:spacing w:after="0"/>
              <w:rPr>
                <w:sz w:val="20"/>
                <w:szCs w:val="20"/>
                <w:color w:val="auto"/>
              </w:rPr>
            </w:pPr>
            <w:r>
              <w:rPr>
                <w:rFonts w:ascii="Arial" w:cs="Arial" w:eastAsia="Arial" w:hAnsi="Arial"/>
                <w:sz w:val="14"/>
                <w:szCs w:val="14"/>
                <w:color w:val="auto"/>
              </w:rPr>
              <w:t>Loans held for resale</w:t>
            </w:r>
          </w:p>
        </w:tc>
        <w:tc>
          <w:tcPr>
            <w:tcW w:w="100" w:type="dxa"/>
            <w:vAlign w:val="bottom"/>
          </w:tcPr>
          <w:p>
            <w:pPr>
              <w:spacing w:after="0"/>
              <w:rPr>
                <w:sz w:val="21"/>
                <w:szCs w:val="21"/>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gridSpan w:val="3"/>
          </w:tcPr>
          <w:p>
            <w:pPr>
              <w:jc w:val="right"/>
              <w:ind w:right="60"/>
              <w:spacing w:after="0"/>
              <w:rPr>
                <w:sz w:val="20"/>
                <w:szCs w:val="20"/>
                <w:color w:val="auto"/>
              </w:rPr>
            </w:pPr>
            <w:r>
              <w:rPr>
                <w:rFonts w:ascii="Arial" w:cs="Arial" w:eastAsia="Arial" w:hAnsi="Arial"/>
                <w:sz w:val="14"/>
                <w:szCs w:val="14"/>
                <w:color w:val="auto"/>
              </w:rPr>
              <w:t>36,618</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ind w:left="700"/>
              <w:spacing w:after="0"/>
              <w:rPr>
                <w:sz w:val="20"/>
                <w:szCs w:val="20"/>
                <w:color w:val="auto"/>
              </w:rPr>
            </w:pPr>
            <w:r>
              <w:rPr>
                <w:rFonts w:ascii="Arial" w:cs="Arial" w:eastAsia="Arial" w:hAnsi="Arial"/>
                <w:sz w:val="14"/>
                <w:szCs w:val="14"/>
                <w:color w:val="auto"/>
                <w:w w:val="71"/>
              </w:rPr>
              <w:t>—</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36,618</w:t>
            </w:r>
          </w:p>
        </w:tc>
        <w:tc>
          <w:tcPr>
            <w:tcW w:w="0" w:type="dxa"/>
            <w:vAlign w:val="bottom"/>
          </w:tcPr>
          <w:p>
            <w:pPr>
              <w:spacing w:after="0"/>
              <w:rPr>
                <w:sz w:val="1"/>
                <w:szCs w:val="1"/>
                <w:color w:val="auto"/>
              </w:rPr>
            </w:pPr>
          </w:p>
        </w:tc>
      </w:tr>
      <w:tr>
        <w:trPr>
          <w:trHeight w:val="243"/>
        </w:trPr>
        <w:tc>
          <w:tcPr>
            <w:tcW w:w="2200" w:type="dxa"/>
            <w:vAlign w:val="bottom"/>
            <w:shd w:val="clear" w:color="auto" w:fill="EAF9E8"/>
          </w:tcPr>
          <w:p>
            <w:pPr>
              <w:ind w:left="160"/>
              <w:spacing w:after="0"/>
              <w:rPr>
                <w:sz w:val="20"/>
                <w:szCs w:val="20"/>
                <w:color w:val="auto"/>
              </w:rPr>
            </w:pPr>
            <w:r>
              <w:rPr>
                <w:rFonts w:ascii="Arial" w:cs="Arial" w:eastAsia="Arial" w:hAnsi="Arial"/>
                <w:sz w:val="14"/>
                <w:szCs w:val="14"/>
                <w:color w:val="auto"/>
              </w:rPr>
              <w:t>Advances</w:t>
            </w:r>
          </w:p>
        </w:tc>
        <w:tc>
          <w:tcPr>
            <w:tcW w:w="100" w:type="dxa"/>
            <w:vAlign w:val="bottom"/>
            <w:shd w:val="clear" w:color="auto" w:fill="EAF9E8"/>
          </w:tcPr>
          <w:p>
            <w:pPr>
              <w:spacing w:after="0"/>
              <w:rPr>
                <w:sz w:val="21"/>
                <w:szCs w:val="21"/>
                <w:color w:val="auto"/>
              </w:rPr>
            </w:pPr>
          </w:p>
        </w:tc>
        <w:tc>
          <w:tcPr>
            <w:tcW w:w="700" w:type="dxa"/>
            <w:vAlign w:val="bottom"/>
            <w:gridSpan w:val="2"/>
            <w:shd w:val="clear" w:color="auto" w:fill="EAF9E8"/>
          </w:tcPr>
          <w:p>
            <w:pPr>
              <w:jc w:val="right"/>
              <w:ind w:right="20"/>
              <w:spacing w:after="0"/>
              <w:rPr>
                <w:sz w:val="20"/>
                <w:szCs w:val="20"/>
                <w:color w:val="auto"/>
              </w:rPr>
            </w:pPr>
            <w:r>
              <w:rPr>
                <w:rFonts w:ascii="Arial" w:cs="Arial" w:eastAsia="Arial" w:hAnsi="Arial"/>
                <w:sz w:val="14"/>
                <w:szCs w:val="14"/>
                <w:color w:val="auto"/>
              </w:rPr>
              <w:t>126,787</w:t>
            </w:r>
          </w:p>
        </w:tc>
        <w:tc>
          <w:tcPr>
            <w:tcW w:w="10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760" w:type="dxa"/>
            <w:vAlign w:val="bottom"/>
            <w:gridSpan w:val="3"/>
            <w:shd w:val="clear" w:color="auto" w:fill="EAF9E8"/>
          </w:tcPr>
          <w:p>
            <w:pPr>
              <w:jc w:val="right"/>
              <w:ind w:right="60"/>
              <w:spacing w:after="0"/>
              <w:rPr>
                <w:sz w:val="20"/>
                <w:szCs w:val="20"/>
                <w:color w:val="auto"/>
              </w:rPr>
            </w:pPr>
            <w:r>
              <w:rPr>
                <w:rFonts w:ascii="Arial" w:cs="Arial" w:eastAsia="Arial" w:hAnsi="Arial"/>
                <w:sz w:val="14"/>
                <w:szCs w:val="14"/>
                <w:color w:val="auto"/>
              </w:rPr>
              <w:t>4,432</w:t>
            </w:r>
          </w:p>
        </w:tc>
        <w:tc>
          <w:tcPr>
            <w:tcW w:w="6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1040" w:type="dxa"/>
            <w:vAlign w:val="bottom"/>
            <w:gridSpan w:val="2"/>
            <w:shd w:val="clear" w:color="auto" w:fill="EAF9E8"/>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EAF9E8"/>
          </w:tcPr>
          <w:p>
            <w:pPr>
              <w:spacing w:after="0"/>
              <w:rPr>
                <w:sz w:val="21"/>
                <w:szCs w:val="21"/>
                <w:color w:val="auto"/>
              </w:rPr>
            </w:pPr>
          </w:p>
        </w:tc>
        <w:tc>
          <w:tcPr>
            <w:tcW w:w="40" w:type="dxa"/>
            <w:vAlign w:val="bottom"/>
            <w:shd w:val="clear" w:color="auto" w:fill="EAF9E8"/>
          </w:tcPr>
          <w:p>
            <w:pPr>
              <w:spacing w:after="0"/>
              <w:rPr>
                <w:sz w:val="21"/>
                <w:szCs w:val="21"/>
                <w:color w:val="auto"/>
              </w:rPr>
            </w:pPr>
          </w:p>
        </w:tc>
        <w:tc>
          <w:tcPr>
            <w:tcW w:w="700" w:type="dxa"/>
            <w:vAlign w:val="bottom"/>
            <w:gridSpan w:val="2"/>
            <w:shd w:val="clear" w:color="auto" w:fill="EAF9E8"/>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20" w:type="dxa"/>
            <w:vAlign w:val="bottom"/>
            <w:shd w:val="clear" w:color="auto" w:fill="EAF9E8"/>
          </w:tcPr>
          <w:p>
            <w:pPr>
              <w:spacing w:after="0"/>
              <w:rPr>
                <w:sz w:val="21"/>
                <w:szCs w:val="21"/>
                <w:color w:val="auto"/>
              </w:rPr>
            </w:pPr>
          </w:p>
        </w:tc>
        <w:tc>
          <w:tcPr>
            <w:tcW w:w="860" w:type="dxa"/>
            <w:vAlign w:val="bottom"/>
            <w:gridSpan w:val="2"/>
            <w:shd w:val="clear" w:color="auto" w:fill="EAF9E8"/>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920" w:type="dxa"/>
            <w:vAlign w:val="bottom"/>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780" w:type="dxa"/>
            <w:vAlign w:val="bottom"/>
            <w:gridSpan w:val="3"/>
            <w:shd w:val="clear" w:color="auto" w:fill="EAF9E8"/>
          </w:tcPr>
          <w:p>
            <w:pPr>
              <w:jc w:val="right"/>
              <w:ind w:right="80"/>
              <w:spacing w:after="0"/>
              <w:rPr>
                <w:sz w:val="20"/>
                <w:szCs w:val="20"/>
                <w:color w:val="auto"/>
              </w:rPr>
            </w:pPr>
            <w:r>
              <w:rPr>
                <w:rFonts w:ascii="Arial" w:cs="Arial" w:eastAsia="Arial" w:hAnsi="Arial"/>
                <w:sz w:val="14"/>
                <w:szCs w:val="14"/>
                <w:color w:val="auto"/>
              </w:rPr>
              <w:t>141</w:t>
            </w:r>
          </w:p>
        </w:tc>
        <w:tc>
          <w:tcPr>
            <w:tcW w:w="6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820" w:type="dxa"/>
            <w:vAlign w:val="bottom"/>
            <w:shd w:val="clear" w:color="auto" w:fill="EAF9E8"/>
          </w:tcPr>
          <w:p>
            <w:pPr>
              <w:ind w:left="700"/>
              <w:spacing w:after="0"/>
              <w:rPr>
                <w:sz w:val="20"/>
                <w:szCs w:val="20"/>
                <w:color w:val="auto"/>
              </w:rPr>
            </w:pPr>
            <w:r>
              <w:rPr>
                <w:rFonts w:ascii="Arial" w:cs="Arial" w:eastAsia="Arial" w:hAnsi="Arial"/>
                <w:sz w:val="14"/>
                <w:szCs w:val="14"/>
                <w:color w:val="auto"/>
                <w:w w:val="71"/>
              </w:rPr>
              <w:t>—</w:t>
            </w:r>
          </w:p>
        </w:tc>
        <w:tc>
          <w:tcPr>
            <w:tcW w:w="14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1100" w:type="dxa"/>
            <w:vAlign w:val="bottom"/>
            <w:gridSpan w:val="2"/>
            <w:shd w:val="clear" w:color="auto" w:fill="EAF9E8"/>
          </w:tcPr>
          <w:p>
            <w:pPr>
              <w:jc w:val="right"/>
              <w:ind w:right="140"/>
              <w:spacing w:after="0"/>
              <w:rPr>
                <w:sz w:val="20"/>
                <w:szCs w:val="20"/>
                <w:color w:val="auto"/>
              </w:rPr>
            </w:pPr>
            <w:r>
              <w:rPr>
                <w:rFonts w:ascii="Arial" w:cs="Arial" w:eastAsia="Arial" w:hAnsi="Arial"/>
                <w:sz w:val="14"/>
                <w:szCs w:val="14"/>
                <w:color w:val="auto"/>
              </w:rPr>
              <w:t>131,360</w:t>
            </w:r>
          </w:p>
        </w:tc>
        <w:tc>
          <w:tcPr>
            <w:tcW w:w="0" w:type="dxa"/>
            <w:vAlign w:val="bottom"/>
          </w:tcPr>
          <w:p>
            <w:pPr>
              <w:spacing w:after="0"/>
              <w:rPr>
                <w:sz w:val="1"/>
                <w:szCs w:val="1"/>
                <w:color w:val="auto"/>
              </w:rPr>
            </w:pPr>
          </w:p>
        </w:tc>
      </w:tr>
      <w:tr>
        <w:trPr>
          <w:trHeight w:val="243"/>
        </w:trPr>
        <w:tc>
          <w:tcPr>
            <w:tcW w:w="2200" w:type="dxa"/>
            <w:vAlign w:val="bottom"/>
          </w:tcPr>
          <w:p>
            <w:pPr>
              <w:ind w:left="160"/>
              <w:spacing w:after="0"/>
              <w:rPr>
                <w:sz w:val="20"/>
                <w:szCs w:val="20"/>
                <w:color w:val="auto"/>
              </w:rPr>
            </w:pPr>
            <w:r>
              <w:rPr>
                <w:rFonts w:ascii="Arial" w:cs="Arial" w:eastAsia="Arial" w:hAnsi="Arial"/>
                <w:sz w:val="14"/>
                <w:szCs w:val="14"/>
                <w:color w:val="auto"/>
              </w:rPr>
              <w:t>Match funded advances</w:t>
            </w:r>
          </w:p>
        </w:tc>
        <w:tc>
          <w:tcPr>
            <w:tcW w:w="100" w:type="dxa"/>
            <w:vAlign w:val="bottom"/>
          </w:tcPr>
          <w:p>
            <w:pPr>
              <w:spacing w:after="0"/>
              <w:rPr>
                <w:sz w:val="21"/>
                <w:szCs w:val="21"/>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879,444</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ind w:left="700"/>
              <w:spacing w:after="0"/>
              <w:rPr>
                <w:sz w:val="20"/>
                <w:szCs w:val="20"/>
                <w:color w:val="auto"/>
              </w:rPr>
            </w:pPr>
            <w:r>
              <w:rPr>
                <w:rFonts w:ascii="Arial" w:cs="Arial" w:eastAsia="Arial" w:hAnsi="Arial"/>
                <w:sz w:val="14"/>
                <w:szCs w:val="14"/>
                <w:color w:val="auto"/>
                <w:w w:val="71"/>
              </w:rPr>
              <w:t>—</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879,444</w:t>
            </w:r>
          </w:p>
        </w:tc>
        <w:tc>
          <w:tcPr>
            <w:tcW w:w="0" w:type="dxa"/>
            <w:vAlign w:val="bottom"/>
          </w:tcPr>
          <w:p>
            <w:pPr>
              <w:spacing w:after="0"/>
              <w:rPr>
                <w:sz w:val="1"/>
                <w:szCs w:val="1"/>
                <w:color w:val="auto"/>
              </w:rPr>
            </w:pPr>
          </w:p>
        </w:tc>
      </w:tr>
      <w:tr>
        <w:trPr>
          <w:trHeight w:val="243"/>
        </w:trPr>
        <w:tc>
          <w:tcPr>
            <w:tcW w:w="2200" w:type="dxa"/>
            <w:vAlign w:val="bottom"/>
            <w:shd w:val="clear" w:color="auto" w:fill="EAF9E8"/>
          </w:tcPr>
          <w:p>
            <w:pPr>
              <w:ind w:left="160"/>
              <w:spacing w:after="0"/>
              <w:rPr>
                <w:sz w:val="20"/>
                <w:szCs w:val="20"/>
                <w:color w:val="auto"/>
              </w:rPr>
            </w:pPr>
            <w:r>
              <w:rPr>
                <w:rFonts w:ascii="Arial" w:cs="Arial" w:eastAsia="Arial" w:hAnsi="Arial"/>
                <w:sz w:val="14"/>
                <w:szCs w:val="14"/>
                <w:color w:val="auto"/>
              </w:rPr>
              <w:t>Mortgage servicing rights</w:t>
            </w:r>
          </w:p>
        </w:tc>
        <w:tc>
          <w:tcPr>
            <w:tcW w:w="100" w:type="dxa"/>
            <w:vAlign w:val="bottom"/>
            <w:shd w:val="clear" w:color="auto" w:fill="EAF9E8"/>
          </w:tcPr>
          <w:p>
            <w:pPr>
              <w:spacing w:after="0"/>
              <w:rPr>
                <w:sz w:val="21"/>
                <w:szCs w:val="21"/>
                <w:color w:val="auto"/>
              </w:rPr>
            </w:pPr>
          </w:p>
        </w:tc>
        <w:tc>
          <w:tcPr>
            <w:tcW w:w="700" w:type="dxa"/>
            <w:vAlign w:val="bottom"/>
            <w:gridSpan w:val="2"/>
            <w:shd w:val="clear" w:color="auto" w:fill="EAF9E8"/>
          </w:tcPr>
          <w:p>
            <w:pPr>
              <w:jc w:val="right"/>
              <w:ind w:right="20"/>
              <w:spacing w:after="0"/>
              <w:rPr>
                <w:sz w:val="20"/>
                <w:szCs w:val="20"/>
                <w:color w:val="auto"/>
              </w:rPr>
            </w:pPr>
            <w:r>
              <w:rPr>
                <w:rFonts w:ascii="Arial" w:cs="Arial" w:eastAsia="Arial" w:hAnsi="Arial"/>
                <w:sz w:val="14"/>
                <w:szCs w:val="14"/>
                <w:color w:val="auto"/>
              </w:rPr>
              <w:t>124,989</w:t>
            </w:r>
          </w:p>
        </w:tc>
        <w:tc>
          <w:tcPr>
            <w:tcW w:w="10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40" w:type="dxa"/>
            <w:vAlign w:val="bottom"/>
            <w:shd w:val="clear" w:color="auto" w:fill="EAF9E8"/>
          </w:tcPr>
          <w:p>
            <w:pPr>
              <w:spacing w:after="0"/>
              <w:rPr>
                <w:sz w:val="21"/>
                <w:szCs w:val="21"/>
                <w:color w:val="auto"/>
              </w:rPr>
            </w:pPr>
          </w:p>
        </w:tc>
        <w:tc>
          <w:tcPr>
            <w:tcW w:w="720" w:type="dxa"/>
            <w:vAlign w:val="bottom"/>
            <w:gridSpan w:val="2"/>
            <w:shd w:val="clear" w:color="auto" w:fill="EAF9E8"/>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1040" w:type="dxa"/>
            <w:vAlign w:val="bottom"/>
            <w:gridSpan w:val="2"/>
            <w:shd w:val="clear" w:color="auto" w:fill="EAF9E8"/>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EAF9E8"/>
          </w:tcPr>
          <w:p>
            <w:pPr>
              <w:spacing w:after="0"/>
              <w:rPr>
                <w:sz w:val="21"/>
                <w:szCs w:val="21"/>
                <w:color w:val="auto"/>
              </w:rPr>
            </w:pPr>
          </w:p>
        </w:tc>
        <w:tc>
          <w:tcPr>
            <w:tcW w:w="40" w:type="dxa"/>
            <w:vAlign w:val="bottom"/>
            <w:shd w:val="clear" w:color="auto" w:fill="EAF9E8"/>
          </w:tcPr>
          <w:p>
            <w:pPr>
              <w:spacing w:after="0"/>
              <w:rPr>
                <w:sz w:val="21"/>
                <w:szCs w:val="21"/>
                <w:color w:val="auto"/>
              </w:rPr>
            </w:pPr>
          </w:p>
        </w:tc>
        <w:tc>
          <w:tcPr>
            <w:tcW w:w="700" w:type="dxa"/>
            <w:vAlign w:val="bottom"/>
            <w:gridSpan w:val="2"/>
            <w:shd w:val="clear" w:color="auto" w:fill="EAF9E8"/>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20" w:type="dxa"/>
            <w:vAlign w:val="bottom"/>
            <w:shd w:val="clear" w:color="auto" w:fill="EAF9E8"/>
          </w:tcPr>
          <w:p>
            <w:pPr>
              <w:spacing w:after="0"/>
              <w:rPr>
                <w:sz w:val="21"/>
                <w:szCs w:val="21"/>
                <w:color w:val="auto"/>
              </w:rPr>
            </w:pPr>
          </w:p>
        </w:tc>
        <w:tc>
          <w:tcPr>
            <w:tcW w:w="860" w:type="dxa"/>
            <w:vAlign w:val="bottom"/>
            <w:gridSpan w:val="2"/>
            <w:shd w:val="clear" w:color="auto" w:fill="EAF9E8"/>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920" w:type="dxa"/>
            <w:vAlign w:val="bottom"/>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40" w:type="dxa"/>
            <w:vAlign w:val="bottom"/>
            <w:shd w:val="clear" w:color="auto" w:fill="EAF9E8"/>
          </w:tcPr>
          <w:p>
            <w:pPr>
              <w:spacing w:after="0"/>
              <w:rPr>
                <w:sz w:val="21"/>
                <w:szCs w:val="21"/>
                <w:color w:val="auto"/>
              </w:rPr>
            </w:pPr>
          </w:p>
        </w:tc>
        <w:tc>
          <w:tcPr>
            <w:tcW w:w="740" w:type="dxa"/>
            <w:vAlign w:val="bottom"/>
            <w:gridSpan w:val="2"/>
            <w:shd w:val="clear" w:color="auto" w:fill="EAF9E8"/>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820" w:type="dxa"/>
            <w:vAlign w:val="bottom"/>
            <w:shd w:val="clear" w:color="auto" w:fill="EAF9E8"/>
          </w:tcPr>
          <w:p>
            <w:pPr>
              <w:ind w:left="700"/>
              <w:spacing w:after="0"/>
              <w:rPr>
                <w:sz w:val="20"/>
                <w:szCs w:val="20"/>
                <w:color w:val="auto"/>
              </w:rPr>
            </w:pPr>
            <w:r>
              <w:rPr>
                <w:rFonts w:ascii="Arial" w:cs="Arial" w:eastAsia="Arial" w:hAnsi="Arial"/>
                <w:sz w:val="14"/>
                <w:szCs w:val="14"/>
                <w:color w:val="auto"/>
                <w:w w:val="71"/>
              </w:rPr>
              <w:t>—</w:t>
            </w:r>
          </w:p>
        </w:tc>
        <w:tc>
          <w:tcPr>
            <w:tcW w:w="14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1100" w:type="dxa"/>
            <w:vAlign w:val="bottom"/>
            <w:gridSpan w:val="2"/>
            <w:shd w:val="clear" w:color="auto" w:fill="EAF9E8"/>
          </w:tcPr>
          <w:p>
            <w:pPr>
              <w:jc w:val="right"/>
              <w:ind w:right="140"/>
              <w:spacing w:after="0"/>
              <w:rPr>
                <w:sz w:val="20"/>
                <w:szCs w:val="20"/>
                <w:color w:val="auto"/>
              </w:rPr>
            </w:pPr>
            <w:r>
              <w:rPr>
                <w:rFonts w:ascii="Arial" w:cs="Arial" w:eastAsia="Arial" w:hAnsi="Arial"/>
                <w:sz w:val="14"/>
                <w:szCs w:val="14"/>
                <w:color w:val="auto"/>
              </w:rPr>
              <w:t>124,989</w:t>
            </w:r>
          </w:p>
        </w:tc>
        <w:tc>
          <w:tcPr>
            <w:tcW w:w="0" w:type="dxa"/>
            <w:vAlign w:val="bottom"/>
          </w:tcPr>
          <w:p>
            <w:pPr>
              <w:spacing w:after="0"/>
              <w:rPr>
                <w:sz w:val="1"/>
                <w:szCs w:val="1"/>
                <w:color w:val="auto"/>
              </w:rPr>
            </w:pPr>
          </w:p>
        </w:tc>
      </w:tr>
      <w:tr>
        <w:trPr>
          <w:trHeight w:val="243"/>
        </w:trPr>
        <w:tc>
          <w:tcPr>
            <w:tcW w:w="2200" w:type="dxa"/>
            <w:vAlign w:val="bottom"/>
          </w:tcPr>
          <w:p>
            <w:pPr>
              <w:ind w:left="160"/>
              <w:spacing w:after="0"/>
              <w:rPr>
                <w:sz w:val="20"/>
                <w:szCs w:val="20"/>
                <w:color w:val="auto"/>
              </w:rPr>
            </w:pPr>
            <w:r>
              <w:rPr>
                <w:rFonts w:ascii="Arial" w:cs="Arial" w:eastAsia="Arial" w:hAnsi="Arial"/>
                <w:sz w:val="14"/>
                <w:szCs w:val="14"/>
                <w:color w:val="auto"/>
              </w:rPr>
              <w:t>Receivables</w:t>
            </w:r>
          </w:p>
        </w:tc>
        <w:tc>
          <w:tcPr>
            <w:tcW w:w="100" w:type="dxa"/>
            <w:vAlign w:val="bottom"/>
          </w:tcPr>
          <w:p>
            <w:pPr>
              <w:spacing w:after="0"/>
              <w:rPr>
                <w:sz w:val="21"/>
                <w:szCs w:val="21"/>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19,621</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gridSpan w:val="3"/>
          </w:tcPr>
          <w:p>
            <w:pPr>
              <w:jc w:val="right"/>
              <w:ind w:right="60"/>
              <w:spacing w:after="0"/>
              <w:rPr>
                <w:sz w:val="20"/>
                <w:szCs w:val="20"/>
                <w:color w:val="auto"/>
              </w:rPr>
            </w:pPr>
            <w:r>
              <w:rPr>
                <w:rFonts w:ascii="Arial" w:cs="Arial" w:eastAsia="Arial" w:hAnsi="Arial"/>
                <w:sz w:val="14"/>
                <w:szCs w:val="14"/>
                <w:color w:val="auto"/>
              </w:rPr>
              <w:t>1,338</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468</w:t>
            </w:r>
          </w:p>
        </w:tc>
        <w:tc>
          <w:tcPr>
            <w:tcW w:w="80" w:type="dxa"/>
            <w:vAlign w:val="bottom"/>
          </w:tcPr>
          <w:p>
            <w:pPr>
              <w:spacing w:after="0"/>
              <w:rPr>
                <w:sz w:val="21"/>
                <w:szCs w:val="21"/>
                <w:color w:val="auto"/>
              </w:rPr>
            </w:pPr>
          </w:p>
        </w:tc>
        <w:tc>
          <w:tcPr>
            <w:tcW w:w="740" w:type="dxa"/>
            <w:vAlign w:val="bottom"/>
            <w:gridSpan w:val="3"/>
          </w:tcPr>
          <w:p>
            <w:pPr>
              <w:jc w:val="right"/>
              <w:ind w:right="60"/>
              <w:spacing w:after="0"/>
              <w:rPr>
                <w:sz w:val="20"/>
                <w:szCs w:val="20"/>
                <w:color w:val="auto"/>
              </w:rPr>
            </w:pPr>
            <w:r>
              <w:rPr>
                <w:rFonts w:ascii="Arial" w:cs="Arial" w:eastAsia="Arial" w:hAnsi="Arial"/>
                <w:sz w:val="14"/>
                <w:szCs w:val="14"/>
                <w:color w:val="auto"/>
              </w:rPr>
              <w:t>82</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71</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gridSpan w:val="3"/>
          </w:tcPr>
          <w:p>
            <w:pPr>
              <w:jc w:val="right"/>
              <w:ind w:right="80"/>
              <w:spacing w:after="0"/>
              <w:rPr>
                <w:sz w:val="20"/>
                <w:szCs w:val="20"/>
                <w:color w:val="auto"/>
              </w:rPr>
            </w:pPr>
            <w:r>
              <w:rPr>
                <w:rFonts w:ascii="Arial" w:cs="Arial" w:eastAsia="Arial" w:hAnsi="Arial"/>
                <w:sz w:val="14"/>
                <w:szCs w:val="14"/>
                <w:color w:val="auto"/>
              </w:rPr>
              <w:t>11,555</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ind w:left="700"/>
              <w:spacing w:after="0"/>
              <w:rPr>
                <w:sz w:val="20"/>
                <w:szCs w:val="20"/>
                <w:color w:val="auto"/>
              </w:rPr>
            </w:pPr>
            <w:r>
              <w:rPr>
                <w:rFonts w:ascii="Arial" w:cs="Arial" w:eastAsia="Arial" w:hAnsi="Arial"/>
                <w:sz w:val="14"/>
                <w:szCs w:val="14"/>
                <w:color w:val="auto"/>
                <w:w w:val="71"/>
              </w:rPr>
              <w:t>—</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33,135</w:t>
            </w:r>
          </w:p>
        </w:tc>
        <w:tc>
          <w:tcPr>
            <w:tcW w:w="0" w:type="dxa"/>
            <w:vAlign w:val="bottom"/>
          </w:tcPr>
          <w:p>
            <w:pPr>
              <w:spacing w:after="0"/>
              <w:rPr>
                <w:sz w:val="1"/>
                <w:szCs w:val="1"/>
                <w:color w:val="auto"/>
              </w:rPr>
            </w:pPr>
          </w:p>
        </w:tc>
      </w:tr>
      <w:tr>
        <w:trPr>
          <w:trHeight w:val="243"/>
        </w:trPr>
        <w:tc>
          <w:tcPr>
            <w:tcW w:w="2200" w:type="dxa"/>
            <w:vAlign w:val="bottom"/>
            <w:shd w:val="clear" w:color="auto" w:fill="EAF9E8"/>
          </w:tcPr>
          <w:p>
            <w:pPr>
              <w:ind w:left="160"/>
              <w:spacing w:after="0"/>
              <w:rPr>
                <w:sz w:val="20"/>
                <w:szCs w:val="20"/>
                <w:color w:val="auto"/>
              </w:rPr>
            </w:pPr>
            <w:r>
              <w:rPr>
                <w:rFonts w:ascii="Arial" w:cs="Arial" w:eastAsia="Arial" w:hAnsi="Arial"/>
                <w:sz w:val="14"/>
                <w:szCs w:val="14"/>
                <w:color w:val="auto"/>
              </w:rPr>
              <w:t>Deferred tax asset, net</w:t>
            </w:r>
          </w:p>
        </w:tc>
        <w:tc>
          <w:tcPr>
            <w:tcW w:w="100" w:type="dxa"/>
            <w:vAlign w:val="bottom"/>
            <w:shd w:val="clear" w:color="auto" w:fill="EAF9E8"/>
          </w:tcPr>
          <w:p>
            <w:pPr>
              <w:spacing w:after="0"/>
              <w:rPr>
                <w:sz w:val="21"/>
                <w:szCs w:val="21"/>
                <w:color w:val="auto"/>
              </w:rPr>
            </w:pPr>
          </w:p>
        </w:tc>
        <w:tc>
          <w:tcPr>
            <w:tcW w:w="700" w:type="dxa"/>
            <w:vAlign w:val="bottom"/>
            <w:gridSpan w:val="2"/>
            <w:shd w:val="clear" w:color="auto" w:fill="EAF9E8"/>
          </w:tcPr>
          <w:p>
            <w:pPr>
              <w:jc w:val="right"/>
              <w:ind w:right="20"/>
              <w:spacing w:after="0"/>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40" w:type="dxa"/>
            <w:vAlign w:val="bottom"/>
            <w:shd w:val="clear" w:color="auto" w:fill="EAF9E8"/>
          </w:tcPr>
          <w:p>
            <w:pPr>
              <w:spacing w:after="0"/>
              <w:rPr>
                <w:sz w:val="21"/>
                <w:szCs w:val="21"/>
                <w:color w:val="auto"/>
              </w:rPr>
            </w:pPr>
          </w:p>
        </w:tc>
        <w:tc>
          <w:tcPr>
            <w:tcW w:w="720" w:type="dxa"/>
            <w:vAlign w:val="bottom"/>
            <w:gridSpan w:val="2"/>
            <w:shd w:val="clear" w:color="auto" w:fill="EAF9E8"/>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1040" w:type="dxa"/>
            <w:vAlign w:val="bottom"/>
            <w:gridSpan w:val="2"/>
            <w:shd w:val="clear" w:color="auto" w:fill="EAF9E8"/>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EAF9E8"/>
          </w:tcPr>
          <w:p>
            <w:pPr>
              <w:spacing w:after="0"/>
              <w:rPr>
                <w:sz w:val="21"/>
                <w:szCs w:val="21"/>
                <w:color w:val="auto"/>
              </w:rPr>
            </w:pPr>
          </w:p>
        </w:tc>
        <w:tc>
          <w:tcPr>
            <w:tcW w:w="40" w:type="dxa"/>
            <w:vAlign w:val="bottom"/>
            <w:shd w:val="clear" w:color="auto" w:fill="EAF9E8"/>
          </w:tcPr>
          <w:p>
            <w:pPr>
              <w:spacing w:after="0"/>
              <w:rPr>
                <w:sz w:val="21"/>
                <w:szCs w:val="21"/>
                <w:color w:val="auto"/>
              </w:rPr>
            </w:pPr>
          </w:p>
        </w:tc>
        <w:tc>
          <w:tcPr>
            <w:tcW w:w="700" w:type="dxa"/>
            <w:vAlign w:val="bottom"/>
            <w:gridSpan w:val="2"/>
            <w:shd w:val="clear" w:color="auto" w:fill="EAF9E8"/>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20" w:type="dxa"/>
            <w:vAlign w:val="bottom"/>
            <w:shd w:val="clear" w:color="auto" w:fill="EAF9E8"/>
          </w:tcPr>
          <w:p>
            <w:pPr>
              <w:spacing w:after="0"/>
              <w:rPr>
                <w:sz w:val="21"/>
                <w:szCs w:val="21"/>
                <w:color w:val="auto"/>
              </w:rPr>
            </w:pPr>
          </w:p>
        </w:tc>
        <w:tc>
          <w:tcPr>
            <w:tcW w:w="860" w:type="dxa"/>
            <w:vAlign w:val="bottom"/>
            <w:gridSpan w:val="2"/>
            <w:shd w:val="clear" w:color="auto" w:fill="EAF9E8"/>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920" w:type="dxa"/>
            <w:vAlign w:val="bottom"/>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780" w:type="dxa"/>
            <w:vAlign w:val="bottom"/>
            <w:gridSpan w:val="3"/>
            <w:shd w:val="clear" w:color="auto" w:fill="EAF9E8"/>
          </w:tcPr>
          <w:p>
            <w:pPr>
              <w:jc w:val="right"/>
              <w:ind w:right="80"/>
              <w:spacing w:after="0"/>
              <w:rPr>
                <w:sz w:val="20"/>
                <w:szCs w:val="20"/>
                <w:color w:val="auto"/>
              </w:rPr>
            </w:pPr>
            <w:r>
              <w:rPr>
                <w:rFonts w:ascii="Arial" w:cs="Arial" w:eastAsia="Arial" w:hAnsi="Arial"/>
                <w:sz w:val="14"/>
                <w:szCs w:val="14"/>
                <w:color w:val="auto"/>
              </w:rPr>
              <w:t>129,116</w:t>
            </w:r>
          </w:p>
        </w:tc>
        <w:tc>
          <w:tcPr>
            <w:tcW w:w="6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820" w:type="dxa"/>
            <w:vAlign w:val="bottom"/>
            <w:shd w:val="clear" w:color="auto" w:fill="EAF9E8"/>
          </w:tcPr>
          <w:p>
            <w:pPr>
              <w:ind w:left="700"/>
              <w:spacing w:after="0"/>
              <w:rPr>
                <w:sz w:val="20"/>
                <w:szCs w:val="20"/>
                <w:color w:val="auto"/>
              </w:rPr>
            </w:pPr>
            <w:r>
              <w:rPr>
                <w:rFonts w:ascii="Arial" w:cs="Arial" w:eastAsia="Arial" w:hAnsi="Arial"/>
                <w:sz w:val="14"/>
                <w:szCs w:val="14"/>
                <w:color w:val="auto"/>
                <w:w w:val="71"/>
              </w:rPr>
              <w:t>—</w:t>
            </w:r>
          </w:p>
        </w:tc>
        <w:tc>
          <w:tcPr>
            <w:tcW w:w="14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1100" w:type="dxa"/>
            <w:vAlign w:val="bottom"/>
            <w:gridSpan w:val="2"/>
            <w:shd w:val="clear" w:color="auto" w:fill="EAF9E8"/>
          </w:tcPr>
          <w:p>
            <w:pPr>
              <w:jc w:val="right"/>
              <w:ind w:right="140"/>
              <w:spacing w:after="0"/>
              <w:rPr>
                <w:sz w:val="20"/>
                <w:szCs w:val="20"/>
                <w:color w:val="auto"/>
              </w:rPr>
            </w:pPr>
            <w:r>
              <w:rPr>
                <w:rFonts w:ascii="Arial" w:cs="Arial" w:eastAsia="Arial" w:hAnsi="Arial"/>
                <w:sz w:val="14"/>
                <w:szCs w:val="14"/>
                <w:color w:val="auto"/>
              </w:rPr>
              <w:t>129,116</w:t>
            </w:r>
          </w:p>
        </w:tc>
        <w:tc>
          <w:tcPr>
            <w:tcW w:w="0" w:type="dxa"/>
            <w:vAlign w:val="bottom"/>
          </w:tcPr>
          <w:p>
            <w:pPr>
              <w:spacing w:after="0"/>
              <w:rPr>
                <w:sz w:val="1"/>
                <w:szCs w:val="1"/>
                <w:color w:val="auto"/>
              </w:rPr>
            </w:pPr>
          </w:p>
        </w:tc>
      </w:tr>
      <w:tr>
        <w:trPr>
          <w:trHeight w:val="243"/>
        </w:trPr>
        <w:tc>
          <w:tcPr>
            <w:tcW w:w="2200" w:type="dxa"/>
            <w:vAlign w:val="bottom"/>
          </w:tcPr>
          <w:p>
            <w:pPr>
              <w:ind w:left="160"/>
              <w:spacing w:after="0"/>
              <w:rPr>
                <w:sz w:val="20"/>
                <w:szCs w:val="20"/>
                <w:color w:val="auto"/>
              </w:rPr>
            </w:pPr>
            <w:r>
              <w:rPr>
                <w:rFonts w:ascii="Arial" w:cs="Arial" w:eastAsia="Arial" w:hAnsi="Arial"/>
                <w:sz w:val="14"/>
                <w:szCs w:val="14"/>
                <w:color w:val="auto"/>
              </w:rPr>
              <w:t>Premises and equipment</w:t>
            </w:r>
          </w:p>
        </w:tc>
        <w:tc>
          <w:tcPr>
            <w:tcW w:w="100" w:type="dxa"/>
            <w:vAlign w:val="bottom"/>
          </w:tcPr>
          <w:p>
            <w:pPr>
              <w:spacing w:after="0"/>
              <w:rPr>
                <w:sz w:val="21"/>
                <w:szCs w:val="21"/>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37</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gridSpan w:val="3"/>
          </w:tcPr>
          <w:p>
            <w:pPr>
              <w:jc w:val="right"/>
              <w:ind w:right="80"/>
              <w:spacing w:after="0"/>
              <w:rPr>
                <w:sz w:val="20"/>
                <w:szCs w:val="20"/>
                <w:color w:val="auto"/>
              </w:rPr>
            </w:pPr>
            <w:r>
              <w:rPr>
                <w:rFonts w:ascii="Arial" w:cs="Arial" w:eastAsia="Arial" w:hAnsi="Arial"/>
                <w:sz w:val="14"/>
                <w:szCs w:val="14"/>
                <w:color w:val="auto"/>
              </w:rPr>
              <w:t>3</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52</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gridSpan w:val="3"/>
          </w:tcPr>
          <w:p>
            <w:pPr>
              <w:jc w:val="right"/>
              <w:ind w:right="80"/>
              <w:spacing w:after="0"/>
              <w:rPr>
                <w:sz w:val="20"/>
                <w:szCs w:val="20"/>
                <w:color w:val="auto"/>
              </w:rPr>
            </w:pPr>
            <w:r>
              <w:rPr>
                <w:rFonts w:ascii="Arial" w:cs="Arial" w:eastAsia="Arial" w:hAnsi="Arial"/>
                <w:sz w:val="14"/>
                <w:szCs w:val="14"/>
                <w:color w:val="auto"/>
              </w:rPr>
              <w:t>3,862</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ind w:left="700"/>
              <w:spacing w:after="0"/>
              <w:rPr>
                <w:sz w:val="20"/>
                <w:szCs w:val="20"/>
                <w:color w:val="auto"/>
              </w:rPr>
            </w:pPr>
            <w:r>
              <w:rPr>
                <w:rFonts w:ascii="Arial" w:cs="Arial" w:eastAsia="Arial" w:hAnsi="Arial"/>
                <w:sz w:val="14"/>
                <w:szCs w:val="14"/>
                <w:color w:val="auto"/>
                <w:w w:val="71"/>
              </w:rPr>
              <w:t>—</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3,954</w:t>
            </w:r>
          </w:p>
        </w:tc>
        <w:tc>
          <w:tcPr>
            <w:tcW w:w="0" w:type="dxa"/>
            <w:vAlign w:val="bottom"/>
          </w:tcPr>
          <w:p>
            <w:pPr>
              <w:spacing w:after="0"/>
              <w:rPr>
                <w:sz w:val="1"/>
                <w:szCs w:val="1"/>
                <w:color w:val="auto"/>
              </w:rPr>
            </w:pPr>
          </w:p>
        </w:tc>
      </w:tr>
      <w:tr>
        <w:trPr>
          <w:trHeight w:val="138"/>
        </w:trPr>
        <w:tc>
          <w:tcPr>
            <w:tcW w:w="2200" w:type="dxa"/>
            <w:vAlign w:val="bottom"/>
            <w:shd w:val="clear" w:color="auto" w:fill="EAF9E8"/>
          </w:tcPr>
          <w:p>
            <w:pPr>
              <w:ind w:left="160"/>
              <w:spacing w:after="0" w:line="138" w:lineRule="exact"/>
              <w:rPr>
                <w:sz w:val="20"/>
                <w:szCs w:val="20"/>
                <w:color w:val="auto"/>
              </w:rPr>
            </w:pPr>
            <w:r>
              <w:rPr>
                <w:rFonts w:ascii="Arial" w:cs="Arial" w:eastAsia="Arial" w:hAnsi="Arial"/>
                <w:sz w:val="14"/>
                <w:szCs w:val="14"/>
                <w:color w:val="auto"/>
              </w:rPr>
              <w:t>Investment in unconsolidated</w:t>
            </w:r>
          </w:p>
        </w:tc>
        <w:tc>
          <w:tcPr>
            <w:tcW w:w="100" w:type="dxa"/>
            <w:vAlign w:val="bottom"/>
            <w:shd w:val="clear" w:color="auto" w:fill="EAF9E8"/>
          </w:tcPr>
          <w:p>
            <w:pPr>
              <w:spacing w:after="0"/>
              <w:rPr>
                <w:sz w:val="11"/>
                <w:szCs w:val="11"/>
                <w:color w:val="auto"/>
              </w:rPr>
            </w:pPr>
          </w:p>
        </w:tc>
        <w:tc>
          <w:tcPr>
            <w:tcW w:w="680" w:type="dxa"/>
            <w:vAlign w:val="bottom"/>
            <w:shd w:val="clear" w:color="auto" w:fill="EAF9E8"/>
          </w:tcPr>
          <w:p>
            <w:pPr>
              <w:spacing w:after="0"/>
              <w:rPr>
                <w:sz w:val="11"/>
                <w:szCs w:val="11"/>
                <w:color w:val="auto"/>
              </w:rPr>
            </w:pPr>
          </w:p>
        </w:tc>
        <w:tc>
          <w:tcPr>
            <w:tcW w:w="2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80" w:type="dxa"/>
            <w:vAlign w:val="bottom"/>
            <w:shd w:val="clear" w:color="auto" w:fill="EAF9E8"/>
          </w:tcPr>
          <w:p>
            <w:pPr>
              <w:spacing w:after="0"/>
              <w:rPr>
                <w:sz w:val="11"/>
                <w:szCs w:val="11"/>
                <w:color w:val="auto"/>
              </w:rPr>
            </w:pPr>
          </w:p>
        </w:tc>
        <w:tc>
          <w:tcPr>
            <w:tcW w:w="40" w:type="dxa"/>
            <w:vAlign w:val="bottom"/>
            <w:shd w:val="clear" w:color="auto" w:fill="EAF9E8"/>
          </w:tcPr>
          <w:p>
            <w:pPr>
              <w:spacing w:after="0"/>
              <w:rPr>
                <w:sz w:val="11"/>
                <w:szCs w:val="11"/>
                <w:color w:val="auto"/>
              </w:rPr>
            </w:pPr>
          </w:p>
        </w:tc>
        <w:tc>
          <w:tcPr>
            <w:tcW w:w="660" w:type="dxa"/>
            <w:vAlign w:val="bottom"/>
            <w:shd w:val="clear" w:color="auto" w:fill="EAF9E8"/>
          </w:tcPr>
          <w:p>
            <w:pPr>
              <w:spacing w:after="0"/>
              <w:rPr>
                <w:sz w:val="11"/>
                <w:szCs w:val="11"/>
                <w:color w:val="auto"/>
              </w:rPr>
            </w:pPr>
          </w:p>
        </w:tc>
        <w:tc>
          <w:tcPr>
            <w:tcW w:w="60" w:type="dxa"/>
            <w:vAlign w:val="bottom"/>
            <w:shd w:val="clear" w:color="auto" w:fill="EAF9E8"/>
          </w:tcPr>
          <w:p>
            <w:pPr>
              <w:spacing w:after="0"/>
              <w:rPr>
                <w:sz w:val="11"/>
                <w:szCs w:val="11"/>
                <w:color w:val="auto"/>
              </w:rPr>
            </w:pPr>
          </w:p>
        </w:tc>
        <w:tc>
          <w:tcPr>
            <w:tcW w:w="60" w:type="dxa"/>
            <w:vAlign w:val="bottom"/>
            <w:shd w:val="clear" w:color="auto" w:fill="EAF9E8"/>
          </w:tcPr>
          <w:p>
            <w:pPr>
              <w:spacing w:after="0"/>
              <w:rPr>
                <w:sz w:val="11"/>
                <w:szCs w:val="11"/>
                <w:color w:val="auto"/>
              </w:rPr>
            </w:pPr>
          </w:p>
        </w:tc>
        <w:tc>
          <w:tcPr>
            <w:tcW w:w="120" w:type="dxa"/>
            <w:vAlign w:val="bottom"/>
            <w:shd w:val="clear" w:color="auto" w:fill="EAF9E8"/>
          </w:tcPr>
          <w:p>
            <w:pPr>
              <w:spacing w:after="0"/>
              <w:rPr>
                <w:sz w:val="11"/>
                <w:szCs w:val="11"/>
                <w:color w:val="auto"/>
              </w:rPr>
            </w:pPr>
          </w:p>
        </w:tc>
        <w:tc>
          <w:tcPr>
            <w:tcW w:w="920" w:type="dxa"/>
            <w:vAlign w:val="bottom"/>
            <w:shd w:val="clear" w:color="auto" w:fill="EAF9E8"/>
          </w:tcPr>
          <w:p>
            <w:pPr>
              <w:spacing w:after="0"/>
              <w:rPr>
                <w:sz w:val="11"/>
                <w:szCs w:val="11"/>
                <w:color w:val="auto"/>
              </w:rPr>
            </w:pPr>
          </w:p>
        </w:tc>
        <w:tc>
          <w:tcPr>
            <w:tcW w:w="120" w:type="dxa"/>
            <w:vAlign w:val="bottom"/>
            <w:shd w:val="clear" w:color="auto" w:fill="EAF9E8"/>
          </w:tcPr>
          <w:p>
            <w:pPr>
              <w:spacing w:after="0"/>
              <w:rPr>
                <w:sz w:val="11"/>
                <w:szCs w:val="11"/>
                <w:color w:val="auto"/>
              </w:rPr>
            </w:pPr>
          </w:p>
        </w:tc>
        <w:tc>
          <w:tcPr>
            <w:tcW w:w="80" w:type="dxa"/>
            <w:vAlign w:val="bottom"/>
            <w:shd w:val="clear" w:color="auto" w:fill="EAF9E8"/>
          </w:tcPr>
          <w:p>
            <w:pPr>
              <w:spacing w:after="0"/>
              <w:rPr>
                <w:sz w:val="11"/>
                <w:szCs w:val="11"/>
                <w:color w:val="auto"/>
              </w:rPr>
            </w:pPr>
          </w:p>
        </w:tc>
        <w:tc>
          <w:tcPr>
            <w:tcW w:w="40" w:type="dxa"/>
            <w:vAlign w:val="bottom"/>
            <w:shd w:val="clear" w:color="auto" w:fill="EAF9E8"/>
          </w:tcPr>
          <w:p>
            <w:pPr>
              <w:spacing w:after="0"/>
              <w:rPr>
                <w:sz w:val="11"/>
                <w:szCs w:val="11"/>
                <w:color w:val="auto"/>
              </w:rPr>
            </w:pPr>
          </w:p>
        </w:tc>
        <w:tc>
          <w:tcPr>
            <w:tcW w:w="640" w:type="dxa"/>
            <w:vAlign w:val="bottom"/>
            <w:shd w:val="clear" w:color="auto" w:fill="EAF9E8"/>
          </w:tcPr>
          <w:p>
            <w:pPr>
              <w:spacing w:after="0"/>
              <w:rPr>
                <w:sz w:val="11"/>
                <w:szCs w:val="11"/>
                <w:color w:val="auto"/>
              </w:rPr>
            </w:pPr>
          </w:p>
        </w:tc>
        <w:tc>
          <w:tcPr>
            <w:tcW w:w="60" w:type="dxa"/>
            <w:vAlign w:val="bottom"/>
            <w:shd w:val="clear" w:color="auto" w:fill="EAF9E8"/>
          </w:tcPr>
          <w:p>
            <w:pPr>
              <w:spacing w:after="0"/>
              <w:rPr>
                <w:sz w:val="11"/>
                <w:szCs w:val="11"/>
                <w:color w:val="auto"/>
              </w:rPr>
            </w:pPr>
          </w:p>
        </w:tc>
        <w:tc>
          <w:tcPr>
            <w:tcW w:w="6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20" w:type="dxa"/>
            <w:vAlign w:val="bottom"/>
            <w:shd w:val="clear" w:color="auto" w:fill="EAF9E8"/>
          </w:tcPr>
          <w:p>
            <w:pPr>
              <w:spacing w:after="0"/>
              <w:rPr>
                <w:sz w:val="11"/>
                <w:szCs w:val="11"/>
                <w:color w:val="auto"/>
              </w:rPr>
            </w:pPr>
          </w:p>
        </w:tc>
        <w:tc>
          <w:tcPr>
            <w:tcW w:w="780" w:type="dxa"/>
            <w:vAlign w:val="bottom"/>
            <w:shd w:val="clear" w:color="auto" w:fill="EAF9E8"/>
          </w:tcPr>
          <w:p>
            <w:pPr>
              <w:spacing w:after="0"/>
              <w:rPr>
                <w:sz w:val="11"/>
                <w:szCs w:val="11"/>
                <w:color w:val="auto"/>
              </w:rPr>
            </w:pPr>
          </w:p>
        </w:tc>
        <w:tc>
          <w:tcPr>
            <w:tcW w:w="80" w:type="dxa"/>
            <w:vAlign w:val="bottom"/>
            <w:shd w:val="clear" w:color="auto" w:fill="EAF9E8"/>
          </w:tcPr>
          <w:p>
            <w:pPr>
              <w:spacing w:after="0"/>
              <w:rPr>
                <w:sz w:val="11"/>
                <w:szCs w:val="11"/>
                <w:color w:val="auto"/>
              </w:rPr>
            </w:pPr>
          </w:p>
        </w:tc>
        <w:tc>
          <w:tcPr>
            <w:tcW w:w="60" w:type="dxa"/>
            <w:vAlign w:val="bottom"/>
            <w:shd w:val="clear" w:color="auto" w:fill="EAF9E8"/>
          </w:tcPr>
          <w:p>
            <w:pPr>
              <w:spacing w:after="0"/>
              <w:rPr>
                <w:sz w:val="11"/>
                <w:szCs w:val="11"/>
                <w:color w:val="auto"/>
              </w:rPr>
            </w:pPr>
          </w:p>
        </w:tc>
        <w:tc>
          <w:tcPr>
            <w:tcW w:w="120" w:type="dxa"/>
            <w:vAlign w:val="bottom"/>
            <w:shd w:val="clear" w:color="auto" w:fill="EAF9E8"/>
          </w:tcPr>
          <w:p>
            <w:pPr>
              <w:spacing w:after="0"/>
              <w:rPr>
                <w:sz w:val="11"/>
                <w:szCs w:val="11"/>
                <w:color w:val="auto"/>
              </w:rPr>
            </w:pPr>
          </w:p>
        </w:tc>
        <w:tc>
          <w:tcPr>
            <w:tcW w:w="920" w:type="dxa"/>
            <w:vAlign w:val="bottom"/>
            <w:shd w:val="clear" w:color="auto" w:fill="EAF9E8"/>
          </w:tcPr>
          <w:p>
            <w:pPr>
              <w:spacing w:after="0"/>
              <w:rPr>
                <w:sz w:val="11"/>
                <w:szCs w:val="11"/>
                <w:color w:val="auto"/>
              </w:rPr>
            </w:pPr>
          </w:p>
        </w:tc>
        <w:tc>
          <w:tcPr>
            <w:tcW w:w="120" w:type="dxa"/>
            <w:vAlign w:val="bottom"/>
            <w:shd w:val="clear" w:color="auto" w:fill="EAF9E8"/>
          </w:tcPr>
          <w:p>
            <w:pPr>
              <w:spacing w:after="0"/>
              <w:rPr>
                <w:sz w:val="11"/>
                <w:szCs w:val="11"/>
                <w:color w:val="auto"/>
              </w:rPr>
            </w:pPr>
          </w:p>
        </w:tc>
        <w:tc>
          <w:tcPr>
            <w:tcW w:w="80" w:type="dxa"/>
            <w:vAlign w:val="bottom"/>
            <w:shd w:val="clear" w:color="auto" w:fill="EAF9E8"/>
          </w:tcPr>
          <w:p>
            <w:pPr>
              <w:spacing w:after="0"/>
              <w:rPr>
                <w:sz w:val="11"/>
                <w:szCs w:val="11"/>
                <w:color w:val="auto"/>
              </w:rPr>
            </w:pPr>
          </w:p>
        </w:tc>
        <w:tc>
          <w:tcPr>
            <w:tcW w:w="40" w:type="dxa"/>
            <w:vAlign w:val="bottom"/>
            <w:shd w:val="clear" w:color="auto" w:fill="EAF9E8"/>
          </w:tcPr>
          <w:p>
            <w:pPr>
              <w:spacing w:after="0"/>
              <w:rPr>
                <w:sz w:val="11"/>
                <w:szCs w:val="11"/>
                <w:color w:val="auto"/>
              </w:rPr>
            </w:pPr>
          </w:p>
        </w:tc>
        <w:tc>
          <w:tcPr>
            <w:tcW w:w="660" w:type="dxa"/>
            <w:vAlign w:val="bottom"/>
            <w:shd w:val="clear" w:color="auto" w:fill="EAF9E8"/>
          </w:tcPr>
          <w:p>
            <w:pPr>
              <w:spacing w:after="0"/>
              <w:rPr>
                <w:sz w:val="11"/>
                <w:szCs w:val="11"/>
                <w:color w:val="auto"/>
              </w:rPr>
            </w:pPr>
          </w:p>
        </w:tc>
        <w:tc>
          <w:tcPr>
            <w:tcW w:w="80" w:type="dxa"/>
            <w:vAlign w:val="bottom"/>
            <w:shd w:val="clear" w:color="auto" w:fill="EAF9E8"/>
          </w:tcPr>
          <w:p>
            <w:pPr>
              <w:spacing w:after="0"/>
              <w:rPr>
                <w:sz w:val="11"/>
                <w:szCs w:val="11"/>
                <w:color w:val="auto"/>
              </w:rPr>
            </w:pPr>
          </w:p>
        </w:tc>
        <w:tc>
          <w:tcPr>
            <w:tcW w:w="60" w:type="dxa"/>
            <w:vAlign w:val="bottom"/>
            <w:shd w:val="clear" w:color="auto" w:fill="EAF9E8"/>
          </w:tcPr>
          <w:p>
            <w:pPr>
              <w:spacing w:after="0"/>
              <w:rPr>
                <w:sz w:val="11"/>
                <w:szCs w:val="11"/>
                <w:color w:val="auto"/>
              </w:rPr>
            </w:pPr>
          </w:p>
        </w:tc>
        <w:tc>
          <w:tcPr>
            <w:tcW w:w="80" w:type="dxa"/>
            <w:vAlign w:val="bottom"/>
            <w:shd w:val="clear" w:color="auto" w:fill="EAF9E8"/>
          </w:tcPr>
          <w:p>
            <w:pPr>
              <w:spacing w:after="0"/>
              <w:rPr>
                <w:sz w:val="11"/>
                <w:szCs w:val="11"/>
                <w:color w:val="auto"/>
              </w:rPr>
            </w:pPr>
          </w:p>
        </w:tc>
        <w:tc>
          <w:tcPr>
            <w:tcW w:w="820" w:type="dxa"/>
            <w:vAlign w:val="bottom"/>
            <w:shd w:val="clear" w:color="auto" w:fill="EAF9E8"/>
          </w:tcPr>
          <w:p>
            <w:pPr>
              <w:spacing w:after="0"/>
              <w:rPr>
                <w:sz w:val="11"/>
                <w:szCs w:val="11"/>
                <w:color w:val="auto"/>
              </w:rPr>
            </w:pPr>
          </w:p>
        </w:tc>
        <w:tc>
          <w:tcPr>
            <w:tcW w:w="140" w:type="dxa"/>
            <w:vAlign w:val="bottom"/>
            <w:shd w:val="clear" w:color="auto" w:fill="EAF9E8"/>
          </w:tcPr>
          <w:p>
            <w:pPr>
              <w:spacing w:after="0"/>
              <w:rPr>
                <w:sz w:val="11"/>
                <w:szCs w:val="11"/>
                <w:color w:val="auto"/>
              </w:rPr>
            </w:pPr>
          </w:p>
        </w:tc>
        <w:tc>
          <w:tcPr>
            <w:tcW w:w="120" w:type="dxa"/>
            <w:vAlign w:val="bottom"/>
            <w:shd w:val="clear" w:color="auto" w:fill="EAF9E8"/>
          </w:tcPr>
          <w:p>
            <w:pPr>
              <w:spacing w:after="0"/>
              <w:rPr>
                <w:sz w:val="11"/>
                <w:szCs w:val="11"/>
                <w:color w:val="auto"/>
              </w:rPr>
            </w:pPr>
          </w:p>
        </w:tc>
        <w:tc>
          <w:tcPr>
            <w:tcW w:w="960" w:type="dxa"/>
            <w:vAlign w:val="bottom"/>
            <w:shd w:val="clear" w:color="auto" w:fill="EAF9E8"/>
          </w:tcPr>
          <w:p>
            <w:pPr>
              <w:spacing w:after="0"/>
              <w:rPr>
                <w:sz w:val="11"/>
                <w:szCs w:val="11"/>
                <w:color w:val="auto"/>
              </w:rPr>
            </w:pPr>
          </w:p>
        </w:tc>
        <w:tc>
          <w:tcPr>
            <w:tcW w:w="140" w:type="dxa"/>
            <w:vAlign w:val="bottom"/>
            <w:shd w:val="clear" w:color="auto" w:fill="EAF9E8"/>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200" w:type="dxa"/>
            <w:vAlign w:val="bottom"/>
            <w:shd w:val="clear" w:color="auto" w:fill="EAF9E8"/>
          </w:tcPr>
          <w:p>
            <w:pPr>
              <w:ind w:left="320"/>
              <w:spacing w:after="0" w:line="159" w:lineRule="exact"/>
              <w:rPr>
                <w:sz w:val="20"/>
                <w:szCs w:val="20"/>
                <w:color w:val="auto"/>
              </w:rPr>
            </w:pPr>
            <w:r>
              <w:rPr>
                <w:rFonts w:ascii="Arial" w:cs="Arial" w:eastAsia="Arial" w:hAnsi="Arial"/>
                <w:sz w:val="14"/>
                <w:szCs w:val="14"/>
                <w:color w:val="auto"/>
              </w:rPr>
              <w:t>entities</w:t>
            </w:r>
          </w:p>
        </w:tc>
        <w:tc>
          <w:tcPr>
            <w:tcW w:w="100" w:type="dxa"/>
            <w:vAlign w:val="bottom"/>
            <w:shd w:val="clear" w:color="auto" w:fill="EAF9E8"/>
          </w:tcPr>
          <w:p>
            <w:pPr>
              <w:spacing w:after="0"/>
              <w:rPr>
                <w:sz w:val="13"/>
                <w:szCs w:val="13"/>
                <w:color w:val="auto"/>
              </w:rPr>
            </w:pPr>
          </w:p>
        </w:tc>
        <w:tc>
          <w:tcPr>
            <w:tcW w:w="700" w:type="dxa"/>
            <w:vAlign w:val="bottom"/>
            <w:gridSpan w:val="2"/>
            <w:shd w:val="clear" w:color="auto" w:fill="EAF9E8"/>
          </w:tcPr>
          <w:p>
            <w:pPr>
              <w:jc w:val="right"/>
              <w:ind w:right="2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13"/>
                <w:szCs w:val="13"/>
                <w:color w:val="auto"/>
              </w:rPr>
            </w:pPr>
          </w:p>
        </w:tc>
        <w:tc>
          <w:tcPr>
            <w:tcW w:w="80" w:type="dxa"/>
            <w:vAlign w:val="bottom"/>
            <w:shd w:val="clear" w:color="auto" w:fill="EAF9E8"/>
          </w:tcPr>
          <w:p>
            <w:pPr>
              <w:spacing w:after="0"/>
              <w:rPr>
                <w:sz w:val="13"/>
                <w:szCs w:val="13"/>
                <w:color w:val="auto"/>
              </w:rPr>
            </w:pPr>
          </w:p>
        </w:tc>
        <w:tc>
          <w:tcPr>
            <w:tcW w:w="40" w:type="dxa"/>
            <w:vAlign w:val="bottom"/>
            <w:shd w:val="clear" w:color="auto" w:fill="EAF9E8"/>
          </w:tcPr>
          <w:p>
            <w:pPr>
              <w:spacing w:after="0"/>
              <w:rPr>
                <w:sz w:val="13"/>
                <w:szCs w:val="13"/>
                <w:color w:val="auto"/>
              </w:rPr>
            </w:pPr>
          </w:p>
        </w:tc>
        <w:tc>
          <w:tcPr>
            <w:tcW w:w="720" w:type="dxa"/>
            <w:vAlign w:val="bottom"/>
            <w:gridSpan w:val="2"/>
            <w:shd w:val="clear" w:color="auto" w:fill="EAF9E8"/>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EAF9E8"/>
          </w:tcPr>
          <w:p>
            <w:pPr>
              <w:spacing w:after="0"/>
              <w:rPr>
                <w:sz w:val="13"/>
                <w:szCs w:val="13"/>
                <w:color w:val="auto"/>
              </w:rPr>
            </w:pPr>
          </w:p>
        </w:tc>
        <w:tc>
          <w:tcPr>
            <w:tcW w:w="120" w:type="dxa"/>
            <w:vAlign w:val="bottom"/>
            <w:shd w:val="clear" w:color="auto" w:fill="EAF9E8"/>
          </w:tcPr>
          <w:p>
            <w:pPr>
              <w:spacing w:after="0"/>
              <w:rPr>
                <w:sz w:val="13"/>
                <w:szCs w:val="13"/>
                <w:color w:val="auto"/>
              </w:rPr>
            </w:pPr>
          </w:p>
        </w:tc>
        <w:tc>
          <w:tcPr>
            <w:tcW w:w="1040" w:type="dxa"/>
            <w:vAlign w:val="bottom"/>
            <w:gridSpan w:val="2"/>
            <w:shd w:val="clear" w:color="auto" w:fill="EAF9E8"/>
          </w:tcPr>
          <w:p>
            <w:pPr>
              <w:jc w:val="right"/>
              <w:ind w:right="120"/>
              <w:spacing w:after="0" w:line="159" w:lineRule="exact"/>
              <w:rPr>
                <w:sz w:val="20"/>
                <w:szCs w:val="20"/>
                <w:color w:val="auto"/>
              </w:rPr>
            </w:pPr>
            <w:r>
              <w:rPr>
                <w:rFonts w:ascii="Arial" w:cs="Arial" w:eastAsia="Arial" w:hAnsi="Arial"/>
                <w:sz w:val="14"/>
                <w:szCs w:val="14"/>
                <w:color w:val="auto"/>
              </w:rPr>
              <w:t>18,685</w:t>
            </w:r>
          </w:p>
        </w:tc>
        <w:tc>
          <w:tcPr>
            <w:tcW w:w="80" w:type="dxa"/>
            <w:vAlign w:val="bottom"/>
            <w:shd w:val="clear" w:color="auto" w:fill="EAF9E8"/>
          </w:tcPr>
          <w:p>
            <w:pPr>
              <w:spacing w:after="0"/>
              <w:rPr>
                <w:sz w:val="13"/>
                <w:szCs w:val="13"/>
                <w:color w:val="auto"/>
              </w:rPr>
            </w:pPr>
          </w:p>
        </w:tc>
        <w:tc>
          <w:tcPr>
            <w:tcW w:w="40" w:type="dxa"/>
            <w:vAlign w:val="bottom"/>
            <w:shd w:val="clear" w:color="auto" w:fill="EAF9E8"/>
          </w:tcPr>
          <w:p>
            <w:pPr>
              <w:spacing w:after="0"/>
              <w:rPr>
                <w:sz w:val="13"/>
                <w:szCs w:val="13"/>
                <w:color w:val="auto"/>
              </w:rPr>
            </w:pPr>
          </w:p>
        </w:tc>
        <w:tc>
          <w:tcPr>
            <w:tcW w:w="700" w:type="dxa"/>
            <w:vAlign w:val="bottom"/>
            <w:gridSpan w:val="2"/>
            <w:shd w:val="clear" w:color="auto" w:fill="EAF9E8"/>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EAF9E8"/>
          </w:tcPr>
          <w:p>
            <w:pPr>
              <w:spacing w:after="0"/>
              <w:rPr>
                <w:sz w:val="13"/>
                <w:szCs w:val="13"/>
                <w:color w:val="auto"/>
              </w:rPr>
            </w:pPr>
          </w:p>
        </w:tc>
        <w:tc>
          <w:tcPr>
            <w:tcW w:w="100" w:type="dxa"/>
            <w:vAlign w:val="bottom"/>
            <w:shd w:val="clear" w:color="auto" w:fill="EAF9E8"/>
          </w:tcPr>
          <w:p>
            <w:pPr>
              <w:spacing w:after="0"/>
              <w:rPr>
                <w:sz w:val="13"/>
                <w:szCs w:val="13"/>
                <w:color w:val="auto"/>
              </w:rPr>
            </w:pPr>
          </w:p>
        </w:tc>
        <w:tc>
          <w:tcPr>
            <w:tcW w:w="20" w:type="dxa"/>
            <w:vAlign w:val="bottom"/>
            <w:shd w:val="clear" w:color="auto" w:fill="EAF9E8"/>
          </w:tcPr>
          <w:p>
            <w:pPr>
              <w:spacing w:after="0"/>
              <w:rPr>
                <w:sz w:val="13"/>
                <w:szCs w:val="13"/>
                <w:color w:val="auto"/>
              </w:rPr>
            </w:pPr>
          </w:p>
        </w:tc>
        <w:tc>
          <w:tcPr>
            <w:tcW w:w="860" w:type="dxa"/>
            <w:vAlign w:val="bottom"/>
            <w:gridSpan w:val="2"/>
            <w:shd w:val="clear" w:color="auto" w:fill="EAF9E8"/>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EAF9E8"/>
          </w:tcPr>
          <w:p>
            <w:pPr>
              <w:spacing w:after="0"/>
              <w:rPr>
                <w:sz w:val="13"/>
                <w:szCs w:val="13"/>
                <w:color w:val="auto"/>
              </w:rPr>
            </w:pPr>
          </w:p>
        </w:tc>
        <w:tc>
          <w:tcPr>
            <w:tcW w:w="120" w:type="dxa"/>
            <w:vAlign w:val="bottom"/>
            <w:shd w:val="clear" w:color="auto" w:fill="EAF9E8"/>
          </w:tcPr>
          <w:p>
            <w:pPr>
              <w:spacing w:after="0"/>
              <w:rPr>
                <w:sz w:val="13"/>
                <w:szCs w:val="13"/>
                <w:color w:val="auto"/>
              </w:rPr>
            </w:pPr>
          </w:p>
        </w:tc>
        <w:tc>
          <w:tcPr>
            <w:tcW w:w="920" w:type="dxa"/>
            <w:vAlign w:val="bottom"/>
            <w:shd w:val="clear" w:color="auto" w:fill="EAF9E8"/>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EAF9E8"/>
          </w:tcPr>
          <w:p>
            <w:pPr>
              <w:spacing w:after="0"/>
              <w:rPr>
                <w:sz w:val="13"/>
                <w:szCs w:val="13"/>
                <w:color w:val="auto"/>
              </w:rPr>
            </w:pPr>
          </w:p>
        </w:tc>
        <w:tc>
          <w:tcPr>
            <w:tcW w:w="80" w:type="dxa"/>
            <w:vAlign w:val="bottom"/>
            <w:shd w:val="clear" w:color="auto" w:fill="EAF9E8"/>
          </w:tcPr>
          <w:p>
            <w:pPr>
              <w:spacing w:after="0"/>
              <w:rPr>
                <w:sz w:val="13"/>
                <w:szCs w:val="13"/>
                <w:color w:val="auto"/>
              </w:rPr>
            </w:pPr>
          </w:p>
        </w:tc>
        <w:tc>
          <w:tcPr>
            <w:tcW w:w="780" w:type="dxa"/>
            <w:vAlign w:val="bottom"/>
            <w:gridSpan w:val="3"/>
            <w:shd w:val="clear" w:color="auto" w:fill="EAF9E8"/>
          </w:tcPr>
          <w:p>
            <w:pPr>
              <w:jc w:val="right"/>
              <w:ind w:right="80"/>
              <w:spacing w:after="0" w:line="159" w:lineRule="exact"/>
              <w:rPr>
                <w:sz w:val="20"/>
                <w:szCs w:val="20"/>
                <w:color w:val="auto"/>
              </w:rPr>
            </w:pPr>
            <w:r>
              <w:rPr>
                <w:rFonts w:ascii="Arial" w:cs="Arial" w:eastAsia="Arial" w:hAnsi="Arial"/>
                <w:sz w:val="14"/>
                <w:szCs w:val="14"/>
                <w:color w:val="auto"/>
              </w:rPr>
              <w:t>79</w:t>
            </w:r>
          </w:p>
        </w:tc>
        <w:tc>
          <w:tcPr>
            <w:tcW w:w="60" w:type="dxa"/>
            <w:vAlign w:val="bottom"/>
            <w:shd w:val="clear" w:color="auto" w:fill="EAF9E8"/>
          </w:tcPr>
          <w:p>
            <w:pPr>
              <w:spacing w:after="0"/>
              <w:rPr>
                <w:sz w:val="13"/>
                <w:szCs w:val="13"/>
                <w:color w:val="auto"/>
              </w:rPr>
            </w:pPr>
          </w:p>
        </w:tc>
        <w:tc>
          <w:tcPr>
            <w:tcW w:w="80" w:type="dxa"/>
            <w:vAlign w:val="bottom"/>
            <w:shd w:val="clear" w:color="auto" w:fill="EAF9E8"/>
          </w:tcPr>
          <w:p>
            <w:pPr>
              <w:spacing w:after="0"/>
              <w:rPr>
                <w:sz w:val="13"/>
                <w:szCs w:val="13"/>
                <w:color w:val="auto"/>
              </w:rPr>
            </w:pPr>
          </w:p>
        </w:tc>
        <w:tc>
          <w:tcPr>
            <w:tcW w:w="820" w:type="dxa"/>
            <w:vAlign w:val="bottom"/>
            <w:shd w:val="clear" w:color="auto" w:fill="EAF9E8"/>
          </w:tcPr>
          <w:p>
            <w:pPr>
              <w:ind w:left="700"/>
              <w:spacing w:after="0" w:line="159" w:lineRule="exact"/>
              <w:rPr>
                <w:sz w:val="20"/>
                <w:szCs w:val="20"/>
                <w:color w:val="auto"/>
              </w:rPr>
            </w:pPr>
            <w:r>
              <w:rPr>
                <w:rFonts w:ascii="Arial" w:cs="Arial" w:eastAsia="Arial" w:hAnsi="Arial"/>
                <w:sz w:val="14"/>
                <w:szCs w:val="14"/>
                <w:color w:val="auto"/>
                <w:w w:val="71"/>
              </w:rPr>
              <w:t>—</w:t>
            </w:r>
          </w:p>
        </w:tc>
        <w:tc>
          <w:tcPr>
            <w:tcW w:w="140" w:type="dxa"/>
            <w:vAlign w:val="bottom"/>
            <w:shd w:val="clear" w:color="auto" w:fill="EAF9E8"/>
          </w:tcPr>
          <w:p>
            <w:pPr>
              <w:spacing w:after="0"/>
              <w:rPr>
                <w:sz w:val="13"/>
                <w:szCs w:val="13"/>
                <w:color w:val="auto"/>
              </w:rPr>
            </w:pPr>
          </w:p>
        </w:tc>
        <w:tc>
          <w:tcPr>
            <w:tcW w:w="120" w:type="dxa"/>
            <w:vAlign w:val="bottom"/>
            <w:shd w:val="clear" w:color="auto" w:fill="EAF9E8"/>
          </w:tcPr>
          <w:p>
            <w:pPr>
              <w:spacing w:after="0"/>
              <w:rPr>
                <w:sz w:val="13"/>
                <w:szCs w:val="13"/>
                <w:color w:val="auto"/>
              </w:rPr>
            </w:pPr>
          </w:p>
        </w:tc>
        <w:tc>
          <w:tcPr>
            <w:tcW w:w="1100" w:type="dxa"/>
            <w:vAlign w:val="bottom"/>
            <w:gridSpan w:val="2"/>
            <w:shd w:val="clear" w:color="auto" w:fill="EAF9E8"/>
          </w:tcPr>
          <w:p>
            <w:pPr>
              <w:jc w:val="right"/>
              <w:ind w:right="140"/>
              <w:spacing w:after="0" w:line="159" w:lineRule="exact"/>
              <w:rPr>
                <w:sz w:val="20"/>
                <w:szCs w:val="20"/>
                <w:color w:val="auto"/>
              </w:rPr>
            </w:pPr>
            <w:r>
              <w:rPr>
                <w:rFonts w:ascii="Arial" w:cs="Arial" w:eastAsia="Arial" w:hAnsi="Arial"/>
                <w:sz w:val="14"/>
                <w:szCs w:val="14"/>
                <w:color w:val="auto"/>
              </w:rPr>
              <w:t>18,764</w:t>
            </w:r>
          </w:p>
        </w:tc>
        <w:tc>
          <w:tcPr>
            <w:tcW w:w="0" w:type="dxa"/>
            <w:vAlign w:val="bottom"/>
          </w:tcPr>
          <w:p>
            <w:pPr>
              <w:spacing w:after="0"/>
              <w:rPr>
                <w:sz w:val="1"/>
                <w:szCs w:val="1"/>
                <w:color w:val="auto"/>
              </w:rPr>
            </w:pPr>
          </w:p>
        </w:tc>
      </w:tr>
      <w:tr>
        <w:trPr>
          <w:trHeight w:val="243"/>
        </w:trPr>
        <w:tc>
          <w:tcPr>
            <w:tcW w:w="2200" w:type="dxa"/>
            <w:vAlign w:val="bottom"/>
          </w:tcPr>
          <w:p>
            <w:pPr>
              <w:ind w:left="160"/>
              <w:spacing w:after="0"/>
              <w:rPr>
                <w:sz w:val="20"/>
                <w:szCs w:val="20"/>
                <w:color w:val="auto"/>
              </w:rPr>
            </w:pPr>
            <w:r>
              <w:rPr>
                <w:rFonts w:ascii="Arial" w:cs="Arial" w:eastAsia="Arial" w:hAnsi="Arial"/>
                <w:sz w:val="14"/>
                <w:szCs w:val="14"/>
                <w:color w:val="auto"/>
              </w:rPr>
              <w:t>Other assets</w:t>
            </w:r>
          </w:p>
        </w:tc>
        <w:tc>
          <w:tcPr>
            <w:tcW w:w="100" w:type="dxa"/>
            <w:vAlign w:val="bottom"/>
          </w:tcPr>
          <w:p>
            <w:pPr>
              <w:spacing w:after="0"/>
              <w:rPr>
                <w:sz w:val="21"/>
                <w:szCs w:val="21"/>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46,331</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gridSpan w:val="3"/>
          </w:tcPr>
          <w:p>
            <w:pPr>
              <w:jc w:val="right"/>
              <w:ind w:right="60"/>
              <w:spacing w:after="0"/>
              <w:rPr>
                <w:sz w:val="20"/>
                <w:szCs w:val="20"/>
                <w:color w:val="auto"/>
              </w:rPr>
            </w:pPr>
            <w:r>
              <w:rPr>
                <w:rFonts w:ascii="Arial" w:cs="Arial" w:eastAsia="Arial" w:hAnsi="Arial"/>
                <w:sz w:val="14"/>
                <w:szCs w:val="14"/>
                <w:color w:val="auto"/>
              </w:rPr>
              <w:t>6,335</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4"/>
                <w:szCs w:val="14"/>
                <w:color w:val="auto"/>
              </w:rPr>
              <w:t>(100)</w:t>
            </w:r>
          </w:p>
        </w:tc>
        <w:tc>
          <w:tcPr>
            <w:tcW w:w="80" w:type="dxa"/>
            <w:vAlign w:val="bottom"/>
          </w:tcPr>
          <w:p>
            <w:pPr>
              <w:spacing w:after="0"/>
              <w:rPr>
                <w:sz w:val="21"/>
                <w:szCs w:val="21"/>
                <w:color w:val="auto"/>
              </w:rPr>
            </w:pPr>
          </w:p>
        </w:tc>
        <w:tc>
          <w:tcPr>
            <w:tcW w:w="740" w:type="dxa"/>
            <w:vAlign w:val="bottom"/>
            <w:gridSpan w:val="3"/>
          </w:tcPr>
          <w:p>
            <w:pPr>
              <w:jc w:val="right"/>
              <w:ind w:right="60"/>
              <w:spacing w:after="0"/>
              <w:rPr>
                <w:sz w:val="20"/>
                <w:szCs w:val="20"/>
                <w:color w:val="auto"/>
              </w:rPr>
            </w:pPr>
            <w:r>
              <w:rPr>
                <w:rFonts w:ascii="Arial" w:cs="Arial" w:eastAsia="Arial" w:hAnsi="Arial"/>
                <w:sz w:val="14"/>
                <w:szCs w:val="14"/>
                <w:color w:val="auto"/>
              </w:rPr>
              <w:t>8</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gridSpan w:val="3"/>
          </w:tcPr>
          <w:p>
            <w:pPr>
              <w:jc w:val="right"/>
              <w:ind w:right="80"/>
              <w:spacing w:after="0"/>
              <w:rPr>
                <w:sz w:val="20"/>
                <w:szCs w:val="20"/>
                <w:color w:val="auto"/>
              </w:rPr>
            </w:pPr>
            <w:r>
              <w:rPr>
                <w:rFonts w:ascii="Arial" w:cs="Arial" w:eastAsia="Arial" w:hAnsi="Arial"/>
                <w:sz w:val="14"/>
                <w:szCs w:val="14"/>
                <w:color w:val="auto"/>
              </w:rPr>
              <w:t>14,729</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ind w:left="700"/>
              <w:spacing w:after="0"/>
              <w:rPr>
                <w:sz w:val="20"/>
                <w:szCs w:val="20"/>
                <w:color w:val="auto"/>
              </w:rPr>
            </w:pPr>
            <w:r>
              <w:rPr>
                <w:rFonts w:ascii="Arial" w:cs="Arial" w:eastAsia="Arial" w:hAnsi="Arial"/>
                <w:sz w:val="14"/>
                <w:szCs w:val="14"/>
                <w:color w:val="auto"/>
                <w:w w:val="71"/>
              </w:rPr>
              <w:t>—</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67,303</w:t>
            </w:r>
          </w:p>
        </w:tc>
        <w:tc>
          <w:tcPr>
            <w:tcW w:w="0" w:type="dxa"/>
            <w:vAlign w:val="bottom"/>
          </w:tcPr>
          <w:p>
            <w:pPr>
              <w:spacing w:after="0"/>
              <w:rPr>
                <w:sz w:val="1"/>
                <w:szCs w:val="1"/>
                <w:color w:val="auto"/>
              </w:rPr>
            </w:pPr>
          </w:p>
        </w:tc>
      </w:tr>
      <w:tr>
        <w:trPr>
          <w:trHeight w:val="241"/>
        </w:trPr>
        <w:tc>
          <w:tcPr>
            <w:tcW w:w="2200" w:type="dxa"/>
            <w:vAlign w:val="bottom"/>
            <w:tcBorders>
              <w:bottom w:val="single" w:sz="8" w:color="EAF9E8"/>
            </w:tcBorders>
            <w:shd w:val="clear" w:color="auto" w:fill="EAF9E8"/>
          </w:tcPr>
          <w:p>
            <w:pPr>
              <w:ind w:left="320"/>
              <w:spacing w:after="0"/>
              <w:rPr>
                <w:sz w:val="20"/>
                <w:szCs w:val="20"/>
                <w:color w:val="auto"/>
              </w:rPr>
            </w:pPr>
            <w:r>
              <w:rPr>
                <w:rFonts w:ascii="Arial" w:cs="Arial" w:eastAsia="Arial" w:hAnsi="Arial"/>
                <w:sz w:val="14"/>
                <w:szCs w:val="14"/>
                <w:color w:val="auto"/>
              </w:rPr>
              <w:t>Total assets</w:t>
            </w:r>
          </w:p>
        </w:tc>
        <w:tc>
          <w:tcPr>
            <w:tcW w:w="10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4"/>
                <w:szCs w:val="14"/>
                <w:color w:val="auto"/>
              </w:rPr>
              <w:t>1,197,215</w:t>
            </w:r>
          </w:p>
        </w:tc>
        <w:tc>
          <w:tcPr>
            <w:tcW w:w="20" w:type="dxa"/>
            <w:vAlign w:val="bottom"/>
            <w:tcBorders>
              <w:top w:val="single" w:sz="8" w:color="auto"/>
              <w:bottom w:val="single" w:sz="8" w:color="auto"/>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8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gridSpan w:val="2"/>
            <w:shd w:val="clear" w:color="auto" w:fill="EAF9E8"/>
          </w:tcPr>
          <w:p>
            <w:pPr>
              <w:jc w:val="right"/>
              <w:spacing w:after="0"/>
              <w:rPr>
                <w:sz w:val="20"/>
                <w:szCs w:val="20"/>
                <w:color w:val="auto"/>
              </w:rPr>
            </w:pPr>
            <w:r>
              <w:rPr>
                <w:rFonts w:ascii="Arial" w:cs="Arial" w:eastAsia="Arial" w:hAnsi="Arial"/>
                <w:sz w:val="14"/>
                <w:szCs w:val="14"/>
                <w:color w:val="auto"/>
              </w:rPr>
              <w:t>53,191</w:t>
            </w:r>
          </w:p>
        </w:tc>
        <w:tc>
          <w:tcPr>
            <w:tcW w:w="60" w:type="dxa"/>
            <w:vAlign w:val="bottom"/>
            <w:tcBorders>
              <w:bottom w:val="single" w:sz="8" w:color="EAF9E8"/>
            </w:tcBorders>
            <w:shd w:val="clear" w:color="auto" w:fill="EAF9E8"/>
          </w:tcPr>
          <w:p>
            <w:pPr>
              <w:spacing w:after="0"/>
              <w:rPr>
                <w:sz w:val="20"/>
                <w:szCs w:val="20"/>
                <w:color w:val="auto"/>
              </w:rPr>
            </w:pPr>
          </w:p>
        </w:tc>
        <w:tc>
          <w:tcPr>
            <w:tcW w:w="6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top w:val="single" w:sz="8" w:color="auto"/>
              <w:bottom w:val="single" w:sz="8" w:color="auto"/>
            </w:tcBorders>
            <w:shd w:val="clear" w:color="auto" w:fill="EAF9E8"/>
          </w:tcPr>
          <w:p>
            <w:pPr>
              <w:jc w:val="right"/>
              <w:ind w:right="9"/>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4"/>
                <w:szCs w:val="14"/>
                <w:color w:val="auto"/>
              </w:rPr>
              <w:t>19,053</w:t>
            </w:r>
          </w:p>
        </w:tc>
        <w:tc>
          <w:tcPr>
            <w:tcW w:w="120" w:type="dxa"/>
            <w:vAlign w:val="bottom"/>
            <w:tcBorders>
              <w:bottom w:val="single" w:sz="8" w:color="EAF9E8"/>
            </w:tcBorders>
            <w:shd w:val="clear" w:color="auto" w:fill="EAF9E8"/>
          </w:tcPr>
          <w:p>
            <w:pPr>
              <w:spacing w:after="0"/>
              <w:rPr>
                <w:sz w:val="20"/>
                <w:szCs w:val="20"/>
                <w:color w:val="auto"/>
              </w:rPr>
            </w:pPr>
          </w:p>
        </w:tc>
        <w:tc>
          <w:tcPr>
            <w:tcW w:w="8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gridSpan w:val="2"/>
            <w:shd w:val="clear" w:color="auto" w:fill="EAF9E8"/>
          </w:tcPr>
          <w:p>
            <w:pPr>
              <w:jc w:val="right"/>
              <w:spacing w:after="0"/>
              <w:rPr>
                <w:sz w:val="20"/>
                <w:szCs w:val="20"/>
                <w:color w:val="auto"/>
              </w:rPr>
            </w:pPr>
            <w:r>
              <w:rPr>
                <w:rFonts w:ascii="Arial" w:cs="Arial" w:eastAsia="Arial" w:hAnsi="Arial"/>
                <w:sz w:val="14"/>
                <w:szCs w:val="14"/>
                <w:color w:val="auto"/>
              </w:rPr>
              <w:t>333</w:t>
            </w:r>
          </w:p>
        </w:tc>
        <w:tc>
          <w:tcPr>
            <w:tcW w:w="60" w:type="dxa"/>
            <w:vAlign w:val="bottom"/>
            <w:tcBorders>
              <w:bottom w:val="single" w:sz="8" w:color="EAF9E8"/>
            </w:tcBorders>
            <w:shd w:val="clear" w:color="auto" w:fill="EAF9E8"/>
          </w:tcPr>
          <w:p>
            <w:pPr>
              <w:spacing w:after="0"/>
              <w:rPr>
                <w:sz w:val="20"/>
                <w:szCs w:val="20"/>
                <w:color w:val="auto"/>
              </w:rPr>
            </w:pPr>
          </w:p>
        </w:tc>
        <w:tc>
          <w:tcPr>
            <w:tcW w:w="6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gridSpan w:val="2"/>
            <w:shd w:val="clear" w:color="auto" w:fill="EAF9E8"/>
          </w:tcPr>
          <w:p>
            <w:pPr>
              <w:jc w:val="right"/>
              <w:spacing w:after="0"/>
              <w:rPr>
                <w:sz w:val="20"/>
                <w:szCs w:val="20"/>
                <w:color w:val="auto"/>
              </w:rPr>
            </w:pPr>
            <w:r>
              <w:rPr>
                <w:rFonts w:ascii="Arial" w:cs="Arial" w:eastAsia="Arial" w:hAnsi="Arial"/>
                <w:sz w:val="14"/>
                <w:szCs w:val="14"/>
                <w:color w:val="auto"/>
              </w:rPr>
              <w:t>3</w:t>
            </w:r>
          </w:p>
        </w:tc>
        <w:tc>
          <w:tcPr>
            <w:tcW w:w="80" w:type="dxa"/>
            <w:vAlign w:val="bottom"/>
            <w:tcBorders>
              <w:bottom w:val="single" w:sz="8" w:color="EAF9E8"/>
            </w:tcBorders>
            <w:shd w:val="clear" w:color="auto" w:fill="EAF9E8"/>
          </w:tcPr>
          <w:p>
            <w:pPr>
              <w:spacing w:after="0"/>
              <w:rPr>
                <w:sz w:val="20"/>
                <w:szCs w:val="20"/>
                <w:color w:val="auto"/>
              </w:rPr>
            </w:pPr>
          </w:p>
        </w:tc>
        <w:tc>
          <w:tcPr>
            <w:tcW w:w="6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top w:val="single" w:sz="8" w:color="auto"/>
              <w:bottom w:val="single" w:sz="8" w:color="auto"/>
            </w:tcBorders>
            <w:shd w:val="clear" w:color="auto" w:fill="EAF9E8"/>
          </w:tcPr>
          <w:p>
            <w:pPr>
              <w:jc w:val="right"/>
              <w:ind w:right="9"/>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4"/>
                <w:szCs w:val="14"/>
                <w:color w:val="auto"/>
              </w:rPr>
              <w:t>123</w:t>
            </w:r>
          </w:p>
        </w:tc>
        <w:tc>
          <w:tcPr>
            <w:tcW w:w="120" w:type="dxa"/>
            <w:vAlign w:val="bottom"/>
            <w:tcBorders>
              <w:bottom w:val="single" w:sz="8" w:color="EAF9E8"/>
            </w:tcBorders>
            <w:shd w:val="clear" w:color="auto" w:fill="EAF9E8"/>
          </w:tcPr>
          <w:p>
            <w:pPr>
              <w:spacing w:after="0"/>
              <w:rPr>
                <w:sz w:val="20"/>
                <w:szCs w:val="20"/>
                <w:color w:val="auto"/>
              </w:rPr>
            </w:pPr>
          </w:p>
        </w:tc>
        <w:tc>
          <w:tcPr>
            <w:tcW w:w="8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gridSpan w:val="2"/>
            <w:shd w:val="clear" w:color="auto" w:fill="EAF9E8"/>
          </w:tcPr>
          <w:p>
            <w:pPr>
              <w:jc w:val="right"/>
              <w:spacing w:after="0"/>
              <w:rPr>
                <w:sz w:val="20"/>
                <w:szCs w:val="20"/>
                <w:color w:val="auto"/>
              </w:rPr>
            </w:pPr>
            <w:r>
              <w:rPr>
                <w:rFonts w:ascii="Arial" w:cs="Arial" w:eastAsia="Arial" w:hAnsi="Arial"/>
                <w:sz w:val="14"/>
                <w:szCs w:val="14"/>
                <w:color w:val="auto"/>
              </w:rPr>
              <w:t>605,135</w:t>
            </w:r>
          </w:p>
        </w:tc>
        <w:tc>
          <w:tcPr>
            <w:tcW w:w="80" w:type="dxa"/>
            <w:vAlign w:val="bottom"/>
            <w:tcBorders>
              <w:bottom w:val="single" w:sz="8" w:color="EAF9E8"/>
            </w:tcBorders>
            <w:shd w:val="clear" w:color="auto" w:fill="EAF9E8"/>
          </w:tcPr>
          <w:p>
            <w:pPr>
              <w:spacing w:after="0"/>
              <w:rPr>
                <w:sz w:val="20"/>
                <w:szCs w:val="20"/>
                <w:color w:val="auto"/>
              </w:rPr>
            </w:pPr>
          </w:p>
        </w:tc>
        <w:tc>
          <w:tcPr>
            <w:tcW w:w="60" w:type="dxa"/>
            <w:vAlign w:val="bottom"/>
            <w:tcBorders>
              <w:bottom w:val="single" w:sz="8" w:color="EAF9E8"/>
            </w:tcBorders>
            <w:shd w:val="clear" w:color="auto" w:fill="EAF9E8"/>
          </w:tcPr>
          <w:p>
            <w:pPr>
              <w:spacing w:after="0"/>
              <w:rPr>
                <w:sz w:val="20"/>
                <w:szCs w:val="20"/>
                <w:color w:val="auto"/>
              </w:rPr>
            </w:pPr>
          </w:p>
        </w:tc>
        <w:tc>
          <w:tcPr>
            <w:tcW w:w="8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shd w:val="clear" w:color="auto" w:fill="EAF9E8"/>
          </w:tcPr>
          <w:p>
            <w:pPr>
              <w:ind w:left="700"/>
              <w:spacing w:after="0"/>
              <w:rPr>
                <w:sz w:val="20"/>
                <w:szCs w:val="20"/>
                <w:color w:val="auto"/>
              </w:rPr>
            </w:pPr>
            <w:r>
              <w:rPr>
                <w:rFonts w:ascii="Arial" w:cs="Arial" w:eastAsia="Arial" w:hAnsi="Arial"/>
                <w:sz w:val="14"/>
                <w:szCs w:val="14"/>
                <w:color w:val="auto"/>
                <w:w w:val="71"/>
              </w:rPr>
              <w:t>—</w:t>
            </w:r>
          </w:p>
        </w:tc>
        <w:tc>
          <w:tcPr>
            <w:tcW w:w="14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top w:val="single" w:sz="8" w:color="auto"/>
              <w:bottom w:val="single" w:sz="8" w:color="auto"/>
            </w:tcBorders>
            <w:shd w:val="clear" w:color="auto" w:fill="EAF9E8"/>
          </w:tcPr>
          <w:p>
            <w:pPr>
              <w:jc w:val="right"/>
              <w:ind w:right="9"/>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4"/>
                <w:szCs w:val="14"/>
                <w:color w:val="auto"/>
              </w:rPr>
              <w:t>1,875,053</w:t>
            </w:r>
          </w:p>
        </w:tc>
        <w:tc>
          <w:tcPr>
            <w:tcW w:w="140" w:type="dxa"/>
            <w:vAlign w:val="bottom"/>
            <w:tcBorders>
              <w:bottom w:val="single" w:sz="8" w:color="EAF9E8"/>
            </w:tcBorders>
            <w:shd w:val="clear" w:color="auto" w:fill="EAF9E8"/>
          </w:tcPr>
          <w:p>
            <w:pPr>
              <w:spacing w:after="0"/>
              <w:rPr>
                <w:sz w:val="20"/>
                <w:szCs w:val="20"/>
                <w:color w:val="auto"/>
              </w:rPr>
            </w:pPr>
          </w:p>
        </w:tc>
        <w:tc>
          <w:tcPr>
            <w:tcW w:w="0" w:type="dxa"/>
            <w:vAlign w:val="bottom"/>
          </w:tcPr>
          <w:p>
            <w:pPr>
              <w:spacing w:after="0"/>
              <w:rPr>
                <w:sz w:val="1"/>
                <w:szCs w:val="1"/>
                <w:color w:val="auto"/>
              </w:rPr>
            </w:pPr>
          </w:p>
        </w:tc>
      </w:tr>
      <w:tr>
        <w:trPr>
          <w:trHeight w:val="467"/>
        </w:trPr>
        <w:tc>
          <w:tcPr>
            <w:tcW w:w="2200" w:type="dxa"/>
            <w:vAlign w:val="bottom"/>
            <w:tcBorders>
              <w:top w:val="single" w:sz="8" w:color="EAF9E8"/>
            </w:tcBorders>
          </w:tcPr>
          <w:p>
            <w:pPr>
              <w:spacing w:after="0"/>
              <w:rPr>
                <w:sz w:val="20"/>
                <w:szCs w:val="20"/>
                <w:color w:val="auto"/>
              </w:rPr>
            </w:pPr>
            <w:r>
              <w:rPr>
                <w:rFonts w:ascii="Arial" w:cs="Arial" w:eastAsia="Arial" w:hAnsi="Arial"/>
                <w:sz w:val="14"/>
                <w:szCs w:val="14"/>
                <w:b w:val="1"/>
                <w:bCs w:val="1"/>
                <w:color w:val="auto"/>
              </w:rPr>
              <w:t>Liabilities</w:t>
            </w:r>
          </w:p>
        </w:tc>
        <w:tc>
          <w:tcPr>
            <w:tcW w:w="10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0" w:type="dxa"/>
            <w:vAlign w:val="bottom"/>
            <w:tcBorders>
              <w:top w:val="single" w:sz="8" w:color="EAF9E8"/>
            </w:tcBorders>
          </w:tcPr>
          <w:p>
            <w:pPr>
              <w:spacing w:after="0"/>
              <w:rPr>
                <w:sz w:val="24"/>
                <w:szCs w:val="24"/>
                <w:color w:val="auto"/>
              </w:rPr>
            </w:pPr>
          </w:p>
        </w:tc>
        <w:tc>
          <w:tcPr>
            <w:tcW w:w="100" w:type="dxa"/>
            <w:vAlign w:val="bottom"/>
            <w:tcBorders>
              <w:top w:val="single" w:sz="8" w:color="EAF9E8"/>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60" w:type="dxa"/>
            <w:vAlign w:val="bottom"/>
            <w:tcBorders>
              <w:top w:val="single" w:sz="8" w:color="EAF9E8"/>
            </w:tcBorders>
          </w:tcPr>
          <w:p>
            <w:pPr>
              <w:spacing w:after="0"/>
              <w:rPr>
                <w:sz w:val="24"/>
                <w:szCs w:val="24"/>
                <w:color w:val="auto"/>
              </w:rPr>
            </w:pPr>
          </w:p>
        </w:tc>
        <w:tc>
          <w:tcPr>
            <w:tcW w:w="60" w:type="dxa"/>
            <w:vAlign w:val="bottom"/>
            <w:tcBorders>
              <w:top w:val="single" w:sz="8" w:color="EAF9E8"/>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20" w:type="dxa"/>
            <w:vAlign w:val="bottom"/>
            <w:tcBorders>
              <w:top w:val="single" w:sz="8" w:color="EAF9E8"/>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60" w:type="dxa"/>
            <w:vAlign w:val="bottom"/>
            <w:tcBorders>
              <w:top w:val="single" w:sz="8" w:color="EAF9E8"/>
            </w:tcBorders>
          </w:tcPr>
          <w:p>
            <w:pPr>
              <w:spacing w:after="0"/>
              <w:rPr>
                <w:sz w:val="24"/>
                <w:szCs w:val="24"/>
                <w:color w:val="auto"/>
              </w:rPr>
            </w:pPr>
          </w:p>
        </w:tc>
        <w:tc>
          <w:tcPr>
            <w:tcW w:w="60" w:type="dxa"/>
            <w:vAlign w:val="bottom"/>
            <w:tcBorders>
              <w:top w:val="single" w:sz="8" w:color="EAF9E8"/>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80" w:type="dxa"/>
            <w:vAlign w:val="bottom"/>
            <w:tcBorders>
              <w:top w:val="single" w:sz="8" w:color="EAF9E8"/>
            </w:tcBorders>
          </w:tcPr>
          <w:p>
            <w:pPr>
              <w:spacing w:after="0"/>
              <w:rPr>
                <w:sz w:val="24"/>
                <w:szCs w:val="24"/>
                <w:color w:val="auto"/>
              </w:rPr>
            </w:pPr>
          </w:p>
        </w:tc>
        <w:tc>
          <w:tcPr>
            <w:tcW w:w="60" w:type="dxa"/>
            <w:vAlign w:val="bottom"/>
            <w:tcBorders>
              <w:top w:val="single" w:sz="8" w:color="EAF9E8"/>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20" w:type="dxa"/>
            <w:vAlign w:val="bottom"/>
            <w:tcBorders>
              <w:top w:val="single" w:sz="8" w:color="EAF9E8"/>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80" w:type="dxa"/>
            <w:vAlign w:val="bottom"/>
            <w:tcBorders>
              <w:top w:val="single" w:sz="8" w:color="EAF9E8"/>
            </w:tcBorders>
          </w:tcPr>
          <w:p>
            <w:pPr>
              <w:spacing w:after="0"/>
              <w:rPr>
                <w:sz w:val="24"/>
                <w:szCs w:val="24"/>
                <w:color w:val="auto"/>
              </w:rPr>
            </w:pPr>
          </w:p>
        </w:tc>
        <w:tc>
          <w:tcPr>
            <w:tcW w:w="60" w:type="dxa"/>
            <w:vAlign w:val="bottom"/>
            <w:tcBorders>
              <w:top w:val="single" w:sz="8" w:color="EAF9E8"/>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40" w:type="dxa"/>
            <w:vAlign w:val="bottom"/>
            <w:tcBorders>
              <w:top w:val="single" w:sz="8" w:color="EAF9E8"/>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40" w:type="dxa"/>
            <w:vAlign w:val="bottom"/>
            <w:tcBorders>
              <w:top w:val="single" w:sz="8" w:color="EAF9E8"/>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200" w:type="dxa"/>
            <w:vAlign w:val="bottom"/>
            <w:shd w:val="clear" w:color="auto" w:fill="EAF9E8"/>
          </w:tcPr>
          <w:p>
            <w:pPr>
              <w:ind w:left="160"/>
              <w:spacing w:after="0"/>
              <w:rPr>
                <w:sz w:val="20"/>
                <w:szCs w:val="20"/>
                <w:color w:val="auto"/>
              </w:rPr>
            </w:pPr>
            <w:r>
              <w:rPr>
                <w:rFonts w:ascii="Arial" w:cs="Arial" w:eastAsia="Arial" w:hAnsi="Arial"/>
                <w:sz w:val="14"/>
                <w:szCs w:val="14"/>
                <w:color w:val="auto"/>
              </w:rPr>
              <w:t>Match funded liabilities</w:t>
            </w:r>
          </w:p>
        </w:tc>
        <w:tc>
          <w:tcPr>
            <w:tcW w:w="100" w:type="dxa"/>
            <w:vAlign w:val="bottom"/>
            <w:shd w:val="clear" w:color="auto" w:fill="EAF9E8"/>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EAF9E8"/>
          </w:tcPr>
          <w:p>
            <w:pPr>
              <w:jc w:val="right"/>
              <w:ind w:right="20"/>
              <w:spacing w:after="0"/>
              <w:rPr>
                <w:sz w:val="20"/>
                <w:szCs w:val="20"/>
                <w:color w:val="auto"/>
              </w:rPr>
            </w:pPr>
            <w:r>
              <w:rPr>
                <w:rFonts w:ascii="Arial" w:cs="Arial" w:eastAsia="Arial" w:hAnsi="Arial"/>
                <w:sz w:val="14"/>
                <w:szCs w:val="14"/>
                <w:color w:val="auto"/>
              </w:rPr>
              <w:t>529,779</w:t>
            </w:r>
          </w:p>
        </w:tc>
        <w:tc>
          <w:tcPr>
            <w:tcW w:w="180" w:type="dxa"/>
            <w:vAlign w:val="bottom"/>
            <w:gridSpan w:val="2"/>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EAF9E8"/>
          </w:tcPr>
          <w:p>
            <w:pPr>
              <w:spacing w:after="0"/>
              <w:rPr>
                <w:sz w:val="21"/>
                <w:szCs w:val="21"/>
                <w:color w:val="auto"/>
              </w:rPr>
            </w:pPr>
          </w:p>
        </w:tc>
        <w:tc>
          <w:tcPr>
            <w:tcW w:w="720" w:type="dxa"/>
            <w:vAlign w:val="bottom"/>
            <w:gridSpan w:val="2"/>
            <w:shd w:val="clear" w:color="auto" w:fill="EAF9E8"/>
          </w:tcPr>
          <w:p>
            <w:pPr>
              <w:jc w:val="right"/>
              <w:ind w:right="60"/>
              <w:spacing w:after="0"/>
              <w:rPr>
                <w:sz w:val="20"/>
                <w:szCs w:val="20"/>
                <w:color w:val="auto"/>
              </w:rPr>
            </w:pPr>
            <w:r>
              <w:rPr>
                <w:rFonts w:ascii="Arial" w:cs="Arial" w:eastAsia="Arial" w:hAnsi="Arial"/>
                <w:sz w:val="14"/>
                <w:szCs w:val="14"/>
                <w:color w:val="auto"/>
              </w:rPr>
              <w:t>—</w:t>
            </w:r>
          </w:p>
        </w:tc>
        <w:tc>
          <w:tcPr>
            <w:tcW w:w="180" w:type="dxa"/>
            <w:vAlign w:val="bottom"/>
            <w:gridSpan w:val="2"/>
            <w:shd w:val="clear" w:color="auto" w:fill="EAF9E8"/>
          </w:tcPr>
          <w:p>
            <w:pPr>
              <w:jc w:val="right"/>
              <w:ind w:right="9"/>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EAF9E8"/>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EAF9E8"/>
          </w:tcPr>
          <w:p>
            <w:pPr>
              <w:jc w:val="right"/>
              <w:spacing w:after="0"/>
              <w:rPr>
                <w:sz w:val="20"/>
                <w:szCs w:val="20"/>
                <w:color w:val="auto"/>
              </w:rPr>
            </w:pPr>
            <w:r>
              <w:rPr>
                <w:rFonts w:ascii="Arial" w:cs="Arial" w:eastAsia="Arial" w:hAnsi="Arial"/>
                <w:sz w:val="10"/>
                <w:szCs w:val="10"/>
                <w:color w:val="auto"/>
                <w:w w:val="71"/>
              </w:rPr>
              <w:t>$</w:t>
            </w:r>
          </w:p>
        </w:tc>
        <w:tc>
          <w:tcPr>
            <w:tcW w:w="40" w:type="dxa"/>
            <w:vAlign w:val="bottom"/>
            <w:shd w:val="clear" w:color="auto" w:fill="EAF9E8"/>
          </w:tcPr>
          <w:p>
            <w:pPr>
              <w:spacing w:after="0"/>
              <w:rPr>
                <w:sz w:val="21"/>
                <w:szCs w:val="21"/>
                <w:color w:val="auto"/>
              </w:rPr>
            </w:pPr>
          </w:p>
        </w:tc>
        <w:tc>
          <w:tcPr>
            <w:tcW w:w="700" w:type="dxa"/>
            <w:vAlign w:val="bottom"/>
            <w:gridSpan w:val="2"/>
            <w:shd w:val="clear" w:color="auto" w:fill="EAF9E8"/>
          </w:tcPr>
          <w:p>
            <w:pPr>
              <w:jc w:val="right"/>
              <w:ind w:right="60"/>
              <w:spacing w:after="0"/>
              <w:rPr>
                <w:sz w:val="20"/>
                <w:szCs w:val="20"/>
                <w:color w:val="auto"/>
              </w:rPr>
            </w:pPr>
            <w:r>
              <w:rPr>
                <w:rFonts w:ascii="Arial" w:cs="Arial" w:eastAsia="Arial" w:hAnsi="Arial"/>
                <w:sz w:val="14"/>
                <w:szCs w:val="14"/>
                <w:color w:val="auto"/>
              </w:rPr>
              <w:t>—</w:t>
            </w:r>
          </w:p>
        </w:tc>
        <w:tc>
          <w:tcPr>
            <w:tcW w:w="160" w:type="dxa"/>
            <w:vAlign w:val="bottom"/>
            <w:gridSpan w:val="2"/>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EAF9E8"/>
          </w:tcPr>
          <w:p>
            <w:pPr>
              <w:spacing w:after="0"/>
              <w:rPr>
                <w:sz w:val="21"/>
                <w:szCs w:val="21"/>
                <w:color w:val="auto"/>
              </w:rPr>
            </w:pPr>
          </w:p>
        </w:tc>
        <w:tc>
          <w:tcPr>
            <w:tcW w:w="860" w:type="dxa"/>
            <w:vAlign w:val="bottom"/>
            <w:gridSpan w:val="2"/>
            <w:shd w:val="clear" w:color="auto" w:fill="EAF9E8"/>
          </w:tcPr>
          <w:p>
            <w:pPr>
              <w:jc w:val="right"/>
              <w:ind w:right="80"/>
              <w:spacing w:after="0"/>
              <w:rPr>
                <w:sz w:val="20"/>
                <w:szCs w:val="20"/>
                <w:color w:val="auto"/>
              </w:rPr>
            </w:pPr>
            <w:r>
              <w:rPr>
                <w:rFonts w:ascii="Arial" w:cs="Arial" w:eastAsia="Arial" w:hAnsi="Arial"/>
                <w:sz w:val="14"/>
                <w:szCs w:val="14"/>
                <w:color w:val="auto"/>
              </w:rPr>
              <w:t>—</w:t>
            </w:r>
          </w:p>
        </w:tc>
        <w:tc>
          <w:tcPr>
            <w:tcW w:w="180" w:type="dxa"/>
            <w:vAlign w:val="bottom"/>
            <w:gridSpan w:val="2"/>
            <w:shd w:val="clear" w:color="auto" w:fill="EAF9E8"/>
          </w:tcPr>
          <w:p>
            <w:pPr>
              <w:jc w:val="right"/>
              <w:ind w:right="9"/>
              <w:spacing w:after="0"/>
              <w:rPr>
                <w:sz w:val="20"/>
                <w:szCs w:val="20"/>
                <w:color w:val="auto"/>
              </w:rPr>
            </w:pPr>
            <w:r>
              <w:rPr>
                <w:rFonts w:ascii="Arial" w:cs="Arial" w:eastAsia="Arial" w:hAnsi="Arial"/>
                <w:sz w:val="14"/>
                <w:szCs w:val="14"/>
                <w:color w:val="auto"/>
              </w:rPr>
              <w:t>$</w:t>
            </w:r>
          </w:p>
        </w:tc>
        <w:tc>
          <w:tcPr>
            <w:tcW w:w="920" w:type="dxa"/>
            <w:vAlign w:val="bottom"/>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200" w:type="dxa"/>
            <w:vAlign w:val="bottom"/>
            <w:gridSpan w:val="2"/>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EAF9E8"/>
          </w:tcPr>
          <w:p>
            <w:pPr>
              <w:spacing w:after="0"/>
              <w:rPr>
                <w:sz w:val="21"/>
                <w:szCs w:val="21"/>
                <w:color w:val="auto"/>
              </w:rPr>
            </w:pPr>
          </w:p>
        </w:tc>
        <w:tc>
          <w:tcPr>
            <w:tcW w:w="740" w:type="dxa"/>
            <w:vAlign w:val="bottom"/>
            <w:gridSpan w:val="2"/>
            <w:shd w:val="clear" w:color="auto" w:fill="EAF9E8"/>
          </w:tcPr>
          <w:p>
            <w:pPr>
              <w:jc w:val="right"/>
              <w:ind w:right="80"/>
              <w:spacing w:after="0"/>
              <w:rPr>
                <w:sz w:val="20"/>
                <w:szCs w:val="20"/>
                <w:color w:val="auto"/>
              </w:rPr>
            </w:pPr>
            <w:r>
              <w:rPr>
                <w:rFonts w:ascii="Arial" w:cs="Arial" w:eastAsia="Arial" w:hAnsi="Arial"/>
                <w:sz w:val="14"/>
                <w:szCs w:val="14"/>
                <w:color w:val="auto"/>
              </w:rPr>
              <w:t>—</w:t>
            </w:r>
          </w:p>
        </w:tc>
        <w:tc>
          <w:tcPr>
            <w:tcW w:w="140" w:type="dxa"/>
            <w:vAlign w:val="bottom"/>
            <w:gridSpan w:val="2"/>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EAF9E8"/>
          </w:tcPr>
          <w:p>
            <w:pPr>
              <w:ind w:left="700"/>
              <w:spacing w:after="0"/>
              <w:rPr>
                <w:sz w:val="20"/>
                <w:szCs w:val="20"/>
                <w:color w:val="auto"/>
              </w:rPr>
            </w:pPr>
            <w:r>
              <w:rPr>
                <w:rFonts w:ascii="Arial" w:cs="Arial" w:eastAsia="Arial" w:hAnsi="Arial"/>
                <w:sz w:val="14"/>
                <w:szCs w:val="14"/>
                <w:color w:val="auto"/>
                <w:w w:val="71"/>
              </w:rPr>
              <w:t>—</w:t>
            </w:r>
          </w:p>
        </w:tc>
        <w:tc>
          <w:tcPr>
            <w:tcW w:w="260" w:type="dxa"/>
            <w:vAlign w:val="bottom"/>
            <w:gridSpan w:val="2"/>
            <w:shd w:val="clear" w:color="auto" w:fill="EAF9E8"/>
          </w:tcPr>
          <w:p>
            <w:pPr>
              <w:jc w:val="right"/>
              <w:ind w:right="9"/>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EAF9E8"/>
          </w:tcPr>
          <w:p>
            <w:pPr>
              <w:jc w:val="right"/>
              <w:ind w:right="140"/>
              <w:spacing w:after="0"/>
              <w:rPr>
                <w:sz w:val="20"/>
                <w:szCs w:val="20"/>
                <w:color w:val="auto"/>
              </w:rPr>
            </w:pPr>
            <w:r>
              <w:rPr>
                <w:rFonts w:ascii="Arial" w:cs="Arial" w:eastAsia="Arial" w:hAnsi="Arial"/>
                <w:sz w:val="14"/>
                <w:szCs w:val="14"/>
                <w:color w:val="auto"/>
              </w:rPr>
              <w:t>529,779</w:t>
            </w:r>
          </w:p>
        </w:tc>
        <w:tc>
          <w:tcPr>
            <w:tcW w:w="0" w:type="dxa"/>
            <w:vAlign w:val="bottom"/>
          </w:tcPr>
          <w:p>
            <w:pPr>
              <w:spacing w:after="0"/>
              <w:rPr>
                <w:sz w:val="1"/>
                <w:szCs w:val="1"/>
                <w:color w:val="auto"/>
              </w:rPr>
            </w:pPr>
          </w:p>
        </w:tc>
      </w:tr>
      <w:tr>
        <w:trPr>
          <w:trHeight w:val="138"/>
        </w:trPr>
        <w:tc>
          <w:tcPr>
            <w:tcW w:w="2200" w:type="dxa"/>
            <w:vAlign w:val="bottom"/>
          </w:tcPr>
          <w:p>
            <w:pPr>
              <w:ind w:left="160"/>
              <w:spacing w:after="0" w:line="138" w:lineRule="exact"/>
              <w:rPr>
                <w:sz w:val="20"/>
                <w:szCs w:val="20"/>
                <w:color w:val="auto"/>
              </w:rPr>
            </w:pPr>
            <w:r>
              <w:rPr>
                <w:rFonts w:ascii="Arial" w:cs="Arial" w:eastAsia="Arial" w:hAnsi="Arial"/>
                <w:sz w:val="14"/>
                <w:szCs w:val="14"/>
                <w:color w:val="auto"/>
                <w:w w:val="99"/>
              </w:rPr>
              <w:t>Lines of credit and other secured</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200" w:type="dxa"/>
            <w:vAlign w:val="bottom"/>
          </w:tcPr>
          <w:p>
            <w:pPr>
              <w:ind w:left="320"/>
              <w:spacing w:after="0" w:line="159" w:lineRule="exact"/>
              <w:rPr>
                <w:sz w:val="20"/>
                <w:szCs w:val="20"/>
                <w:color w:val="auto"/>
              </w:rPr>
            </w:pPr>
            <w:r>
              <w:rPr>
                <w:rFonts w:ascii="Arial" w:cs="Arial" w:eastAsia="Arial" w:hAnsi="Arial"/>
                <w:sz w:val="14"/>
                <w:szCs w:val="14"/>
                <w:color w:val="auto"/>
              </w:rPr>
              <w:t>borrowings</w:t>
            </w:r>
          </w:p>
        </w:tc>
        <w:tc>
          <w:tcPr>
            <w:tcW w:w="100" w:type="dxa"/>
            <w:vAlign w:val="bottom"/>
          </w:tcPr>
          <w:p>
            <w:pPr>
              <w:spacing w:after="0"/>
              <w:rPr>
                <w:sz w:val="13"/>
                <w:szCs w:val="13"/>
                <w:color w:val="auto"/>
              </w:rPr>
            </w:pPr>
          </w:p>
        </w:tc>
        <w:tc>
          <w:tcPr>
            <w:tcW w:w="70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54,665</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ind w:left="700"/>
              <w:spacing w:after="0" w:line="159" w:lineRule="exact"/>
              <w:rPr>
                <w:sz w:val="20"/>
                <w:szCs w:val="20"/>
                <w:color w:val="auto"/>
              </w:rPr>
            </w:pPr>
            <w:r>
              <w:rPr>
                <w:rFonts w:ascii="Arial" w:cs="Arial" w:eastAsia="Arial" w:hAnsi="Arial"/>
                <w:sz w:val="14"/>
                <w:szCs w:val="14"/>
                <w:color w:val="auto"/>
                <w:w w:val="71"/>
              </w:rPr>
              <w:t>—</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54,665</w:t>
            </w:r>
          </w:p>
        </w:tc>
        <w:tc>
          <w:tcPr>
            <w:tcW w:w="0" w:type="dxa"/>
            <w:vAlign w:val="bottom"/>
          </w:tcPr>
          <w:p>
            <w:pPr>
              <w:spacing w:after="0"/>
              <w:rPr>
                <w:sz w:val="1"/>
                <w:szCs w:val="1"/>
                <w:color w:val="auto"/>
              </w:rPr>
            </w:pPr>
          </w:p>
        </w:tc>
      </w:tr>
      <w:tr>
        <w:trPr>
          <w:trHeight w:val="243"/>
        </w:trPr>
        <w:tc>
          <w:tcPr>
            <w:tcW w:w="2200" w:type="dxa"/>
            <w:vAlign w:val="bottom"/>
            <w:shd w:val="clear" w:color="auto" w:fill="EAF9E8"/>
          </w:tcPr>
          <w:p>
            <w:pPr>
              <w:ind w:left="160"/>
              <w:spacing w:after="0"/>
              <w:rPr>
                <w:sz w:val="20"/>
                <w:szCs w:val="20"/>
                <w:color w:val="auto"/>
              </w:rPr>
            </w:pPr>
            <w:r>
              <w:rPr>
                <w:rFonts w:ascii="Arial" w:cs="Arial" w:eastAsia="Arial" w:hAnsi="Arial"/>
                <w:sz w:val="14"/>
                <w:szCs w:val="14"/>
                <w:color w:val="auto"/>
              </w:rPr>
              <w:t>Investment line</w:t>
            </w:r>
          </w:p>
        </w:tc>
        <w:tc>
          <w:tcPr>
            <w:tcW w:w="100" w:type="dxa"/>
            <w:vAlign w:val="bottom"/>
            <w:shd w:val="clear" w:color="auto" w:fill="EAF9E8"/>
          </w:tcPr>
          <w:p>
            <w:pPr>
              <w:spacing w:after="0"/>
              <w:rPr>
                <w:sz w:val="21"/>
                <w:szCs w:val="21"/>
                <w:color w:val="auto"/>
              </w:rPr>
            </w:pPr>
          </w:p>
        </w:tc>
        <w:tc>
          <w:tcPr>
            <w:tcW w:w="700" w:type="dxa"/>
            <w:vAlign w:val="bottom"/>
            <w:gridSpan w:val="2"/>
            <w:shd w:val="clear" w:color="auto" w:fill="EAF9E8"/>
          </w:tcPr>
          <w:p>
            <w:pPr>
              <w:jc w:val="right"/>
              <w:ind w:right="20"/>
              <w:spacing w:after="0"/>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40" w:type="dxa"/>
            <w:vAlign w:val="bottom"/>
            <w:shd w:val="clear" w:color="auto" w:fill="EAF9E8"/>
          </w:tcPr>
          <w:p>
            <w:pPr>
              <w:spacing w:after="0"/>
              <w:rPr>
                <w:sz w:val="21"/>
                <w:szCs w:val="21"/>
                <w:color w:val="auto"/>
              </w:rPr>
            </w:pPr>
          </w:p>
        </w:tc>
        <w:tc>
          <w:tcPr>
            <w:tcW w:w="720" w:type="dxa"/>
            <w:vAlign w:val="bottom"/>
            <w:gridSpan w:val="2"/>
            <w:shd w:val="clear" w:color="auto" w:fill="EAF9E8"/>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1040" w:type="dxa"/>
            <w:vAlign w:val="bottom"/>
            <w:gridSpan w:val="2"/>
            <w:shd w:val="clear" w:color="auto" w:fill="EAF9E8"/>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EAF9E8"/>
          </w:tcPr>
          <w:p>
            <w:pPr>
              <w:spacing w:after="0"/>
              <w:rPr>
                <w:sz w:val="21"/>
                <w:szCs w:val="21"/>
                <w:color w:val="auto"/>
              </w:rPr>
            </w:pPr>
          </w:p>
        </w:tc>
        <w:tc>
          <w:tcPr>
            <w:tcW w:w="40" w:type="dxa"/>
            <w:vAlign w:val="bottom"/>
            <w:shd w:val="clear" w:color="auto" w:fill="EAF9E8"/>
          </w:tcPr>
          <w:p>
            <w:pPr>
              <w:spacing w:after="0"/>
              <w:rPr>
                <w:sz w:val="21"/>
                <w:szCs w:val="21"/>
                <w:color w:val="auto"/>
              </w:rPr>
            </w:pPr>
          </w:p>
        </w:tc>
        <w:tc>
          <w:tcPr>
            <w:tcW w:w="700" w:type="dxa"/>
            <w:vAlign w:val="bottom"/>
            <w:gridSpan w:val="2"/>
            <w:shd w:val="clear" w:color="auto" w:fill="EAF9E8"/>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20" w:type="dxa"/>
            <w:vAlign w:val="bottom"/>
            <w:shd w:val="clear" w:color="auto" w:fill="EAF9E8"/>
          </w:tcPr>
          <w:p>
            <w:pPr>
              <w:spacing w:after="0"/>
              <w:rPr>
                <w:sz w:val="21"/>
                <w:szCs w:val="21"/>
                <w:color w:val="auto"/>
              </w:rPr>
            </w:pPr>
          </w:p>
        </w:tc>
        <w:tc>
          <w:tcPr>
            <w:tcW w:w="860" w:type="dxa"/>
            <w:vAlign w:val="bottom"/>
            <w:gridSpan w:val="2"/>
            <w:shd w:val="clear" w:color="auto" w:fill="EAF9E8"/>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920" w:type="dxa"/>
            <w:vAlign w:val="bottom"/>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780" w:type="dxa"/>
            <w:vAlign w:val="bottom"/>
            <w:gridSpan w:val="3"/>
            <w:shd w:val="clear" w:color="auto" w:fill="EAF9E8"/>
          </w:tcPr>
          <w:p>
            <w:pPr>
              <w:jc w:val="right"/>
              <w:ind w:right="80"/>
              <w:spacing w:after="0"/>
              <w:rPr>
                <w:sz w:val="20"/>
                <w:szCs w:val="20"/>
                <w:color w:val="auto"/>
              </w:rPr>
            </w:pPr>
            <w:r>
              <w:rPr>
                <w:rFonts w:ascii="Arial" w:cs="Arial" w:eastAsia="Arial" w:hAnsi="Arial"/>
                <w:sz w:val="14"/>
                <w:szCs w:val="14"/>
                <w:color w:val="auto"/>
              </w:rPr>
              <w:t>167,168</w:t>
            </w:r>
          </w:p>
        </w:tc>
        <w:tc>
          <w:tcPr>
            <w:tcW w:w="6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820" w:type="dxa"/>
            <w:vAlign w:val="bottom"/>
            <w:shd w:val="clear" w:color="auto" w:fill="EAF9E8"/>
          </w:tcPr>
          <w:p>
            <w:pPr>
              <w:ind w:left="700"/>
              <w:spacing w:after="0"/>
              <w:rPr>
                <w:sz w:val="20"/>
                <w:szCs w:val="20"/>
                <w:color w:val="auto"/>
              </w:rPr>
            </w:pPr>
            <w:r>
              <w:rPr>
                <w:rFonts w:ascii="Arial" w:cs="Arial" w:eastAsia="Arial" w:hAnsi="Arial"/>
                <w:sz w:val="14"/>
                <w:szCs w:val="14"/>
                <w:color w:val="auto"/>
                <w:w w:val="71"/>
              </w:rPr>
              <w:t>—</w:t>
            </w:r>
          </w:p>
        </w:tc>
        <w:tc>
          <w:tcPr>
            <w:tcW w:w="14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1100" w:type="dxa"/>
            <w:vAlign w:val="bottom"/>
            <w:gridSpan w:val="2"/>
            <w:shd w:val="clear" w:color="auto" w:fill="EAF9E8"/>
          </w:tcPr>
          <w:p>
            <w:pPr>
              <w:jc w:val="right"/>
              <w:ind w:right="140"/>
              <w:spacing w:after="0"/>
              <w:rPr>
                <w:sz w:val="20"/>
                <w:szCs w:val="20"/>
                <w:color w:val="auto"/>
              </w:rPr>
            </w:pPr>
            <w:r>
              <w:rPr>
                <w:rFonts w:ascii="Arial" w:cs="Arial" w:eastAsia="Arial" w:hAnsi="Arial"/>
                <w:sz w:val="14"/>
                <w:szCs w:val="14"/>
                <w:color w:val="auto"/>
              </w:rPr>
              <w:t>167,168</w:t>
            </w:r>
          </w:p>
        </w:tc>
        <w:tc>
          <w:tcPr>
            <w:tcW w:w="0" w:type="dxa"/>
            <w:vAlign w:val="bottom"/>
          </w:tcPr>
          <w:p>
            <w:pPr>
              <w:spacing w:after="0"/>
              <w:rPr>
                <w:sz w:val="1"/>
                <w:szCs w:val="1"/>
                <w:color w:val="auto"/>
              </w:rPr>
            </w:pPr>
          </w:p>
        </w:tc>
      </w:tr>
      <w:tr>
        <w:trPr>
          <w:trHeight w:val="243"/>
        </w:trPr>
        <w:tc>
          <w:tcPr>
            <w:tcW w:w="2200" w:type="dxa"/>
            <w:vAlign w:val="bottom"/>
          </w:tcPr>
          <w:p>
            <w:pPr>
              <w:ind w:left="160"/>
              <w:spacing w:after="0"/>
              <w:rPr>
                <w:sz w:val="20"/>
                <w:szCs w:val="20"/>
                <w:color w:val="auto"/>
              </w:rPr>
            </w:pPr>
            <w:r>
              <w:rPr>
                <w:rFonts w:ascii="Arial" w:cs="Arial" w:eastAsia="Arial" w:hAnsi="Arial"/>
                <w:sz w:val="14"/>
                <w:szCs w:val="14"/>
                <w:color w:val="auto"/>
              </w:rPr>
              <w:t>Servicer liabilities</w:t>
            </w:r>
          </w:p>
        </w:tc>
        <w:tc>
          <w:tcPr>
            <w:tcW w:w="100" w:type="dxa"/>
            <w:vAlign w:val="bottom"/>
          </w:tcPr>
          <w:p>
            <w:pPr>
              <w:spacing w:after="0"/>
              <w:rPr>
                <w:sz w:val="21"/>
                <w:szCs w:val="21"/>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59,355</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gridSpan w:val="3"/>
          </w:tcPr>
          <w:p>
            <w:pPr>
              <w:jc w:val="right"/>
              <w:ind w:right="80"/>
              <w:spacing w:after="0"/>
              <w:rPr>
                <w:sz w:val="20"/>
                <w:szCs w:val="20"/>
                <w:color w:val="auto"/>
              </w:rPr>
            </w:pPr>
            <w:r>
              <w:rPr>
                <w:rFonts w:ascii="Arial" w:cs="Arial" w:eastAsia="Arial" w:hAnsi="Arial"/>
                <w:sz w:val="14"/>
                <w:szCs w:val="14"/>
                <w:color w:val="auto"/>
              </w:rPr>
              <w:t>102</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ind w:left="700"/>
              <w:spacing w:after="0"/>
              <w:rPr>
                <w:sz w:val="20"/>
                <w:szCs w:val="20"/>
                <w:color w:val="auto"/>
              </w:rPr>
            </w:pPr>
            <w:r>
              <w:rPr>
                <w:rFonts w:ascii="Arial" w:cs="Arial" w:eastAsia="Arial" w:hAnsi="Arial"/>
                <w:sz w:val="14"/>
                <w:szCs w:val="14"/>
                <w:color w:val="auto"/>
                <w:w w:val="71"/>
              </w:rPr>
              <w:t>—</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59,457</w:t>
            </w:r>
          </w:p>
        </w:tc>
        <w:tc>
          <w:tcPr>
            <w:tcW w:w="0" w:type="dxa"/>
            <w:vAlign w:val="bottom"/>
          </w:tcPr>
          <w:p>
            <w:pPr>
              <w:spacing w:after="0"/>
              <w:rPr>
                <w:sz w:val="1"/>
                <w:szCs w:val="1"/>
                <w:color w:val="auto"/>
              </w:rPr>
            </w:pPr>
          </w:p>
        </w:tc>
      </w:tr>
      <w:tr>
        <w:trPr>
          <w:trHeight w:val="243"/>
        </w:trPr>
        <w:tc>
          <w:tcPr>
            <w:tcW w:w="2200" w:type="dxa"/>
            <w:vAlign w:val="bottom"/>
            <w:shd w:val="clear" w:color="auto" w:fill="EAF9E8"/>
          </w:tcPr>
          <w:p>
            <w:pPr>
              <w:ind w:left="160"/>
              <w:spacing w:after="0"/>
              <w:rPr>
                <w:sz w:val="20"/>
                <w:szCs w:val="20"/>
                <w:color w:val="auto"/>
              </w:rPr>
            </w:pPr>
            <w:r>
              <w:rPr>
                <w:rFonts w:ascii="Arial" w:cs="Arial" w:eastAsia="Arial" w:hAnsi="Arial"/>
                <w:sz w:val="14"/>
                <w:szCs w:val="14"/>
                <w:color w:val="auto"/>
              </w:rPr>
              <w:t>Debt securities</w:t>
            </w:r>
          </w:p>
        </w:tc>
        <w:tc>
          <w:tcPr>
            <w:tcW w:w="100" w:type="dxa"/>
            <w:vAlign w:val="bottom"/>
            <w:shd w:val="clear" w:color="auto" w:fill="EAF9E8"/>
          </w:tcPr>
          <w:p>
            <w:pPr>
              <w:spacing w:after="0"/>
              <w:rPr>
                <w:sz w:val="21"/>
                <w:szCs w:val="21"/>
                <w:color w:val="auto"/>
              </w:rPr>
            </w:pPr>
          </w:p>
        </w:tc>
        <w:tc>
          <w:tcPr>
            <w:tcW w:w="700" w:type="dxa"/>
            <w:vAlign w:val="bottom"/>
            <w:gridSpan w:val="2"/>
            <w:shd w:val="clear" w:color="auto" w:fill="EAF9E8"/>
          </w:tcPr>
          <w:p>
            <w:pPr>
              <w:jc w:val="right"/>
              <w:ind w:right="20"/>
              <w:spacing w:after="0"/>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40" w:type="dxa"/>
            <w:vAlign w:val="bottom"/>
            <w:shd w:val="clear" w:color="auto" w:fill="EAF9E8"/>
          </w:tcPr>
          <w:p>
            <w:pPr>
              <w:spacing w:after="0"/>
              <w:rPr>
                <w:sz w:val="21"/>
                <w:szCs w:val="21"/>
                <w:color w:val="auto"/>
              </w:rPr>
            </w:pPr>
          </w:p>
        </w:tc>
        <w:tc>
          <w:tcPr>
            <w:tcW w:w="720" w:type="dxa"/>
            <w:vAlign w:val="bottom"/>
            <w:gridSpan w:val="2"/>
            <w:shd w:val="clear" w:color="auto" w:fill="EAF9E8"/>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1040" w:type="dxa"/>
            <w:vAlign w:val="bottom"/>
            <w:gridSpan w:val="2"/>
            <w:shd w:val="clear" w:color="auto" w:fill="EAF9E8"/>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EAF9E8"/>
          </w:tcPr>
          <w:p>
            <w:pPr>
              <w:spacing w:after="0"/>
              <w:rPr>
                <w:sz w:val="21"/>
                <w:szCs w:val="21"/>
                <w:color w:val="auto"/>
              </w:rPr>
            </w:pPr>
          </w:p>
        </w:tc>
        <w:tc>
          <w:tcPr>
            <w:tcW w:w="40" w:type="dxa"/>
            <w:vAlign w:val="bottom"/>
            <w:shd w:val="clear" w:color="auto" w:fill="EAF9E8"/>
          </w:tcPr>
          <w:p>
            <w:pPr>
              <w:spacing w:after="0"/>
              <w:rPr>
                <w:sz w:val="21"/>
                <w:szCs w:val="21"/>
                <w:color w:val="auto"/>
              </w:rPr>
            </w:pPr>
          </w:p>
        </w:tc>
        <w:tc>
          <w:tcPr>
            <w:tcW w:w="700" w:type="dxa"/>
            <w:vAlign w:val="bottom"/>
            <w:gridSpan w:val="2"/>
            <w:shd w:val="clear" w:color="auto" w:fill="EAF9E8"/>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20" w:type="dxa"/>
            <w:vAlign w:val="bottom"/>
            <w:shd w:val="clear" w:color="auto" w:fill="EAF9E8"/>
          </w:tcPr>
          <w:p>
            <w:pPr>
              <w:spacing w:after="0"/>
              <w:rPr>
                <w:sz w:val="21"/>
                <w:szCs w:val="21"/>
                <w:color w:val="auto"/>
              </w:rPr>
            </w:pPr>
          </w:p>
        </w:tc>
        <w:tc>
          <w:tcPr>
            <w:tcW w:w="860" w:type="dxa"/>
            <w:vAlign w:val="bottom"/>
            <w:gridSpan w:val="2"/>
            <w:shd w:val="clear" w:color="auto" w:fill="EAF9E8"/>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920" w:type="dxa"/>
            <w:vAlign w:val="bottom"/>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780" w:type="dxa"/>
            <w:vAlign w:val="bottom"/>
            <w:gridSpan w:val="3"/>
            <w:shd w:val="clear" w:color="auto" w:fill="EAF9E8"/>
          </w:tcPr>
          <w:p>
            <w:pPr>
              <w:jc w:val="right"/>
              <w:ind w:right="80"/>
              <w:spacing w:after="0"/>
              <w:rPr>
                <w:sz w:val="20"/>
                <w:szCs w:val="20"/>
                <w:color w:val="auto"/>
              </w:rPr>
            </w:pPr>
            <w:r>
              <w:rPr>
                <w:rFonts w:ascii="Arial" w:cs="Arial" w:eastAsia="Arial" w:hAnsi="Arial"/>
                <w:sz w:val="14"/>
                <w:szCs w:val="14"/>
                <w:color w:val="auto"/>
              </w:rPr>
              <w:t>109,814</w:t>
            </w:r>
          </w:p>
        </w:tc>
        <w:tc>
          <w:tcPr>
            <w:tcW w:w="6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820" w:type="dxa"/>
            <w:vAlign w:val="bottom"/>
            <w:shd w:val="clear" w:color="auto" w:fill="EAF9E8"/>
          </w:tcPr>
          <w:p>
            <w:pPr>
              <w:ind w:left="700"/>
              <w:spacing w:after="0"/>
              <w:rPr>
                <w:sz w:val="20"/>
                <w:szCs w:val="20"/>
                <w:color w:val="auto"/>
              </w:rPr>
            </w:pPr>
            <w:r>
              <w:rPr>
                <w:rFonts w:ascii="Arial" w:cs="Arial" w:eastAsia="Arial" w:hAnsi="Arial"/>
                <w:sz w:val="14"/>
                <w:szCs w:val="14"/>
                <w:color w:val="auto"/>
                <w:w w:val="71"/>
              </w:rPr>
              <w:t>—</w:t>
            </w:r>
          </w:p>
        </w:tc>
        <w:tc>
          <w:tcPr>
            <w:tcW w:w="14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1100" w:type="dxa"/>
            <w:vAlign w:val="bottom"/>
            <w:gridSpan w:val="2"/>
            <w:shd w:val="clear" w:color="auto" w:fill="EAF9E8"/>
          </w:tcPr>
          <w:p>
            <w:pPr>
              <w:jc w:val="right"/>
              <w:ind w:right="140"/>
              <w:spacing w:after="0"/>
              <w:rPr>
                <w:sz w:val="20"/>
                <w:szCs w:val="20"/>
                <w:color w:val="auto"/>
              </w:rPr>
            </w:pPr>
            <w:r>
              <w:rPr>
                <w:rFonts w:ascii="Arial" w:cs="Arial" w:eastAsia="Arial" w:hAnsi="Arial"/>
                <w:sz w:val="14"/>
                <w:szCs w:val="14"/>
                <w:color w:val="auto"/>
              </w:rPr>
              <w:t>109,814</w:t>
            </w:r>
          </w:p>
        </w:tc>
        <w:tc>
          <w:tcPr>
            <w:tcW w:w="0" w:type="dxa"/>
            <w:vAlign w:val="bottom"/>
          </w:tcPr>
          <w:p>
            <w:pPr>
              <w:spacing w:after="0"/>
              <w:rPr>
                <w:sz w:val="1"/>
                <w:szCs w:val="1"/>
                <w:color w:val="auto"/>
              </w:rPr>
            </w:pPr>
          </w:p>
        </w:tc>
      </w:tr>
      <w:tr>
        <w:trPr>
          <w:trHeight w:val="243"/>
        </w:trPr>
        <w:tc>
          <w:tcPr>
            <w:tcW w:w="2200" w:type="dxa"/>
            <w:vAlign w:val="bottom"/>
          </w:tcPr>
          <w:p>
            <w:pPr>
              <w:ind w:left="160"/>
              <w:spacing w:after="0"/>
              <w:rPr>
                <w:sz w:val="20"/>
                <w:szCs w:val="20"/>
                <w:color w:val="auto"/>
              </w:rPr>
            </w:pPr>
            <w:r>
              <w:rPr>
                <w:rFonts w:ascii="Arial" w:cs="Arial" w:eastAsia="Arial" w:hAnsi="Arial"/>
                <w:sz w:val="14"/>
                <w:szCs w:val="14"/>
                <w:color w:val="auto"/>
              </w:rPr>
              <w:t>Income taxes payable</w:t>
            </w:r>
          </w:p>
        </w:tc>
        <w:tc>
          <w:tcPr>
            <w:tcW w:w="100" w:type="dxa"/>
            <w:vAlign w:val="bottom"/>
          </w:tcPr>
          <w:p>
            <w:pPr>
              <w:spacing w:after="0"/>
              <w:rPr>
                <w:sz w:val="21"/>
                <w:szCs w:val="21"/>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gridSpan w:val="3"/>
          </w:tcPr>
          <w:p>
            <w:pPr>
              <w:jc w:val="right"/>
              <w:ind w:right="80"/>
              <w:spacing w:after="0"/>
              <w:rPr>
                <w:sz w:val="20"/>
                <w:szCs w:val="20"/>
                <w:color w:val="auto"/>
              </w:rPr>
            </w:pPr>
            <w:r>
              <w:rPr>
                <w:rFonts w:ascii="Arial" w:cs="Arial" w:eastAsia="Arial" w:hAnsi="Arial"/>
                <w:sz w:val="14"/>
                <w:szCs w:val="14"/>
                <w:color w:val="auto"/>
              </w:rPr>
              <w:t>18,940</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ind w:left="700"/>
              <w:spacing w:after="0"/>
              <w:rPr>
                <w:sz w:val="20"/>
                <w:szCs w:val="20"/>
                <w:color w:val="auto"/>
              </w:rPr>
            </w:pPr>
            <w:r>
              <w:rPr>
                <w:rFonts w:ascii="Arial" w:cs="Arial" w:eastAsia="Arial" w:hAnsi="Arial"/>
                <w:sz w:val="14"/>
                <w:szCs w:val="14"/>
                <w:color w:val="auto"/>
                <w:w w:val="71"/>
              </w:rPr>
              <w:t>—</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18,940</w:t>
            </w:r>
          </w:p>
        </w:tc>
        <w:tc>
          <w:tcPr>
            <w:tcW w:w="0" w:type="dxa"/>
            <w:vAlign w:val="bottom"/>
          </w:tcPr>
          <w:p>
            <w:pPr>
              <w:spacing w:after="0"/>
              <w:rPr>
                <w:sz w:val="1"/>
                <w:szCs w:val="1"/>
                <w:color w:val="auto"/>
              </w:rPr>
            </w:pPr>
          </w:p>
        </w:tc>
      </w:tr>
      <w:tr>
        <w:trPr>
          <w:trHeight w:val="243"/>
        </w:trPr>
        <w:tc>
          <w:tcPr>
            <w:tcW w:w="2200" w:type="dxa"/>
            <w:vAlign w:val="bottom"/>
            <w:shd w:val="clear" w:color="auto" w:fill="EAF9E8"/>
          </w:tcPr>
          <w:p>
            <w:pPr>
              <w:ind w:left="160"/>
              <w:spacing w:after="0"/>
              <w:rPr>
                <w:sz w:val="20"/>
                <w:szCs w:val="20"/>
                <w:color w:val="auto"/>
              </w:rPr>
            </w:pPr>
            <w:r>
              <w:rPr>
                <w:rFonts w:ascii="Arial" w:cs="Arial" w:eastAsia="Arial" w:hAnsi="Arial"/>
                <w:sz w:val="14"/>
                <w:szCs w:val="14"/>
                <w:color w:val="auto"/>
              </w:rPr>
              <w:t>Other liabilities</w:t>
            </w:r>
          </w:p>
        </w:tc>
        <w:tc>
          <w:tcPr>
            <w:tcW w:w="100" w:type="dxa"/>
            <w:vAlign w:val="bottom"/>
            <w:shd w:val="clear" w:color="auto" w:fill="EAF9E8"/>
          </w:tcPr>
          <w:p>
            <w:pPr>
              <w:spacing w:after="0"/>
              <w:rPr>
                <w:sz w:val="21"/>
                <w:szCs w:val="21"/>
                <w:color w:val="auto"/>
              </w:rPr>
            </w:pPr>
          </w:p>
        </w:tc>
        <w:tc>
          <w:tcPr>
            <w:tcW w:w="680" w:type="dxa"/>
            <w:vAlign w:val="bottom"/>
            <w:shd w:val="clear" w:color="auto" w:fill="EAF9E8"/>
          </w:tcPr>
          <w:p>
            <w:pPr>
              <w:jc w:val="right"/>
              <w:spacing w:after="0"/>
              <w:rPr>
                <w:sz w:val="20"/>
                <w:szCs w:val="20"/>
                <w:color w:val="auto"/>
              </w:rPr>
            </w:pPr>
            <w:r>
              <w:rPr>
                <w:rFonts w:ascii="Arial" w:cs="Arial" w:eastAsia="Arial" w:hAnsi="Arial"/>
                <w:sz w:val="14"/>
                <w:szCs w:val="14"/>
                <w:color w:val="auto"/>
              </w:rPr>
              <w:t>36,467</w:t>
            </w:r>
          </w:p>
        </w:tc>
        <w:tc>
          <w:tcPr>
            <w:tcW w:w="2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700" w:type="dxa"/>
            <w:vAlign w:val="bottom"/>
            <w:gridSpan w:val="2"/>
            <w:shd w:val="clear" w:color="auto" w:fill="EAF9E8"/>
          </w:tcPr>
          <w:p>
            <w:pPr>
              <w:jc w:val="right"/>
              <w:spacing w:after="0"/>
              <w:rPr>
                <w:sz w:val="20"/>
                <w:szCs w:val="20"/>
                <w:color w:val="auto"/>
              </w:rPr>
            </w:pPr>
            <w:r>
              <w:rPr>
                <w:rFonts w:ascii="Arial" w:cs="Arial" w:eastAsia="Arial" w:hAnsi="Arial"/>
                <w:sz w:val="14"/>
                <w:szCs w:val="14"/>
                <w:color w:val="auto"/>
              </w:rPr>
              <w:t>1,206</w:t>
            </w:r>
          </w:p>
        </w:tc>
        <w:tc>
          <w:tcPr>
            <w:tcW w:w="60" w:type="dxa"/>
            <w:vAlign w:val="bottom"/>
            <w:shd w:val="clear" w:color="auto" w:fill="EAF9E8"/>
          </w:tcPr>
          <w:p>
            <w:pPr>
              <w:spacing w:after="0"/>
              <w:rPr>
                <w:sz w:val="21"/>
                <w:szCs w:val="21"/>
                <w:color w:val="auto"/>
              </w:rPr>
            </w:pPr>
          </w:p>
        </w:tc>
        <w:tc>
          <w:tcPr>
            <w:tcW w:w="6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920" w:type="dxa"/>
            <w:vAlign w:val="bottom"/>
            <w:shd w:val="clear" w:color="auto" w:fill="EAF9E8"/>
          </w:tcPr>
          <w:p>
            <w:pPr>
              <w:jc w:val="right"/>
              <w:spacing w:after="0"/>
              <w:rPr>
                <w:sz w:val="20"/>
                <w:szCs w:val="20"/>
                <w:color w:val="auto"/>
              </w:rPr>
            </w:pPr>
            <w:r>
              <w:rPr>
                <w:rFonts w:ascii="Arial" w:cs="Arial" w:eastAsia="Arial" w:hAnsi="Arial"/>
                <w:sz w:val="14"/>
                <w:szCs w:val="14"/>
                <w:color w:val="auto"/>
              </w:rPr>
              <w:t>388</w:t>
            </w:r>
          </w:p>
        </w:tc>
        <w:tc>
          <w:tcPr>
            <w:tcW w:w="12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740" w:type="dxa"/>
            <w:vAlign w:val="bottom"/>
            <w:gridSpan w:val="3"/>
            <w:shd w:val="clear" w:color="auto" w:fill="EAF9E8"/>
          </w:tcPr>
          <w:p>
            <w:pPr>
              <w:jc w:val="right"/>
              <w:ind w:right="60"/>
              <w:spacing w:after="0"/>
              <w:rPr>
                <w:sz w:val="20"/>
                <w:szCs w:val="20"/>
                <w:color w:val="auto"/>
              </w:rPr>
            </w:pPr>
            <w:r>
              <w:rPr>
                <w:rFonts w:ascii="Arial" w:cs="Arial" w:eastAsia="Arial" w:hAnsi="Arial"/>
                <w:sz w:val="14"/>
                <w:szCs w:val="14"/>
                <w:color w:val="auto"/>
              </w:rPr>
              <w:t>13</w:t>
            </w:r>
          </w:p>
        </w:tc>
        <w:tc>
          <w:tcPr>
            <w:tcW w:w="6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20" w:type="dxa"/>
            <w:vAlign w:val="bottom"/>
            <w:shd w:val="clear" w:color="auto" w:fill="EAF9E8"/>
          </w:tcPr>
          <w:p>
            <w:pPr>
              <w:spacing w:after="0"/>
              <w:rPr>
                <w:sz w:val="21"/>
                <w:szCs w:val="21"/>
                <w:color w:val="auto"/>
              </w:rPr>
            </w:pPr>
          </w:p>
        </w:tc>
        <w:tc>
          <w:tcPr>
            <w:tcW w:w="860" w:type="dxa"/>
            <w:vAlign w:val="bottom"/>
            <w:gridSpan w:val="2"/>
            <w:shd w:val="clear" w:color="auto" w:fill="EAF9E8"/>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920" w:type="dxa"/>
            <w:vAlign w:val="bottom"/>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780" w:type="dxa"/>
            <w:vAlign w:val="bottom"/>
            <w:gridSpan w:val="3"/>
            <w:shd w:val="clear" w:color="auto" w:fill="EAF9E8"/>
          </w:tcPr>
          <w:p>
            <w:pPr>
              <w:jc w:val="right"/>
              <w:ind w:right="80"/>
              <w:spacing w:after="0"/>
              <w:rPr>
                <w:sz w:val="20"/>
                <w:szCs w:val="20"/>
                <w:color w:val="auto"/>
              </w:rPr>
            </w:pPr>
            <w:r>
              <w:rPr>
                <w:rFonts w:ascii="Arial" w:cs="Arial" w:eastAsia="Arial" w:hAnsi="Arial"/>
                <w:sz w:val="14"/>
                <w:szCs w:val="14"/>
                <w:color w:val="auto"/>
              </w:rPr>
              <w:t>39,696</w:t>
            </w:r>
          </w:p>
        </w:tc>
        <w:tc>
          <w:tcPr>
            <w:tcW w:w="6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820" w:type="dxa"/>
            <w:vAlign w:val="bottom"/>
            <w:shd w:val="clear" w:color="auto" w:fill="EAF9E8"/>
          </w:tcPr>
          <w:p>
            <w:pPr>
              <w:ind w:left="700"/>
              <w:spacing w:after="0"/>
              <w:rPr>
                <w:sz w:val="20"/>
                <w:szCs w:val="20"/>
                <w:color w:val="auto"/>
              </w:rPr>
            </w:pPr>
            <w:r>
              <w:rPr>
                <w:rFonts w:ascii="Arial" w:cs="Arial" w:eastAsia="Arial" w:hAnsi="Arial"/>
                <w:sz w:val="14"/>
                <w:szCs w:val="14"/>
                <w:color w:val="auto"/>
                <w:w w:val="71"/>
              </w:rPr>
              <w:t>—</w:t>
            </w:r>
          </w:p>
        </w:tc>
        <w:tc>
          <w:tcPr>
            <w:tcW w:w="14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1100" w:type="dxa"/>
            <w:vAlign w:val="bottom"/>
            <w:gridSpan w:val="2"/>
            <w:shd w:val="clear" w:color="auto" w:fill="EAF9E8"/>
          </w:tcPr>
          <w:p>
            <w:pPr>
              <w:jc w:val="right"/>
              <w:ind w:right="140"/>
              <w:spacing w:after="0"/>
              <w:rPr>
                <w:sz w:val="20"/>
                <w:szCs w:val="20"/>
                <w:color w:val="auto"/>
              </w:rPr>
            </w:pPr>
            <w:r>
              <w:rPr>
                <w:rFonts w:ascii="Arial" w:cs="Arial" w:eastAsia="Arial" w:hAnsi="Arial"/>
                <w:sz w:val="14"/>
                <w:szCs w:val="14"/>
                <w:color w:val="auto"/>
              </w:rPr>
              <w:t>77,770</w:t>
            </w:r>
          </w:p>
        </w:tc>
        <w:tc>
          <w:tcPr>
            <w:tcW w:w="0" w:type="dxa"/>
            <w:vAlign w:val="bottom"/>
          </w:tcPr>
          <w:p>
            <w:pPr>
              <w:spacing w:after="0"/>
              <w:rPr>
                <w:sz w:val="1"/>
                <w:szCs w:val="1"/>
                <w:color w:val="auto"/>
              </w:rPr>
            </w:pPr>
          </w:p>
        </w:tc>
      </w:tr>
      <w:tr>
        <w:trPr>
          <w:trHeight w:val="236"/>
        </w:trPr>
        <w:tc>
          <w:tcPr>
            <w:tcW w:w="2200" w:type="dxa"/>
            <w:vAlign w:val="bottom"/>
            <w:tcBorders>
              <w:top w:val="single" w:sz="8" w:color="EAF9E8"/>
              <w:bottom w:val="single" w:sz="8" w:color="EAF9E8"/>
            </w:tcBorders>
          </w:tcPr>
          <w:p>
            <w:pPr>
              <w:ind w:left="320"/>
              <w:spacing w:after="0"/>
              <w:rPr>
                <w:sz w:val="20"/>
                <w:szCs w:val="20"/>
                <w:color w:val="auto"/>
              </w:rPr>
            </w:pPr>
            <w:r>
              <w:rPr>
                <w:rFonts w:ascii="Arial" w:cs="Arial" w:eastAsia="Arial" w:hAnsi="Arial"/>
                <w:sz w:val="14"/>
                <w:szCs w:val="14"/>
                <w:color w:val="auto"/>
              </w:rPr>
              <w:t>Total liabilities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680,266</w:t>
            </w:r>
          </w:p>
        </w:tc>
        <w:tc>
          <w:tcPr>
            <w:tcW w:w="20" w:type="dxa"/>
            <w:vAlign w:val="bottom"/>
            <w:tcBorders>
              <w:top w:val="single" w:sz="8" w:color="EAF9E8"/>
              <w:bottom w:val="single" w:sz="8" w:color="auto"/>
            </w:tcBorders>
          </w:tcPr>
          <w:p>
            <w:pPr>
              <w:spacing w:after="0"/>
              <w:rPr>
                <w:sz w:val="20"/>
                <w:szCs w:val="20"/>
                <w:color w:val="auto"/>
              </w:rPr>
            </w:pPr>
          </w:p>
        </w:tc>
        <w:tc>
          <w:tcPr>
            <w:tcW w:w="100" w:type="dxa"/>
            <w:vAlign w:val="bottom"/>
            <w:tcBorders>
              <w:top w:val="single" w:sz="8" w:color="EAF9E8"/>
              <w:bottom w:val="single" w:sz="8" w:color="EAF9E8"/>
            </w:tcBorders>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rPr>
              <w:t>1,206</w:t>
            </w:r>
          </w:p>
        </w:tc>
        <w:tc>
          <w:tcPr>
            <w:tcW w:w="60" w:type="dxa"/>
            <w:vAlign w:val="bottom"/>
            <w:tcBorders>
              <w:top w:val="single" w:sz="8" w:color="EAF9E8"/>
              <w:bottom w:val="single" w:sz="8" w:color="EAF9E8"/>
            </w:tcBorders>
          </w:tcPr>
          <w:p>
            <w:pPr>
              <w:spacing w:after="0"/>
              <w:rPr>
                <w:sz w:val="20"/>
                <w:szCs w:val="20"/>
                <w:color w:val="auto"/>
              </w:rPr>
            </w:pPr>
          </w:p>
        </w:tc>
        <w:tc>
          <w:tcPr>
            <w:tcW w:w="60" w:type="dxa"/>
            <w:vAlign w:val="bottom"/>
            <w:tcBorders>
              <w:top w:val="single" w:sz="8" w:color="EAF9E8"/>
              <w:bottom w:val="single" w:sz="8" w:color="EAF9E8"/>
            </w:tcBorders>
          </w:tcPr>
          <w:p>
            <w:pPr>
              <w:spacing w:after="0"/>
              <w:rPr>
                <w:sz w:val="20"/>
                <w:szCs w:val="20"/>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388</w:t>
            </w:r>
          </w:p>
        </w:tc>
        <w:tc>
          <w:tcPr>
            <w:tcW w:w="120" w:type="dxa"/>
            <w:vAlign w:val="bottom"/>
            <w:tcBorders>
              <w:top w:val="single" w:sz="8" w:color="EAF9E8"/>
              <w:bottom w:val="single" w:sz="8" w:color="EAF9E8"/>
            </w:tcBorders>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rPr>
              <w:t>13</w:t>
            </w:r>
          </w:p>
        </w:tc>
        <w:tc>
          <w:tcPr>
            <w:tcW w:w="60" w:type="dxa"/>
            <w:vAlign w:val="bottom"/>
            <w:tcBorders>
              <w:top w:val="single" w:sz="8" w:color="EAF9E8"/>
              <w:bottom w:val="single" w:sz="8" w:color="EAF9E8"/>
            </w:tcBorders>
          </w:tcPr>
          <w:p>
            <w:pPr>
              <w:spacing w:after="0"/>
              <w:rPr>
                <w:sz w:val="20"/>
                <w:szCs w:val="20"/>
                <w:color w:val="auto"/>
              </w:rPr>
            </w:pPr>
          </w:p>
        </w:tc>
        <w:tc>
          <w:tcPr>
            <w:tcW w:w="60" w:type="dxa"/>
            <w:vAlign w:val="bottom"/>
            <w:tcBorders>
              <w:top w:val="single" w:sz="8" w:color="EAF9E8"/>
              <w:bottom w:val="single" w:sz="8" w:color="EAF9E8"/>
            </w:tcBorders>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2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EAF9E8"/>
              <w:bottom w:val="single" w:sz="8" w:color="EAF9E8"/>
            </w:tcBorders>
          </w:tcPr>
          <w:p>
            <w:pPr>
              <w:spacing w:after="0"/>
              <w:rPr>
                <w:sz w:val="20"/>
                <w:szCs w:val="20"/>
                <w:color w:val="auto"/>
              </w:rPr>
            </w:pPr>
          </w:p>
        </w:tc>
        <w:tc>
          <w:tcPr>
            <w:tcW w:w="60" w:type="dxa"/>
            <w:vAlign w:val="bottom"/>
            <w:tcBorders>
              <w:top w:val="single" w:sz="8" w:color="EAF9E8"/>
              <w:bottom w:val="single" w:sz="8" w:color="EAF9E8"/>
            </w:tcBorders>
          </w:tcPr>
          <w:p>
            <w:pPr>
              <w:spacing w:after="0"/>
              <w:rPr>
                <w:sz w:val="20"/>
                <w:szCs w:val="20"/>
                <w:color w:val="auto"/>
              </w:rPr>
            </w:pPr>
          </w:p>
        </w:tc>
        <w:tc>
          <w:tcPr>
            <w:tcW w:w="120" w:type="dxa"/>
            <w:vAlign w:val="bottom"/>
            <w:tcBorders>
              <w:top w:val="single" w:sz="8" w:color="auto"/>
              <w:bottom w:val="single" w:sz="8" w:color="auto"/>
            </w:tcBorders>
            <w:shd w:val="clear" w:color="auto" w:fill="EAF9E8"/>
          </w:tcPr>
          <w:p>
            <w:pPr>
              <w:jc w:val="right"/>
              <w:ind w:right="9"/>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EAF9E8"/>
              <w:bottom w:val="single" w:sz="8" w:color="EAF9E8"/>
            </w:tcBorders>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rPr>
              <w:t>335,720</w:t>
            </w:r>
          </w:p>
        </w:tc>
        <w:tc>
          <w:tcPr>
            <w:tcW w:w="80" w:type="dxa"/>
            <w:vAlign w:val="bottom"/>
            <w:tcBorders>
              <w:top w:val="single" w:sz="8" w:color="EAF9E8"/>
              <w:bottom w:val="single" w:sz="8" w:color="EAF9E8"/>
            </w:tcBorders>
          </w:tcPr>
          <w:p>
            <w:pPr>
              <w:spacing w:after="0"/>
              <w:rPr>
                <w:sz w:val="20"/>
                <w:szCs w:val="20"/>
                <w:color w:val="auto"/>
              </w:rPr>
            </w:pPr>
          </w:p>
        </w:tc>
        <w:tc>
          <w:tcPr>
            <w:tcW w:w="60" w:type="dxa"/>
            <w:vAlign w:val="bottom"/>
            <w:tcBorders>
              <w:top w:val="single" w:sz="8" w:color="EAF9E8"/>
              <w:bottom w:val="single" w:sz="8" w:color="EAF9E8"/>
            </w:tcBorders>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ind w:left="700"/>
              <w:spacing w:after="0"/>
              <w:rPr>
                <w:sz w:val="20"/>
                <w:szCs w:val="20"/>
                <w:color w:val="auto"/>
              </w:rPr>
            </w:pPr>
            <w:r>
              <w:rPr>
                <w:rFonts w:ascii="Arial" w:cs="Arial" w:eastAsia="Arial" w:hAnsi="Arial"/>
                <w:sz w:val="14"/>
                <w:szCs w:val="14"/>
                <w:color w:val="auto"/>
                <w:w w:val="71"/>
              </w:rPr>
              <w:t>—</w:t>
            </w:r>
          </w:p>
        </w:tc>
        <w:tc>
          <w:tcPr>
            <w:tcW w:w="140" w:type="dxa"/>
            <w:vAlign w:val="bottom"/>
            <w:tcBorders>
              <w:top w:val="single" w:sz="8" w:color="EAF9E8"/>
              <w:bottom w:val="single" w:sz="8" w:color="EAF9E8"/>
            </w:tcBorders>
          </w:tcPr>
          <w:p>
            <w:pPr>
              <w:spacing w:after="0"/>
              <w:rPr>
                <w:sz w:val="20"/>
                <w:szCs w:val="20"/>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1,017,593</w:t>
            </w:r>
          </w:p>
        </w:tc>
        <w:tc>
          <w:tcPr>
            <w:tcW w:w="140" w:type="dxa"/>
            <w:vAlign w:val="bottom"/>
            <w:tcBorders>
              <w:top w:val="single" w:sz="8" w:color="EAF9E8"/>
              <w:bottom w:val="single" w:sz="8" w:color="EAF9E8"/>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5" w:name="page46"/>
    <w:bookmarkEnd w:id="45"/>
    <w:p>
      <w:pPr>
        <w:ind w:left="440"/>
        <w:spacing w:after="0"/>
        <w:rPr>
          <w:sz w:val="20"/>
          <w:szCs w:val="20"/>
          <w:color w:val="auto"/>
        </w:rPr>
      </w:pPr>
      <w:r>
        <w:rPr>
          <w:rFonts w:ascii="Arial" w:cs="Arial" w:eastAsia="Arial" w:hAnsi="Arial"/>
          <w:sz w:val="16"/>
          <w:szCs w:val="16"/>
          <w:color w:val="auto"/>
        </w:rPr>
        <w:t>The following table presents the statements of continuing operations before income taxes for each of our business segments for the nine months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2009:</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60" w:type="dxa"/>
            <w:vAlign w:val="bottom"/>
            <w:gridSpan w:val="9"/>
          </w:tcPr>
          <w:p>
            <w:pPr>
              <w:jc w:val="right"/>
              <w:ind w:right="820"/>
              <w:spacing w:after="0"/>
              <w:rPr>
                <w:sz w:val="20"/>
                <w:szCs w:val="20"/>
                <w:color w:val="auto"/>
              </w:rPr>
            </w:pPr>
            <w:r>
              <w:rPr>
                <w:rFonts w:ascii="Arial" w:cs="Arial" w:eastAsia="Arial" w:hAnsi="Arial"/>
                <w:sz w:val="14"/>
                <w:szCs w:val="14"/>
                <w:b w:val="1"/>
                <w:bCs w:val="1"/>
                <w:color w:val="auto"/>
              </w:rPr>
              <w:t>Ocwen Asset Management</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4"/>
          </w:tcPr>
          <w:p>
            <w:pPr>
              <w:jc w:val="right"/>
              <w:spacing w:after="0"/>
              <w:rPr>
                <w:sz w:val="20"/>
                <w:szCs w:val="20"/>
                <w:color w:val="auto"/>
              </w:rPr>
            </w:pPr>
            <w:r>
              <w:rPr>
                <w:rFonts w:ascii="Arial" w:cs="Arial" w:eastAsia="Arial" w:hAnsi="Arial"/>
                <w:sz w:val="14"/>
                <w:szCs w:val="14"/>
                <w:b w:val="1"/>
                <w:bCs w:val="1"/>
                <w:color w:val="auto"/>
                <w:w w:val="79"/>
              </w:rPr>
              <w:t>Ocwen Solutions</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9"/>
              </w:rPr>
              <w:t>Corporate</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77"/>
              </w:rPr>
              <w:t>Business</w:t>
            </w:r>
          </w:p>
        </w:tc>
        <w:tc>
          <w:tcPr>
            <w:tcW w:w="0" w:type="dxa"/>
            <w:vAlign w:val="bottom"/>
          </w:tcPr>
          <w:p>
            <w:pPr>
              <w:spacing w:after="0"/>
              <w:rPr>
                <w:sz w:val="1"/>
                <w:szCs w:val="1"/>
                <w:color w:val="auto"/>
              </w:rPr>
            </w:pPr>
          </w:p>
        </w:tc>
      </w:tr>
      <w:tr>
        <w:trPr>
          <w:trHeight w:val="129"/>
        </w:trPr>
        <w:tc>
          <w:tcPr>
            <w:tcW w:w="25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center"/>
              <w:ind w:right="32"/>
              <w:spacing w:after="0" w:line="129" w:lineRule="exact"/>
              <w:rPr>
                <w:sz w:val="20"/>
                <w:szCs w:val="20"/>
                <w:color w:val="auto"/>
              </w:rPr>
            </w:pPr>
            <w:r>
              <w:rPr>
                <w:rFonts w:ascii="Arial" w:cs="Arial" w:eastAsia="Arial" w:hAnsi="Arial"/>
                <w:sz w:val="14"/>
                <w:szCs w:val="14"/>
                <w:b w:val="1"/>
                <w:bCs w:val="1"/>
                <w:color w:val="auto"/>
                <w:w w:val="78"/>
              </w:rPr>
              <w:t>Asset</w:t>
            </w: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w w:val="82"/>
              </w:rPr>
              <w:t>Loans and</w:t>
            </w:r>
          </w:p>
        </w:tc>
        <w:tc>
          <w:tcPr>
            <w:tcW w:w="100" w:type="dxa"/>
            <w:vAlign w:val="bottom"/>
          </w:tcPr>
          <w:p>
            <w:pPr>
              <w:spacing w:after="0"/>
              <w:rPr>
                <w:sz w:val="12"/>
                <w:szCs w:val="12"/>
                <w:color w:val="auto"/>
              </w:rPr>
            </w:pPr>
          </w:p>
        </w:tc>
        <w:tc>
          <w:tcPr>
            <w:tcW w:w="10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Management</w:t>
            </w:r>
          </w:p>
        </w:tc>
        <w:tc>
          <w:tcPr>
            <w:tcW w:w="80" w:type="dxa"/>
            <w:vAlign w:val="bottom"/>
          </w:tcPr>
          <w:p>
            <w:pPr>
              <w:spacing w:after="0"/>
              <w:rPr>
                <w:sz w:val="12"/>
                <w:szCs w:val="12"/>
                <w:color w:val="auto"/>
              </w:rPr>
            </w:pP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88"/>
              </w:rPr>
              <w:t>Mortgage</w:t>
            </w:r>
          </w:p>
        </w:tc>
        <w:tc>
          <w:tcPr>
            <w:tcW w:w="80" w:type="dxa"/>
            <w:vAlign w:val="bottom"/>
          </w:tcPr>
          <w:p>
            <w:pPr>
              <w:spacing w:after="0"/>
              <w:rPr>
                <w:sz w:val="12"/>
                <w:szCs w:val="12"/>
                <w:color w:val="auto"/>
              </w:rPr>
            </w:pPr>
          </w:p>
        </w:tc>
        <w:tc>
          <w:tcPr>
            <w:tcW w:w="80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88"/>
              </w:rPr>
              <w:t>Financial</w:t>
            </w:r>
          </w:p>
        </w:tc>
        <w:tc>
          <w:tcPr>
            <w:tcW w:w="100" w:type="dxa"/>
            <w:vAlign w:val="bottom"/>
          </w:tcPr>
          <w:p>
            <w:pPr>
              <w:spacing w:after="0"/>
              <w:rPr>
                <w:sz w:val="12"/>
                <w:szCs w:val="12"/>
                <w:color w:val="auto"/>
              </w:rPr>
            </w:pP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83"/>
              </w:rPr>
              <w:t>Technology</w:t>
            </w:r>
          </w:p>
        </w:tc>
        <w:tc>
          <w:tcPr>
            <w:tcW w:w="80" w:type="dxa"/>
            <w:vAlign w:val="bottom"/>
          </w:tcPr>
          <w:p>
            <w:pPr>
              <w:spacing w:after="0"/>
              <w:rPr>
                <w:sz w:val="12"/>
                <w:szCs w:val="12"/>
                <w:color w:val="auto"/>
              </w:rPr>
            </w:pPr>
          </w:p>
        </w:tc>
        <w:tc>
          <w:tcPr>
            <w:tcW w:w="8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Items and</w:t>
            </w:r>
          </w:p>
        </w:tc>
        <w:tc>
          <w:tcPr>
            <w:tcW w:w="80" w:type="dxa"/>
            <w:vAlign w:val="bottom"/>
          </w:tcPr>
          <w:p>
            <w:pPr>
              <w:spacing w:after="0"/>
              <w:rPr>
                <w:sz w:val="12"/>
                <w:szCs w:val="12"/>
                <w:color w:val="auto"/>
              </w:rPr>
            </w:pPr>
          </w:p>
        </w:tc>
        <w:tc>
          <w:tcPr>
            <w:tcW w:w="96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98"/>
              </w:rPr>
              <w:t>Corporate</w:t>
            </w:r>
          </w:p>
        </w:tc>
        <w:tc>
          <w:tcPr>
            <w:tcW w:w="8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Segments</w:t>
            </w:r>
          </w:p>
        </w:tc>
        <w:tc>
          <w:tcPr>
            <w:tcW w:w="0" w:type="dxa"/>
            <w:vAlign w:val="bottom"/>
          </w:tcPr>
          <w:p>
            <w:pPr>
              <w:spacing w:after="0"/>
              <w:rPr>
                <w:sz w:val="1"/>
                <w:szCs w:val="1"/>
                <w:color w:val="auto"/>
              </w:rPr>
            </w:pPr>
          </w:p>
        </w:tc>
      </w:tr>
      <w:tr>
        <w:trPr>
          <w:trHeight w:val="161"/>
        </w:trPr>
        <w:tc>
          <w:tcPr>
            <w:tcW w:w="2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5"/>
              </w:rPr>
              <w:t>Servicing</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4"/>
              </w:rPr>
              <w:t>Residuals</w:t>
            </w:r>
          </w:p>
        </w:tc>
        <w:tc>
          <w:tcPr>
            <w:tcW w:w="10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0"/>
              </w:rPr>
              <w:t>Vehicles</w:t>
            </w:r>
          </w:p>
        </w:tc>
        <w:tc>
          <w:tcPr>
            <w:tcW w:w="80" w:type="dxa"/>
            <w:vAlign w:val="bottom"/>
          </w:tcPr>
          <w:p>
            <w:pPr>
              <w:spacing w:after="0"/>
              <w:rPr>
                <w:sz w:val="14"/>
                <w:szCs w:val="14"/>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0"/>
              </w:rPr>
              <w:t>Services</w:t>
            </w:r>
          </w:p>
        </w:tc>
        <w:tc>
          <w:tcPr>
            <w:tcW w:w="80" w:type="dxa"/>
            <w:vAlign w:val="bottom"/>
          </w:tcPr>
          <w:p>
            <w:pPr>
              <w:spacing w:after="0"/>
              <w:rPr>
                <w:sz w:val="14"/>
                <w:szCs w:val="14"/>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0"/>
              </w:rPr>
              <w:t>Services</w:t>
            </w:r>
          </w:p>
        </w:tc>
        <w:tc>
          <w:tcPr>
            <w:tcW w:w="100" w:type="dxa"/>
            <w:vAlign w:val="bottom"/>
          </w:tcPr>
          <w:p>
            <w:pPr>
              <w:spacing w:after="0"/>
              <w:rPr>
                <w:sz w:val="14"/>
                <w:szCs w:val="14"/>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5"/>
              </w:rPr>
              <w:t>Products</w:t>
            </w:r>
          </w:p>
        </w:tc>
        <w:tc>
          <w:tcPr>
            <w:tcW w:w="80" w:type="dxa"/>
            <w:vAlign w:val="bottom"/>
          </w:tcPr>
          <w:p>
            <w:pPr>
              <w:spacing w:after="0"/>
              <w:rPr>
                <w:sz w:val="14"/>
                <w:szCs w:val="14"/>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Other</w:t>
            </w:r>
          </w:p>
        </w:tc>
        <w:tc>
          <w:tcPr>
            <w:tcW w:w="8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6"/>
              </w:rPr>
              <w:t>Eliminations</w:t>
            </w:r>
          </w:p>
        </w:tc>
        <w:tc>
          <w:tcPr>
            <w:tcW w:w="8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Consolidated</w:t>
            </w:r>
          </w:p>
        </w:tc>
        <w:tc>
          <w:tcPr>
            <w:tcW w:w="0" w:type="dxa"/>
            <w:vAlign w:val="bottom"/>
          </w:tcPr>
          <w:p>
            <w:pPr>
              <w:spacing w:after="0"/>
              <w:rPr>
                <w:sz w:val="1"/>
                <w:szCs w:val="1"/>
                <w:color w:val="auto"/>
              </w:rPr>
            </w:pPr>
          </w:p>
        </w:tc>
      </w:tr>
      <w:tr>
        <w:trPr>
          <w:trHeight w:val="237"/>
        </w:trPr>
        <w:tc>
          <w:tcPr>
            <w:tcW w:w="2580" w:type="dxa"/>
            <w:vAlign w:val="bottom"/>
            <w:shd w:val="clear" w:color="auto" w:fill="EAF9E8"/>
          </w:tcPr>
          <w:p>
            <w:pPr>
              <w:spacing w:after="0"/>
              <w:rPr>
                <w:sz w:val="20"/>
                <w:szCs w:val="20"/>
                <w:color w:val="auto"/>
              </w:rPr>
            </w:pPr>
            <w:r>
              <w:rPr>
                <w:rFonts w:ascii="Arial" w:cs="Arial" w:eastAsia="Arial" w:hAnsi="Arial"/>
                <w:sz w:val="14"/>
                <w:szCs w:val="14"/>
                <w:b w:val="1"/>
                <w:bCs w:val="1"/>
                <w:color w:val="auto"/>
              </w:rPr>
              <w:t>Revenue</w:t>
            </w:r>
          </w:p>
        </w:tc>
        <w:tc>
          <w:tcPr>
            <w:tcW w:w="100" w:type="dxa"/>
            <w:vAlign w:val="bottom"/>
            <w:tcBorders>
              <w:top w:val="single" w:sz="8" w:color="auto"/>
            </w:tcBorders>
            <w:shd w:val="clear" w:color="auto" w:fill="EAF9E8"/>
          </w:tcPr>
          <w:p>
            <w:pPr>
              <w:spacing w:after="0"/>
              <w:rPr>
                <w:sz w:val="20"/>
                <w:szCs w:val="20"/>
                <w:color w:val="auto"/>
              </w:rPr>
            </w:pPr>
          </w:p>
        </w:tc>
        <w:tc>
          <w:tcPr>
            <w:tcW w:w="700" w:type="dxa"/>
            <w:vAlign w:val="bottom"/>
            <w:tcBorders>
              <w:top w:val="single" w:sz="8" w:color="auto"/>
              <w:right w:val="single" w:sz="8" w:color="EAF9E8"/>
            </w:tcBorders>
            <w:shd w:val="clear" w:color="auto" w:fill="EAF9E8"/>
          </w:tcPr>
          <w:p>
            <w:pPr>
              <w:spacing w:after="0"/>
              <w:rPr>
                <w:sz w:val="20"/>
                <w:szCs w:val="20"/>
                <w:color w:val="auto"/>
              </w:rPr>
            </w:pPr>
          </w:p>
        </w:tc>
        <w:tc>
          <w:tcPr>
            <w:tcW w:w="120" w:type="dxa"/>
            <w:vAlign w:val="bottom"/>
            <w:shd w:val="clear" w:color="auto" w:fill="EAF9E8"/>
          </w:tcPr>
          <w:p>
            <w:pPr>
              <w:spacing w:after="0"/>
              <w:rPr>
                <w:sz w:val="20"/>
                <w:szCs w:val="20"/>
                <w:color w:val="auto"/>
              </w:rPr>
            </w:pPr>
          </w:p>
        </w:tc>
        <w:tc>
          <w:tcPr>
            <w:tcW w:w="100" w:type="dxa"/>
            <w:vAlign w:val="bottom"/>
            <w:shd w:val="clear" w:color="auto" w:fill="EAF9E8"/>
          </w:tcPr>
          <w:p>
            <w:pPr>
              <w:spacing w:after="0"/>
              <w:rPr>
                <w:sz w:val="20"/>
                <w:szCs w:val="20"/>
                <w:color w:val="auto"/>
              </w:rPr>
            </w:pPr>
          </w:p>
        </w:tc>
        <w:tc>
          <w:tcPr>
            <w:tcW w:w="80" w:type="dxa"/>
            <w:vAlign w:val="bottom"/>
            <w:tcBorders>
              <w:top w:val="single" w:sz="8" w:color="auto"/>
            </w:tcBorders>
            <w:shd w:val="clear" w:color="auto" w:fill="EAF9E8"/>
          </w:tcPr>
          <w:p>
            <w:pPr>
              <w:spacing w:after="0"/>
              <w:rPr>
                <w:sz w:val="20"/>
                <w:szCs w:val="20"/>
                <w:color w:val="auto"/>
              </w:rPr>
            </w:pPr>
          </w:p>
        </w:tc>
        <w:tc>
          <w:tcPr>
            <w:tcW w:w="700" w:type="dxa"/>
            <w:vAlign w:val="bottom"/>
            <w:tcBorders>
              <w:top w:val="single" w:sz="8" w:color="auto"/>
            </w:tcBorders>
            <w:shd w:val="clear" w:color="auto" w:fill="EAF9E8"/>
          </w:tcPr>
          <w:p>
            <w:pPr>
              <w:spacing w:after="0"/>
              <w:rPr>
                <w:sz w:val="20"/>
                <w:szCs w:val="20"/>
                <w:color w:val="auto"/>
              </w:rPr>
            </w:pPr>
          </w:p>
        </w:tc>
        <w:tc>
          <w:tcPr>
            <w:tcW w:w="120" w:type="dxa"/>
            <w:vAlign w:val="bottom"/>
            <w:shd w:val="clear" w:color="auto" w:fill="EAF9E8"/>
          </w:tcPr>
          <w:p>
            <w:pPr>
              <w:spacing w:after="0"/>
              <w:rPr>
                <w:sz w:val="20"/>
                <w:szCs w:val="20"/>
                <w:color w:val="auto"/>
              </w:rPr>
            </w:pPr>
          </w:p>
        </w:tc>
        <w:tc>
          <w:tcPr>
            <w:tcW w:w="100" w:type="dxa"/>
            <w:vAlign w:val="bottom"/>
            <w:tcBorders>
              <w:top w:val="single" w:sz="8" w:color="auto"/>
            </w:tcBorders>
            <w:shd w:val="clear" w:color="auto" w:fill="EAF9E8"/>
          </w:tcPr>
          <w:p>
            <w:pPr>
              <w:spacing w:after="0"/>
              <w:rPr>
                <w:sz w:val="20"/>
                <w:szCs w:val="20"/>
                <w:color w:val="auto"/>
              </w:rPr>
            </w:pPr>
          </w:p>
        </w:tc>
        <w:tc>
          <w:tcPr>
            <w:tcW w:w="920" w:type="dxa"/>
            <w:vAlign w:val="bottom"/>
            <w:tcBorders>
              <w:top w:val="single" w:sz="8" w:color="auto"/>
            </w:tcBorders>
            <w:shd w:val="clear" w:color="auto" w:fill="EAF9E8"/>
          </w:tcPr>
          <w:p>
            <w:pPr>
              <w:spacing w:after="0"/>
              <w:rPr>
                <w:sz w:val="20"/>
                <w:szCs w:val="20"/>
                <w:color w:val="auto"/>
              </w:rPr>
            </w:pPr>
          </w:p>
        </w:tc>
        <w:tc>
          <w:tcPr>
            <w:tcW w:w="120" w:type="dxa"/>
            <w:vAlign w:val="bottom"/>
            <w:shd w:val="clear" w:color="auto" w:fill="EAF9E8"/>
          </w:tcPr>
          <w:p>
            <w:pPr>
              <w:spacing w:after="0"/>
              <w:rPr>
                <w:sz w:val="20"/>
                <w:szCs w:val="20"/>
                <w:color w:val="auto"/>
              </w:rPr>
            </w:pPr>
          </w:p>
        </w:tc>
        <w:tc>
          <w:tcPr>
            <w:tcW w:w="80" w:type="dxa"/>
            <w:vAlign w:val="bottom"/>
            <w:tcBorders>
              <w:top w:val="single" w:sz="8" w:color="auto"/>
            </w:tcBorders>
            <w:shd w:val="clear" w:color="auto" w:fill="EAF9E8"/>
          </w:tcPr>
          <w:p>
            <w:pPr>
              <w:spacing w:after="0"/>
              <w:rPr>
                <w:sz w:val="20"/>
                <w:szCs w:val="20"/>
                <w:color w:val="auto"/>
              </w:rPr>
            </w:pPr>
          </w:p>
        </w:tc>
        <w:tc>
          <w:tcPr>
            <w:tcW w:w="680" w:type="dxa"/>
            <w:vAlign w:val="bottom"/>
            <w:tcBorders>
              <w:top w:val="single" w:sz="8" w:color="auto"/>
            </w:tcBorders>
            <w:shd w:val="clear" w:color="auto" w:fill="EAF9E8"/>
          </w:tcPr>
          <w:p>
            <w:pPr>
              <w:spacing w:after="0"/>
              <w:rPr>
                <w:sz w:val="20"/>
                <w:szCs w:val="20"/>
                <w:color w:val="auto"/>
              </w:rPr>
            </w:pPr>
          </w:p>
        </w:tc>
        <w:tc>
          <w:tcPr>
            <w:tcW w:w="140" w:type="dxa"/>
            <w:vAlign w:val="bottom"/>
            <w:tcBorders>
              <w:right w:val="single" w:sz="8" w:color="EAF9E8"/>
            </w:tcBorders>
            <w:shd w:val="clear" w:color="auto" w:fill="EAF9E8"/>
          </w:tcPr>
          <w:p>
            <w:pPr>
              <w:spacing w:after="0"/>
              <w:rPr>
                <w:sz w:val="20"/>
                <w:szCs w:val="20"/>
                <w:color w:val="auto"/>
              </w:rPr>
            </w:pPr>
          </w:p>
        </w:tc>
        <w:tc>
          <w:tcPr>
            <w:tcW w:w="80" w:type="dxa"/>
            <w:vAlign w:val="bottom"/>
            <w:tcBorders>
              <w:top w:val="single" w:sz="8" w:color="auto"/>
            </w:tcBorders>
            <w:shd w:val="clear" w:color="auto" w:fill="EAF9E8"/>
          </w:tcPr>
          <w:p>
            <w:pPr>
              <w:spacing w:after="0"/>
              <w:rPr>
                <w:sz w:val="20"/>
                <w:szCs w:val="20"/>
                <w:color w:val="auto"/>
              </w:rPr>
            </w:pPr>
          </w:p>
        </w:tc>
        <w:tc>
          <w:tcPr>
            <w:tcW w:w="680" w:type="dxa"/>
            <w:vAlign w:val="bottom"/>
            <w:tcBorders>
              <w:top w:val="single" w:sz="8" w:color="auto"/>
            </w:tcBorders>
            <w:shd w:val="clear" w:color="auto" w:fill="EAF9E8"/>
          </w:tcPr>
          <w:p>
            <w:pPr>
              <w:spacing w:after="0"/>
              <w:rPr>
                <w:sz w:val="20"/>
                <w:szCs w:val="20"/>
                <w:color w:val="auto"/>
              </w:rPr>
            </w:pPr>
          </w:p>
        </w:tc>
        <w:tc>
          <w:tcPr>
            <w:tcW w:w="120" w:type="dxa"/>
            <w:vAlign w:val="bottom"/>
            <w:tcBorders>
              <w:right w:val="single" w:sz="8" w:color="EAF9E8"/>
            </w:tcBorders>
            <w:shd w:val="clear" w:color="auto" w:fill="EAF9E8"/>
          </w:tcPr>
          <w:p>
            <w:pPr>
              <w:spacing w:after="0"/>
              <w:rPr>
                <w:sz w:val="20"/>
                <w:szCs w:val="20"/>
                <w:color w:val="auto"/>
              </w:rPr>
            </w:pPr>
          </w:p>
        </w:tc>
        <w:tc>
          <w:tcPr>
            <w:tcW w:w="100" w:type="dxa"/>
            <w:vAlign w:val="bottom"/>
            <w:tcBorders>
              <w:top w:val="single" w:sz="8" w:color="auto"/>
            </w:tcBorders>
            <w:shd w:val="clear" w:color="auto" w:fill="EAF9E8"/>
          </w:tcPr>
          <w:p>
            <w:pPr>
              <w:spacing w:after="0"/>
              <w:rPr>
                <w:sz w:val="20"/>
                <w:szCs w:val="20"/>
                <w:color w:val="auto"/>
              </w:rPr>
            </w:pPr>
          </w:p>
        </w:tc>
        <w:tc>
          <w:tcPr>
            <w:tcW w:w="800" w:type="dxa"/>
            <w:vAlign w:val="bottom"/>
            <w:tcBorders>
              <w:top w:val="single" w:sz="8" w:color="auto"/>
            </w:tcBorders>
            <w:shd w:val="clear" w:color="auto" w:fill="EAF9E8"/>
          </w:tcPr>
          <w:p>
            <w:pPr>
              <w:spacing w:after="0"/>
              <w:rPr>
                <w:sz w:val="20"/>
                <w:szCs w:val="20"/>
                <w:color w:val="auto"/>
              </w:rPr>
            </w:pPr>
          </w:p>
        </w:tc>
        <w:tc>
          <w:tcPr>
            <w:tcW w:w="120" w:type="dxa"/>
            <w:vAlign w:val="bottom"/>
            <w:shd w:val="clear" w:color="auto" w:fill="EAF9E8"/>
          </w:tcPr>
          <w:p>
            <w:pPr>
              <w:spacing w:after="0"/>
              <w:rPr>
                <w:sz w:val="20"/>
                <w:szCs w:val="20"/>
                <w:color w:val="auto"/>
              </w:rPr>
            </w:pPr>
          </w:p>
        </w:tc>
        <w:tc>
          <w:tcPr>
            <w:tcW w:w="80" w:type="dxa"/>
            <w:vAlign w:val="bottom"/>
            <w:tcBorders>
              <w:top w:val="single" w:sz="8" w:color="auto"/>
            </w:tcBorders>
            <w:shd w:val="clear" w:color="auto" w:fill="EAF9E8"/>
          </w:tcPr>
          <w:p>
            <w:pPr>
              <w:spacing w:after="0"/>
              <w:rPr>
                <w:sz w:val="20"/>
                <w:szCs w:val="20"/>
                <w:color w:val="auto"/>
              </w:rPr>
            </w:pPr>
          </w:p>
        </w:tc>
        <w:tc>
          <w:tcPr>
            <w:tcW w:w="680" w:type="dxa"/>
            <w:vAlign w:val="bottom"/>
            <w:tcBorders>
              <w:top w:val="single" w:sz="8" w:color="auto"/>
            </w:tcBorders>
            <w:shd w:val="clear" w:color="auto" w:fill="EAF9E8"/>
          </w:tcPr>
          <w:p>
            <w:pPr>
              <w:spacing w:after="0"/>
              <w:rPr>
                <w:sz w:val="20"/>
                <w:szCs w:val="20"/>
                <w:color w:val="auto"/>
              </w:rPr>
            </w:pPr>
          </w:p>
        </w:tc>
        <w:tc>
          <w:tcPr>
            <w:tcW w:w="120" w:type="dxa"/>
            <w:vAlign w:val="bottom"/>
            <w:tcBorders>
              <w:right w:val="single" w:sz="8" w:color="EAF9E8"/>
            </w:tcBorders>
            <w:shd w:val="clear" w:color="auto" w:fill="EAF9E8"/>
          </w:tcPr>
          <w:p>
            <w:pPr>
              <w:spacing w:after="0"/>
              <w:rPr>
                <w:sz w:val="20"/>
                <w:szCs w:val="20"/>
                <w:color w:val="auto"/>
              </w:rPr>
            </w:pPr>
          </w:p>
        </w:tc>
        <w:tc>
          <w:tcPr>
            <w:tcW w:w="80" w:type="dxa"/>
            <w:vAlign w:val="bottom"/>
            <w:tcBorders>
              <w:top w:val="single" w:sz="8" w:color="auto"/>
            </w:tcBorders>
            <w:shd w:val="clear" w:color="auto" w:fill="EAF9E8"/>
          </w:tcPr>
          <w:p>
            <w:pPr>
              <w:spacing w:after="0"/>
              <w:rPr>
                <w:sz w:val="20"/>
                <w:szCs w:val="20"/>
                <w:color w:val="auto"/>
              </w:rPr>
            </w:pPr>
          </w:p>
        </w:tc>
        <w:tc>
          <w:tcPr>
            <w:tcW w:w="840" w:type="dxa"/>
            <w:vAlign w:val="bottom"/>
            <w:tcBorders>
              <w:top w:val="single" w:sz="8" w:color="auto"/>
            </w:tcBorders>
            <w:shd w:val="clear" w:color="auto" w:fill="EAF9E8"/>
          </w:tcPr>
          <w:p>
            <w:pPr>
              <w:spacing w:after="0"/>
              <w:rPr>
                <w:sz w:val="20"/>
                <w:szCs w:val="20"/>
                <w:color w:val="auto"/>
              </w:rPr>
            </w:pPr>
          </w:p>
        </w:tc>
        <w:tc>
          <w:tcPr>
            <w:tcW w:w="120" w:type="dxa"/>
            <w:vAlign w:val="bottom"/>
            <w:tcBorders>
              <w:right w:val="single" w:sz="8" w:color="EAF9E8"/>
            </w:tcBorders>
            <w:shd w:val="clear" w:color="auto" w:fill="EAF9E8"/>
          </w:tcPr>
          <w:p>
            <w:pPr>
              <w:spacing w:after="0"/>
              <w:rPr>
                <w:sz w:val="20"/>
                <w:szCs w:val="20"/>
                <w:color w:val="auto"/>
              </w:rPr>
            </w:pPr>
          </w:p>
        </w:tc>
        <w:tc>
          <w:tcPr>
            <w:tcW w:w="80" w:type="dxa"/>
            <w:vAlign w:val="bottom"/>
            <w:tcBorders>
              <w:top w:val="single" w:sz="8" w:color="auto"/>
            </w:tcBorders>
            <w:shd w:val="clear" w:color="auto" w:fill="EAF9E8"/>
          </w:tcPr>
          <w:p>
            <w:pPr>
              <w:spacing w:after="0"/>
              <w:rPr>
                <w:sz w:val="20"/>
                <w:szCs w:val="20"/>
                <w:color w:val="auto"/>
              </w:rPr>
            </w:pPr>
          </w:p>
        </w:tc>
        <w:tc>
          <w:tcPr>
            <w:tcW w:w="840" w:type="dxa"/>
            <w:vAlign w:val="bottom"/>
            <w:tcBorders>
              <w:top w:val="single" w:sz="8" w:color="auto"/>
            </w:tcBorders>
            <w:shd w:val="clear" w:color="auto" w:fill="EAF9E8"/>
          </w:tcPr>
          <w:p>
            <w:pPr>
              <w:spacing w:after="0"/>
              <w:rPr>
                <w:sz w:val="20"/>
                <w:szCs w:val="20"/>
                <w:color w:val="auto"/>
              </w:rPr>
            </w:pPr>
          </w:p>
        </w:tc>
        <w:tc>
          <w:tcPr>
            <w:tcW w:w="140" w:type="dxa"/>
            <w:vAlign w:val="bottom"/>
            <w:shd w:val="clear" w:color="auto" w:fill="EAF9E8"/>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580" w:type="dxa"/>
            <w:vAlign w:val="bottom"/>
          </w:tcPr>
          <w:p>
            <w:pPr>
              <w:ind w:left="160"/>
              <w:spacing w:after="0"/>
              <w:rPr>
                <w:sz w:val="20"/>
                <w:szCs w:val="20"/>
                <w:color w:val="auto"/>
              </w:rPr>
            </w:pPr>
            <w:r>
              <w:rPr>
                <w:rFonts w:ascii="Arial" w:cs="Arial" w:eastAsia="Arial" w:hAnsi="Arial"/>
                <w:sz w:val="14"/>
                <w:szCs w:val="14"/>
                <w:color w:val="auto"/>
              </w:rPr>
              <w:t>Servicing and subservicing fees</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170,846</w:t>
            </w:r>
          </w:p>
        </w:tc>
        <w:tc>
          <w:tcPr>
            <w:tcW w:w="120" w:type="dxa"/>
            <w:vAlign w:val="bottom"/>
          </w:tcPr>
          <w:p>
            <w:pPr>
              <w:spacing w:after="0"/>
              <w:rPr>
                <w:sz w:val="21"/>
                <w:szCs w:val="21"/>
                <w:color w:val="auto"/>
              </w:rPr>
            </w:pP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535</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31,328</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6</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80"/>
              <w:spacing w:after="0"/>
              <w:rPr>
                <w:sz w:val="20"/>
                <w:szCs w:val="20"/>
                <w:color w:val="auto"/>
              </w:rPr>
            </w:pPr>
            <w:r>
              <w:rPr>
                <w:rFonts w:ascii="Arial" w:cs="Arial" w:eastAsia="Arial" w:hAnsi="Arial"/>
                <w:sz w:val="14"/>
                <w:szCs w:val="14"/>
                <w:color w:val="auto"/>
              </w:rPr>
              <w:t>(883)</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201,832</w:t>
            </w:r>
          </w:p>
        </w:tc>
        <w:tc>
          <w:tcPr>
            <w:tcW w:w="0" w:type="dxa"/>
            <w:vAlign w:val="bottom"/>
          </w:tcPr>
          <w:p>
            <w:pPr>
              <w:spacing w:after="0"/>
              <w:rPr>
                <w:sz w:val="1"/>
                <w:szCs w:val="1"/>
                <w:color w:val="auto"/>
              </w:rPr>
            </w:pPr>
          </w:p>
        </w:tc>
      </w:tr>
      <w:tr>
        <w:trPr>
          <w:trHeight w:val="243"/>
        </w:trPr>
        <w:tc>
          <w:tcPr>
            <w:tcW w:w="2580" w:type="dxa"/>
            <w:vAlign w:val="bottom"/>
            <w:shd w:val="clear" w:color="auto" w:fill="EAF9E8"/>
          </w:tcPr>
          <w:p>
            <w:pPr>
              <w:ind w:left="160"/>
              <w:spacing w:after="0"/>
              <w:rPr>
                <w:sz w:val="20"/>
                <w:szCs w:val="20"/>
                <w:color w:val="auto"/>
              </w:rPr>
            </w:pPr>
            <w:r>
              <w:rPr>
                <w:rFonts w:ascii="Arial" w:cs="Arial" w:eastAsia="Arial" w:hAnsi="Arial"/>
                <w:sz w:val="14"/>
                <w:szCs w:val="14"/>
                <w:color w:val="auto"/>
              </w:rPr>
              <w:t>Process management fees</w:t>
            </w:r>
          </w:p>
        </w:tc>
        <w:tc>
          <w:tcPr>
            <w:tcW w:w="100" w:type="dxa"/>
            <w:vAlign w:val="bottom"/>
            <w:shd w:val="clear" w:color="auto" w:fill="EAF9E8"/>
          </w:tcPr>
          <w:p>
            <w:pPr>
              <w:spacing w:after="0"/>
              <w:rPr>
                <w:sz w:val="21"/>
                <w:szCs w:val="21"/>
                <w:color w:val="auto"/>
              </w:rPr>
            </w:pPr>
          </w:p>
        </w:tc>
        <w:tc>
          <w:tcPr>
            <w:tcW w:w="700" w:type="dxa"/>
            <w:vAlign w:val="bottom"/>
            <w:tcBorders>
              <w:right w:val="single" w:sz="8" w:color="EAF9E8"/>
            </w:tcBorders>
            <w:shd w:val="clear" w:color="auto" w:fill="EAF9E8"/>
          </w:tcPr>
          <w:p>
            <w:pPr>
              <w:jc w:val="right"/>
              <w:spacing w:after="0"/>
              <w:rPr>
                <w:sz w:val="20"/>
                <w:szCs w:val="20"/>
                <w:color w:val="auto"/>
              </w:rPr>
            </w:pPr>
            <w:r>
              <w:rPr>
                <w:rFonts w:ascii="Arial" w:cs="Arial" w:eastAsia="Arial" w:hAnsi="Arial"/>
                <w:sz w:val="14"/>
                <w:szCs w:val="14"/>
                <w:color w:val="auto"/>
              </w:rPr>
              <w:t>28,692</w:t>
            </w:r>
          </w:p>
        </w:tc>
        <w:tc>
          <w:tcPr>
            <w:tcW w:w="12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820" w:type="dxa"/>
            <w:vAlign w:val="bottom"/>
            <w:gridSpan w:val="2"/>
            <w:shd w:val="clear" w:color="auto" w:fill="EAF9E8"/>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21"/>
                <w:szCs w:val="21"/>
                <w:color w:val="auto"/>
              </w:rPr>
            </w:pPr>
          </w:p>
        </w:tc>
        <w:tc>
          <w:tcPr>
            <w:tcW w:w="1040" w:type="dxa"/>
            <w:vAlign w:val="bottom"/>
            <w:gridSpan w:val="2"/>
            <w:shd w:val="clear" w:color="auto" w:fill="EAF9E8"/>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EAF9E8"/>
          </w:tcPr>
          <w:p>
            <w:pPr>
              <w:spacing w:after="0"/>
              <w:rPr>
                <w:sz w:val="21"/>
                <w:szCs w:val="21"/>
                <w:color w:val="auto"/>
              </w:rPr>
            </w:pPr>
          </w:p>
        </w:tc>
        <w:tc>
          <w:tcPr>
            <w:tcW w:w="820" w:type="dxa"/>
            <w:vAlign w:val="bottom"/>
            <w:tcBorders>
              <w:right w:val="single" w:sz="8" w:color="EAF9E8"/>
            </w:tcBorders>
            <w:gridSpan w:val="2"/>
            <w:shd w:val="clear" w:color="auto" w:fill="EAF9E8"/>
          </w:tcPr>
          <w:p>
            <w:pPr>
              <w:jc w:val="right"/>
              <w:ind w:right="140"/>
              <w:spacing w:after="0"/>
              <w:rPr>
                <w:sz w:val="20"/>
                <w:szCs w:val="20"/>
                <w:color w:val="auto"/>
              </w:rPr>
            </w:pPr>
            <w:r>
              <w:rPr>
                <w:rFonts w:ascii="Arial" w:cs="Arial" w:eastAsia="Arial" w:hAnsi="Arial"/>
                <w:sz w:val="14"/>
                <w:szCs w:val="14"/>
                <w:color w:val="auto"/>
              </w:rPr>
              <w:t>53,534</w:t>
            </w:r>
          </w:p>
        </w:tc>
        <w:tc>
          <w:tcPr>
            <w:tcW w:w="80" w:type="dxa"/>
            <w:vAlign w:val="bottom"/>
            <w:shd w:val="clear" w:color="auto" w:fill="EAF9E8"/>
          </w:tcPr>
          <w:p>
            <w:pPr>
              <w:spacing w:after="0"/>
              <w:rPr>
                <w:sz w:val="21"/>
                <w:szCs w:val="21"/>
                <w:color w:val="auto"/>
              </w:rPr>
            </w:pPr>
          </w:p>
        </w:tc>
        <w:tc>
          <w:tcPr>
            <w:tcW w:w="680" w:type="dxa"/>
            <w:vAlign w:val="bottom"/>
            <w:shd w:val="clear" w:color="auto" w:fill="EAF9E8"/>
          </w:tcPr>
          <w:p>
            <w:pPr>
              <w:jc w:val="right"/>
              <w:spacing w:after="0"/>
              <w:rPr>
                <w:sz w:val="20"/>
                <w:szCs w:val="20"/>
                <w:color w:val="auto"/>
              </w:rPr>
            </w:pPr>
            <w:r>
              <w:rPr>
                <w:rFonts w:ascii="Arial" w:cs="Arial" w:eastAsia="Arial" w:hAnsi="Arial"/>
                <w:sz w:val="14"/>
                <w:szCs w:val="14"/>
                <w:color w:val="auto"/>
              </w:rPr>
              <w:t>8,965</w:t>
            </w:r>
          </w:p>
        </w:tc>
        <w:tc>
          <w:tcPr>
            <w:tcW w:w="120" w:type="dxa"/>
            <w:vAlign w:val="bottom"/>
            <w:tcBorders>
              <w:right w:val="single" w:sz="8" w:color="EAF9E8"/>
            </w:tcBorders>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920" w:type="dxa"/>
            <w:vAlign w:val="bottom"/>
            <w:gridSpan w:val="2"/>
            <w:shd w:val="clear" w:color="auto" w:fill="EAF9E8"/>
          </w:tcPr>
          <w:p>
            <w:pPr>
              <w:jc w:val="right"/>
              <w:ind w:right="120"/>
              <w:spacing w:after="0"/>
              <w:rPr>
                <w:sz w:val="20"/>
                <w:szCs w:val="20"/>
                <w:color w:val="auto"/>
              </w:rPr>
            </w:pPr>
            <w:r>
              <w:rPr>
                <w:rFonts w:ascii="Arial" w:cs="Arial" w:eastAsia="Arial" w:hAnsi="Arial"/>
                <w:sz w:val="14"/>
                <w:szCs w:val="14"/>
                <w:color w:val="auto"/>
              </w:rPr>
              <w:t>1,853</w:t>
            </w:r>
          </w:p>
        </w:tc>
        <w:tc>
          <w:tcPr>
            <w:tcW w:w="80" w:type="dxa"/>
            <w:vAlign w:val="bottom"/>
            <w:shd w:val="clear" w:color="auto" w:fill="EAF9E8"/>
          </w:tcPr>
          <w:p>
            <w:pPr>
              <w:spacing w:after="0"/>
              <w:rPr>
                <w:sz w:val="21"/>
                <w:szCs w:val="21"/>
                <w:color w:val="auto"/>
              </w:rPr>
            </w:pPr>
          </w:p>
        </w:tc>
        <w:tc>
          <w:tcPr>
            <w:tcW w:w="800" w:type="dxa"/>
            <w:vAlign w:val="bottom"/>
            <w:tcBorders>
              <w:right w:val="single" w:sz="8" w:color="EAF9E8"/>
            </w:tcBorders>
            <w:gridSpan w:val="2"/>
            <w:shd w:val="clear" w:color="auto" w:fill="EAF9E8"/>
          </w:tcPr>
          <w:p>
            <w:pPr>
              <w:jc w:val="right"/>
              <w:ind w:right="60"/>
              <w:spacing w:after="0"/>
              <w:rPr>
                <w:sz w:val="20"/>
                <w:szCs w:val="20"/>
                <w:color w:val="auto"/>
              </w:rPr>
            </w:pPr>
            <w:r>
              <w:rPr>
                <w:rFonts w:ascii="Arial" w:cs="Arial" w:eastAsia="Arial" w:hAnsi="Arial"/>
                <w:sz w:val="14"/>
                <w:szCs w:val="14"/>
                <w:color w:val="auto"/>
              </w:rPr>
              <w:t>(2)</w:t>
            </w:r>
          </w:p>
        </w:tc>
        <w:tc>
          <w:tcPr>
            <w:tcW w:w="80" w:type="dxa"/>
            <w:vAlign w:val="bottom"/>
            <w:shd w:val="clear" w:color="auto" w:fill="EAF9E8"/>
          </w:tcPr>
          <w:p>
            <w:pPr>
              <w:spacing w:after="0"/>
              <w:rPr>
                <w:sz w:val="21"/>
                <w:szCs w:val="21"/>
                <w:color w:val="auto"/>
              </w:rPr>
            </w:pPr>
          </w:p>
        </w:tc>
        <w:tc>
          <w:tcPr>
            <w:tcW w:w="840" w:type="dxa"/>
            <w:vAlign w:val="bottom"/>
            <w:shd w:val="clear" w:color="auto" w:fill="EAF9E8"/>
          </w:tcPr>
          <w:p>
            <w:pPr>
              <w:jc w:val="right"/>
              <w:spacing w:after="0"/>
              <w:rPr>
                <w:sz w:val="20"/>
                <w:szCs w:val="20"/>
                <w:color w:val="auto"/>
              </w:rPr>
            </w:pPr>
            <w:r>
              <w:rPr>
                <w:rFonts w:ascii="Arial" w:cs="Arial" w:eastAsia="Arial" w:hAnsi="Arial"/>
                <w:sz w:val="14"/>
                <w:szCs w:val="14"/>
                <w:color w:val="auto"/>
              </w:rPr>
              <w:t>4,471</w:t>
            </w:r>
          </w:p>
        </w:tc>
        <w:tc>
          <w:tcPr>
            <w:tcW w:w="120" w:type="dxa"/>
            <w:vAlign w:val="bottom"/>
            <w:tcBorders>
              <w:right w:val="single" w:sz="8" w:color="EAF9E8"/>
            </w:tcBorders>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980" w:type="dxa"/>
            <w:vAlign w:val="bottom"/>
            <w:gridSpan w:val="2"/>
            <w:shd w:val="clear" w:color="auto" w:fill="EAF9E8"/>
          </w:tcPr>
          <w:p>
            <w:pPr>
              <w:jc w:val="right"/>
              <w:ind w:right="140"/>
              <w:spacing w:after="0"/>
              <w:rPr>
                <w:sz w:val="20"/>
                <w:szCs w:val="20"/>
                <w:color w:val="auto"/>
              </w:rPr>
            </w:pPr>
            <w:r>
              <w:rPr>
                <w:rFonts w:ascii="Arial" w:cs="Arial" w:eastAsia="Arial" w:hAnsi="Arial"/>
                <w:sz w:val="14"/>
                <w:szCs w:val="14"/>
                <w:color w:val="auto"/>
              </w:rPr>
              <w:t>97,513</w:t>
            </w:r>
          </w:p>
        </w:tc>
        <w:tc>
          <w:tcPr>
            <w:tcW w:w="0" w:type="dxa"/>
            <w:vAlign w:val="bottom"/>
          </w:tcPr>
          <w:p>
            <w:pPr>
              <w:spacing w:after="0"/>
              <w:rPr>
                <w:sz w:val="1"/>
                <w:szCs w:val="1"/>
                <w:color w:val="auto"/>
              </w:rPr>
            </w:pPr>
          </w:p>
        </w:tc>
      </w:tr>
      <w:tr>
        <w:trPr>
          <w:trHeight w:val="243"/>
        </w:trPr>
        <w:tc>
          <w:tcPr>
            <w:tcW w:w="2580" w:type="dxa"/>
            <w:vAlign w:val="bottom"/>
          </w:tcPr>
          <w:p>
            <w:pPr>
              <w:ind w:left="160"/>
              <w:spacing w:after="0"/>
              <w:rPr>
                <w:sz w:val="20"/>
                <w:szCs w:val="20"/>
                <w:color w:val="auto"/>
              </w:rPr>
            </w:pPr>
            <w:r>
              <w:rPr>
                <w:rFonts w:ascii="Arial" w:cs="Arial" w:eastAsia="Arial" w:hAnsi="Arial"/>
                <w:sz w:val="14"/>
                <w:szCs w:val="14"/>
                <w:color w:val="auto"/>
              </w:rPr>
              <w:t>Other revenues</w:t>
            </w:r>
          </w:p>
        </w:tc>
        <w:tc>
          <w:tcPr>
            <w:tcW w:w="1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1,429</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(17)</w:t>
            </w:r>
          </w:p>
        </w:tc>
        <w:tc>
          <w:tcPr>
            <w:tcW w:w="80" w:type="dxa"/>
            <w:vAlign w:val="bottom"/>
          </w:tcPr>
          <w:p>
            <w:pPr>
              <w:spacing w:after="0"/>
              <w:rPr>
                <w:sz w:val="21"/>
                <w:szCs w:val="21"/>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26,478</w:t>
            </w:r>
          </w:p>
        </w:tc>
        <w:tc>
          <w:tcPr>
            <w:tcW w:w="80" w:type="dxa"/>
            <w:vAlign w:val="bottom"/>
          </w:tcPr>
          <w:p>
            <w:pPr>
              <w:spacing w:after="0"/>
              <w:rPr>
                <w:sz w:val="21"/>
                <w:szCs w:val="21"/>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677</w:t>
            </w:r>
          </w:p>
        </w:tc>
        <w:tc>
          <w:tcPr>
            <w:tcW w:w="80" w:type="dxa"/>
            <w:vAlign w:val="bottom"/>
          </w:tcPr>
          <w:p>
            <w:pPr>
              <w:spacing w:after="0"/>
              <w:rPr>
                <w:sz w:val="21"/>
                <w:szCs w:val="21"/>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4"/>
                <w:szCs w:val="14"/>
                <w:color w:val="auto"/>
              </w:rPr>
              <w:t>(20,792)</w:t>
            </w:r>
          </w:p>
        </w:tc>
        <w:tc>
          <w:tcPr>
            <w:tcW w:w="80" w:type="dxa"/>
            <w:vAlign w:val="bottom"/>
          </w:tcPr>
          <w:p>
            <w:pPr>
              <w:spacing w:after="0"/>
              <w:rPr>
                <w:sz w:val="21"/>
                <w:szCs w:val="21"/>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7,776</w:t>
            </w: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580" w:type="dxa"/>
            <w:vAlign w:val="bottom"/>
            <w:shd w:val="clear" w:color="auto" w:fill="EAF9E8"/>
          </w:tcPr>
          <w:p>
            <w:pPr>
              <w:ind w:left="320"/>
              <w:spacing w:after="0"/>
              <w:rPr>
                <w:sz w:val="20"/>
                <w:szCs w:val="20"/>
                <w:color w:val="auto"/>
              </w:rPr>
            </w:pPr>
            <w:r>
              <w:rPr>
                <w:rFonts w:ascii="Arial" w:cs="Arial" w:eastAsia="Arial" w:hAnsi="Arial"/>
                <w:sz w:val="14"/>
                <w:szCs w:val="14"/>
                <w:color w:val="auto"/>
              </w:rPr>
              <w:t>Total revenue</w:t>
            </w:r>
          </w:p>
        </w:tc>
        <w:tc>
          <w:tcPr>
            <w:tcW w:w="100" w:type="dxa"/>
            <w:vAlign w:val="bottom"/>
            <w:shd w:val="clear" w:color="auto" w:fill="EAF9E8"/>
          </w:tcPr>
          <w:p>
            <w:pPr>
              <w:spacing w:after="0"/>
              <w:rPr>
                <w:sz w:val="20"/>
                <w:szCs w:val="20"/>
                <w:color w:val="auto"/>
              </w:rPr>
            </w:pPr>
          </w:p>
        </w:tc>
        <w:tc>
          <w:tcPr>
            <w:tcW w:w="700" w:type="dxa"/>
            <w:vAlign w:val="bottom"/>
            <w:tcBorders>
              <w:right w:val="single" w:sz="8" w:color="EAF9E8"/>
            </w:tcBorders>
            <w:shd w:val="clear" w:color="auto" w:fill="EAF9E8"/>
          </w:tcPr>
          <w:p>
            <w:pPr>
              <w:jc w:val="right"/>
              <w:spacing w:after="0"/>
              <w:rPr>
                <w:sz w:val="20"/>
                <w:szCs w:val="20"/>
                <w:color w:val="auto"/>
              </w:rPr>
            </w:pPr>
            <w:r>
              <w:rPr>
                <w:rFonts w:ascii="Arial" w:cs="Arial" w:eastAsia="Arial" w:hAnsi="Arial"/>
                <w:sz w:val="14"/>
                <w:szCs w:val="14"/>
                <w:color w:val="auto"/>
              </w:rPr>
              <w:t>199,539</w:t>
            </w:r>
          </w:p>
        </w:tc>
        <w:tc>
          <w:tcPr>
            <w:tcW w:w="120" w:type="dxa"/>
            <w:vAlign w:val="bottom"/>
            <w:shd w:val="clear" w:color="auto" w:fill="EAF9E8"/>
          </w:tcPr>
          <w:p>
            <w:pPr>
              <w:spacing w:after="0"/>
              <w:rPr>
                <w:sz w:val="20"/>
                <w:szCs w:val="20"/>
                <w:color w:val="auto"/>
              </w:rPr>
            </w:pPr>
          </w:p>
        </w:tc>
        <w:tc>
          <w:tcPr>
            <w:tcW w:w="100" w:type="dxa"/>
            <w:vAlign w:val="bottom"/>
            <w:shd w:val="clear" w:color="auto" w:fill="EAF9E8"/>
          </w:tcPr>
          <w:p>
            <w:pPr>
              <w:spacing w:after="0"/>
              <w:rPr>
                <w:sz w:val="20"/>
                <w:szCs w:val="20"/>
                <w:color w:val="auto"/>
              </w:rPr>
            </w:pPr>
          </w:p>
        </w:tc>
        <w:tc>
          <w:tcPr>
            <w:tcW w:w="80" w:type="dxa"/>
            <w:vAlign w:val="bottom"/>
            <w:shd w:val="clear" w:color="auto" w:fill="EAF9E8"/>
          </w:tcPr>
          <w:p>
            <w:pPr>
              <w:spacing w:after="0"/>
              <w:rPr>
                <w:sz w:val="20"/>
                <w:szCs w:val="20"/>
                <w:color w:val="auto"/>
              </w:rPr>
            </w:pPr>
          </w:p>
        </w:tc>
        <w:tc>
          <w:tcPr>
            <w:tcW w:w="700" w:type="dxa"/>
            <w:vAlign w:val="bottom"/>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EAF9E8"/>
          </w:tcPr>
          <w:p>
            <w:pPr>
              <w:spacing w:after="0"/>
              <w:rPr>
                <w:sz w:val="20"/>
                <w:szCs w:val="20"/>
                <w:color w:val="auto"/>
              </w:rPr>
            </w:pPr>
          </w:p>
        </w:tc>
        <w:tc>
          <w:tcPr>
            <w:tcW w:w="100" w:type="dxa"/>
            <w:vAlign w:val="bottom"/>
            <w:shd w:val="clear" w:color="auto" w:fill="EAF9E8"/>
          </w:tcPr>
          <w:p>
            <w:pPr>
              <w:spacing w:after="0"/>
              <w:rPr>
                <w:sz w:val="20"/>
                <w:szCs w:val="20"/>
                <w:color w:val="auto"/>
              </w:rPr>
            </w:pPr>
          </w:p>
        </w:tc>
        <w:tc>
          <w:tcPr>
            <w:tcW w:w="920" w:type="dxa"/>
            <w:vAlign w:val="bottom"/>
            <w:shd w:val="clear" w:color="auto" w:fill="EAF9E8"/>
          </w:tcPr>
          <w:p>
            <w:pPr>
              <w:jc w:val="right"/>
              <w:spacing w:after="0"/>
              <w:rPr>
                <w:sz w:val="20"/>
                <w:szCs w:val="20"/>
                <w:color w:val="auto"/>
              </w:rPr>
            </w:pPr>
            <w:r>
              <w:rPr>
                <w:rFonts w:ascii="Arial" w:cs="Arial" w:eastAsia="Arial" w:hAnsi="Arial"/>
                <w:sz w:val="14"/>
                <w:szCs w:val="14"/>
                <w:color w:val="auto"/>
              </w:rPr>
              <w:t>1,429</w:t>
            </w:r>
          </w:p>
        </w:tc>
        <w:tc>
          <w:tcPr>
            <w:tcW w:w="120" w:type="dxa"/>
            <w:vAlign w:val="bottom"/>
            <w:shd w:val="clear" w:color="auto" w:fill="EAF9E8"/>
          </w:tcPr>
          <w:p>
            <w:pPr>
              <w:spacing w:after="0"/>
              <w:rPr>
                <w:sz w:val="20"/>
                <w:szCs w:val="20"/>
                <w:color w:val="auto"/>
              </w:rPr>
            </w:pPr>
          </w:p>
        </w:tc>
        <w:tc>
          <w:tcPr>
            <w:tcW w:w="80" w:type="dxa"/>
            <w:vAlign w:val="bottom"/>
            <w:shd w:val="clear" w:color="auto" w:fill="EAF9E8"/>
          </w:tcPr>
          <w:p>
            <w:pPr>
              <w:spacing w:after="0"/>
              <w:rPr>
                <w:sz w:val="20"/>
                <w:szCs w:val="20"/>
                <w:color w:val="auto"/>
              </w:rPr>
            </w:pPr>
          </w:p>
        </w:tc>
        <w:tc>
          <w:tcPr>
            <w:tcW w:w="820" w:type="dxa"/>
            <w:vAlign w:val="bottom"/>
            <w:tcBorders>
              <w:right w:val="single" w:sz="8" w:color="EAF9E8"/>
            </w:tcBorders>
            <w:gridSpan w:val="2"/>
            <w:shd w:val="clear" w:color="auto" w:fill="EAF9E8"/>
          </w:tcPr>
          <w:p>
            <w:pPr>
              <w:jc w:val="right"/>
              <w:ind w:right="140"/>
              <w:spacing w:after="0"/>
              <w:rPr>
                <w:sz w:val="20"/>
                <w:szCs w:val="20"/>
                <w:color w:val="auto"/>
              </w:rPr>
            </w:pPr>
            <w:r>
              <w:rPr>
                <w:rFonts w:ascii="Arial" w:cs="Arial" w:eastAsia="Arial" w:hAnsi="Arial"/>
                <w:sz w:val="14"/>
                <w:szCs w:val="14"/>
                <w:color w:val="auto"/>
              </w:rPr>
              <w:t>54,052</w:t>
            </w:r>
          </w:p>
        </w:tc>
        <w:tc>
          <w:tcPr>
            <w:tcW w:w="80" w:type="dxa"/>
            <w:vAlign w:val="bottom"/>
            <w:shd w:val="clear" w:color="auto" w:fill="EAF9E8"/>
          </w:tcPr>
          <w:p>
            <w:pPr>
              <w:spacing w:after="0"/>
              <w:rPr>
                <w:sz w:val="20"/>
                <w:szCs w:val="20"/>
                <w:color w:val="auto"/>
              </w:rPr>
            </w:pPr>
          </w:p>
        </w:tc>
        <w:tc>
          <w:tcPr>
            <w:tcW w:w="680" w:type="dxa"/>
            <w:vAlign w:val="bottom"/>
            <w:shd w:val="clear" w:color="auto" w:fill="EAF9E8"/>
          </w:tcPr>
          <w:p>
            <w:pPr>
              <w:jc w:val="right"/>
              <w:spacing w:after="0"/>
              <w:rPr>
                <w:sz w:val="20"/>
                <w:szCs w:val="20"/>
                <w:color w:val="auto"/>
              </w:rPr>
            </w:pPr>
            <w:r>
              <w:rPr>
                <w:rFonts w:ascii="Arial" w:cs="Arial" w:eastAsia="Arial" w:hAnsi="Arial"/>
                <w:sz w:val="14"/>
                <w:szCs w:val="14"/>
                <w:color w:val="auto"/>
              </w:rPr>
              <w:t>40,293</w:t>
            </w:r>
          </w:p>
        </w:tc>
        <w:tc>
          <w:tcPr>
            <w:tcW w:w="120" w:type="dxa"/>
            <w:vAlign w:val="bottom"/>
            <w:tcBorders>
              <w:right w:val="single" w:sz="8" w:color="EAF9E8"/>
            </w:tcBorders>
            <w:shd w:val="clear" w:color="auto" w:fill="EAF9E8"/>
          </w:tcPr>
          <w:p>
            <w:pPr>
              <w:spacing w:after="0"/>
              <w:rPr>
                <w:sz w:val="20"/>
                <w:szCs w:val="20"/>
                <w:color w:val="auto"/>
              </w:rPr>
            </w:pPr>
          </w:p>
        </w:tc>
        <w:tc>
          <w:tcPr>
            <w:tcW w:w="100" w:type="dxa"/>
            <w:vAlign w:val="bottom"/>
            <w:shd w:val="clear" w:color="auto" w:fill="EAF9E8"/>
          </w:tcPr>
          <w:p>
            <w:pPr>
              <w:spacing w:after="0"/>
              <w:rPr>
                <w:sz w:val="20"/>
                <w:szCs w:val="20"/>
                <w:color w:val="auto"/>
              </w:rPr>
            </w:pPr>
          </w:p>
        </w:tc>
        <w:tc>
          <w:tcPr>
            <w:tcW w:w="920" w:type="dxa"/>
            <w:vAlign w:val="bottom"/>
            <w:gridSpan w:val="2"/>
            <w:shd w:val="clear" w:color="auto" w:fill="EAF9E8"/>
          </w:tcPr>
          <w:p>
            <w:pPr>
              <w:jc w:val="right"/>
              <w:ind w:right="120"/>
              <w:spacing w:after="0"/>
              <w:rPr>
                <w:sz w:val="20"/>
                <w:szCs w:val="20"/>
                <w:color w:val="auto"/>
              </w:rPr>
            </w:pPr>
            <w:r>
              <w:rPr>
                <w:rFonts w:ascii="Arial" w:cs="Arial" w:eastAsia="Arial" w:hAnsi="Arial"/>
                <w:sz w:val="14"/>
                <w:szCs w:val="14"/>
                <w:color w:val="auto"/>
              </w:rPr>
              <w:t>28,331</w:t>
            </w:r>
          </w:p>
        </w:tc>
        <w:tc>
          <w:tcPr>
            <w:tcW w:w="80" w:type="dxa"/>
            <w:vAlign w:val="bottom"/>
            <w:shd w:val="clear" w:color="auto" w:fill="EAF9E8"/>
          </w:tcPr>
          <w:p>
            <w:pPr>
              <w:spacing w:after="0"/>
              <w:rPr>
                <w:sz w:val="20"/>
                <w:szCs w:val="20"/>
                <w:color w:val="auto"/>
              </w:rPr>
            </w:pPr>
          </w:p>
        </w:tc>
        <w:tc>
          <w:tcPr>
            <w:tcW w:w="800" w:type="dxa"/>
            <w:vAlign w:val="bottom"/>
            <w:tcBorders>
              <w:right w:val="single" w:sz="8" w:color="EAF9E8"/>
            </w:tcBorders>
            <w:gridSpan w:val="2"/>
            <w:shd w:val="clear" w:color="auto" w:fill="EAF9E8"/>
          </w:tcPr>
          <w:p>
            <w:pPr>
              <w:jc w:val="right"/>
              <w:ind w:right="120"/>
              <w:spacing w:after="0"/>
              <w:rPr>
                <w:sz w:val="20"/>
                <w:szCs w:val="20"/>
                <w:color w:val="auto"/>
              </w:rPr>
            </w:pPr>
            <w:r>
              <w:rPr>
                <w:rFonts w:ascii="Arial" w:cs="Arial" w:eastAsia="Arial" w:hAnsi="Arial"/>
                <w:sz w:val="14"/>
                <w:szCs w:val="14"/>
                <w:color w:val="auto"/>
              </w:rPr>
              <w:t>681</w:t>
            </w:r>
          </w:p>
        </w:tc>
        <w:tc>
          <w:tcPr>
            <w:tcW w:w="80" w:type="dxa"/>
            <w:vAlign w:val="bottom"/>
            <w:shd w:val="clear" w:color="auto" w:fill="EAF9E8"/>
          </w:tcPr>
          <w:p>
            <w:pPr>
              <w:spacing w:after="0"/>
              <w:rPr>
                <w:sz w:val="20"/>
                <w:szCs w:val="20"/>
                <w:color w:val="auto"/>
              </w:rPr>
            </w:pPr>
          </w:p>
        </w:tc>
        <w:tc>
          <w:tcPr>
            <w:tcW w:w="960" w:type="dxa"/>
            <w:vAlign w:val="bottom"/>
            <w:tcBorders>
              <w:right w:val="single" w:sz="8" w:color="EAF9E8"/>
            </w:tcBorders>
            <w:gridSpan w:val="2"/>
            <w:shd w:val="clear" w:color="auto" w:fill="EAF9E8"/>
          </w:tcPr>
          <w:p>
            <w:pPr>
              <w:jc w:val="right"/>
              <w:ind w:right="80"/>
              <w:spacing w:after="0"/>
              <w:rPr>
                <w:sz w:val="20"/>
                <w:szCs w:val="20"/>
                <w:color w:val="auto"/>
              </w:rPr>
            </w:pPr>
            <w:r>
              <w:rPr>
                <w:rFonts w:ascii="Arial" w:cs="Arial" w:eastAsia="Arial" w:hAnsi="Arial"/>
                <w:sz w:val="14"/>
                <w:szCs w:val="14"/>
                <w:color w:val="auto"/>
              </w:rPr>
              <w:t>(17,204)</w:t>
            </w:r>
          </w:p>
        </w:tc>
        <w:tc>
          <w:tcPr>
            <w:tcW w:w="80" w:type="dxa"/>
            <w:vAlign w:val="bottom"/>
            <w:shd w:val="clear" w:color="auto" w:fill="EAF9E8"/>
          </w:tcPr>
          <w:p>
            <w:pPr>
              <w:spacing w:after="0"/>
              <w:rPr>
                <w:sz w:val="20"/>
                <w:szCs w:val="20"/>
                <w:color w:val="auto"/>
              </w:rPr>
            </w:pPr>
          </w:p>
        </w:tc>
        <w:tc>
          <w:tcPr>
            <w:tcW w:w="980" w:type="dxa"/>
            <w:vAlign w:val="bottom"/>
            <w:gridSpan w:val="2"/>
            <w:shd w:val="clear" w:color="auto" w:fill="EAF9E8"/>
          </w:tcPr>
          <w:p>
            <w:pPr>
              <w:jc w:val="right"/>
              <w:ind w:right="140"/>
              <w:spacing w:after="0"/>
              <w:rPr>
                <w:sz w:val="20"/>
                <w:szCs w:val="20"/>
                <w:color w:val="auto"/>
              </w:rPr>
            </w:pPr>
            <w:r>
              <w:rPr>
                <w:rFonts w:ascii="Arial" w:cs="Arial" w:eastAsia="Arial" w:hAnsi="Arial"/>
                <w:sz w:val="14"/>
                <w:szCs w:val="14"/>
                <w:color w:val="auto"/>
              </w:rPr>
              <w:t>307,121</w:t>
            </w:r>
          </w:p>
        </w:tc>
        <w:tc>
          <w:tcPr>
            <w:tcW w:w="0" w:type="dxa"/>
            <w:vAlign w:val="bottom"/>
          </w:tcPr>
          <w:p>
            <w:pPr>
              <w:spacing w:after="0"/>
              <w:rPr>
                <w:sz w:val="1"/>
                <w:szCs w:val="1"/>
                <w:color w:val="auto"/>
              </w:rPr>
            </w:pPr>
          </w:p>
        </w:tc>
      </w:tr>
      <w:tr>
        <w:trPr>
          <w:trHeight w:val="480"/>
        </w:trPr>
        <w:tc>
          <w:tcPr>
            <w:tcW w:w="2580" w:type="dxa"/>
            <w:vAlign w:val="bottom"/>
            <w:tcBorders>
              <w:top w:val="single" w:sz="8" w:color="EAF9E8"/>
            </w:tcBorders>
          </w:tcPr>
          <w:p>
            <w:pPr>
              <w:spacing w:after="0"/>
              <w:rPr>
                <w:sz w:val="20"/>
                <w:szCs w:val="20"/>
                <w:color w:val="auto"/>
              </w:rPr>
            </w:pPr>
            <w:r>
              <w:rPr>
                <w:rFonts w:ascii="Arial" w:cs="Arial" w:eastAsia="Arial" w:hAnsi="Arial"/>
                <w:sz w:val="14"/>
                <w:szCs w:val="14"/>
                <w:b w:val="1"/>
                <w:bCs w:val="1"/>
                <w:color w:val="auto"/>
              </w:rPr>
              <w:t>Operating expenses</w:t>
            </w: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20" w:type="dxa"/>
            <w:vAlign w:val="bottom"/>
            <w:tcBorders>
              <w:top w:val="single" w:sz="8" w:color="EAF9E8"/>
            </w:tcBorders>
          </w:tcPr>
          <w:p>
            <w:pPr>
              <w:spacing w:after="0"/>
              <w:rPr>
                <w:sz w:val="24"/>
                <w:szCs w:val="24"/>
                <w:color w:val="auto"/>
              </w:rPr>
            </w:pPr>
          </w:p>
        </w:tc>
        <w:tc>
          <w:tcPr>
            <w:tcW w:w="100" w:type="dxa"/>
            <w:vAlign w:val="bottom"/>
            <w:tcBorders>
              <w:top w:val="single" w:sz="8" w:color="EAF9E8"/>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20" w:type="dxa"/>
            <w:vAlign w:val="bottom"/>
            <w:tcBorders>
              <w:top w:val="single" w:sz="8" w:color="EAF9E8"/>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20" w:type="dxa"/>
            <w:vAlign w:val="bottom"/>
            <w:tcBorders>
              <w:top w:val="single" w:sz="8" w:color="EAF9E8"/>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40" w:type="dxa"/>
            <w:vAlign w:val="bottom"/>
            <w:tcBorders>
              <w:top w:val="single" w:sz="8" w:color="EAF9E8"/>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20" w:type="dxa"/>
            <w:vAlign w:val="bottom"/>
            <w:tcBorders>
              <w:top w:val="single" w:sz="8" w:color="EAF9E8"/>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20" w:type="dxa"/>
            <w:vAlign w:val="bottom"/>
            <w:tcBorders>
              <w:top w:val="single" w:sz="8" w:color="EAF9E8"/>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20" w:type="dxa"/>
            <w:vAlign w:val="bottom"/>
            <w:tcBorders>
              <w:top w:val="single" w:sz="8" w:color="EAF9E8"/>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20" w:type="dxa"/>
            <w:vAlign w:val="bottom"/>
            <w:tcBorders>
              <w:top w:val="single" w:sz="8" w:color="EAF9E8"/>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40" w:type="dxa"/>
            <w:vAlign w:val="bottom"/>
            <w:tcBorders>
              <w:top w:val="single" w:sz="8" w:color="EAF9E8"/>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580" w:type="dxa"/>
            <w:vAlign w:val="bottom"/>
            <w:shd w:val="clear" w:color="auto" w:fill="EAF9E8"/>
          </w:tcPr>
          <w:p>
            <w:pPr>
              <w:ind w:left="160"/>
              <w:spacing w:after="0"/>
              <w:rPr>
                <w:sz w:val="20"/>
                <w:szCs w:val="20"/>
                <w:color w:val="auto"/>
              </w:rPr>
            </w:pPr>
            <w:r>
              <w:rPr>
                <w:rFonts w:ascii="Arial" w:cs="Arial" w:eastAsia="Arial" w:hAnsi="Arial"/>
                <w:sz w:val="14"/>
                <w:szCs w:val="14"/>
                <w:color w:val="auto"/>
              </w:rPr>
              <w:t>Compensation and benefits</w:t>
            </w:r>
          </w:p>
        </w:tc>
        <w:tc>
          <w:tcPr>
            <w:tcW w:w="100" w:type="dxa"/>
            <w:vAlign w:val="bottom"/>
            <w:shd w:val="clear" w:color="auto" w:fill="EAF9E8"/>
          </w:tcPr>
          <w:p>
            <w:pPr>
              <w:spacing w:after="0"/>
              <w:rPr>
                <w:sz w:val="21"/>
                <w:szCs w:val="21"/>
                <w:color w:val="auto"/>
              </w:rPr>
            </w:pPr>
          </w:p>
        </w:tc>
        <w:tc>
          <w:tcPr>
            <w:tcW w:w="700" w:type="dxa"/>
            <w:vAlign w:val="bottom"/>
            <w:tcBorders>
              <w:right w:val="single" w:sz="8" w:color="EAF9E8"/>
            </w:tcBorders>
            <w:shd w:val="clear" w:color="auto" w:fill="EAF9E8"/>
          </w:tcPr>
          <w:p>
            <w:pPr>
              <w:jc w:val="right"/>
              <w:spacing w:after="0"/>
              <w:rPr>
                <w:sz w:val="20"/>
                <w:szCs w:val="20"/>
                <w:color w:val="auto"/>
              </w:rPr>
            </w:pPr>
            <w:r>
              <w:rPr>
                <w:rFonts w:ascii="Arial" w:cs="Arial" w:eastAsia="Arial" w:hAnsi="Arial"/>
                <w:sz w:val="14"/>
                <w:szCs w:val="14"/>
                <w:color w:val="auto"/>
              </w:rPr>
              <w:t>24,100</w:t>
            </w:r>
          </w:p>
        </w:tc>
        <w:tc>
          <w:tcPr>
            <w:tcW w:w="12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700" w:type="dxa"/>
            <w:vAlign w:val="bottom"/>
            <w:shd w:val="clear" w:color="auto" w:fill="EAF9E8"/>
          </w:tcPr>
          <w:p>
            <w:pPr>
              <w:jc w:val="right"/>
              <w:spacing w:after="0"/>
              <w:rPr>
                <w:sz w:val="20"/>
                <w:szCs w:val="20"/>
                <w:color w:val="auto"/>
              </w:rPr>
            </w:pPr>
            <w:r>
              <w:rPr>
                <w:rFonts w:ascii="Arial" w:cs="Arial" w:eastAsia="Arial" w:hAnsi="Arial"/>
                <w:sz w:val="14"/>
                <w:szCs w:val="14"/>
                <w:color w:val="auto"/>
              </w:rPr>
              <w:t>17</w:t>
            </w:r>
          </w:p>
        </w:tc>
        <w:tc>
          <w:tcPr>
            <w:tcW w:w="12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1040" w:type="dxa"/>
            <w:vAlign w:val="bottom"/>
            <w:gridSpan w:val="2"/>
            <w:shd w:val="clear" w:color="auto" w:fill="EAF9E8"/>
          </w:tcPr>
          <w:p>
            <w:pPr>
              <w:jc w:val="right"/>
              <w:ind w:right="120"/>
              <w:spacing w:after="0"/>
              <w:rPr>
                <w:sz w:val="20"/>
                <w:szCs w:val="20"/>
                <w:color w:val="auto"/>
              </w:rPr>
            </w:pPr>
            <w:r>
              <w:rPr>
                <w:rFonts w:ascii="Arial" w:cs="Arial" w:eastAsia="Arial" w:hAnsi="Arial"/>
                <w:sz w:val="14"/>
                <w:szCs w:val="14"/>
                <w:color w:val="auto"/>
              </w:rPr>
              <w:t>2,701</w:t>
            </w:r>
          </w:p>
        </w:tc>
        <w:tc>
          <w:tcPr>
            <w:tcW w:w="80" w:type="dxa"/>
            <w:vAlign w:val="bottom"/>
            <w:shd w:val="clear" w:color="auto" w:fill="EAF9E8"/>
          </w:tcPr>
          <w:p>
            <w:pPr>
              <w:spacing w:after="0"/>
              <w:rPr>
                <w:sz w:val="21"/>
                <w:szCs w:val="21"/>
                <w:color w:val="auto"/>
              </w:rPr>
            </w:pPr>
          </w:p>
        </w:tc>
        <w:tc>
          <w:tcPr>
            <w:tcW w:w="820" w:type="dxa"/>
            <w:vAlign w:val="bottom"/>
            <w:tcBorders>
              <w:right w:val="single" w:sz="8" w:color="EAF9E8"/>
            </w:tcBorders>
            <w:gridSpan w:val="2"/>
            <w:shd w:val="clear" w:color="auto" w:fill="EAF9E8"/>
          </w:tcPr>
          <w:p>
            <w:pPr>
              <w:jc w:val="right"/>
              <w:ind w:right="140"/>
              <w:spacing w:after="0"/>
              <w:rPr>
                <w:sz w:val="20"/>
                <w:szCs w:val="20"/>
                <w:color w:val="auto"/>
              </w:rPr>
            </w:pPr>
            <w:r>
              <w:rPr>
                <w:rFonts w:ascii="Arial" w:cs="Arial" w:eastAsia="Arial" w:hAnsi="Arial"/>
                <w:sz w:val="14"/>
                <w:szCs w:val="14"/>
                <w:color w:val="auto"/>
              </w:rPr>
              <w:t>7,148</w:t>
            </w:r>
          </w:p>
        </w:tc>
        <w:tc>
          <w:tcPr>
            <w:tcW w:w="80" w:type="dxa"/>
            <w:vAlign w:val="bottom"/>
            <w:shd w:val="clear" w:color="auto" w:fill="EAF9E8"/>
          </w:tcPr>
          <w:p>
            <w:pPr>
              <w:spacing w:after="0"/>
              <w:rPr>
                <w:sz w:val="21"/>
                <w:szCs w:val="21"/>
                <w:color w:val="auto"/>
              </w:rPr>
            </w:pPr>
          </w:p>
        </w:tc>
        <w:tc>
          <w:tcPr>
            <w:tcW w:w="680" w:type="dxa"/>
            <w:vAlign w:val="bottom"/>
            <w:shd w:val="clear" w:color="auto" w:fill="EAF9E8"/>
          </w:tcPr>
          <w:p>
            <w:pPr>
              <w:jc w:val="right"/>
              <w:spacing w:after="0"/>
              <w:rPr>
                <w:sz w:val="20"/>
                <w:szCs w:val="20"/>
                <w:color w:val="auto"/>
              </w:rPr>
            </w:pPr>
            <w:r>
              <w:rPr>
                <w:rFonts w:ascii="Arial" w:cs="Arial" w:eastAsia="Arial" w:hAnsi="Arial"/>
                <w:sz w:val="14"/>
                <w:szCs w:val="14"/>
                <w:color w:val="auto"/>
              </w:rPr>
              <w:t>19,945</w:t>
            </w:r>
          </w:p>
        </w:tc>
        <w:tc>
          <w:tcPr>
            <w:tcW w:w="120" w:type="dxa"/>
            <w:vAlign w:val="bottom"/>
            <w:tcBorders>
              <w:right w:val="single" w:sz="8" w:color="EAF9E8"/>
            </w:tcBorders>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920" w:type="dxa"/>
            <w:vAlign w:val="bottom"/>
            <w:gridSpan w:val="2"/>
            <w:shd w:val="clear" w:color="auto" w:fill="EAF9E8"/>
          </w:tcPr>
          <w:p>
            <w:pPr>
              <w:jc w:val="right"/>
              <w:ind w:right="120"/>
              <w:spacing w:after="0"/>
              <w:rPr>
                <w:sz w:val="20"/>
                <w:szCs w:val="20"/>
                <w:color w:val="auto"/>
              </w:rPr>
            </w:pPr>
            <w:r>
              <w:rPr>
                <w:rFonts w:ascii="Arial" w:cs="Arial" w:eastAsia="Arial" w:hAnsi="Arial"/>
                <w:sz w:val="14"/>
                <w:szCs w:val="14"/>
                <w:color w:val="auto"/>
              </w:rPr>
              <w:t>5,289</w:t>
            </w:r>
          </w:p>
        </w:tc>
        <w:tc>
          <w:tcPr>
            <w:tcW w:w="80" w:type="dxa"/>
            <w:vAlign w:val="bottom"/>
            <w:shd w:val="clear" w:color="auto" w:fill="EAF9E8"/>
          </w:tcPr>
          <w:p>
            <w:pPr>
              <w:spacing w:after="0"/>
              <w:rPr>
                <w:sz w:val="21"/>
                <w:szCs w:val="21"/>
                <w:color w:val="auto"/>
              </w:rPr>
            </w:pPr>
          </w:p>
        </w:tc>
        <w:tc>
          <w:tcPr>
            <w:tcW w:w="800" w:type="dxa"/>
            <w:vAlign w:val="bottom"/>
            <w:tcBorders>
              <w:right w:val="single" w:sz="8" w:color="EAF9E8"/>
            </w:tcBorders>
            <w:gridSpan w:val="2"/>
            <w:shd w:val="clear" w:color="auto" w:fill="EAF9E8"/>
          </w:tcPr>
          <w:p>
            <w:pPr>
              <w:jc w:val="right"/>
              <w:ind w:right="120"/>
              <w:spacing w:after="0"/>
              <w:rPr>
                <w:sz w:val="20"/>
                <w:szCs w:val="20"/>
                <w:color w:val="auto"/>
              </w:rPr>
            </w:pPr>
            <w:r>
              <w:rPr>
                <w:rFonts w:ascii="Arial" w:cs="Arial" w:eastAsia="Arial" w:hAnsi="Arial"/>
                <w:sz w:val="14"/>
                <w:szCs w:val="14"/>
                <w:color w:val="auto"/>
              </w:rPr>
              <w:t>15,558</w:t>
            </w:r>
          </w:p>
        </w:tc>
        <w:tc>
          <w:tcPr>
            <w:tcW w:w="80" w:type="dxa"/>
            <w:vAlign w:val="bottom"/>
            <w:shd w:val="clear" w:color="auto" w:fill="EAF9E8"/>
          </w:tcPr>
          <w:p>
            <w:pPr>
              <w:spacing w:after="0"/>
              <w:rPr>
                <w:sz w:val="21"/>
                <w:szCs w:val="21"/>
                <w:color w:val="auto"/>
              </w:rPr>
            </w:pPr>
          </w:p>
        </w:tc>
        <w:tc>
          <w:tcPr>
            <w:tcW w:w="960" w:type="dxa"/>
            <w:vAlign w:val="bottom"/>
            <w:tcBorders>
              <w:right w:val="single" w:sz="8" w:color="EAF9E8"/>
            </w:tcBorders>
            <w:gridSpan w:val="2"/>
            <w:shd w:val="clear" w:color="auto" w:fill="EAF9E8"/>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EAF9E8"/>
          </w:tcPr>
          <w:p>
            <w:pPr>
              <w:spacing w:after="0"/>
              <w:rPr>
                <w:sz w:val="21"/>
                <w:szCs w:val="21"/>
                <w:color w:val="auto"/>
              </w:rPr>
            </w:pPr>
          </w:p>
        </w:tc>
        <w:tc>
          <w:tcPr>
            <w:tcW w:w="980" w:type="dxa"/>
            <w:vAlign w:val="bottom"/>
            <w:gridSpan w:val="2"/>
            <w:shd w:val="clear" w:color="auto" w:fill="EAF9E8"/>
          </w:tcPr>
          <w:p>
            <w:pPr>
              <w:jc w:val="right"/>
              <w:ind w:right="140"/>
              <w:spacing w:after="0"/>
              <w:rPr>
                <w:sz w:val="20"/>
                <w:szCs w:val="20"/>
                <w:color w:val="auto"/>
              </w:rPr>
            </w:pPr>
            <w:r>
              <w:rPr>
                <w:rFonts w:ascii="Arial" w:cs="Arial" w:eastAsia="Arial" w:hAnsi="Arial"/>
                <w:sz w:val="14"/>
                <w:szCs w:val="14"/>
                <w:color w:val="auto"/>
              </w:rPr>
              <w:t>74,758</w:t>
            </w:r>
          </w:p>
        </w:tc>
        <w:tc>
          <w:tcPr>
            <w:tcW w:w="0" w:type="dxa"/>
            <w:vAlign w:val="bottom"/>
          </w:tcPr>
          <w:p>
            <w:pPr>
              <w:spacing w:after="0"/>
              <w:rPr>
                <w:sz w:val="1"/>
                <w:szCs w:val="1"/>
                <w:color w:val="auto"/>
              </w:rPr>
            </w:pPr>
          </w:p>
        </w:tc>
      </w:tr>
      <w:tr>
        <w:trPr>
          <w:trHeight w:val="243"/>
        </w:trPr>
        <w:tc>
          <w:tcPr>
            <w:tcW w:w="2580" w:type="dxa"/>
            <w:vAlign w:val="bottom"/>
          </w:tcPr>
          <w:p>
            <w:pPr>
              <w:ind w:left="160"/>
              <w:spacing w:after="0"/>
              <w:rPr>
                <w:sz w:val="20"/>
                <w:szCs w:val="20"/>
                <w:color w:val="auto"/>
              </w:rPr>
            </w:pPr>
            <w:r>
              <w:rPr>
                <w:rFonts w:ascii="Arial" w:cs="Arial" w:eastAsia="Arial" w:hAnsi="Arial"/>
                <w:sz w:val="14"/>
                <w:szCs w:val="14"/>
                <w:color w:val="auto"/>
              </w:rPr>
              <w:t>Amortization of servicing rights</w:t>
            </w:r>
          </w:p>
        </w:tc>
        <w:tc>
          <w:tcPr>
            <w:tcW w:w="1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25,743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1"/>
                <w:szCs w:val="21"/>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1"/>
                <w:szCs w:val="21"/>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1"/>
                <w:szCs w:val="21"/>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1"/>
                <w:szCs w:val="21"/>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1"/>
                <w:szCs w:val="21"/>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25,743</w:t>
            </w:r>
          </w:p>
        </w:tc>
        <w:tc>
          <w:tcPr>
            <w:tcW w:w="0" w:type="dxa"/>
            <w:vAlign w:val="bottom"/>
          </w:tcPr>
          <w:p>
            <w:pPr>
              <w:spacing w:after="0"/>
              <w:rPr>
                <w:sz w:val="1"/>
                <w:szCs w:val="1"/>
                <w:color w:val="auto"/>
              </w:rPr>
            </w:pPr>
          </w:p>
        </w:tc>
      </w:tr>
      <w:tr>
        <w:trPr>
          <w:trHeight w:val="243"/>
        </w:trPr>
        <w:tc>
          <w:tcPr>
            <w:tcW w:w="2580" w:type="dxa"/>
            <w:vAlign w:val="bottom"/>
            <w:shd w:val="clear" w:color="auto" w:fill="EAF9E8"/>
          </w:tcPr>
          <w:p>
            <w:pPr>
              <w:ind w:left="160"/>
              <w:spacing w:after="0"/>
              <w:rPr>
                <w:sz w:val="20"/>
                <w:szCs w:val="20"/>
                <w:color w:val="auto"/>
              </w:rPr>
            </w:pPr>
            <w:r>
              <w:rPr>
                <w:rFonts w:ascii="Arial" w:cs="Arial" w:eastAsia="Arial" w:hAnsi="Arial"/>
                <w:sz w:val="14"/>
                <w:szCs w:val="14"/>
                <w:color w:val="auto"/>
              </w:rPr>
              <w:t>Servicing and origination</w:t>
            </w:r>
          </w:p>
        </w:tc>
        <w:tc>
          <w:tcPr>
            <w:tcW w:w="100" w:type="dxa"/>
            <w:vAlign w:val="bottom"/>
            <w:shd w:val="clear" w:color="auto" w:fill="EAF9E8"/>
          </w:tcPr>
          <w:p>
            <w:pPr>
              <w:spacing w:after="0"/>
              <w:rPr>
                <w:sz w:val="21"/>
                <w:szCs w:val="21"/>
                <w:color w:val="auto"/>
              </w:rPr>
            </w:pPr>
          </w:p>
        </w:tc>
        <w:tc>
          <w:tcPr>
            <w:tcW w:w="700" w:type="dxa"/>
            <w:vAlign w:val="bottom"/>
            <w:tcBorders>
              <w:right w:val="single" w:sz="8" w:color="EAF9E8"/>
            </w:tcBorders>
            <w:shd w:val="clear" w:color="auto" w:fill="EAF9E8"/>
          </w:tcPr>
          <w:p>
            <w:pPr>
              <w:jc w:val="right"/>
              <w:spacing w:after="0"/>
              <w:rPr>
                <w:sz w:val="20"/>
                <w:szCs w:val="20"/>
                <w:color w:val="auto"/>
              </w:rPr>
            </w:pPr>
            <w:r>
              <w:rPr>
                <w:rFonts w:ascii="Arial" w:cs="Arial" w:eastAsia="Arial" w:hAnsi="Arial"/>
                <w:sz w:val="14"/>
                <w:szCs w:val="14"/>
                <w:color w:val="auto"/>
              </w:rPr>
              <w:t>5,696</w:t>
            </w:r>
          </w:p>
        </w:tc>
        <w:tc>
          <w:tcPr>
            <w:tcW w:w="12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700" w:type="dxa"/>
            <w:vAlign w:val="bottom"/>
            <w:shd w:val="clear" w:color="auto" w:fill="EAF9E8"/>
          </w:tcPr>
          <w:p>
            <w:pPr>
              <w:jc w:val="right"/>
              <w:spacing w:after="0"/>
              <w:rPr>
                <w:sz w:val="20"/>
                <w:szCs w:val="20"/>
                <w:color w:val="auto"/>
              </w:rPr>
            </w:pPr>
            <w:r>
              <w:rPr>
                <w:rFonts w:ascii="Arial" w:cs="Arial" w:eastAsia="Arial" w:hAnsi="Arial"/>
                <w:sz w:val="14"/>
                <w:szCs w:val="14"/>
                <w:color w:val="auto"/>
              </w:rPr>
              <w:t>7</w:t>
            </w:r>
          </w:p>
        </w:tc>
        <w:tc>
          <w:tcPr>
            <w:tcW w:w="12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1040" w:type="dxa"/>
            <w:vAlign w:val="bottom"/>
            <w:gridSpan w:val="2"/>
            <w:shd w:val="clear" w:color="auto" w:fill="EAF9E8"/>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EAF9E8"/>
          </w:tcPr>
          <w:p>
            <w:pPr>
              <w:spacing w:after="0"/>
              <w:rPr>
                <w:sz w:val="21"/>
                <w:szCs w:val="21"/>
                <w:color w:val="auto"/>
              </w:rPr>
            </w:pPr>
          </w:p>
        </w:tc>
        <w:tc>
          <w:tcPr>
            <w:tcW w:w="820" w:type="dxa"/>
            <w:vAlign w:val="bottom"/>
            <w:tcBorders>
              <w:right w:val="single" w:sz="8" w:color="EAF9E8"/>
            </w:tcBorders>
            <w:gridSpan w:val="2"/>
            <w:shd w:val="clear" w:color="auto" w:fill="EAF9E8"/>
          </w:tcPr>
          <w:p>
            <w:pPr>
              <w:jc w:val="right"/>
              <w:ind w:right="140"/>
              <w:spacing w:after="0"/>
              <w:rPr>
                <w:sz w:val="20"/>
                <w:szCs w:val="20"/>
                <w:color w:val="auto"/>
              </w:rPr>
            </w:pPr>
            <w:r>
              <w:rPr>
                <w:rFonts w:ascii="Arial" w:cs="Arial" w:eastAsia="Arial" w:hAnsi="Arial"/>
                <w:sz w:val="14"/>
                <w:szCs w:val="14"/>
                <w:color w:val="auto"/>
              </w:rPr>
              <w:t>22,325</w:t>
            </w:r>
          </w:p>
        </w:tc>
        <w:tc>
          <w:tcPr>
            <w:tcW w:w="80" w:type="dxa"/>
            <w:vAlign w:val="bottom"/>
            <w:shd w:val="clear" w:color="auto" w:fill="EAF9E8"/>
          </w:tcPr>
          <w:p>
            <w:pPr>
              <w:spacing w:after="0"/>
              <w:rPr>
                <w:sz w:val="21"/>
                <w:szCs w:val="21"/>
                <w:color w:val="auto"/>
              </w:rPr>
            </w:pPr>
          </w:p>
        </w:tc>
        <w:tc>
          <w:tcPr>
            <w:tcW w:w="680" w:type="dxa"/>
            <w:vAlign w:val="bottom"/>
            <w:shd w:val="clear" w:color="auto" w:fill="EAF9E8"/>
          </w:tcPr>
          <w:p>
            <w:pPr>
              <w:jc w:val="right"/>
              <w:spacing w:after="0"/>
              <w:rPr>
                <w:sz w:val="20"/>
                <w:szCs w:val="20"/>
                <w:color w:val="auto"/>
              </w:rPr>
            </w:pPr>
            <w:r>
              <w:rPr>
                <w:rFonts w:ascii="Arial" w:cs="Arial" w:eastAsia="Arial" w:hAnsi="Arial"/>
                <w:sz w:val="14"/>
                <w:szCs w:val="14"/>
                <w:color w:val="auto"/>
              </w:rPr>
              <w:t>8,260</w:t>
            </w:r>
          </w:p>
        </w:tc>
        <w:tc>
          <w:tcPr>
            <w:tcW w:w="120" w:type="dxa"/>
            <w:vAlign w:val="bottom"/>
            <w:tcBorders>
              <w:right w:val="single" w:sz="8" w:color="EAF9E8"/>
            </w:tcBorders>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920" w:type="dxa"/>
            <w:vAlign w:val="bottom"/>
            <w:gridSpan w:val="2"/>
            <w:shd w:val="clear" w:color="auto" w:fill="EAF9E8"/>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EAF9E8"/>
          </w:tcPr>
          <w:p>
            <w:pPr>
              <w:spacing w:after="0"/>
              <w:rPr>
                <w:sz w:val="21"/>
                <w:szCs w:val="21"/>
                <w:color w:val="auto"/>
              </w:rPr>
            </w:pPr>
          </w:p>
        </w:tc>
        <w:tc>
          <w:tcPr>
            <w:tcW w:w="800" w:type="dxa"/>
            <w:vAlign w:val="bottom"/>
            <w:tcBorders>
              <w:right w:val="single" w:sz="8" w:color="EAF9E8"/>
            </w:tcBorders>
            <w:gridSpan w:val="2"/>
            <w:shd w:val="clear" w:color="auto" w:fill="EAF9E8"/>
          </w:tcPr>
          <w:p>
            <w:pPr>
              <w:jc w:val="right"/>
              <w:ind w:right="60"/>
              <w:spacing w:after="0"/>
              <w:rPr>
                <w:sz w:val="20"/>
                <w:szCs w:val="20"/>
                <w:color w:val="auto"/>
              </w:rPr>
            </w:pPr>
            <w:r>
              <w:rPr>
                <w:rFonts w:ascii="Arial" w:cs="Arial" w:eastAsia="Arial" w:hAnsi="Arial"/>
                <w:sz w:val="14"/>
                <w:szCs w:val="14"/>
                <w:color w:val="auto"/>
              </w:rPr>
              <w:t>(11)</w:t>
            </w:r>
          </w:p>
        </w:tc>
        <w:tc>
          <w:tcPr>
            <w:tcW w:w="80" w:type="dxa"/>
            <w:vAlign w:val="bottom"/>
            <w:shd w:val="clear" w:color="auto" w:fill="EAF9E8"/>
          </w:tcPr>
          <w:p>
            <w:pPr>
              <w:spacing w:after="0"/>
              <w:rPr>
                <w:sz w:val="21"/>
                <w:szCs w:val="21"/>
                <w:color w:val="auto"/>
              </w:rPr>
            </w:pPr>
          </w:p>
        </w:tc>
        <w:tc>
          <w:tcPr>
            <w:tcW w:w="960" w:type="dxa"/>
            <w:vAlign w:val="bottom"/>
            <w:tcBorders>
              <w:right w:val="single" w:sz="8" w:color="EAF9E8"/>
            </w:tcBorders>
            <w:gridSpan w:val="2"/>
            <w:shd w:val="clear" w:color="auto" w:fill="EAF9E8"/>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EAF9E8"/>
          </w:tcPr>
          <w:p>
            <w:pPr>
              <w:spacing w:after="0"/>
              <w:rPr>
                <w:sz w:val="21"/>
                <w:szCs w:val="21"/>
                <w:color w:val="auto"/>
              </w:rPr>
            </w:pPr>
          </w:p>
        </w:tc>
        <w:tc>
          <w:tcPr>
            <w:tcW w:w="980" w:type="dxa"/>
            <w:vAlign w:val="bottom"/>
            <w:gridSpan w:val="2"/>
            <w:shd w:val="clear" w:color="auto" w:fill="EAF9E8"/>
          </w:tcPr>
          <w:p>
            <w:pPr>
              <w:jc w:val="right"/>
              <w:ind w:right="140"/>
              <w:spacing w:after="0"/>
              <w:rPr>
                <w:sz w:val="20"/>
                <w:szCs w:val="20"/>
                <w:color w:val="auto"/>
              </w:rPr>
            </w:pPr>
            <w:r>
              <w:rPr>
                <w:rFonts w:ascii="Arial" w:cs="Arial" w:eastAsia="Arial" w:hAnsi="Arial"/>
                <w:sz w:val="14"/>
                <w:szCs w:val="14"/>
                <w:color w:val="auto"/>
              </w:rPr>
              <w:t>36,277</w:t>
            </w:r>
          </w:p>
        </w:tc>
        <w:tc>
          <w:tcPr>
            <w:tcW w:w="0" w:type="dxa"/>
            <w:vAlign w:val="bottom"/>
          </w:tcPr>
          <w:p>
            <w:pPr>
              <w:spacing w:after="0"/>
              <w:rPr>
                <w:sz w:val="1"/>
                <w:szCs w:val="1"/>
                <w:color w:val="auto"/>
              </w:rPr>
            </w:pPr>
          </w:p>
        </w:tc>
      </w:tr>
      <w:tr>
        <w:trPr>
          <w:trHeight w:val="243"/>
        </w:trPr>
        <w:tc>
          <w:tcPr>
            <w:tcW w:w="2580" w:type="dxa"/>
            <w:vAlign w:val="bottom"/>
          </w:tcPr>
          <w:p>
            <w:pPr>
              <w:ind w:left="160"/>
              <w:spacing w:after="0"/>
              <w:rPr>
                <w:sz w:val="20"/>
                <w:szCs w:val="20"/>
                <w:color w:val="auto"/>
              </w:rPr>
            </w:pPr>
            <w:r>
              <w:rPr>
                <w:rFonts w:ascii="Arial" w:cs="Arial" w:eastAsia="Arial" w:hAnsi="Arial"/>
                <w:sz w:val="14"/>
                <w:szCs w:val="14"/>
                <w:color w:val="auto"/>
              </w:rPr>
              <w:t>Technology and communications</w:t>
            </w:r>
          </w:p>
        </w:tc>
        <w:tc>
          <w:tcPr>
            <w:tcW w:w="1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8,961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171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259</w:t>
            </w:r>
          </w:p>
        </w:tc>
        <w:tc>
          <w:tcPr>
            <w:tcW w:w="80" w:type="dxa"/>
            <w:vAlign w:val="bottom"/>
          </w:tcPr>
          <w:p>
            <w:pPr>
              <w:spacing w:after="0"/>
              <w:rPr>
                <w:sz w:val="21"/>
                <w:szCs w:val="21"/>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2,594</w:t>
            </w:r>
          </w:p>
        </w:tc>
        <w:tc>
          <w:tcPr>
            <w:tcW w:w="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4,908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9,742</w:t>
            </w:r>
          </w:p>
        </w:tc>
        <w:tc>
          <w:tcPr>
            <w:tcW w:w="80" w:type="dxa"/>
            <w:vAlign w:val="bottom"/>
          </w:tcPr>
          <w:p>
            <w:pPr>
              <w:spacing w:after="0"/>
              <w:rPr>
                <w:sz w:val="21"/>
                <w:szCs w:val="21"/>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2,816</w:t>
            </w:r>
          </w:p>
        </w:tc>
        <w:tc>
          <w:tcPr>
            <w:tcW w:w="80" w:type="dxa"/>
            <w:vAlign w:val="bottom"/>
          </w:tcPr>
          <w:p>
            <w:pPr>
              <w:spacing w:after="0"/>
              <w:rPr>
                <w:sz w:val="21"/>
                <w:szCs w:val="21"/>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4"/>
                <w:szCs w:val="14"/>
                <w:color w:val="auto"/>
              </w:rPr>
              <w:t>(15,956)</w:t>
            </w:r>
          </w:p>
        </w:tc>
        <w:tc>
          <w:tcPr>
            <w:tcW w:w="80" w:type="dxa"/>
            <w:vAlign w:val="bottom"/>
          </w:tcPr>
          <w:p>
            <w:pPr>
              <w:spacing w:after="0"/>
              <w:rPr>
                <w:sz w:val="21"/>
                <w:szCs w:val="21"/>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13,495</w:t>
            </w:r>
          </w:p>
        </w:tc>
        <w:tc>
          <w:tcPr>
            <w:tcW w:w="0" w:type="dxa"/>
            <w:vAlign w:val="bottom"/>
          </w:tcPr>
          <w:p>
            <w:pPr>
              <w:spacing w:after="0"/>
              <w:rPr>
                <w:sz w:val="1"/>
                <w:szCs w:val="1"/>
                <w:color w:val="auto"/>
              </w:rPr>
            </w:pPr>
          </w:p>
        </w:tc>
      </w:tr>
      <w:tr>
        <w:trPr>
          <w:trHeight w:val="243"/>
        </w:trPr>
        <w:tc>
          <w:tcPr>
            <w:tcW w:w="2580" w:type="dxa"/>
            <w:vAlign w:val="bottom"/>
            <w:shd w:val="clear" w:color="auto" w:fill="EAF9E8"/>
          </w:tcPr>
          <w:p>
            <w:pPr>
              <w:ind w:left="160"/>
              <w:spacing w:after="0"/>
              <w:rPr>
                <w:sz w:val="20"/>
                <w:szCs w:val="20"/>
                <w:color w:val="auto"/>
              </w:rPr>
            </w:pPr>
            <w:r>
              <w:rPr>
                <w:rFonts w:ascii="Arial" w:cs="Arial" w:eastAsia="Arial" w:hAnsi="Arial"/>
                <w:sz w:val="14"/>
                <w:szCs w:val="14"/>
                <w:color w:val="auto"/>
              </w:rPr>
              <w:t>Professional services</w:t>
            </w:r>
          </w:p>
        </w:tc>
        <w:tc>
          <w:tcPr>
            <w:tcW w:w="100" w:type="dxa"/>
            <w:vAlign w:val="bottom"/>
            <w:shd w:val="clear" w:color="auto" w:fill="EAF9E8"/>
          </w:tcPr>
          <w:p>
            <w:pPr>
              <w:spacing w:after="0"/>
              <w:rPr>
                <w:sz w:val="21"/>
                <w:szCs w:val="21"/>
                <w:color w:val="auto"/>
              </w:rPr>
            </w:pPr>
          </w:p>
        </w:tc>
        <w:tc>
          <w:tcPr>
            <w:tcW w:w="700" w:type="dxa"/>
            <w:vAlign w:val="bottom"/>
            <w:tcBorders>
              <w:right w:val="single" w:sz="8" w:color="EAF9E8"/>
            </w:tcBorders>
            <w:shd w:val="clear" w:color="auto" w:fill="EAF9E8"/>
          </w:tcPr>
          <w:p>
            <w:pPr>
              <w:jc w:val="right"/>
              <w:spacing w:after="0"/>
              <w:rPr>
                <w:sz w:val="20"/>
                <w:szCs w:val="20"/>
                <w:color w:val="auto"/>
              </w:rPr>
            </w:pPr>
            <w:r>
              <w:rPr>
                <w:rFonts w:ascii="Arial" w:cs="Arial" w:eastAsia="Arial" w:hAnsi="Arial"/>
                <w:sz w:val="14"/>
                <w:szCs w:val="14"/>
                <w:color w:val="auto"/>
              </w:rPr>
              <w:t>6,402</w:t>
            </w:r>
          </w:p>
        </w:tc>
        <w:tc>
          <w:tcPr>
            <w:tcW w:w="12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820" w:type="dxa"/>
            <w:vAlign w:val="bottom"/>
            <w:gridSpan w:val="2"/>
            <w:shd w:val="clear" w:color="auto" w:fill="EAF9E8"/>
          </w:tcPr>
          <w:p>
            <w:pPr>
              <w:jc w:val="right"/>
              <w:ind w:right="80"/>
              <w:spacing w:after="0"/>
              <w:rPr>
                <w:sz w:val="20"/>
                <w:szCs w:val="20"/>
                <w:color w:val="auto"/>
              </w:rPr>
            </w:pPr>
            <w:r>
              <w:rPr>
                <w:rFonts w:ascii="Arial" w:cs="Arial" w:eastAsia="Arial" w:hAnsi="Arial"/>
                <w:sz w:val="14"/>
                <w:szCs w:val="14"/>
                <w:color w:val="auto"/>
              </w:rPr>
              <w:t>(12)</w:t>
            </w:r>
          </w:p>
        </w:tc>
        <w:tc>
          <w:tcPr>
            <w:tcW w:w="100" w:type="dxa"/>
            <w:vAlign w:val="bottom"/>
            <w:shd w:val="clear" w:color="auto" w:fill="EAF9E8"/>
          </w:tcPr>
          <w:p>
            <w:pPr>
              <w:spacing w:after="0"/>
              <w:rPr>
                <w:sz w:val="21"/>
                <w:szCs w:val="21"/>
                <w:color w:val="auto"/>
              </w:rPr>
            </w:pPr>
          </w:p>
        </w:tc>
        <w:tc>
          <w:tcPr>
            <w:tcW w:w="1040" w:type="dxa"/>
            <w:vAlign w:val="bottom"/>
            <w:gridSpan w:val="2"/>
            <w:shd w:val="clear" w:color="auto" w:fill="EAF9E8"/>
          </w:tcPr>
          <w:p>
            <w:pPr>
              <w:jc w:val="right"/>
              <w:ind w:right="120"/>
              <w:spacing w:after="0"/>
              <w:rPr>
                <w:sz w:val="20"/>
                <w:szCs w:val="20"/>
                <w:color w:val="auto"/>
              </w:rPr>
            </w:pPr>
            <w:r>
              <w:rPr>
                <w:rFonts w:ascii="Arial" w:cs="Arial" w:eastAsia="Arial" w:hAnsi="Arial"/>
                <w:sz w:val="14"/>
                <w:szCs w:val="14"/>
                <w:color w:val="auto"/>
              </w:rPr>
              <w:t>427</w:t>
            </w:r>
          </w:p>
        </w:tc>
        <w:tc>
          <w:tcPr>
            <w:tcW w:w="80" w:type="dxa"/>
            <w:vAlign w:val="bottom"/>
            <w:shd w:val="clear" w:color="auto" w:fill="EAF9E8"/>
          </w:tcPr>
          <w:p>
            <w:pPr>
              <w:spacing w:after="0"/>
              <w:rPr>
                <w:sz w:val="21"/>
                <w:szCs w:val="21"/>
                <w:color w:val="auto"/>
              </w:rPr>
            </w:pPr>
          </w:p>
        </w:tc>
        <w:tc>
          <w:tcPr>
            <w:tcW w:w="820" w:type="dxa"/>
            <w:vAlign w:val="bottom"/>
            <w:tcBorders>
              <w:right w:val="single" w:sz="8" w:color="EAF9E8"/>
            </w:tcBorders>
            <w:gridSpan w:val="2"/>
            <w:shd w:val="clear" w:color="auto" w:fill="EAF9E8"/>
          </w:tcPr>
          <w:p>
            <w:pPr>
              <w:jc w:val="right"/>
              <w:ind w:right="140"/>
              <w:spacing w:after="0"/>
              <w:rPr>
                <w:sz w:val="20"/>
                <w:szCs w:val="20"/>
                <w:color w:val="auto"/>
              </w:rPr>
            </w:pPr>
            <w:r>
              <w:rPr>
                <w:rFonts w:ascii="Arial" w:cs="Arial" w:eastAsia="Arial" w:hAnsi="Arial"/>
                <w:sz w:val="14"/>
                <w:szCs w:val="14"/>
                <w:color w:val="auto"/>
              </w:rPr>
              <w:t>517</w:t>
            </w:r>
          </w:p>
        </w:tc>
        <w:tc>
          <w:tcPr>
            <w:tcW w:w="80" w:type="dxa"/>
            <w:vAlign w:val="bottom"/>
            <w:shd w:val="clear" w:color="auto" w:fill="EAF9E8"/>
          </w:tcPr>
          <w:p>
            <w:pPr>
              <w:spacing w:after="0"/>
              <w:rPr>
                <w:sz w:val="21"/>
                <w:szCs w:val="21"/>
                <w:color w:val="auto"/>
              </w:rPr>
            </w:pPr>
          </w:p>
        </w:tc>
        <w:tc>
          <w:tcPr>
            <w:tcW w:w="680" w:type="dxa"/>
            <w:vAlign w:val="bottom"/>
            <w:shd w:val="clear" w:color="auto" w:fill="EAF9E8"/>
          </w:tcPr>
          <w:p>
            <w:pPr>
              <w:jc w:val="right"/>
              <w:spacing w:after="0"/>
              <w:rPr>
                <w:sz w:val="20"/>
                <w:szCs w:val="20"/>
                <w:color w:val="auto"/>
              </w:rPr>
            </w:pPr>
            <w:r>
              <w:rPr>
                <w:rFonts w:ascii="Arial" w:cs="Arial" w:eastAsia="Arial" w:hAnsi="Arial"/>
                <w:sz w:val="14"/>
                <w:szCs w:val="14"/>
                <w:color w:val="auto"/>
              </w:rPr>
              <w:t>1,746</w:t>
            </w:r>
          </w:p>
        </w:tc>
        <w:tc>
          <w:tcPr>
            <w:tcW w:w="120" w:type="dxa"/>
            <w:vAlign w:val="bottom"/>
            <w:tcBorders>
              <w:right w:val="single" w:sz="8" w:color="EAF9E8"/>
            </w:tcBorders>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920" w:type="dxa"/>
            <w:vAlign w:val="bottom"/>
            <w:gridSpan w:val="2"/>
            <w:shd w:val="clear" w:color="auto" w:fill="EAF9E8"/>
          </w:tcPr>
          <w:p>
            <w:pPr>
              <w:jc w:val="right"/>
              <w:ind w:right="120"/>
              <w:spacing w:after="0"/>
              <w:rPr>
                <w:sz w:val="20"/>
                <w:szCs w:val="20"/>
                <w:color w:val="auto"/>
              </w:rPr>
            </w:pPr>
            <w:r>
              <w:rPr>
                <w:rFonts w:ascii="Arial" w:cs="Arial" w:eastAsia="Arial" w:hAnsi="Arial"/>
                <w:sz w:val="14"/>
                <w:szCs w:val="14"/>
                <w:color w:val="auto"/>
              </w:rPr>
              <w:t>9</w:t>
            </w:r>
          </w:p>
        </w:tc>
        <w:tc>
          <w:tcPr>
            <w:tcW w:w="80" w:type="dxa"/>
            <w:vAlign w:val="bottom"/>
            <w:shd w:val="clear" w:color="auto" w:fill="EAF9E8"/>
          </w:tcPr>
          <w:p>
            <w:pPr>
              <w:spacing w:after="0"/>
              <w:rPr>
                <w:sz w:val="21"/>
                <w:szCs w:val="21"/>
                <w:color w:val="auto"/>
              </w:rPr>
            </w:pPr>
          </w:p>
        </w:tc>
        <w:tc>
          <w:tcPr>
            <w:tcW w:w="800" w:type="dxa"/>
            <w:vAlign w:val="bottom"/>
            <w:tcBorders>
              <w:right w:val="single" w:sz="8" w:color="EAF9E8"/>
            </w:tcBorders>
            <w:gridSpan w:val="2"/>
            <w:shd w:val="clear" w:color="auto" w:fill="EAF9E8"/>
          </w:tcPr>
          <w:p>
            <w:pPr>
              <w:jc w:val="right"/>
              <w:ind w:right="120"/>
              <w:spacing w:after="0"/>
              <w:rPr>
                <w:sz w:val="20"/>
                <w:szCs w:val="20"/>
                <w:color w:val="auto"/>
              </w:rPr>
            </w:pPr>
            <w:r>
              <w:rPr>
                <w:rFonts w:ascii="Arial" w:cs="Arial" w:eastAsia="Arial" w:hAnsi="Arial"/>
                <w:sz w:val="14"/>
                <w:szCs w:val="14"/>
                <w:color w:val="auto"/>
              </w:rPr>
              <w:t>12,746</w:t>
            </w:r>
          </w:p>
        </w:tc>
        <w:tc>
          <w:tcPr>
            <w:tcW w:w="80" w:type="dxa"/>
            <w:vAlign w:val="bottom"/>
            <w:shd w:val="clear" w:color="auto" w:fill="EAF9E8"/>
          </w:tcPr>
          <w:p>
            <w:pPr>
              <w:spacing w:after="0"/>
              <w:rPr>
                <w:sz w:val="21"/>
                <w:szCs w:val="21"/>
                <w:color w:val="auto"/>
              </w:rPr>
            </w:pPr>
          </w:p>
        </w:tc>
        <w:tc>
          <w:tcPr>
            <w:tcW w:w="960" w:type="dxa"/>
            <w:vAlign w:val="bottom"/>
            <w:tcBorders>
              <w:right w:val="single" w:sz="8" w:color="EAF9E8"/>
            </w:tcBorders>
            <w:gridSpan w:val="2"/>
            <w:shd w:val="clear" w:color="auto" w:fill="EAF9E8"/>
          </w:tcPr>
          <w:p>
            <w:pPr>
              <w:jc w:val="right"/>
              <w:ind w:right="80"/>
              <w:spacing w:after="0"/>
              <w:rPr>
                <w:sz w:val="20"/>
                <w:szCs w:val="20"/>
                <w:color w:val="auto"/>
              </w:rPr>
            </w:pPr>
            <w:r>
              <w:rPr>
                <w:rFonts w:ascii="Arial" w:cs="Arial" w:eastAsia="Arial" w:hAnsi="Arial"/>
                <w:sz w:val="14"/>
                <w:szCs w:val="14"/>
                <w:color w:val="auto"/>
              </w:rPr>
              <w:t>(63)</w:t>
            </w:r>
          </w:p>
        </w:tc>
        <w:tc>
          <w:tcPr>
            <w:tcW w:w="80" w:type="dxa"/>
            <w:vAlign w:val="bottom"/>
            <w:shd w:val="clear" w:color="auto" w:fill="EAF9E8"/>
          </w:tcPr>
          <w:p>
            <w:pPr>
              <w:spacing w:after="0"/>
              <w:rPr>
                <w:sz w:val="21"/>
                <w:szCs w:val="21"/>
                <w:color w:val="auto"/>
              </w:rPr>
            </w:pPr>
          </w:p>
        </w:tc>
        <w:tc>
          <w:tcPr>
            <w:tcW w:w="980" w:type="dxa"/>
            <w:vAlign w:val="bottom"/>
            <w:gridSpan w:val="2"/>
            <w:shd w:val="clear" w:color="auto" w:fill="EAF9E8"/>
          </w:tcPr>
          <w:p>
            <w:pPr>
              <w:jc w:val="right"/>
              <w:ind w:right="140"/>
              <w:spacing w:after="0"/>
              <w:rPr>
                <w:sz w:val="20"/>
                <w:szCs w:val="20"/>
                <w:color w:val="auto"/>
              </w:rPr>
            </w:pPr>
            <w:r>
              <w:rPr>
                <w:rFonts w:ascii="Arial" w:cs="Arial" w:eastAsia="Arial" w:hAnsi="Arial"/>
                <w:sz w:val="14"/>
                <w:szCs w:val="14"/>
                <w:color w:val="auto"/>
              </w:rPr>
              <w:t>21,772</w:t>
            </w:r>
          </w:p>
        </w:tc>
        <w:tc>
          <w:tcPr>
            <w:tcW w:w="0" w:type="dxa"/>
            <w:vAlign w:val="bottom"/>
          </w:tcPr>
          <w:p>
            <w:pPr>
              <w:spacing w:after="0"/>
              <w:rPr>
                <w:sz w:val="1"/>
                <w:szCs w:val="1"/>
                <w:color w:val="auto"/>
              </w:rPr>
            </w:pPr>
          </w:p>
        </w:tc>
      </w:tr>
      <w:tr>
        <w:trPr>
          <w:trHeight w:val="243"/>
        </w:trPr>
        <w:tc>
          <w:tcPr>
            <w:tcW w:w="2580" w:type="dxa"/>
            <w:vAlign w:val="bottom"/>
          </w:tcPr>
          <w:p>
            <w:pPr>
              <w:ind w:left="160"/>
              <w:spacing w:after="0"/>
              <w:rPr>
                <w:sz w:val="20"/>
                <w:szCs w:val="20"/>
                <w:color w:val="auto"/>
              </w:rPr>
            </w:pPr>
            <w:r>
              <w:rPr>
                <w:rFonts w:ascii="Arial" w:cs="Arial" w:eastAsia="Arial" w:hAnsi="Arial"/>
                <w:sz w:val="14"/>
                <w:szCs w:val="14"/>
                <w:color w:val="auto"/>
              </w:rPr>
              <w:t>Occupancy and equipment</w:t>
            </w:r>
          </w:p>
        </w:tc>
        <w:tc>
          <w:tcPr>
            <w:tcW w:w="1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7,542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119</w:t>
            </w:r>
          </w:p>
        </w:tc>
        <w:tc>
          <w:tcPr>
            <w:tcW w:w="80" w:type="dxa"/>
            <w:vAlign w:val="bottom"/>
          </w:tcPr>
          <w:p>
            <w:pPr>
              <w:spacing w:after="0"/>
              <w:rPr>
                <w:sz w:val="21"/>
                <w:szCs w:val="21"/>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759</w:t>
            </w:r>
          </w:p>
        </w:tc>
        <w:tc>
          <w:tcPr>
            <w:tcW w:w="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2,871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1,382</w:t>
            </w:r>
          </w:p>
        </w:tc>
        <w:tc>
          <w:tcPr>
            <w:tcW w:w="80" w:type="dxa"/>
            <w:vAlign w:val="bottom"/>
          </w:tcPr>
          <w:p>
            <w:pPr>
              <w:spacing w:after="0"/>
              <w:rPr>
                <w:sz w:val="21"/>
                <w:szCs w:val="21"/>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2,380</w:t>
            </w:r>
          </w:p>
        </w:tc>
        <w:tc>
          <w:tcPr>
            <w:tcW w:w="80" w:type="dxa"/>
            <w:vAlign w:val="bottom"/>
          </w:tcPr>
          <w:p>
            <w:pPr>
              <w:spacing w:after="0"/>
              <w:rPr>
                <w:sz w:val="21"/>
                <w:szCs w:val="21"/>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1"/>
                <w:szCs w:val="21"/>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15,056</w:t>
            </w:r>
          </w:p>
        </w:tc>
        <w:tc>
          <w:tcPr>
            <w:tcW w:w="0" w:type="dxa"/>
            <w:vAlign w:val="bottom"/>
          </w:tcPr>
          <w:p>
            <w:pPr>
              <w:spacing w:after="0"/>
              <w:rPr>
                <w:sz w:val="1"/>
                <w:szCs w:val="1"/>
                <w:color w:val="auto"/>
              </w:rPr>
            </w:pPr>
          </w:p>
        </w:tc>
      </w:tr>
      <w:tr>
        <w:trPr>
          <w:trHeight w:val="243"/>
        </w:trPr>
        <w:tc>
          <w:tcPr>
            <w:tcW w:w="2580" w:type="dxa"/>
            <w:vAlign w:val="bottom"/>
            <w:shd w:val="clear" w:color="auto" w:fill="EAF9E8"/>
          </w:tcPr>
          <w:p>
            <w:pPr>
              <w:ind w:left="160"/>
              <w:spacing w:after="0"/>
              <w:rPr>
                <w:sz w:val="20"/>
                <w:szCs w:val="20"/>
                <w:color w:val="auto"/>
              </w:rPr>
            </w:pPr>
            <w:r>
              <w:rPr>
                <w:rFonts w:ascii="Arial" w:cs="Arial" w:eastAsia="Arial" w:hAnsi="Arial"/>
                <w:sz w:val="14"/>
                <w:szCs w:val="14"/>
                <w:color w:val="auto"/>
              </w:rPr>
              <w:t>Other operating expenses</w:t>
            </w:r>
          </w:p>
        </w:tc>
        <w:tc>
          <w:tcPr>
            <w:tcW w:w="100" w:type="dxa"/>
            <w:vAlign w:val="bottom"/>
            <w:shd w:val="clear" w:color="auto" w:fill="EAF9E8"/>
          </w:tcPr>
          <w:p>
            <w:pPr>
              <w:spacing w:after="0"/>
              <w:rPr>
                <w:sz w:val="21"/>
                <w:szCs w:val="21"/>
                <w:color w:val="auto"/>
              </w:rPr>
            </w:pPr>
          </w:p>
        </w:tc>
        <w:tc>
          <w:tcPr>
            <w:tcW w:w="700" w:type="dxa"/>
            <w:vAlign w:val="bottom"/>
            <w:tcBorders>
              <w:right w:val="single" w:sz="8" w:color="EAF9E8"/>
            </w:tcBorders>
            <w:shd w:val="clear" w:color="auto" w:fill="EAF9E8"/>
          </w:tcPr>
          <w:p>
            <w:pPr>
              <w:jc w:val="right"/>
              <w:spacing w:after="0"/>
              <w:rPr>
                <w:sz w:val="20"/>
                <w:szCs w:val="20"/>
                <w:color w:val="auto"/>
              </w:rPr>
            </w:pPr>
            <w:r>
              <w:rPr>
                <w:rFonts w:ascii="Arial" w:cs="Arial" w:eastAsia="Arial" w:hAnsi="Arial"/>
                <w:sz w:val="14"/>
                <w:szCs w:val="14"/>
                <w:color w:val="auto"/>
              </w:rPr>
              <w:t>19,478</w:t>
            </w:r>
          </w:p>
        </w:tc>
        <w:tc>
          <w:tcPr>
            <w:tcW w:w="12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700" w:type="dxa"/>
            <w:vAlign w:val="bottom"/>
            <w:shd w:val="clear" w:color="auto" w:fill="EAF9E8"/>
          </w:tcPr>
          <w:p>
            <w:pPr>
              <w:jc w:val="right"/>
              <w:spacing w:after="0"/>
              <w:rPr>
                <w:sz w:val="20"/>
                <w:szCs w:val="20"/>
                <w:color w:val="auto"/>
              </w:rPr>
            </w:pPr>
            <w:r>
              <w:rPr>
                <w:rFonts w:ascii="Arial" w:cs="Arial" w:eastAsia="Arial" w:hAnsi="Arial"/>
                <w:sz w:val="14"/>
                <w:szCs w:val="14"/>
                <w:color w:val="auto"/>
              </w:rPr>
              <w:t>2,016</w:t>
            </w:r>
          </w:p>
        </w:tc>
        <w:tc>
          <w:tcPr>
            <w:tcW w:w="12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1040" w:type="dxa"/>
            <w:vAlign w:val="bottom"/>
            <w:gridSpan w:val="2"/>
            <w:shd w:val="clear" w:color="auto" w:fill="EAF9E8"/>
          </w:tcPr>
          <w:p>
            <w:pPr>
              <w:jc w:val="right"/>
              <w:ind w:right="80"/>
              <w:spacing w:after="0"/>
              <w:rPr>
                <w:sz w:val="20"/>
                <w:szCs w:val="20"/>
                <w:color w:val="auto"/>
              </w:rPr>
            </w:pPr>
            <w:r>
              <w:rPr>
                <w:rFonts w:ascii="Arial" w:cs="Arial" w:eastAsia="Arial" w:hAnsi="Arial"/>
                <w:sz w:val="14"/>
                <w:szCs w:val="14"/>
                <w:color w:val="auto"/>
              </w:rPr>
              <w:t>(976)</w:t>
            </w:r>
          </w:p>
        </w:tc>
        <w:tc>
          <w:tcPr>
            <w:tcW w:w="80" w:type="dxa"/>
            <w:vAlign w:val="bottom"/>
            <w:shd w:val="clear" w:color="auto" w:fill="EAF9E8"/>
          </w:tcPr>
          <w:p>
            <w:pPr>
              <w:spacing w:after="0"/>
              <w:rPr>
                <w:sz w:val="21"/>
                <w:szCs w:val="21"/>
                <w:color w:val="auto"/>
              </w:rPr>
            </w:pPr>
          </w:p>
        </w:tc>
        <w:tc>
          <w:tcPr>
            <w:tcW w:w="820" w:type="dxa"/>
            <w:vAlign w:val="bottom"/>
            <w:tcBorders>
              <w:right w:val="single" w:sz="8" w:color="EAF9E8"/>
            </w:tcBorders>
            <w:gridSpan w:val="2"/>
            <w:shd w:val="clear" w:color="auto" w:fill="EAF9E8"/>
          </w:tcPr>
          <w:p>
            <w:pPr>
              <w:jc w:val="right"/>
              <w:ind w:right="140"/>
              <w:spacing w:after="0"/>
              <w:rPr>
                <w:sz w:val="20"/>
                <w:szCs w:val="20"/>
                <w:color w:val="auto"/>
              </w:rPr>
            </w:pPr>
            <w:r>
              <w:rPr>
                <w:rFonts w:ascii="Arial" w:cs="Arial" w:eastAsia="Arial" w:hAnsi="Arial"/>
                <w:sz w:val="14"/>
                <w:szCs w:val="14"/>
                <w:color w:val="auto"/>
              </w:rPr>
              <w:t>3,696</w:t>
            </w:r>
          </w:p>
        </w:tc>
        <w:tc>
          <w:tcPr>
            <w:tcW w:w="80" w:type="dxa"/>
            <w:vAlign w:val="bottom"/>
            <w:shd w:val="clear" w:color="auto" w:fill="EAF9E8"/>
          </w:tcPr>
          <w:p>
            <w:pPr>
              <w:spacing w:after="0"/>
              <w:rPr>
                <w:sz w:val="21"/>
                <w:szCs w:val="21"/>
                <w:color w:val="auto"/>
              </w:rPr>
            </w:pPr>
          </w:p>
        </w:tc>
        <w:tc>
          <w:tcPr>
            <w:tcW w:w="680" w:type="dxa"/>
            <w:vAlign w:val="bottom"/>
            <w:shd w:val="clear" w:color="auto" w:fill="EAF9E8"/>
          </w:tcPr>
          <w:p>
            <w:pPr>
              <w:jc w:val="right"/>
              <w:spacing w:after="0"/>
              <w:rPr>
                <w:sz w:val="20"/>
                <w:szCs w:val="20"/>
                <w:color w:val="auto"/>
              </w:rPr>
            </w:pPr>
            <w:r>
              <w:rPr>
                <w:rFonts w:ascii="Arial" w:cs="Arial" w:eastAsia="Arial" w:hAnsi="Arial"/>
                <w:sz w:val="14"/>
                <w:szCs w:val="14"/>
                <w:color w:val="auto"/>
              </w:rPr>
              <w:t>7,271</w:t>
            </w:r>
          </w:p>
        </w:tc>
        <w:tc>
          <w:tcPr>
            <w:tcW w:w="120" w:type="dxa"/>
            <w:vAlign w:val="bottom"/>
            <w:tcBorders>
              <w:right w:val="single" w:sz="8" w:color="EAF9E8"/>
            </w:tcBorders>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920" w:type="dxa"/>
            <w:vAlign w:val="bottom"/>
            <w:gridSpan w:val="2"/>
            <w:shd w:val="clear" w:color="auto" w:fill="EAF9E8"/>
          </w:tcPr>
          <w:p>
            <w:pPr>
              <w:jc w:val="right"/>
              <w:ind w:right="120"/>
              <w:spacing w:after="0"/>
              <w:rPr>
                <w:sz w:val="20"/>
                <w:szCs w:val="20"/>
                <w:color w:val="auto"/>
              </w:rPr>
            </w:pPr>
            <w:r>
              <w:rPr>
                <w:rFonts w:ascii="Arial" w:cs="Arial" w:eastAsia="Arial" w:hAnsi="Arial"/>
                <w:sz w:val="14"/>
                <w:szCs w:val="14"/>
                <w:color w:val="auto"/>
              </w:rPr>
              <w:t>2,216</w:t>
            </w:r>
          </w:p>
        </w:tc>
        <w:tc>
          <w:tcPr>
            <w:tcW w:w="80" w:type="dxa"/>
            <w:vAlign w:val="bottom"/>
            <w:shd w:val="clear" w:color="auto" w:fill="EAF9E8"/>
          </w:tcPr>
          <w:p>
            <w:pPr>
              <w:spacing w:after="0"/>
              <w:rPr>
                <w:sz w:val="21"/>
                <w:szCs w:val="21"/>
                <w:color w:val="auto"/>
              </w:rPr>
            </w:pPr>
          </w:p>
        </w:tc>
        <w:tc>
          <w:tcPr>
            <w:tcW w:w="800" w:type="dxa"/>
            <w:vAlign w:val="bottom"/>
            <w:tcBorders>
              <w:right w:val="single" w:sz="8" w:color="EAF9E8"/>
            </w:tcBorders>
            <w:gridSpan w:val="2"/>
            <w:shd w:val="clear" w:color="auto" w:fill="EAF9E8"/>
          </w:tcPr>
          <w:p>
            <w:pPr>
              <w:jc w:val="right"/>
              <w:ind w:right="60"/>
              <w:spacing w:after="0"/>
              <w:rPr>
                <w:sz w:val="20"/>
                <w:szCs w:val="20"/>
                <w:color w:val="auto"/>
              </w:rPr>
            </w:pPr>
            <w:r>
              <w:rPr>
                <w:rFonts w:ascii="Arial" w:cs="Arial" w:eastAsia="Arial" w:hAnsi="Arial"/>
                <w:sz w:val="14"/>
                <w:szCs w:val="14"/>
                <w:color w:val="auto"/>
              </w:rPr>
              <w:t>(22,122)</w:t>
            </w:r>
          </w:p>
        </w:tc>
        <w:tc>
          <w:tcPr>
            <w:tcW w:w="80" w:type="dxa"/>
            <w:vAlign w:val="bottom"/>
            <w:shd w:val="clear" w:color="auto" w:fill="EAF9E8"/>
          </w:tcPr>
          <w:p>
            <w:pPr>
              <w:spacing w:after="0"/>
              <w:rPr>
                <w:sz w:val="21"/>
                <w:szCs w:val="21"/>
                <w:color w:val="auto"/>
              </w:rPr>
            </w:pPr>
          </w:p>
        </w:tc>
        <w:tc>
          <w:tcPr>
            <w:tcW w:w="960" w:type="dxa"/>
            <w:vAlign w:val="bottom"/>
            <w:tcBorders>
              <w:right w:val="single" w:sz="8" w:color="EAF9E8"/>
            </w:tcBorders>
            <w:gridSpan w:val="2"/>
            <w:shd w:val="clear" w:color="auto" w:fill="EAF9E8"/>
          </w:tcPr>
          <w:p>
            <w:pPr>
              <w:jc w:val="right"/>
              <w:ind w:right="80"/>
              <w:spacing w:after="0"/>
              <w:rPr>
                <w:sz w:val="20"/>
                <w:szCs w:val="20"/>
                <w:color w:val="auto"/>
              </w:rPr>
            </w:pPr>
            <w:r>
              <w:rPr>
                <w:rFonts w:ascii="Arial" w:cs="Arial" w:eastAsia="Arial" w:hAnsi="Arial"/>
                <w:sz w:val="14"/>
                <w:szCs w:val="14"/>
                <w:color w:val="auto"/>
              </w:rPr>
              <w:t>(391)</w:t>
            </w:r>
          </w:p>
        </w:tc>
        <w:tc>
          <w:tcPr>
            <w:tcW w:w="80" w:type="dxa"/>
            <w:vAlign w:val="bottom"/>
            <w:shd w:val="clear" w:color="auto" w:fill="EAF9E8"/>
          </w:tcPr>
          <w:p>
            <w:pPr>
              <w:spacing w:after="0"/>
              <w:rPr>
                <w:sz w:val="21"/>
                <w:szCs w:val="21"/>
                <w:color w:val="auto"/>
              </w:rPr>
            </w:pPr>
          </w:p>
        </w:tc>
        <w:tc>
          <w:tcPr>
            <w:tcW w:w="980" w:type="dxa"/>
            <w:vAlign w:val="bottom"/>
            <w:gridSpan w:val="2"/>
            <w:shd w:val="clear" w:color="auto" w:fill="EAF9E8"/>
          </w:tcPr>
          <w:p>
            <w:pPr>
              <w:jc w:val="right"/>
              <w:ind w:right="140"/>
              <w:spacing w:after="0"/>
              <w:rPr>
                <w:sz w:val="20"/>
                <w:szCs w:val="20"/>
                <w:color w:val="auto"/>
              </w:rPr>
            </w:pPr>
            <w:r>
              <w:rPr>
                <w:rFonts w:ascii="Arial" w:cs="Arial" w:eastAsia="Arial" w:hAnsi="Arial"/>
                <w:sz w:val="14"/>
                <w:szCs w:val="14"/>
                <w:color w:val="auto"/>
              </w:rPr>
              <w:t>11,188</w:t>
            </w:r>
          </w:p>
        </w:tc>
        <w:tc>
          <w:tcPr>
            <w:tcW w:w="0" w:type="dxa"/>
            <w:vAlign w:val="bottom"/>
          </w:tcPr>
          <w:p>
            <w:pPr>
              <w:spacing w:after="0"/>
              <w:rPr>
                <w:sz w:val="1"/>
                <w:szCs w:val="1"/>
                <w:color w:val="auto"/>
              </w:rPr>
            </w:pPr>
          </w:p>
        </w:tc>
      </w:tr>
      <w:tr>
        <w:trPr>
          <w:trHeight w:val="20"/>
        </w:trPr>
        <w:tc>
          <w:tcPr>
            <w:tcW w:w="2580" w:type="dxa"/>
            <w:vAlign w:val="bottom"/>
            <w:shd w:val="clear" w:color="auto" w:fill="EAF9E8"/>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tcBorders>
              <w:right w:val="single" w:sz="8" w:color="EAF9E8"/>
            </w:tcBorders>
            <w:shd w:val="clear" w:color="auto" w:fill="000000"/>
          </w:tcPr>
          <w:p>
            <w:pPr>
              <w:spacing w:after="0" w:line="20" w:lineRule="exact"/>
              <w:rPr>
                <w:sz w:val="1"/>
                <w:szCs w:val="1"/>
                <w:color w:val="auto"/>
              </w:rPr>
            </w:pPr>
          </w:p>
        </w:tc>
        <w:tc>
          <w:tcPr>
            <w:tcW w:w="120" w:type="dxa"/>
            <w:vAlign w:val="bottom"/>
            <w:shd w:val="clear" w:color="auto" w:fill="EAF9E8"/>
          </w:tcPr>
          <w:p>
            <w:pPr>
              <w:spacing w:after="0" w:line="20" w:lineRule="exact"/>
              <w:rPr>
                <w:sz w:val="1"/>
                <w:szCs w:val="1"/>
                <w:color w:val="auto"/>
              </w:rPr>
            </w:pPr>
          </w:p>
        </w:tc>
        <w:tc>
          <w:tcPr>
            <w:tcW w:w="100" w:type="dxa"/>
            <w:vAlign w:val="bottom"/>
            <w:shd w:val="clear" w:color="auto" w:fill="EAF9E8"/>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EAF9E8"/>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EAF9E8"/>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Borders>
              <w:right w:val="single" w:sz="8" w:color="EAF9E8"/>
            </w:tcBorders>
            <w:shd w:val="clear" w:color="auto" w:fill="EAF9E8"/>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Borders>
              <w:right w:val="single" w:sz="8" w:color="EAF9E8"/>
            </w:tcBorders>
            <w:shd w:val="clear" w:color="auto" w:fill="EAF9E8"/>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EAF9E8"/>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Borders>
              <w:right w:val="single" w:sz="8" w:color="EAF9E8"/>
            </w:tcBorders>
            <w:shd w:val="clear" w:color="auto" w:fill="EAF9E8"/>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Borders>
              <w:right w:val="single" w:sz="8" w:color="EAF9E8"/>
            </w:tcBorders>
            <w:shd w:val="clear" w:color="auto" w:fill="EAF9E8"/>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EAF9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580" w:type="dxa"/>
            <w:vAlign w:val="bottom"/>
          </w:tcPr>
          <w:p>
            <w:pPr>
              <w:ind w:left="320"/>
              <w:spacing w:after="0"/>
              <w:rPr>
                <w:sz w:val="20"/>
                <w:szCs w:val="20"/>
                <w:color w:val="auto"/>
              </w:rPr>
            </w:pPr>
            <w:r>
              <w:rPr>
                <w:rFonts w:ascii="Arial" w:cs="Arial" w:eastAsia="Arial" w:hAnsi="Arial"/>
                <w:sz w:val="14"/>
                <w:szCs w:val="14"/>
                <w:color w:val="auto"/>
              </w:rPr>
              <w:t>Total operating expenses</w:t>
            </w: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97,922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2,202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2,530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37,039</w:t>
            </w:r>
          </w:p>
        </w:tc>
        <w:tc>
          <w:tcPr>
            <w:tcW w:w="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45,001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18,638</w:t>
            </w:r>
          </w:p>
        </w:tc>
        <w:tc>
          <w:tcPr>
            <w:tcW w:w="8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11,367</w:t>
            </w:r>
          </w:p>
        </w:tc>
        <w:tc>
          <w:tcPr>
            <w:tcW w:w="8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4"/>
                <w:szCs w:val="14"/>
                <w:color w:val="auto"/>
              </w:rPr>
              <w:t>(16,410)</w:t>
            </w:r>
          </w:p>
        </w:tc>
        <w:tc>
          <w:tcPr>
            <w:tcW w:w="8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198,289</w:t>
            </w:r>
          </w:p>
        </w:tc>
        <w:tc>
          <w:tcPr>
            <w:tcW w:w="0" w:type="dxa"/>
            <w:vAlign w:val="bottom"/>
          </w:tcPr>
          <w:p>
            <w:pPr>
              <w:spacing w:after="0"/>
              <w:rPr>
                <w:sz w:val="1"/>
                <w:szCs w:val="1"/>
                <w:color w:val="auto"/>
              </w:rPr>
            </w:pPr>
          </w:p>
        </w:tc>
      </w:tr>
      <w:tr>
        <w:trPr>
          <w:trHeight w:val="237"/>
        </w:trPr>
        <w:tc>
          <w:tcPr>
            <w:tcW w:w="258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580" w:type="dxa"/>
            <w:vAlign w:val="bottom"/>
            <w:shd w:val="clear" w:color="auto" w:fill="EAF9E8"/>
          </w:tcPr>
          <w:p>
            <w:pPr>
              <w:spacing w:after="0"/>
              <w:rPr>
                <w:sz w:val="20"/>
                <w:szCs w:val="20"/>
                <w:color w:val="auto"/>
              </w:rPr>
            </w:pPr>
            <w:r>
              <w:rPr>
                <w:rFonts w:ascii="Arial" w:cs="Arial" w:eastAsia="Arial" w:hAnsi="Arial"/>
                <w:sz w:val="14"/>
                <w:szCs w:val="14"/>
                <w:b w:val="1"/>
                <w:bCs w:val="1"/>
                <w:color w:val="auto"/>
              </w:rPr>
              <w:t>Income (loss) from operations</w:t>
            </w:r>
          </w:p>
        </w:tc>
        <w:tc>
          <w:tcPr>
            <w:tcW w:w="100" w:type="dxa"/>
            <w:vAlign w:val="bottom"/>
            <w:shd w:val="clear" w:color="auto" w:fill="EAF9E8"/>
          </w:tcPr>
          <w:p>
            <w:pPr>
              <w:spacing w:after="0"/>
              <w:rPr>
                <w:sz w:val="21"/>
                <w:szCs w:val="21"/>
                <w:color w:val="auto"/>
              </w:rPr>
            </w:pPr>
          </w:p>
        </w:tc>
        <w:tc>
          <w:tcPr>
            <w:tcW w:w="700" w:type="dxa"/>
            <w:vAlign w:val="bottom"/>
            <w:tcBorders>
              <w:right w:val="single" w:sz="8" w:color="EAF9E8"/>
            </w:tcBorders>
            <w:shd w:val="clear" w:color="auto" w:fill="EAF9E8"/>
          </w:tcPr>
          <w:p>
            <w:pPr>
              <w:jc w:val="right"/>
              <w:spacing w:after="0"/>
              <w:rPr>
                <w:sz w:val="20"/>
                <w:szCs w:val="20"/>
                <w:color w:val="auto"/>
              </w:rPr>
            </w:pPr>
            <w:r>
              <w:rPr>
                <w:rFonts w:ascii="Arial" w:cs="Arial" w:eastAsia="Arial" w:hAnsi="Arial"/>
                <w:sz w:val="14"/>
                <w:szCs w:val="14"/>
                <w:color w:val="auto"/>
              </w:rPr>
              <w:t>101,617</w:t>
            </w:r>
          </w:p>
        </w:tc>
        <w:tc>
          <w:tcPr>
            <w:tcW w:w="12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820" w:type="dxa"/>
            <w:vAlign w:val="bottom"/>
            <w:gridSpan w:val="2"/>
            <w:shd w:val="clear" w:color="auto" w:fill="EAF9E8"/>
          </w:tcPr>
          <w:p>
            <w:pPr>
              <w:jc w:val="right"/>
              <w:ind w:right="80"/>
              <w:spacing w:after="0"/>
              <w:rPr>
                <w:sz w:val="20"/>
                <w:szCs w:val="20"/>
                <w:color w:val="auto"/>
              </w:rPr>
            </w:pPr>
            <w:r>
              <w:rPr>
                <w:rFonts w:ascii="Arial" w:cs="Arial" w:eastAsia="Arial" w:hAnsi="Arial"/>
                <w:sz w:val="14"/>
                <w:szCs w:val="14"/>
                <w:color w:val="auto"/>
              </w:rPr>
              <w:t>(2,202)</w:t>
            </w:r>
          </w:p>
        </w:tc>
        <w:tc>
          <w:tcPr>
            <w:tcW w:w="100" w:type="dxa"/>
            <w:vAlign w:val="bottom"/>
            <w:shd w:val="clear" w:color="auto" w:fill="EAF9E8"/>
          </w:tcPr>
          <w:p>
            <w:pPr>
              <w:spacing w:after="0"/>
              <w:rPr>
                <w:sz w:val="21"/>
                <w:szCs w:val="21"/>
                <w:color w:val="auto"/>
              </w:rPr>
            </w:pPr>
          </w:p>
        </w:tc>
        <w:tc>
          <w:tcPr>
            <w:tcW w:w="1040" w:type="dxa"/>
            <w:vAlign w:val="bottom"/>
            <w:gridSpan w:val="2"/>
            <w:shd w:val="clear" w:color="auto" w:fill="EAF9E8"/>
          </w:tcPr>
          <w:p>
            <w:pPr>
              <w:jc w:val="right"/>
              <w:ind w:right="80"/>
              <w:spacing w:after="0"/>
              <w:rPr>
                <w:sz w:val="20"/>
                <w:szCs w:val="20"/>
                <w:color w:val="auto"/>
              </w:rPr>
            </w:pPr>
            <w:r>
              <w:rPr>
                <w:rFonts w:ascii="Arial" w:cs="Arial" w:eastAsia="Arial" w:hAnsi="Arial"/>
                <w:sz w:val="14"/>
                <w:szCs w:val="14"/>
                <w:color w:val="auto"/>
              </w:rPr>
              <w:t>(1,101)</w:t>
            </w:r>
          </w:p>
        </w:tc>
        <w:tc>
          <w:tcPr>
            <w:tcW w:w="80" w:type="dxa"/>
            <w:vAlign w:val="bottom"/>
            <w:shd w:val="clear" w:color="auto" w:fill="EAF9E8"/>
          </w:tcPr>
          <w:p>
            <w:pPr>
              <w:spacing w:after="0"/>
              <w:rPr>
                <w:sz w:val="21"/>
                <w:szCs w:val="21"/>
                <w:color w:val="auto"/>
              </w:rPr>
            </w:pPr>
          </w:p>
        </w:tc>
        <w:tc>
          <w:tcPr>
            <w:tcW w:w="820" w:type="dxa"/>
            <w:vAlign w:val="bottom"/>
            <w:tcBorders>
              <w:right w:val="single" w:sz="8" w:color="EAF9E8"/>
            </w:tcBorders>
            <w:gridSpan w:val="2"/>
            <w:shd w:val="clear" w:color="auto" w:fill="EAF9E8"/>
          </w:tcPr>
          <w:p>
            <w:pPr>
              <w:jc w:val="right"/>
              <w:ind w:right="140"/>
              <w:spacing w:after="0"/>
              <w:rPr>
                <w:sz w:val="20"/>
                <w:szCs w:val="20"/>
                <w:color w:val="auto"/>
              </w:rPr>
            </w:pPr>
            <w:r>
              <w:rPr>
                <w:rFonts w:ascii="Arial" w:cs="Arial" w:eastAsia="Arial" w:hAnsi="Arial"/>
                <w:sz w:val="14"/>
                <w:szCs w:val="14"/>
                <w:color w:val="auto"/>
              </w:rPr>
              <w:t>17,013</w:t>
            </w:r>
          </w:p>
        </w:tc>
        <w:tc>
          <w:tcPr>
            <w:tcW w:w="80" w:type="dxa"/>
            <w:vAlign w:val="bottom"/>
            <w:shd w:val="clear" w:color="auto" w:fill="EAF9E8"/>
          </w:tcPr>
          <w:p>
            <w:pPr>
              <w:spacing w:after="0"/>
              <w:rPr>
                <w:sz w:val="21"/>
                <w:szCs w:val="21"/>
                <w:color w:val="auto"/>
              </w:rPr>
            </w:pPr>
          </w:p>
        </w:tc>
        <w:tc>
          <w:tcPr>
            <w:tcW w:w="800" w:type="dxa"/>
            <w:vAlign w:val="bottom"/>
            <w:tcBorders>
              <w:right w:val="single" w:sz="8" w:color="EAF9E8"/>
            </w:tcBorders>
            <w:gridSpan w:val="2"/>
            <w:shd w:val="clear" w:color="auto" w:fill="EAF9E8"/>
          </w:tcPr>
          <w:p>
            <w:pPr>
              <w:jc w:val="right"/>
              <w:ind w:right="80"/>
              <w:spacing w:after="0"/>
              <w:rPr>
                <w:sz w:val="20"/>
                <w:szCs w:val="20"/>
                <w:color w:val="auto"/>
              </w:rPr>
            </w:pPr>
            <w:r>
              <w:rPr>
                <w:rFonts w:ascii="Arial" w:cs="Arial" w:eastAsia="Arial" w:hAnsi="Arial"/>
                <w:sz w:val="14"/>
                <w:szCs w:val="14"/>
                <w:color w:val="auto"/>
              </w:rPr>
              <w:t>(4,708)</w:t>
            </w:r>
          </w:p>
        </w:tc>
        <w:tc>
          <w:tcPr>
            <w:tcW w:w="100" w:type="dxa"/>
            <w:vAlign w:val="bottom"/>
            <w:shd w:val="clear" w:color="auto" w:fill="EAF9E8"/>
          </w:tcPr>
          <w:p>
            <w:pPr>
              <w:spacing w:after="0"/>
              <w:rPr>
                <w:sz w:val="21"/>
                <w:szCs w:val="21"/>
                <w:color w:val="auto"/>
              </w:rPr>
            </w:pPr>
          </w:p>
        </w:tc>
        <w:tc>
          <w:tcPr>
            <w:tcW w:w="920" w:type="dxa"/>
            <w:vAlign w:val="bottom"/>
            <w:gridSpan w:val="2"/>
            <w:shd w:val="clear" w:color="auto" w:fill="EAF9E8"/>
          </w:tcPr>
          <w:p>
            <w:pPr>
              <w:jc w:val="right"/>
              <w:ind w:right="120"/>
              <w:spacing w:after="0"/>
              <w:rPr>
                <w:sz w:val="20"/>
                <w:szCs w:val="20"/>
                <w:color w:val="auto"/>
              </w:rPr>
            </w:pPr>
            <w:r>
              <w:rPr>
                <w:rFonts w:ascii="Arial" w:cs="Arial" w:eastAsia="Arial" w:hAnsi="Arial"/>
                <w:sz w:val="14"/>
                <w:szCs w:val="14"/>
                <w:color w:val="auto"/>
              </w:rPr>
              <w:t>9,693</w:t>
            </w:r>
          </w:p>
        </w:tc>
        <w:tc>
          <w:tcPr>
            <w:tcW w:w="80" w:type="dxa"/>
            <w:vAlign w:val="bottom"/>
            <w:shd w:val="clear" w:color="auto" w:fill="EAF9E8"/>
          </w:tcPr>
          <w:p>
            <w:pPr>
              <w:spacing w:after="0"/>
              <w:rPr>
                <w:sz w:val="21"/>
                <w:szCs w:val="21"/>
                <w:color w:val="auto"/>
              </w:rPr>
            </w:pPr>
          </w:p>
        </w:tc>
        <w:tc>
          <w:tcPr>
            <w:tcW w:w="800" w:type="dxa"/>
            <w:vAlign w:val="bottom"/>
            <w:tcBorders>
              <w:right w:val="single" w:sz="8" w:color="EAF9E8"/>
            </w:tcBorders>
            <w:gridSpan w:val="2"/>
            <w:shd w:val="clear" w:color="auto" w:fill="EAF9E8"/>
          </w:tcPr>
          <w:p>
            <w:pPr>
              <w:jc w:val="right"/>
              <w:ind w:right="60"/>
              <w:spacing w:after="0"/>
              <w:rPr>
                <w:sz w:val="20"/>
                <w:szCs w:val="20"/>
                <w:color w:val="auto"/>
              </w:rPr>
            </w:pPr>
            <w:r>
              <w:rPr>
                <w:rFonts w:ascii="Arial" w:cs="Arial" w:eastAsia="Arial" w:hAnsi="Arial"/>
                <w:sz w:val="14"/>
                <w:szCs w:val="14"/>
                <w:color w:val="auto"/>
              </w:rPr>
              <w:t>(10,686)</w:t>
            </w:r>
          </w:p>
        </w:tc>
        <w:tc>
          <w:tcPr>
            <w:tcW w:w="80" w:type="dxa"/>
            <w:vAlign w:val="bottom"/>
            <w:shd w:val="clear" w:color="auto" w:fill="EAF9E8"/>
          </w:tcPr>
          <w:p>
            <w:pPr>
              <w:spacing w:after="0"/>
              <w:rPr>
                <w:sz w:val="21"/>
                <w:szCs w:val="21"/>
                <w:color w:val="auto"/>
              </w:rPr>
            </w:pPr>
          </w:p>
        </w:tc>
        <w:tc>
          <w:tcPr>
            <w:tcW w:w="960" w:type="dxa"/>
            <w:vAlign w:val="bottom"/>
            <w:tcBorders>
              <w:right w:val="single" w:sz="8" w:color="EAF9E8"/>
            </w:tcBorders>
            <w:gridSpan w:val="2"/>
            <w:shd w:val="clear" w:color="auto" w:fill="EAF9E8"/>
          </w:tcPr>
          <w:p>
            <w:pPr>
              <w:jc w:val="right"/>
              <w:ind w:right="80"/>
              <w:spacing w:after="0"/>
              <w:rPr>
                <w:sz w:val="20"/>
                <w:szCs w:val="20"/>
                <w:color w:val="auto"/>
              </w:rPr>
            </w:pPr>
            <w:r>
              <w:rPr>
                <w:rFonts w:ascii="Arial" w:cs="Arial" w:eastAsia="Arial" w:hAnsi="Arial"/>
                <w:sz w:val="14"/>
                <w:szCs w:val="14"/>
                <w:color w:val="auto"/>
              </w:rPr>
              <w:t>(794)</w:t>
            </w:r>
          </w:p>
        </w:tc>
        <w:tc>
          <w:tcPr>
            <w:tcW w:w="80" w:type="dxa"/>
            <w:vAlign w:val="bottom"/>
            <w:shd w:val="clear" w:color="auto" w:fill="EAF9E8"/>
          </w:tcPr>
          <w:p>
            <w:pPr>
              <w:spacing w:after="0"/>
              <w:rPr>
                <w:sz w:val="21"/>
                <w:szCs w:val="21"/>
                <w:color w:val="auto"/>
              </w:rPr>
            </w:pPr>
          </w:p>
        </w:tc>
        <w:tc>
          <w:tcPr>
            <w:tcW w:w="980" w:type="dxa"/>
            <w:vAlign w:val="bottom"/>
            <w:gridSpan w:val="2"/>
            <w:shd w:val="clear" w:color="auto" w:fill="EAF9E8"/>
          </w:tcPr>
          <w:p>
            <w:pPr>
              <w:jc w:val="right"/>
              <w:ind w:right="140"/>
              <w:spacing w:after="0"/>
              <w:rPr>
                <w:sz w:val="20"/>
                <w:szCs w:val="20"/>
                <w:color w:val="auto"/>
              </w:rPr>
            </w:pPr>
            <w:r>
              <w:rPr>
                <w:rFonts w:ascii="Arial" w:cs="Arial" w:eastAsia="Arial" w:hAnsi="Arial"/>
                <w:sz w:val="14"/>
                <w:szCs w:val="14"/>
                <w:color w:val="auto"/>
              </w:rPr>
              <w:t>108,832</w:t>
            </w:r>
          </w:p>
        </w:tc>
        <w:tc>
          <w:tcPr>
            <w:tcW w:w="0" w:type="dxa"/>
            <w:vAlign w:val="bottom"/>
          </w:tcPr>
          <w:p>
            <w:pPr>
              <w:spacing w:after="0"/>
              <w:rPr>
                <w:sz w:val="1"/>
                <w:szCs w:val="1"/>
                <w:color w:val="auto"/>
              </w:rPr>
            </w:pPr>
          </w:p>
        </w:tc>
      </w:tr>
      <w:tr>
        <w:trPr>
          <w:trHeight w:val="480"/>
        </w:trPr>
        <w:tc>
          <w:tcPr>
            <w:tcW w:w="2580" w:type="dxa"/>
            <w:vAlign w:val="bottom"/>
            <w:tcBorders>
              <w:top w:val="single" w:sz="8" w:color="EAF9E8"/>
            </w:tcBorders>
          </w:tcPr>
          <w:p>
            <w:pPr>
              <w:spacing w:after="0"/>
              <w:rPr>
                <w:sz w:val="20"/>
                <w:szCs w:val="20"/>
                <w:color w:val="auto"/>
              </w:rPr>
            </w:pPr>
            <w:r>
              <w:rPr>
                <w:rFonts w:ascii="Arial" w:cs="Arial" w:eastAsia="Arial" w:hAnsi="Arial"/>
                <w:sz w:val="14"/>
                <w:szCs w:val="14"/>
                <w:color w:val="auto"/>
              </w:rPr>
              <w:t>Other income (expense):</w:t>
            </w: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20" w:type="dxa"/>
            <w:vAlign w:val="bottom"/>
            <w:tcBorders>
              <w:top w:val="single" w:sz="8" w:color="EAF9E8"/>
            </w:tcBorders>
          </w:tcPr>
          <w:p>
            <w:pPr>
              <w:spacing w:after="0"/>
              <w:rPr>
                <w:sz w:val="24"/>
                <w:szCs w:val="24"/>
                <w:color w:val="auto"/>
              </w:rPr>
            </w:pPr>
          </w:p>
        </w:tc>
        <w:tc>
          <w:tcPr>
            <w:tcW w:w="100" w:type="dxa"/>
            <w:vAlign w:val="bottom"/>
            <w:tcBorders>
              <w:top w:val="single" w:sz="8" w:color="EAF9E8"/>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20" w:type="dxa"/>
            <w:vAlign w:val="bottom"/>
            <w:tcBorders>
              <w:top w:val="single" w:sz="8" w:color="EAF9E8"/>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20" w:type="dxa"/>
            <w:vAlign w:val="bottom"/>
            <w:tcBorders>
              <w:top w:val="single" w:sz="8" w:color="EAF9E8"/>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40" w:type="dxa"/>
            <w:vAlign w:val="bottom"/>
            <w:tcBorders>
              <w:top w:val="single" w:sz="8" w:color="EAF9E8"/>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20" w:type="dxa"/>
            <w:vAlign w:val="bottom"/>
            <w:tcBorders>
              <w:top w:val="single" w:sz="8" w:color="EAF9E8"/>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20" w:type="dxa"/>
            <w:vAlign w:val="bottom"/>
            <w:tcBorders>
              <w:top w:val="single" w:sz="8" w:color="EAF9E8"/>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20" w:type="dxa"/>
            <w:vAlign w:val="bottom"/>
            <w:tcBorders>
              <w:top w:val="single" w:sz="8" w:color="EAF9E8"/>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20" w:type="dxa"/>
            <w:vAlign w:val="bottom"/>
            <w:tcBorders>
              <w:top w:val="single" w:sz="8" w:color="EAF9E8"/>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40" w:type="dxa"/>
            <w:vAlign w:val="bottom"/>
            <w:tcBorders>
              <w:top w:val="single" w:sz="8" w:color="EAF9E8"/>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580" w:type="dxa"/>
            <w:vAlign w:val="bottom"/>
            <w:shd w:val="clear" w:color="auto" w:fill="EAF9E8"/>
          </w:tcPr>
          <w:p>
            <w:pPr>
              <w:ind w:left="160"/>
              <w:spacing w:after="0"/>
              <w:rPr>
                <w:sz w:val="20"/>
                <w:szCs w:val="20"/>
                <w:color w:val="auto"/>
              </w:rPr>
            </w:pPr>
            <w:r>
              <w:rPr>
                <w:rFonts w:ascii="Arial" w:cs="Arial" w:eastAsia="Arial" w:hAnsi="Arial"/>
                <w:sz w:val="14"/>
                <w:szCs w:val="14"/>
                <w:color w:val="auto"/>
              </w:rPr>
              <w:t>Interest income</w:t>
            </w:r>
          </w:p>
        </w:tc>
        <w:tc>
          <w:tcPr>
            <w:tcW w:w="100" w:type="dxa"/>
            <w:vAlign w:val="bottom"/>
            <w:shd w:val="clear" w:color="auto" w:fill="EAF9E8"/>
          </w:tcPr>
          <w:p>
            <w:pPr>
              <w:spacing w:after="0"/>
              <w:rPr>
                <w:sz w:val="21"/>
                <w:szCs w:val="21"/>
                <w:color w:val="auto"/>
              </w:rPr>
            </w:pPr>
          </w:p>
        </w:tc>
        <w:tc>
          <w:tcPr>
            <w:tcW w:w="700" w:type="dxa"/>
            <w:vAlign w:val="bottom"/>
            <w:tcBorders>
              <w:right w:val="single" w:sz="8" w:color="EAF9E8"/>
            </w:tcBorders>
            <w:shd w:val="clear" w:color="auto" w:fill="EAF9E8"/>
          </w:tcPr>
          <w:p>
            <w:pPr>
              <w:jc w:val="right"/>
              <w:spacing w:after="0"/>
              <w:rPr>
                <w:sz w:val="20"/>
                <w:szCs w:val="20"/>
                <w:color w:val="auto"/>
              </w:rPr>
            </w:pPr>
            <w:r>
              <w:rPr>
                <w:rFonts w:ascii="Arial" w:cs="Arial" w:eastAsia="Arial" w:hAnsi="Arial"/>
                <w:sz w:val="14"/>
                <w:szCs w:val="14"/>
                <w:color w:val="auto"/>
              </w:rPr>
              <w:t>205</w:t>
            </w:r>
          </w:p>
        </w:tc>
        <w:tc>
          <w:tcPr>
            <w:tcW w:w="12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700" w:type="dxa"/>
            <w:vAlign w:val="bottom"/>
            <w:shd w:val="clear" w:color="auto" w:fill="EAF9E8"/>
          </w:tcPr>
          <w:p>
            <w:pPr>
              <w:jc w:val="right"/>
              <w:spacing w:after="0"/>
              <w:rPr>
                <w:sz w:val="20"/>
                <w:szCs w:val="20"/>
                <w:color w:val="auto"/>
              </w:rPr>
            </w:pPr>
            <w:r>
              <w:rPr>
                <w:rFonts w:ascii="Arial" w:cs="Arial" w:eastAsia="Arial" w:hAnsi="Arial"/>
                <w:sz w:val="14"/>
                <w:szCs w:val="14"/>
                <w:color w:val="auto"/>
              </w:rPr>
              <w:t>5,253</w:t>
            </w:r>
          </w:p>
        </w:tc>
        <w:tc>
          <w:tcPr>
            <w:tcW w:w="12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1040" w:type="dxa"/>
            <w:vAlign w:val="bottom"/>
            <w:gridSpan w:val="2"/>
            <w:shd w:val="clear" w:color="auto" w:fill="EAF9E8"/>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EAF9E8"/>
          </w:tcPr>
          <w:p>
            <w:pPr>
              <w:spacing w:after="0"/>
              <w:rPr>
                <w:sz w:val="21"/>
                <w:szCs w:val="21"/>
                <w:color w:val="auto"/>
              </w:rPr>
            </w:pPr>
          </w:p>
        </w:tc>
        <w:tc>
          <w:tcPr>
            <w:tcW w:w="820" w:type="dxa"/>
            <w:vAlign w:val="bottom"/>
            <w:tcBorders>
              <w:right w:val="single" w:sz="8" w:color="EAF9E8"/>
            </w:tcBorders>
            <w:gridSpan w:val="2"/>
            <w:shd w:val="clear" w:color="auto" w:fill="EAF9E8"/>
          </w:tcPr>
          <w:p>
            <w:pPr>
              <w:jc w:val="right"/>
              <w:ind w:right="140"/>
              <w:spacing w:after="0"/>
              <w:rPr>
                <w:sz w:val="20"/>
                <w:szCs w:val="20"/>
                <w:color w:val="auto"/>
              </w:rPr>
            </w:pPr>
            <w:r>
              <w:rPr>
                <w:rFonts w:ascii="Arial" w:cs="Arial" w:eastAsia="Arial" w:hAnsi="Arial"/>
                <w:sz w:val="14"/>
                <w:szCs w:val="14"/>
                <w:color w:val="auto"/>
              </w:rPr>
              <w:t>2</w:t>
            </w:r>
          </w:p>
        </w:tc>
        <w:tc>
          <w:tcPr>
            <w:tcW w:w="80" w:type="dxa"/>
            <w:vAlign w:val="bottom"/>
            <w:shd w:val="clear" w:color="auto" w:fill="EAF9E8"/>
          </w:tcPr>
          <w:p>
            <w:pPr>
              <w:spacing w:after="0"/>
              <w:rPr>
                <w:sz w:val="21"/>
                <w:szCs w:val="21"/>
                <w:color w:val="auto"/>
              </w:rPr>
            </w:pPr>
          </w:p>
        </w:tc>
        <w:tc>
          <w:tcPr>
            <w:tcW w:w="800" w:type="dxa"/>
            <w:vAlign w:val="bottom"/>
            <w:tcBorders>
              <w:right w:val="single" w:sz="8" w:color="EAF9E8"/>
            </w:tcBorders>
            <w:gridSpan w:val="2"/>
            <w:shd w:val="clear" w:color="auto" w:fill="EAF9E8"/>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21"/>
                <w:szCs w:val="21"/>
                <w:color w:val="auto"/>
              </w:rPr>
            </w:pPr>
          </w:p>
        </w:tc>
        <w:tc>
          <w:tcPr>
            <w:tcW w:w="920" w:type="dxa"/>
            <w:vAlign w:val="bottom"/>
            <w:gridSpan w:val="2"/>
            <w:shd w:val="clear" w:color="auto" w:fill="EAF9E8"/>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EAF9E8"/>
          </w:tcPr>
          <w:p>
            <w:pPr>
              <w:spacing w:after="0"/>
              <w:rPr>
                <w:sz w:val="21"/>
                <w:szCs w:val="21"/>
                <w:color w:val="auto"/>
              </w:rPr>
            </w:pPr>
          </w:p>
        </w:tc>
        <w:tc>
          <w:tcPr>
            <w:tcW w:w="800" w:type="dxa"/>
            <w:vAlign w:val="bottom"/>
            <w:tcBorders>
              <w:right w:val="single" w:sz="8" w:color="EAF9E8"/>
            </w:tcBorders>
            <w:gridSpan w:val="2"/>
            <w:shd w:val="clear" w:color="auto" w:fill="EAF9E8"/>
          </w:tcPr>
          <w:p>
            <w:pPr>
              <w:jc w:val="right"/>
              <w:ind w:right="120"/>
              <w:spacing w:after="0"/>
              <w:rPr>
                <w:sz w:val="20"/>
                <w:szCs w:val="20"/>
                <w:color w:val="auto"/>
              </w:rPr>
            </w:pPr>
            <w:r>
              <w:rPr>
                <w:rFonts w:ascii="Arial" w:cs="Arial" w:eastAsia="Arial" w:hAnsi="Arial"/>
                <w:sz w:val="14"/>
                <w:szCs w:val="14"/>
                <w:color w:val="auto"/>
              </w:rPr>
              <w:t>951</w:t>
            </w:r>
          </w:p>
        </w:tc>
        <w:tc>
          <w:tcPr>
            <w:tcW w:w="80" w:type="dxa"/>
            <w:vAlign w:val="bottom"/>
            <w:shd w:val="clear" w:color="auto" w:fill="EAF9E8"/>
          </w:tcPr>
          <w:p>
            <w:pPr>
              <w:spacing w:after="0"/>
              <w:rPr>
                <w:sz w:val="21"/>
                <w:szCs w:val="21"/>
                <w:color w:val="auto"/>
              </w:rPr>
            </w:pPr>
          </w:p>
        </w:tc>
        <w:tc>
          <w:tcPr>
            <w:tcW w:w="960" w:type="dxa"/>
            <w:vAlign w:val="bottom"/>
            <w:tcBorders>
              <w:right w:val="single" w:sz="8" w:color="EAF9E8"/>
            </w:tcBorders>
            <w:gridSpan w:val="2"/>
            <w:shd w:val="clear" w:color="auto" w:fill="EAF9E8"/>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EAF9E8"/>
          </w:tcPr>
          <w:p>
            <w:pPr>
              <w:spacing w:after="0"/>
              <w:rPr>
                <w:sz w:val="21"/>
                <w:szCs w:val="21"/>
                <w:color w:val="auto"/>
              </w:rPr>
            </w:pPr>
          </w:p>
        </w:tc>
        <w:tc>
          <w:tcPr>
            <w:tcW w:w="980" w:type="dxa"/>
            <w:vAlign w:val="bottom"/>
            <w:gridSpan w:val="2"/>
            <w:shd w:val="clear" w:color="auto" w:fill="EAF9E8"/>
          </w:tcPr>
          <w:p>
            <w:pPr>
              <w:jc w:val="right"/>
              <w:ind w:right="140"/>
              <w:spacing w:after="0"/>
              <w:rPr>
                <w:sz w:val="20"/>
                <w:szCs w:val="20"/>
                <w:color w:val="auto"/>
              </w:rPr>
            </w:pPr>
            <w:r>
              <w:rPr>
                <w:rFonts w:ascii="Arial" w:cs="Arial" w:eastAsia="Arial" w:hAnsi="Arial"/>
                <w:sz w:val="14"/>
                <w:szCs w:val="14"/>
                <w:color w:val="auto"/>
              </w:rPr>
              <w:t>6,411</w:t>
            </w:r>
          </w:p>
        </w:tc>
        <w:tc>
          <w:tcPr>
            <w:tcW w:w="0" w:type="dxa"/>
            <w:vAlign w:val="bottom"/>
          </w:tcPr>
          <w:p>
            <w:pPr>
              <w:spacing w:after="0"/>
              <w:rPr>
                <w:sz w:val="1"/>
                <w:szCs w:val="1"/>
                <w:color w:val="auto"/>
              </w:rPr>
            </w:pPr>
          </w:p>
        </w:tc>
      </w:tr>
      <w:tr>
        <w:trPr>
          <w:trHeight w:val="243"/>
        </w:trPr>
        <w:tc>
          <w:tcPr>
            <w:tcW w:w="2580" w:type="dxa"/>
            <w:vAlign w:val="bottom"/>
          </w:tcPr>
          <w:p>
            <w:pPr>
              <w:ind w:left="160"/>
              <w:spacing w:after="0"/>
              <w:rPr>
                <w:sz w:val="20"/>
                <w:szCs w:val="20"/>
                <w:color w:val="auto"/>
              </w:rPr>
            </w:pPr>
            <w:r>
              <w:rPr>
                <w:rFonts w:ascii="Arial" w:cs="Arial" w:eastAsia="Arial" w:hAnsi="Arial"/>
                <w:sz w:val="14"/>
                <w:szCs w:val="14"/>
                <w:color w:val="auto"/>
              </w:rPr>
              <w:t>Interest expense</w:t>
            </w:r>
          </w:p>
        </w:tc>
        <w:tc>
          <w:tcPr>
            <w:tcW w:w="100" w:type="dxa"/>
            <w:vAlign w:val="bottom"/>
          </w:tcPr>
          <w:p>
            <w:pPr>
              <w:spacing w:after="0"/>
              <w:rPr>
                <w:sz w:val="21"/>
                <w:szCs w:val="21"/>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(46,829)</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(1,437)</w:t>
            </w:r>
          </w:p>
        </w:tc>
        <w:tc>
          <w:tcPr>
            <w:tcW w:w="100" w:type="dxa"/>
            <w:vAlign w:val="bottom"/>
          </w:tcPr>
          <w:p>
            <w:pPr>
              <w:spacing w:after="0"/>
              <w:rPr>
                <w:sz w:val="21"/>
                <w:szCs w:val="21"/>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1"/>
                <w:szCs w:val="21"/>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(28)</w:t>
            </w:r>
          </w:p>
        </w:tc>
        <w:tc>
          <w:tcPr>
            <w:tcW w:w="80" w:type="dxa"/>
            <w:vAlign w:val="bottom"/>
          </w:tcPr>
          <w:p>
            <w:pPr>
              <w:spacing w:after="0"/>
              <w:rPr>
                <w:sz w:val="21"/>
                <w:szCs w:val="21"/>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(1,285)</w:t>
            </w:r>
          </w:p>
        </w:tc>
        <w:tc>
          <w:tcPr>
            <w:tcW w:w="100" w:type="dxa"/>
            <w:vAlign w:val="bottom"/>
          </w:tcPr>
          <w:p>
            <w:pPr>
              <w:spacing w:after="0"/>
              <w:rPr>
                <w:sz w:val="21"/>
                <w:szCs w:val="21"/>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4"/>
                <w:szCs w:val="14"/>
                <w:color w:val="auto"/>
              </w:rPr>
              <w:t>(289)</w:t>
            </w:r>
          </w:p>
        </w:tc>
        <w:tc>
          <w:tcPr>
            <w:tcW w:w="80" w:type="dxa"/>
            <w:vAlign w:val="bottom"/>
          </w:tcPr>
          <w:p>
            <w:pPr>
              <w:spacing w:after="0"/>
              <w:rPr>
                <w:sz w:val="21"/>
                <w:szCs w:val="21"/>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(240)</w:t>
            </w:r>
          </w:p>
        </w:tc>
        <w:tc>
          <w:tcPr>
            <w:tcW w:w="80" w:type="dxa"/>
            <w:vAlign w:val="bottom"/>
          </w:tcPr>
          <w:p>
            <w:pPr>
              <w:spacing w:after="0"/>
              <w:rPr>
                <w:sz w:val="21"/>
                <w:szCs w:val="21"/>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(50,108)</w:t>
            </w:r>
          </w:p>
        </w:tc>
        <w:tc>
          <w:tcPr>
            <w:tcW w:w="0" w:type="dxa"/>
            <w:vAlign w:val="bottom"/>
          </w:tcPr>
          <w:p>
            <w:pPr>
              <w:spacing w:after="0"/>
              <w:rPr>
                <w:sz w:val="1"/>
                <w:szCs w:val="1"/>
                <w:color w:val="auto"/>
              </w:rPr>
            </w:pPr>
          </w:p>
        </w:tc>
      </w:tr>
      <w:tr>
        <w:trPr>
          <w:trHeight w:val="243"/>
        </w:trPr>
        <w:tc>
          <w:tcPr>
            <w:tcW w:w="2580" w:type="dxa"/>
            <w:vAlign w:val="bottom"/>
            <w:shd w:val="clear" w:color="auto" w:fill="EAF9E8"/>
          </w:tcPr>
          <w:p>
            <w:pPr>
              <w:ind w:left="160"/>
              <w:spacing w:after="0"/>
              <w:rPr>
                <w:sz w:val="20"/>
                <w:szCs w:val="20"/>
                <w:color w:val="auto"/>
              </w:rPr>
            </w:pPr>
            <w:r>
              <w:rPr>
                <w:rFonts w:ascii="Arial" w:cs="Arial" w:eastAsia="Arial" w:hAnsi="Arial"/>
                <w:sz w:val="14"/>
                <w:szCs w:val="14"/>
                <w:color w:val="auto"/>
              </w:rPr>
              <w:t>Gain (loss) on trading securities</w:t>
            </w:r>
          </w:p>
        </w:tc>
        <w:tc>
          <w:tcPr>
            <w:tcW w:w="100" w:type="dxa"/>
            <w:vAlign w:val="bottom"/>
            <w:shd w:val="clear" w:color="auto" w:fill="EAF9E8"/>
          </w:tcPr>
          <w:p>
            <w:pPr>
              <w:spacing w:after="0"/>
              <w:rPr>
                <w:sz w:val="21"/>
                <w:szCs w:val="21"/>
                <w:color w:val="auto"/>
              </w:rPr>
            </w:pPr>
          </w:p>
        </w:tc>
        <w:tc>
          <w:tcPr>
            <w:tcW w:w="820" w:type="dxa"/>
            <w:vAlign w:val="bottom"/>
            <w:gridSpan w:val="2"/>
            <w:shd w:val="clear" w:color="auto" w:fill="EAF9E8"/>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700" w:type="dxa"/>
            <w:vAlign w:val="bottom"/>
            <w:shd w:val="clear" w:color="auto" w:fill="EAF9E8"/>
          </w:tcPr>
          <w:p>
            <w:pPr>
              <w:jc w:val="right"/>
              <w:spacing w:after="0"/>
              <w:rPr>
                <w:sz w:val="20"/>
                <w:szCs w:val="20"/>
                <w:color w:val="auto"/>
              </w:rPr>
            </w:pPr>
            <w:r>
              <w:rPr>
                <w:rFonts w:ascii="Arial" w:cs="Arial" w:eastAsia="Arial" w:hAnsi="Arial"/>
                <w:sz w:val="14"/>
                <w:szCs w:val="14"/>
                <w:color w:val="auto"/>
              </w:rPr>
              <w:t>124</w:t>
            </w:r>
          </w:p>
        </w:tc>
        <w:tc>
          <w:tcPr>
            <w:tcW w:w="12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1040" w:type="dxa"/>
            <w:vAlign w:val="bottom"/>
            <w:gridSpan w:val="2"/>
            <w:shd w:val="clear" w:color="auto" w:fill="EAF9E8"/>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EAF9E8"/>
          </w:tcPr>
          <w:p>
            <w:pPr>
              <w:spacing w:after="0"/>
              <w:rPr>
                <w:sz w:val="21"/>
                <w:szCs w:val="21"/>
                <w:color w:val="auto"/>
              </w:rPr>
            </w:pPr>
          </w:p>
        </w:tc>
        <w:tc>
          <w:tcPr>
            <w:tcW w:w="820" w:type="dxa"/>
            <w:vAlign w:val="bottom"/>
            <w:tcBorders>
              <w:right w:val="single" w:sz="8" w:color="EAF9E8"/>
            </w:tcBorders>
            <w:gridSpan w:val="2"/>
            <w:shd w:val="clear" w:color="auto" w:fill="EAF9E8"/>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EAF9E8"/>
          </w:tcPr>
          <w:p>
            <w:pPr>
              <w:spacing w:after="0"/>
              <w:rPr>
                <w:sz w:val="21"/>
                <w:szCs w:val="21"/>
                <w:color w:val="auto"/>
              </w:rPr>
            </w:pPr>
          </w:p>
        </w:tc>
        <w:tc>
          <w:tcPr>
            <w:tcW w:w="800" w:type="dxa"/>
            <w:vAlign w:val="bottom"/>
            <w:tcBorders>
              <w:right w:val="single" w:sz="8" w:color="EAF9E8"/>
            </w:tcBorders>
            <w:gridSpan w:val="2"/>
            <w:shd w:val="clear" w:color="auto" w:fill="EAF9E8"/>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21"/>
                <w:szCs w:val="21"/>
                <w:color w:val="auto"/>
              </w:rPr>
            </w:pPr>
          </w:p>
        </w:tc>
        <w:tc>
          <w:tcPr>
            <w:tcW w:w="920" w:type="dxa"/>
            <w:vAlign w:val="bottom"/>
            <w:gridSpan w:val="2"/>
            <w:shd w:val="clear" w:color="auto" w:fill="EAF9E8"/>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EAF9E8"/>
          </w:tcPr>
          <w:p>
            <w:pPr>
              <w:spacing w:after="0"/>
              <w:rPr>
                <w:sz w:val="21"/>
                <w:szCs w:val="21"/>
                <w:color w:val="auto"/>
              </w:rPr>
            </w:pPr>
          </w:p>
        </w:tc>
        <w:tc>
          <w:tcPr>
            <w:tcW w:w="800" w:type="dxa"/>
            <w:vAlign w:val="bottom"/>
            <w:tcBorders>
              <w:right w:val="single" w:sz="8" w:color="EAF9E8"/>
            </w:tcBorders>
            <w:gridSpan w:val="2"/>
            <w:shd w:val="clear" w:color="auto" w:fill="EAF9E8"/>
          </w:tcPr>
          <w:p>
            <w:pPr>
              <w:jc w:val="right"/>
              <w:ind w:right="120"/>
              <w:spacing w:after="0"/>
              <w:rPr>
                <w:sz w:val="20"/>
                <w:szCs w:val="20"/>
                <w:color w:val="auto"/>
              </w:rPr>
            </w:pPr>
            <w:r>
              <w:rPr>
                <w:rFonts w:ascii="Arial" w:cs="Arial" w:eastAsia="Arial" w:hAnsi="Arial"/>
                <w:sz w:val="14"/>
                <w:szCs w:val="14"/>
                <w:color w:val="auto"/>
              </w:rPr>
              <w:t>13,222</w:t>
            </w:r>
          </w:p>
        </w:tc>
        <w:tc>
          <w:tcPr>
            <w:tcW w:w="80" w:type="dxa"/>
            <w:vAlign w:val="bottom"/>
            <w:shd w:val="clear" w:color="auto" w:fill="EAF9E8"/>
          </w:tcPr>
          <w:p>
            <w:pPr>
              <w:spacing w:after="0"/>
              <w:rPr>
                <w:sz w:val="21"/>
                <w:szCs w:val="21"/>
                <w:color w:val="auto"/>
              </w:rPr>
            </w:pPr>
          </w:p>
        </w:tc>
        <w:tc>
          <w:tcPr>
            <w:tcW w:w="960" w:type="dxa"/>
            <w:vAlign w:val="bottom"/>
            <w:tcBorders>
              <w:right w:val="single" w:sz="8" w:color="EAF9E8"/>
            </w:tcBorders>
            <w:gridSpan w:val="2"/>
            <w:shd w:val="clear" w:color="auto" w:fill="EAF9E8"/>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EAF9E8"/>
          </w:tcPr>
          <w:p>
            <w:pPr>
              <w:spacing w:after="0"/>
              <w:rPr>
                <w:sz w:val="21"/>
                <w:szCs w:val="21"/>
                <w:color w:val="auto"/>
              </w:rPr>
            </w:pPr>
          </w:p>
        </w:tc>
        <w:tc>
          <w:tcPr>
            <w:tcW w:w="980" w:type="dxa"/>
            <w:vAlign w:val="bottom"/>
            <w:gridSpan w:val="2"/>
            <w:shd w:val="clear" w:color="auto" w:fill="EAF9E8"/>
          </w:tcPr>
          <w:p>
            <w:pPr>
              <w:jc w:val="right"/>
              <w:ind w:right="140"/>
              <w:spacing w:after="0"/>
              <w:rPr>
                <w:sz w:val="20"/>
                <w:szCs w:val="20"/>
                <w:color w:val="auto"/>
              </w:rPr>
            </w:pPr>
            <w:r>
              <w:rPr>
                <w:rFonts w:ascii="Arial" w:cs="Arial" w:eastAsia="Arial" w:hAnsi="Arial"/>
                <w:sz w:val="14"/>
                <w:szCs w:val="14"/>
                <w:color w:val="auto"/>
              </w:rPr>
              <w:t>13,346</w:t>
            </w:r>
          </w:p>
        </w:tc>
        <w:tc>
          <w:tcPr>
            <w:tcW w:w="0" w:type="dxa"/>
            <w:vAlign w:val="bottom"/>
          </w:tcPr>
          <w:p>
            <w:pPr>
              <w:spacing w:after="0"/>
              <w:rPr>
                <w:sz w:val="1"/>
                <w:szCs w:val="1"/>
                <w:color w:val="auto"/>
              </w:rPr>
            </w:pPr>
          </w:p>
        </w:tc>
      </w:tr>
      <w:tr>
        <w:trPr>
          <w:trHeight w:val="243"/>
        </w:trPr>
        <w:tc>
          <w:tcPr>
            <w:tcW w:w="2580" w:type="dxa"/>
            <w:vAlign w:val="bottom"/>
          </w:tcPr>
          <w:p>
            <w:pPr>
              <w:ind w:left="160"/>
              <w:spacing w:after="0"/>
              <w:rPr>
                <w:sz w:val="20"/>
                <w:szCs w:val="20"/>
                <w:color w:val="auto"/>
              </w:rPr>
            </w:pPr>
            <w:r>
              <w:rPr>
                <w:rFonts w:ascii="Arial" w:cs="Arial" w:eastAsia="Arial" w:hAnsi="Arial"/>
                <w:sz w:val="14"/>
                <w:szCs w:val="14"/>
                <w:color w:val="auto"/>
              </w:rPr>
              <w:t>Gain on debt redemption</w:t>
            </w:r>
          </w:p>
        </w:tc>
        <w:tc>
          <w:tcPr>
            <w:tcW w:w="1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1,600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1"/>
                <w:szCs w:val="21"/>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1"/>
                <w:szCs w:val="21"/>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1"/>
                <w:szCs w:val="21"/>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534</w:t>
            </w:r>
          </w:p>
        </w:tc>
        <w:tc>
          <w:tcPr>
            <w:tcW w:w="80" w:type="dxa"/>
            <w:vAlign w:val="bottom"/>
          </w:tcPr>
          <w:p>
            <w:pPr>
              <w:spacing w:after="0"/>
              <w:rPr>
                <w:sz w:val="21"/>
                <w:szCs w:val="21"/>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1"/>
                <w:szCs w:val="21"/>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2,134</w:t>
            </w:r>
          </w:p>
        </w:tc>
        <w:tc>
          <w:tcPr>
            <w:tcW w:w="0" w:type="dxa"/>
            <w:vAlign w:val="bottom"/>
          </w:tcPr>
          <w:p>
            <w:pPr>
              <w:spacing w:after="0"/>
              <w:rPr>
                <w:sz w:val="1"/>
                <w:szCs w:val="1"/>
                <w:color w:val="auto"/>
              </w:rPr>
            </w:pPr>
          </w:p>
        </w:tc>
      </w:tr>
      <w:tr>
        <w:trPr>
          <w:trHeight w:val="243"/>
        </w:trPr>
        <w:tc>
          <w:tcPr>
            <w:tcW w:w="2580" w:type="dxa"/>
            <w:vAlign w:val="bottom"/>
            <w:shd w:val="clear" w:color="auto" w:fill="EAF9E8"/>
          </w:tcPr>
          <w:p>
            <w:pPr>
              <w:ind w:left="160"/>
              <w:spacing w:after="0"/>
              <w:rPr>
                <w:sz w:val="20"/>
                <w:szCs w:val="20"/>
                <w:color w:val="auto"/>
              </w:rPr>
            </w:pPr>
            <w:r>
              <w:rPr>
                <w:rFonts w:ascii="Arial" w:cs="Arial" w:eastAsia="Arial" w:hAnsi="Arial"/>
                <w:sz w:val="14"/>
                <w:szCs w:val="14"/>
                <w:color w:val="auto"/>
              </w:rPr>
              <w:t>Loss on loans held for resale, net</w:t>
            </w:r>
          </w:p>
        </w:tc>
        <w:tc>
          <w:tcPr>
            <w:tcW w:w="100" w:type="dxa"/>
            <w:vAlign w:val="bottom"/>
            <w:shd w:val="clear" w:color="auto" w:fill="EAF9E8"/>
          </w:tcPr>
          <w:p>
            <w:pPr>
              <w:spacing w:after="0"/>
              <w:rPr>
                <w:sz w:val="21"/>
                <w:szCs w:val="21"/>
                <w:color w:val="auto"/>
              </w:rPr>
            </w:pPr>
          </w:p>
        </w:tc>
        <w:tc>
          <w:tcPr>
            <w:tcW w:w="820" w:type="dxa"/>
            <w:vAlign w:val="bottom"/>
            <w:gridSpan w:val="2"/>
            <w:shd w:val="clear" w:color="auto" w:fill="EAF9E8"/>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820" w:type="dxa"/>
            <w:vAlign w:val="bottom"/>
            <w:gridSpan w:val="2"/>
            <w:shd w:val="clear" w:color="auto" w:fill="EAF9E8"/>
          </w:tcPr>
          <w:p>
            <w:pPr>
              <w:jc w:val="right"/>
              <w:ind w:right="80"/>
              <w:spacing w:after="0"/>
              <w:rPr>
                <w:sz w:val="20"/>
                <w:szCs w:val="20"/>
                <w:color w:val="auto"/>
              </w:rPr>
            </w:pPr>
            <w:r>
              <w:rPr>
                <w:rFonts w:ascii="Arial" w:cs="Arial" w:eastAsia="Arial" w:hAnsi="Arial"/>
                <w:sz w:val="14"/>
                <w:szCs w:val="14"/>
                <w:color w:val="auto"/>
              </w:rPr>
              <w:t>(8,783)</w:t>
            </w:r>
          </w:p>
        </w:tc>
        <w:tc>
          <w:tcPr>
            <w:tcW w:w="100" w:type="dxa"/>
            <w:vAlign w:val="bottom"/>
            <w:shd w:val="clear" w:color="auto" w:fill="EAF9E8"/>
          </w:tcPr>
          <w:p>
            <w:pPr>
              <w:spacing w:after="0"/>
              <w:rPr>
                <w:sz w:val="21"/>
                <w:szCs w:val="21"/>
                <w:color w:val="auto"/>
              </w:rPr>
            </w:pPr>
          </w:p>
        </w:tc>
        <w:tc>
          <w:tcPr>
            <w:tcW w:w="1040" w:type="dxa"/>
            <w:vAlign w:val="bottom"/>
            <w:gridSpan w:val="2"/>
            <w:shd w:val="clear" w:color="auto" w:fill="EAF9E8"/>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EAF9E8"/>
          </w:tcPr>
          <w:p>
            <w:pPr>
              <w:spacing w:after="0"/>
              <w:rPr>
                <w:sz w:val="21"/>
                <w:szCs w:val="21"/>
                <w:color w:val="auto"/>
              </w:rPr>
            </w:pPr>
          </w:p>
        </w:tc>
        <w:tc>
          <w:tcPr>
            <w:tcW w:w="820" w:type="dxa"/>
            <w:vAlign w:val="bottom"/>
            <w:tcBorders>
              <w:right w:val="single" w:sz="8" w:color="EAF9E8"/>
            </w:tcBorders>
            <w:gridSpan w:val="2"/>
            <w:shd w:val="clear" w:color="auto" w:fill="EAF9E8"/>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EAF9E8"/>
          </w:tcPr>
          <w:p>
            <w:pPr>
              <w:spacing w:after="0"/>
              <w:rPr>
                <w:sz w:val="21"/>
                <w:szCs w:val="21"/>
                <w:color w:val="auto"/>
              </w:rPr>
            </w:pPr>
          </w:p>
        </w:tc>
        <w:tc>
          <w:tcPr>
            <w:tcW w:w="800" w:type="dxa"/>
            <w:vAlign w:val="bottom"/>
            <w:tcBorders>
              <w:right w:val="single" w:sz="8" w:color="EAF9E8"/>
            </w:tcBorders>
            <w:gridSpan w:val="2"/>
            <w:shd w:val="clear" w:color="auto" w:fill="EAF9E8"/>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21"/>
                <w:szCs w:val="21"/>
                <w:color w:val="auto"/>
              </w:rPr>
            </w:pPr>
          </w:p>
        </w:tc>
        <w:tc>
          <w:tcPr>
            <w:tcW w:w="920" w:type="dxa"/>
            <w:vAlign w:val="bottom"/>
            <w:gridSpan w:val="2"/>
            <w:shd w:val="clear" w:color="auto" w:fill="EAF9E8"/>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EAF9E8"/>
          </w:tcPr>
          <w:p>
            <w:pPr>
              <w:spacing w:after="0"/>
              <w:rPr>
                <w:sz w:val="21"/>
                <w:szCs w:val="21"/>
                <w:color w:val="auto"/>
              </w:rPr>
            </w:pPr>
          </w:p>
        </w:tc>
        <w:tc>
          <w:tcPr>
            <w:tcW w:w="800" w:type="dxa"/>
            <w:vAlign w:val="bottom"/>
            <w:tcBorders>
              <w:right w:val="single" w:sz="8" w:color="EAF9E8"/>
            </w:tcBorders>
            <w:gridSpan w:val="2"/>
            <w:shd w:val="clear" w:color="auto" w:fill="EAF9E8"/>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EAF9E8"/>
          </w:tcPr>
          <w:p>
            <w:pPr>
              <w:spacing w:after="0"/>
              <w:rPr>
                <w:sz w:val="21"/>
                <w:szCs w:val="21"/>
                <w:color w:val="auto"/>
              </w:rPr>
            </w:pPr>
          </w:p>
        </w:tc>
        <w:tc>
          <w:tcPr>
            <w:tcW w:w="960" w:type="dxa"/>
            <w:vAlign w:val="bottom"/>
            <w:tcBorders>
              <w:right w:val="single" w:sz="8" w:color="EAF9E8"/>
            </w:tcBorders>
            <w:gridSpan w:val="2"/>
            <w:shd w:val="clear" w:color="auto" w:fill="EAF9E8"/>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EAF9E8"/>
          </w:tcPr>
          <w:p>
            <w:pPr>
              <w:spacing w:after="0"/>
              <w:rPr>
                <w:sz w:val="21"/>
                <w:szCs w:val="21"/>
                <w:color w:val="auto"/>
              </w:rPr>
            </w:pPr>
          </w:p>
        </w:tc>
        <w:tc>
          <w:tcPr>
            <w:tcW w:w="980" w:type="dxa"/>
            <w:vAlign w:val="bottom"/>
            <w:gridSpan w:val="2"/>
            <w:shd w:val="clear" w:color="auto" w:fill="EAF9E8"/>
          </w:tcPr>
          <w:p>
            <w:pPr>
              <w:jc w:val="right"/>
              <w:ind w:right="100"/>
              <w:spacing w:after="0"/>
              <w:rPr>
                <w:sz w:val="20"/>
                <w:szCs w:val="20"/>
                <w:color w:val="auto"/>
              </w:rPr>
            </w:pPr>
            <w:r>
              <w:rPr>
                <w:rFonts w:ascii="Arial" w:cs="Arial" w:eastAsia="Arial" w:hAnsi="Arial"/>
                <w:sz w:val="14"/>
                <w:szCs w:val="14"/>
                <w:color w:val="auto"/>
              </w:rPr>
              <w:t>(8,783)</w:t>
            </w:r>
          </w:p>
        </w:tc>
        <w:tc>
          <w:tcPr>
            <w:tcW w:w="0" w:type="dxa"/>
            <w:vAlign w:val="bottom"/>
          </w:tcPr>
          <w:p>
            <w:pPr>
              <w:spacing w:after="0"/>
              <w:rPr>
                <w:sz w:val="1"/>
                <w:szCs w:val="1"/>
                <w:color w:val="auto"/>
              </w:rPr>
            </w:pPr>
          </w:p>
        </w:tc>
      </w:tr>
      <w:tr>
        <w:trPr>
          <w:trHeight w:val="138"/>
        </w:trPr>
        <w:tc>
          <w:tcPr>
            <w:tcW w:w="2580" w:type="dxa"/>
            <w:vAlign w:val="bottom"/>
          </w:tcPr>
          <w:p>
            <w:pPr>
              <w:ind w:left="160"/>
              <w:spacing w:after="0" w:line="138" w:lineRule="exact"/>
              <w:rPr>
                <w:sz w:val="20"/>
                <w:szCs w:val="20"/>
                <w:color w:val="auto"/>
              </w:rPr>
            </w:pPr>
            <w:r>
              <w:rPr>
                <w:rFonts w:ascii="Arial" w:cs="Arial" w:eastAsia="Arial" w:hAnsi="Arial"/>
                <w:sz w:val="14"/>
                <w:szCs w:val="14"/>
                <w:color w:val="auto"/>
              </w:rPr>
              <w:t>Equity in earnings of unconsolidated</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580" w:type="dxa"/>
            <w:vAlign w:val="bottom"/>
          </w:tcPr>
          <w:p>
            <w:pPr>
              <w:ind w:left="320"/>
              <w:spacing w:after="0" w:line="159" w:lineRule="exact"/>
              <w:rPr>
                <w:sz w:val="20"/>
                <w:szCs w:val="20"/>
                <w:color w:val="auto"/>
              </w:rPr>
            </w:pPr>
            <w:r>
              <w:rPr>
                <w:rFonts w:ascii="Arial" w:cs="Arial" w:eastAsia="Arial" w:hAnsi="Arial"/>
                <w:sz w:val="14"/>
                <w:szCs w:val="14"/>
                <w:color w:val="auto"/>
              </w:rPr>
              <w:t>entities</w:t>
            </w:r>
          </w:p>
        </w:tc>
        <w:tc>
          <w:tcPr>
            <w:tcW w:w="100" w:type="dxa"/>
            <w:vAlign w:val="bottom"/>
          </w:tcPr>
          <w:p>
            <w:pPr>
              <w:spacing w:after="0"/>
              <w:rPr>
                <w:sz w:val="13"/>
                <w:szCs w:val="13"/>
                <w:color w:val="auto"/>
              </w:rPr>
            </w:pPr>
          </w:p>
        </w:tc>
        <w:tc>
          <w:tcPr>
            <w:tcW w:w="8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0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(2,466)</w:t>
            </w:r>
          </w:p>
        </w:tc>
        <w:tc>
          <w:tcPr>
            <w:tcW w:w="80" w:type="dxa"/>
            <w:vAlign w:val="bottom"/>
          </w:tcPr>
          <w:p>
            <w:pPr>
              <w:spacing w:after="0"/>
              <w:rPr>
                <w:sz w:val="13"/>
                <w:szCs w:val="13"/>
                <w:color w:val="auto"/>
              </w:rPr>
            </w:pPr>
          </w:p>
        </w:tc>
        <w:tc>
          <w:tcPr>
            <w:tcW w:w="8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9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40" w:type="dxa"/>
            <w:vAlign w:val="bottom"/>
          </w:tcPr>
          <w:p>
            <w:pPr>
              <w:jc w:val="right"/>
              <w:spacing w:after="0" w:line="159" w:lineRule="exact"/>
              <w:rPr>
                <w:sz w:val="20"/>
                <w:szCs w:val="20"/>
                <w:color w:val="auto"/>
              </w:rPr>
            </w:pPr>
            <w:r>
              <w:rPr>
                <w:rFonts w:ascii="Arial" w:cs="Arial" w:eastAsia="Arial" w:hAnsi="Arial"/>
                <w:sz w:val="14"/>
                <w:szCs w:val="14"/>
                <w:color w:val="auto"/>
              </w:rPr>
              <w:t>858</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(1,608)</w:t>
            </w:r>
          </w:p>
        </w:tc>
        <w:tc>
          <w:tcPr>
            <w:tcW w:w="0" w:type="dxa"/>
            <w:vAlign w:val="bottom"/>
          </w:tcPr>
          <w:p>
            <w:pPr>
              <w:spacing w:after="0"/>
              <w:rPr>
                <w:sz w:val="1"/>
                <w:szCs w:val="1"/>
                <w:color w:val="auto"/>
              </w:rPr>
            </w:pPr>
          </w:p>
        </w:tc>
      </w:tr>
      <w:tr>
        <w:trPr>
          <w:trHeight w:val="243"/>
        </w:trPr>
        <w:tc>
          <w:tcPr>
            <w:tcW w:w="2580" w:type="dxa"/>
            <w:vAlign w:val="bottom"/>
            <w:shd w:val="clear" w:color="auto" w:fill="EAF9E8"/>
          </w:tcPr>
          <w:p>
            <w:pPr>
              <w:ind w:left="160"/>
              <w:spacing w:after="0"/>
              <w:rPr>
                <w:sz w:val="20"/>
                <w:szCs w:val="20"/>
                <w:color w:val="auto"/>
              </w:rPr>
            </w:pPr>
            <w:r>
              <w:rPr>
                <w:rFonts w:ascii="Arial" w:cs="Arial" w:eastAsia="Arial" w:hAnsi="Arial"/>
                <w:sz w:val="14"/>
                <w:szCs w:val="14"/>
                <w:color w:val="auto"/>
              </w:rPr>
              <w:t>Other, net</w:t>
            </w:r>
          </w:p>
        </w:tc>
        <w:tc>
          <w:tcPr>
            <w:tcW w:w="100" w:type="dxa"/>
            <w:vAlign w:val="bottom"/>
            <w:shd w:val="clear" w:color="auto" w:fill="EAF9E8"/>
          </w:tcPr>
          <w:p>
            <w:pPr>
              <w:spacing w:after="0"/>
              <w:rPr>
                <w:sz w:val="21"/>
                <w:szCs w:val="21"/>
                <w:color w:val="auto"/>
              </w:rPr>
            </w:pPr>
          </w:p>
        </w:tc>
        <w:tc>
          <w:tcPr>
            <w:tcW w:w="700" w:type="dxa"/>
            <w:vAlign w:val="bottom"/>
            <w:tcBorders>
              <w:right w:val="single" w:sz="8" w:color="EAF9E8"/>
            </w:tcBorders>
            <w:shd w:val="clear" w:color="auto" w:fill="EAF9E8"/>
          </w:tcPr>
          <w:p>
            <w:pPr>
              <w:jc w:val="right"/>
              <w:spacing w:after="0"/>
              <w:rPr>
                <w:sz w:val="20"/>
                <w:szCs w:val="20"/>
                <w:color w:val="auto"/>
              </w:rPr>
            </w:pPr>
            <w:r>
              <w:rPr>
                <w:rFonts w:ascii="Arial" w:cs="Arial" w:eastAsia="Arial" w:hAnsi="Arial"/>
                <w:sz w:val="14"/>
                <w:szCs w:val="14"/>
                <w:color w:val="auto"/>
              </w:rPr>
              <w:t>1,788</w:t>
            </w:r>
          </w:p>
        </w:tc>
        <w:tc>
          <w:tcPr>
            <w:tcW w:w="12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820" w:type="dxa"/>
            <w:vAlign w:val="bottom"/>
            <w:gridSpan w:val="2"/>
            <w:shd w:val="clear" w:color="auto" w:fill="EAF9E8"/>
          </w:tcPr>
          <w:p>
            <w:pPr>
              <w:jc w:val="right"/>
              <w:ind w:right="80"/>
              <w:spacing w:after="0"/>
              <w:rPr>
                <w:sz w:val="20"/>
                <w:szCs w:val="20"/>
                <w:color w:val="auto"/>
              </w:rPr>
            </w:pPr>
            <w:r>
              <w:rPr>
                <w:rFonts w:ascii="Arial" w:cs="Arial" w:eastAsia="Arial" w:hAnsi="Arial"/>
                <w:sz w:val="14"/>
                <w:szCs w:val="14"/>
                <w:color w:val="auto"/>
              </w:rPr>
              <w:t>(18)</w:t>
            </w:r>
          </w:p>
        </w:tc>
        <w:tc>
          <w:tcPr>
            <w:tcW w:w="100" w:type="dxa"/>
            <w:vAlign w:val="bottom"/>
            <w:shd w:val="clear" w:color="auto" w:fill="EAF9E8"/>
          </w:tcPr>
          <w:p>
            <w:pPr>
              <w:spacing w:after="0"/>
              <w:rPr>
                <w:sz w:val="21"/>
                <w:szCs w:val="21"/>
                <w:color w:val="auto"/>
              </w:rPr>
            </w:pPr>
          </w:p>
        </w:tc>
        <w:tc>
          <w:tcPr>
            <w:tcW w:w="1040" w:type="dxa"/>
            <w:vAlign w:val="bottom"/>
            <w:gridSpan w:val="2"/>
            <w:shd w:val="clear" w:color="auto" w:fill="EAF9E8"/>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EAF9E8"/>
          </w:tcPr>
          <w:p>
            <w:pPr>
              <w:spacing w:after="0"/>
              <w:rPr>
                <w:sz w:val="21"/>
                <w:szCs w:val="21"/>
                <w:color w:val="auto"/>
              </w:rPr>
            </w:pPr>
          </w:p>
        </w:tc>
        <w:tc>
          <w:tcPr>
            <w:tcW w:w="820" w:type="dxa"/>
            <w:vAlign w:val="bottom"/>
            <w:tcBorders>
              <w:right w:val="single" w:sz="8" w:color="EAF9E8"/>
            </w:tcBorders>
            <w:gridSpan w:val="2"/>
            <w:shd w:val="clear" w:color="auto" w:fill="EAF9E8"/>
          </w:tcPr>
          <w:p>
            <w:pPr>
              <w:jc w:val="right"/>
              <w:ind w:right="140"/>
              <w:spacing w:after="0"/>
              <w:rPr>
                <w:sz w:val="20"/>
                <w:szCs w:val="20"/>
                <w:color w:val="auto"/>
              </w:rPr>
            </w:pPr>
            <w:r>
              <w:rPr>
                <w:rFonts w:ascii="Arial" w:cs="Arial" w:eastAsia="Arial" w:hAnsi="Arial"/>
                <w:sz w:val="14"/>
                <w:szCs w:val="14"/>
                <w:color w:val="auto"/>
              </w:rPr>
              <w:t>828</w:t>
            </w:r>
          </w:p>
        </w:tc>
        <w:tc>
          <w:tcPr>
            <w:tcW w:w="80" w:type="dxa"/>
            <w:vAlign w:val="bottom"/>
            <w:shd w:val="clear" w:color="auto" w:fill="EAF9E8"/>
          </w:tcPr>
          <w:p>
            <w:pPr>
              <w:spacing w:after="0"/>
              <w:rPr>
                <w:sz w:val="21"/>
                <w:szCs w:val="21"/>
                <w:color w:val="auto"/>
              </w:rPr>
            </w:pPr>
          </w:p>
        </w:tc>
        <w:tc>
          <w:tcPr>
            <w:tcW w:w="680" w:type="dxa"/>
            <w:vAlign w:val="bottom"/>
            <w:shd w:val="clear" w:color="auto" w:fill="EAF9E8"/>
          </w:tcPr>
          <w:p>
            <w:pPr>
              <w:jc w:val="right"/>
              <w:spacing w:after="0"/>
              <w:rPr>
                <w:sz w:val="20"/>
                <w:szCs w:val="20"/>
                <w:color w:val="auto"/>
              </w:rPr>
            </w:pPr>
            <w:r>
              <w:rPr>
                <w:rFonts w:ascii="Arial" w:cs="Arial" w:eastAsia="Arial" w:hAnsi="Arial"/>
                <w:sz w:val="14"/>
                <w:szCs w:val="14"/>
                <w:color w:val="auto"/>
              </w:rPr>
              <w:t>24</w:t>
            </w:r>
          </w:p>
        </w:tc>
        <w:tc>
          <w:tcPr>
            <w:tcW w:w="120" w:type="dxa"/>
            <w:vAlign w:val="bottom"/>
            <w:tcBorders>
              <w:right w:val="single" w:sz="8" w:color="EAF9E8"/>
            </w:tcBorders>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920" w:type="dxa"/>
            <w:vAlign w:val="bottom"/>
            <w:gridSpan w:val="2"/>
            <w:shd w:val="clear" w:color="auto" w:fill="EAF9E8"/>
          </w:tcPr>
          <w:p>
            <w:pPr>
              <w:jc w:val="right"/>
              <w:ind w:right="120"/>
              <w:spacing w:after="0"/>
              <w:rPr>
                <w:sz w:val="20"/>
                <w:szCs w:val="20"/>
                <w:color w:val="auto"/>
              </w:rPr>
            </w:pPr>
            <w:r>
              <w:rPr>
                <w:rFonts w:ascii="Arial" w:cs="Arial" w:eastAsia="Arial" w:hAnsi="Arial"/>
                <w:sz w:val="14"/>
                <w:szCs w:val="14"/>
                <w:color w:val="auto"/>
              </w:rPr>
              <w:t>186</w:t>
            </w:r>
          </w:p>
        </w:tc>
        <w:tc>
          <w:tcPr>
            <w:tcW w:w="80" w:type="dxa"/>
            <w:vAlign w:val="bottom"/>
            <w:shd w:val="clear" w:color="auto" w:fill="EAF9E8"/>
          </w:tcPr>
          <w:p>
            <w:pPr>
              <w:spacing w:after="0"/>
              <w:rPr>
                <w:sz w:val="21"/>
                <w:szCs w:val="21"/>
                <w:color w:val="auto"/>
              </w:rPr>
            </w:pPr>
          </w:p>
        </w:tc>
        <w:tc>
          <w:tcPr>
            <w:tcW w:w="800" w:type="dxa"/>
            <w:vAlign w:val="bottom"/>
            <w:tcBorders>
              <w:right w:val="single" w:sz="8" w:color="EAF9E8"/>
            </w:tcBorders>
            <w:gridSpan w:val="2"/>
            <w:shd w:val="clear" w:color="auto" w:fill="EAF9E8"/>
          </w:tcPr>
          <w:p>
            <w:pPr>
              <w:jc w:val="right"/>
              <w:ind w:right="120"/>
              <w:spacing w:after="0"/>
              <w:rPr>
                <w:sz w:val="20"/>
                <w:szCs w:val="20"/>
                <w:color w:val="auto"/>
              </w:rPr>
            </w:pPr>
            <w:r>
              <w:rPr>
                <w:rFonts w:ascii="Arial" w:cs="Arial" w:eastAsia="Arial" w:hAnsi="Arial"/>
                <w:sz w:val="14"/>
                <w:szCs w:val="14"/>
                <w:color w:val="auto"/>
              </w:rPr>
              <w:t>99</w:t>
            </w:r>
          </w:p>
        </w:tc>
        <w:tc>
          <w:tcPr>
            <w:tcW w:w="80" w:type="dxa"/>
            <w:vAlign w:val="bottom"/>
            <w:shd w:val="clear" w:color="auto" w:fill="EAF9E8"/>
          </w:tcPr>
          <w:p>
            <w:pPr>
              <w:spacing w:after="0"/>
              <w:rPr>
                <w:sz w:val="21"/>
                <w:szCs w:val="21"/>
                <w:color w:val="auto"/>
              </w:rPr>
            </w:pPr>
          </w:p>
        </w:tc>
        <w:tc>
          <w:tcPr>
            <w:tcW w:w="960" w:type="dxa"/>
            <w:vAlign w:val="bottom"/>
            <w:tcBorders>
              <w:right w:val="single" w:sz="8" w:color="EAF9E8"/>
            </w:tcBorders>
            <w:gridSpan w:val="2"/>
            <w:shd w:val="clear" w:color="auto" w:fill="EAF9E8"/>
          </w:tcPr>
          <w:p>
            <w:pPr>
              <w:jc w:val="right"/>
              <w:ind w:right="80"/>
              <w:spacing w:after="0"/>
              <w:rPr>
                <w:sz w:val="20"/>
                <w:szCs w:val="20"/>
                <w:color w:val="auto"/>
              </w:rPr>
            </w:pPr>
            <w:r>
              <w:rPr>
                <w:rFonts w:ascii="Arial" w:cs="Arial" w:eastAsia="Arial" w:hAnsi="Arial"/>
                <w:sz w:val="14"/>
                <w:szCs w:val="14"/>
                <w:color w:val="auto"/>
              </w:rPr>
              <w:t>(64)</w:t>
            </w:r>
          </w:p>
        </w:tc>
        <w:tc>
          <w:tcPr>
            <w:tcW w:w="80" w:type="dxa"/>
            <w:vAlign w:val="bottom"/>
            <w:shd w:val="clear" w:color="auto" w:fill="EAF9E8"/>
          </w:tcPr>
          <w:p>
            <w:pPr>
              <w:spacing w:after="0"/>
              <w:rPr>
                <w:sz w:val="21"/>
                <w:szCs w:val="21"/>
                <w:color w:val="auto"/>
              </w:rPr>
            </w:pPr>
          </w:p>
        </w:tc>
        <w:tc>
          <w:tcPr>
            <w:tcW w:w="980" w:type="dxa"/>
            <w:vAlign w:val="bottom"/>
            <w:gridSpan w:val="2"/>
            <w:shd w:val="clear" w:color="auto" w:fill="EAF9E8"/>
          </w:tcPr>
          <w:p>
            <w:pPr>
              <w:jc w:val="right"/>
              <w:ind w:right="140"/>
              <w:spacing w:after="0"/>
              <w:rPr>
                <w:sz w:val="20"/>
                <w:szCs w:val="20"/>
                <w:color w:val="auto"/>
              </w:rPr>
            </w:pPr>
            <w:r>
              <w:rPr>
                <w:rFonts w:ascii="Arial" w:cs="Arial" w:eastAsia="Arial" w:hAnsi="Arial"/>
                <w:sz w:val="14"/>
                <w:szCs w:val="14"/>
                <w:color w:val="auto"/>
              </w:rPr>
              <w:t>2,843</w:t>
            </w:r>
          </w:p>
        </w:tc>
        <w:tc>
          <w:tcPr>
            <w:tcW w:w="0" w:type="dxa"/>
            <w:vAlign w:val="bottom"/>
          </w:tcPr>
          <w:p>
            <w:pPr>
              <w:spacing w:after="0"/>
              <w:rPr>
                <w:sz w:val="1"/>
                <w:szCs w:val="1"/>
                <w:color w:val="auto"/>
              </w:rPr>
            </w:pPr>
          </w:p>
        </w:tc>
      </w:tr>
      <w:tr>
        <w:trPr>
          <w:trHeight w:val="20"/>
        </w:trPr>
        <w:tc>
          <w:tcPr>
            <w:tcW w:w="2580" w:type="dxa"/>
            <w:vAlign w:val="bottom"/>
            <w:shd w:val="clear" w:color="auto" w:fill="EAF9E8"/>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tcBorders>
              <w:right w:val="single" w:sz="8" w:color="EAF9E8"/>
            </w:tcBorders>
            <w:shd w:val="clear" w:color="auto" w:fill="000000"/>
          </w:tcPr>
          <w:p>
            <w:pPr>
              <w:spacing w:after="0" w:line="20" w:lineRule="exact"/>
              <w:rPr>
                <w:sz w:val="1"/>
                <w:szCs w:val="1"/>
                <w:color w:val="auto"/>
              </w:rPr>
            </w:pPr>
          </w:p>
        </w:tc>
        <w:tc>
          <w:tcPr>
            <w:tcW w:w="120" w:type="dxa"/>
            <w:vAlign w:val="bottom"/>
            <w:shd w:val="clear" w:color="auto" w:fill="EAF9E8"/>
          </w:tcPr>
          <w:p>
            <w:pPr>
              <w:spacing w:after="0" w:line="20" w:lineRule="exact"/>
              <w:rPr>
                <w:sz w:val="1"/>
                <w:szCs w:val="1"/>
                <w:color w:val="auto"/>
              </w:rPr>
            </w:pPr>
          </w:p>
        </w:tc>
        <w:tc>
          <w:tcPr>
            <w:tcW w:w="100" w:type="dxa"/>
            <w:vAlign w:val="bottom"/>
            <w:shd w:val="clear" w:color="auto" w:fill="EAF9E8"/>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EAF9E8"/>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EAF9E8"/>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Borders>
              <w:right w:val="single" w:sz="8" w:color="EAF9E8"/>
            </w:tcBorders>
            <w:shd w:val="clear" w:color="auto" w:fill="EAF9E8"/>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Borders>
              <w:right w:val="single" w:sz="8" w:color="EAF9E8"/>
            </w:tcBorders>
            <w:shd w:val="clear" w:color="auto" w:fill="EAF9E8"/>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EAF9E8"/>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Borders>
              <w:right w:val="single" w:sz="8" w:color="EAF9E8"/>
            </w:tcBorders>
            <w:shd w:val="clear" w:color="auto" w:fill="EAF9E8"/>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Borders>
              <w:right w:val="single" w:sz="8" w:color="EAF9E8"/>
            </w:tcBorders>
            <w:shd w:val="clear" w:color="auto" w:fill="EAF9E8"/>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EAF9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580" w:type="dxa"/>
            <w:vAlign w:val="bottom"/>
          </w:tcPr>
          <w:p>
            <w:pPr>
              <w:ind w:left="320"/>
              <w:spacing w:after="0"/>
              <w:rPr>
                <w:sz w:val="20"/>
                <w:szCs w:val="20"/>
                <w:color w:val="auto"/>
              </w:rPr>
            </w:pPr>
            <w:r>
              <w:rPr>
                <w:rFonts w:ascii="Arial" w:cs="Arial" w:eastAsia="Arial" w:hAnsi="Arial"/>
                <w:sz w:val="14"/>
                <w:szCs w:val="14"/>
                <w:color w:val="auto"/>
              </w:rPr>
              <w:t>Other income (expense), net</w:t>
            </w:r>
          </w:p>
        </w:tc>
        <w:tc>
          <w:tcPr>
            <w:tcW w:w="10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(43,236)</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(4,861)</w:t>
            </w:r>
          </w:p>
        </w:tc>
        <w:tc>
          <w:tcPr>
            <w:tcW w:w="10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4"/>
                <w:szCs w:val="14"/>
                <w:color w:val="auto"/>
              </w:rPr>
              <w:t>(2,466)</w:t>
            </w:r>
          </w:p>
        </w:tc>
        <w:tc>
          <w:tcPr>
            <w:tcW w:w="8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802</w:t>
            </w:r>
          </w:p>
        </w:tc>
        <w:tc>
          <w:tcPr>
            <w:tcW w:w="80" w:type="dxa"/>
            <w:vAlign w:val="bottom"/>
          </w:tcPr>
          <w:p>
            <w:pPr>
              <w:spacing w:after="0"/>
              <w:rPr>
                <w:sz w:val="20"/>
                <w:szCs w:val="20"/>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(1,261)</w:t>
            </w:r>
          </w:p>
        </w:tc>
        <w:tc>
          <w:tcPr>
            <w:tcW w:w="100" w:type="dxa"/>
            <w:vAlign w:val="bottom"/>
          </w:tcPr>
          <w:p>
            <w:pPr>
              <w:spacing w:after="0"/>
              <w:rPr>
                <w:sz w:val="20"/>
                <w:szCs w:val="20"/>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4"/>
                <w:szCs w:val="14"/>
                <w:color w:val="auto"/>
              </w:rPr>
              <w:t>(103)</w:t>
            </w:r>
          </w:p>
        </w:tc>
        <w:tc>
          <w:tcPr>
            <w:tcW w:w="8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14,566</w:t>
            </w:r>
          </w:p>
        </w:tc>
        <w:tc>
          <w:tcPr>
            <w:tcW w:w="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794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(35,765)</w:t>
            </w:r>
          </w:p>
        </w:tc>
        <w:tc>
          <w:tcPr>
            <w:tcW w:w="0" w:type="dxa"/>
            <w:vAlign w:val="bottom"/>
          </w:tcPr>
          <w:p>
            <w:pPr>
              <w:spacing w:after="0"/>
              <w:rPr>
                <w:sz w:val="1"/>
                <w:szCs w:val="1"/>
                <w:color w:val="auto"/>
              </w:rPr>
            </w:pPr>
          </w:p>
        </w:tc>
      </w:tr>
      <w:tr>
        <w:trPr>
          <w:trHeight w:val="129"/>
        </w:trPr>
        <w:tc>
          <w:tcPr>
            <w:tcW w:w="2580" w:type="dxa"/>
            <w:vAlign w:val="bottom"/>
            <w:shd w:val="clear" w:color="auto" w:fill="EAF9E8"/>
          </w:tcPr>
          <w:p>
            <w:pPr>
              <w:spacing w:after="0" w:line="129" w:lineRule="exact"/>
              <w:rPr>
                <w:sz w:val="20"/>
                <w:szCs w:val="20"/>
                <w:color w:val="auto"/>
              </w:rPr>
            </w:pPr>
            <w:r>
              <w:rPr>
                <w:rFonts w:ascii="Arial" w:cs="Arial" w:eastAsia="Arial" w:hAnsi="Arial"/>
                <w:sz w:val="14"/>
                <w:szCs w:val="14"/>
                <w:b w:val="1"/>
                <w:bCs w:val="1"/>
                <w:color w:val="auto"/>
              </w:rPr>
              <w:t>Income (loss) from continuing</w:t>
            </w:r>
          </w:p>
        </w:tc>
        <w:tc>
          <w:tcPr>
            <w:tcW w:w="100" w:type="dxa"/>
            <w:vAlign w:val="bottom"/>
            <w:tcBorders>
              <w:top w:val="single" w:sz="8" w:color="auto"/>
            </w:tcBorders>
            <w:vMerge w:val="restart"/>
            <w:shd w:val="clear" w:color="auto" w:fill="EAF9E8"/>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right w:val="single" w:sz="8" w:color="EAF9E8"/>
            </w:tcBorders>
            <w:vMerge w:val="restart"/>
            <w:shd w:val="clear" w:color="auto" w:fill="EAF9E8"/>
          </w:tcPr>
          <w:p>
            <w:pPr>
              <w:jc w:val="right"/>
              <w:spacing w:after="0"/>
              <w:rPr>
                <w:sz w:val="20"/>
                <w:szCs w:val="20"/>
                <w:color w:val="auto"/>
              </w:rPr>
            </w:pPr>
            <w:r>
              <w:rPr>
                <w:rFonts w:ascii="Arial" w:cs="Arial" w:eastAsia="Arial" w:hAnsi="Arial"/>
                <w:sz w:val="14"/>
                <w:szCs w:val="14"/>
                <w:color w:val="auto"/>
              </w:rPr>
              <w:t>58,381</w:t>
            </w:r>
          </w:p>
        </w:tc>
        <w:tc>
          <w:tcPr>
            <w:tcW w:w="12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80" w:type="dxa"/>
            <w:vAlign w:val="bottom"/>
            <w:tcBorders>
              <w:top w:val="single" w:sz="8" w:color="auto"/>
            </w:tcBorders>
            <w:vMerge w:val="restart"/>
            <w:shd w:val="clear" w:color="auto" w:fill="EAF9E8"/>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vMerge w:val="restart"/>
            <w:shd w:val="clear" w:color="auto" w:fill="EAF9E8"/>
          </w:tcPr>
          <w:p>
            <w:pPr>
              <w:jc w:val="right"/>
              <w:spacing w:after="0"/>
              <w:rPr>
                <w:sz w:val="20"/>
                <w:szCs w:val="20"/>
                <w:color w:val="auto"/>
              </w:rPr>
            </w:pPr>
            <w:r>
              <w:rPr>
                <w:rFonts w:ascii="Arial" w:cs="Arial" w:eastAsia="Arial" w:hAnsi="Arial"/>
                <w:sz w:val="14"/>
                <w:szCs w:val="14"/>
                <w:color w:val="auto"/>
              </w:rPr>
              <w:t>(7,063)</w:t>
            </w:r>
          </w:p>
        </w:tc>
        <w:tc>
          <w:tcPr>
            <w:tcW w:w="120" w:type="dxa"/>
            <w:vAlign w:val="bottom"/>
            <w:shd w:val="clear" w:color="auto" w:fill="EAF9E8"/>
          </w:tcPr>
          <w:p>
            <w:pPr>
              <w:spacing w:after="0"/>
              <w:rPr>
                <w:sz w:val="11"/>
                <w:szCs w:val="11"/>
                <w:color w:val="auto"/>
              </w:rPr>
            </w:pPr>
          </w:p>
        </w:tc>
        <w:tc>
          <w:tcPr>
            <w:tcW w:w="100" w:type="dxa"/>
            <w:vAlign w:val="bottom"/>
            <w:tcBorders>
              <w:top w:val="single" w:sz="8" w:color="auto"/>
            </w:tcBorders>
            <w:vMerge w:val="restart"/>
            <w:shd w:val="clear" w:color="auto" w:fill="EAF9E8"/>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tcBorders>
            <w:vMerge w:val="restart"/>
            <w:shd w:val="clear" w:color="auto" w:fill="EAF9E8"/>
          </w:tcPr>
          <w:p>
            <w:pPr>
              <w:jc w:val="right"/>
              <w:spacing w:after="0"/>
              <w:rPr>
                <w:sz w:val="20"/>
                <w:szCs w:val="20"/>
                <w:color w:val="auto"/>
              </w:rPr>
            </w:pPr>
            <w:r>
              <w:rPr>
                <w:rFonts w:ascii="Arial" w:cs="Arial" w:eastAsia="Arial" w:hAnsi="Arial"/>
                <w:sz w:val="14"/>
                <w:szCs w:val="14"/>
                <w:color w:val="auto"/>
              </w:rPr>
              <w:t>(3,567)</w:t>
            </w:r>
          </w:p>
        </w:tc>
        <w:tc>
          <w:tcPr>
            <w:tcW w:w="120" w:type="dxa"/>
            <w:vAlign w:val="bottom"/>
            <w:shd w:val="clear" w:color="auto" w:fill="EAF9E8"/>
          </w:tcPr>
          <w:p>
            <w:pPr>
              <w:spacing w:after="0"/>
              <w:rPr>
                <w:sz w:val="11"/>
                <w:szCs w:val="11"/>
                <w:color w:val="auto"/>
              </w:rPr>
            </w:pPr>
          </w:p>
        </w:tc>
        <w:tc>
          <w:tcPr>
            <w:tcW w:w="80" w:type="dxa"/>
            <w:vAlign w:val="bottom"/>
            <w:tcBorders>
              <w:top w:val="single" w:sz="8" w:color="auto"/>
            </w:tcBorders>
            <w:vMerge w:val="restart"/>
            <w:shd w:val="clear" w:color="auto" w:fill="EAF9E8"/>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vMerge w:val="restart"/>
            <w:shd w:val="clear" w:color="auto" w:fill="EAF9E8"/>
          </w:tcPr>
          <w:p>
            <w:pPr>
              <w:jc w:val="right"/>
              <w:spacing w:after="0"/>
              <w:rPr>
                <w:sz w:val="20"/>
                <w:szCs w:val="20"/>
                <w:color w:val="auto"/>
              </w:rPr>
            </w:pPr>
            <w:r>
              <w:rPr>
                <w:rFonts w:ascii="Arial" w:cs="Arial" w:eastAsia="Arial" w:hAnsi="Arial"/>
                <w:sz w:val="14"/>
                <w:szCs w:val="14"/>
                <w:color w:val="auto"/>
              </w:rPr>
              <w:t>17,815</w:t>
            </w:r>
          </w:p>
        </w:tc>
        <w:tc>
          <w:tcPr>
            <w:tcW w:w="140" w:type="dxa"/>
            <w:vAlign w:val="bottom"/>
            <w:tcBorders>
              <w:right w:val="single" w:sz="8" w:color="EAF9E8"/>
            </w:tcBorders>
            <w:shd w:val="clear" w:color="auto" w:fill="EAF9E8"/>
          </w:tcPr>
          <w:p>
            <w:pPr>
              <w:spacing w:after="0"/>
              <w:rPr>
                <w:sz w:val="11"/>
                <w:szCs w:val="11"/>
                <w:color w:val="auto"/>
              </w:rPr>
            </w:pPr>
          </w:p>
        </w:tc>
        <w:tc>
          <w:tcPr>
            <w:tcW w:w="80" w:type="dxa"/>
            <w:vAlign w:val="bottom"/>
            <w:tcBorders>
              <w:top w:val="single" w:sz="8" w:color="auto"/>
            </w:tcBorders>
            <w:vMerge w:val="restart"/>
            <w:shd w:val="clear" w:color="auto" w:fill="EAF9E8"/>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vMerge w:val="restart"/>
            <w:shd w:val="clear" w:color="auto" w:fill="EAF9E8"/>
          </w:tcPr>
          <w:p>
            <w:pPr>
              <w:jc w:val="right"/>
              <w:spacing w:after="0"/>
              <w:rPr>
                <w:sz w:val="20"/>
                <w:szCs w:val="20"/>
                <w:color w:val="auto"/>
              </w:rPr>
            </w:pPr>
            <w:r>
              <w:rPr>
                <w:rFonts w:ascii="Arial" w:cs="Arial" w:eastAsia="Arial" w:hAnsi="Arial"/>
                <w:sz w:val="14"/>
                <w:szCs w:val="14"/>
                <w:color w:val="auto"/>
              </w:rPr>
              <w:t>(5,969)</w:t>
            </w:r>
          </w:p>
        </w:tc>
        <w:tc>
          <w:tcPr>
            <w:tcW w:w="120" w:type="dxa"/>
            <w:vAlign w:val="bottom"/>
            <w:tcBorders>
              <w:right w:val="single" w:sz="8" w:color="EAF9E8"/>
            </w:tcBorders>
            <w:shd w:val="clear" w:color="auto" w:fill="EAF9E8"/>
          </w:tcPr>
          <w:p>
            <w:pPr>
              <w:spacing w:after="0"/>
              <w:rPr>
                <w:sz w:val="11"/>
                <w:szCs w:val="11"/>
                <w:color w:val="auto"/>
              </w:rPr>
            </w:pPr>
          </w:p>
        </w:tc>
        <w:tc>
          <w:tcPr>
            <w:tcW w:w="100" w:type="dxa"/>
            <w:vAlign w:val="bottom"/>
            <w:tcBorders>
              <w:top w:val="single" w:sz="8" w:color="auto"/>
            </w:tcBorders>
            <w:vMerge w:val="restart"/>
            <w:shd w:val="clear" w:color="auto" w:fill="EAF9E8"/>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vMerge w:val="restart"/>
            <w:shd w:val="clear" w:color="auto" w:fill="EAF9E8"/>
          </w:tcPr>
          <w:p>
            <w:pPr>
              <w:jc w:val="right"/>
              <w:spacing w:after="0"/>
              <w:rPr>
                <w:sz w:val="20"/>
                <w:szCs w:val="20"/>
                <w:color w:val="auto"/>
              </w:rPr>
            </w:pPr>
            <w:r>
              <w:rPr>
                <w:rFonts w:ascii="Arial" w:cs="Arial" w:eastAsia="Arial" w:hAnsi="Arial"/>
                <w:sz w:val="14"/>
                <w:szCs w:val="14"/>
                <w:color w:val="auto"/>
              </w:rPr>
              <w:t>9,590</w:t>
            </w:r>
          </w:p>
        </w:tc>
        <w:tc>
          <w:tcPr>
            <w:tcW w:w="120" w:type="dxa"/>
            <w:vAlign w:val="bottom"/>
            <w:shd w:val="clear" w:color="auto" w:fill="EAF9E8"/>
          </w:tcPr>
          <w:p>
            <w:pPr>
              <w:spacing w:after="0"/>
              <w:rPr>
                <w:sz w:val="11"/>
                <w:szCs w:val="11"/>
                <w:color w:val="auto"/>
              </w:rPr>
            </w:pPr>
          </w:p>
        </w:tc>
        <w:tc>
          <w:tcPr>
            <w:tcW w:w="80" w:type="dxa"/>
            <w:vAlign w:val="bottom"/>
            <w:tcBorders>
              <w:top w:val="single" w:sz="8" w:color="auto"/>
            </w:tcBorders>
            <w:vMerge w:val="restart"/>
            <w:shd w:val="clear" w:color="auto" w:fill="EAF9E8"/>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vMerge w:val="restart"/>
            <w:shd w:val="clear" w:color="auto" w:fill="EAF9E8"/>
          </w:tcPr>
          <w:p>
            <w:pPr>
              <w:jc w:val="right"/>
              <w:spacing w:after="0"/>
              <w:rPr>
                <w:sz w:val="20"/>
                <w:szCs w:val="20"/>
                <w:color w:val="auto"/>
              </w:rPr>
            </w:pPr>
            <w:r>
              <w:rPr>
                <w:rFonts w:ascii="Arial" w:cs="Arial" w:eastAsia="Arial" w:hAnsi="Arial"/>
                <w:sz w:val="14"/>
                <w:szCs w:val="14"/>
                <w:color w:val="auto"/>
              </w:rPr>
              <w:t>3,880</w:t>
            </w:r>
          </w:p>
        </w:tc>
        <w:tc>
          <w:tcPr>
            <w:tcW w:w="120" w:type="dxa"/>
            <w:vAlign w:val="bottom"/>
            <w:tcBorders>
              <w:right w:val="single" w:sz="8" w:color="EAF9E8"/>
            </w:tcBorders>
            <w:shd w:val="clear" w:color="auto" w:fill="EAF9E8"/>
          </w:tcPr>
          <w:p>
            <w:pPr>
              <w:spacing w:after="0"/>
              <w:rPr>
                <w:sz w:val="11"/>
                <w:szCs w:val="11"/>
                <w:color w:val="auto"/>
              </w:rPr>
            </w:pPr>
          </w:p>
        </w:tc>
        <w:tc>
          <w:tcPr>
            <w:tcW w:w="80" w:type="dxa"/>
            <w:vAlign w:val="bottom"/>
            <w:tcBorders>
              <w:top w:val="single" w:sz="8" w:color="auto"/>
            </w:tcBorders>
            <w:vMerge w:val="restart"/>
            <w:shd w:val="clear" w:color="auto" w:fill="EAF9E8"/>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vMerge w:val="restart"/>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EAF9E8"/>
            </w:tcBorders>
            <w:shd w:val="clear" w:color="auto" w:fill="EAF9E8"/>
          </w:tcPr>
          <w:p>
            <w:pPr>
              <w:spacing w:after="0"/>
              <w:rPr>
                <w:sz w:val="11"/>
                <w:szCs w:val="11"/>
                <w:color w:val="auto"/>
              </w:rPr>
            </w:pPr>
          </w:p>
        </w:tc>
        <w:tc>
          <w:tcPr>
            <w:tcW w:w="80" w:type="dxa"/>
            <w:vAlign w:val="bottom"/>
            <w:tcBorders>
              <w:top w:val="single" w:sz="8" w:color="auto"/>
            </w:tcBorders>
            <w:vMerge w:val="restart"/>
            <w:shd w:val="clear" w:color="auto" w:fill="EAF9E8"/>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vMerge w:val="restart"/>
            <w:shd w:val="clear" w:color="auto" w:fill="EAF9E8"/>
          </w:tcPr>
          <w:p>
            <w:pPr>
              <w:jc w:val="right"/>
              <w:spacing w:after="0"/>
              <w:rPr>
                <w:sz w:val="20"/>
                <w:szCs w:val="20"/>
                <w:color w:val="auto"/>
              </w:rPr>
            </w:pPr>
            <w:r>
              <w:rPr>
                <w:rFonts w:ascii="Arial" w:cs="Arial" w:eastAsia="Arial" w:hAnsi="Arial"/>
                <w:sz w:val="14"/>
                <w:szCs w:val="14"/>
                <w:color w:val="auto"/>
              </w:rPr>
              <w:t>73,067</w:t>
            </w:r>
          </w:p>
        </w:tc>
        <w:tc>
          <w:tcPr>
            <w:tcW w:w="140" w:type="dxa"/>
            <w:vAlign w:val="bottom"/>
            <w:shd w:val="clear" w:color="auto" w:fill="EAF9E8"/>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580" w:type="dxa"/>
            <w:vAlign w:val="bottom"/>
            <w:tcBorders>
              <w:bottom w:val="single" w:sz="8" w:color="EAF9E8"/>
            </w:tcBorders>
            <w:shd w:val="clear" w:color="auto" w:fill="EAF9E8"/>
          </w:tcPr>
          <w:p>
            <w:pPr>
              <w:ind w:left="160"/>
              <w:spacing w:after="0" w:line="114" w:lineRule="exact"/>
              <w:rPr>
                <w:sz w:val="20"/>
                <w:szCs w:val="20"/>
                <w:color w:val="auto"/>
              </w:rPr>
            </w:pPr>
            <w:r>
              <w:rPr>
                <w:rFonts w:ascii="Arial" w:cs="Arial" w:eastAsia="Arial" w:hAnsi="Arial"/>
                <w:sz w:val="12"/>
                <w:szCs w:val="12"/>
                <w:b w:val="1"/>
                <w:bCs w:val="1"/>
                <w:color w:val="auto"/>
              </w:rPr>
              <w:t>operations before income taxes</w:t>
            </w:r>
          </w:p>
        </w:tc>
        <w:tc>
          <w:tcPr>
            <w:tcW w:w="100" w:type="dxa"/>
            <w:vAlign w:val="bottom"/>
            <w:tcBorders>
              <w:bottom w:val="single" w:sz="8" w:color="auto"/>
            </w:tcBorders>
            <w:vMerge w:val="continue"/>
            <w:shd w:val="clear" w:color="auto" w:fill="EAF9E8"/>
          </w:tcPr>
          <w:p>
            <w:pPr>
              <w:spacing w:after="0"/>
              <w:rPr>
                <w:sz w:val="13"/>
                <w:szCs w:val="13"/>
                <w:color w:val="auto"/>
              </w:rPr>
            </w:pPr>
          </w:p>
        </w:tc>
        <w:tc>
          <w:tcPr>
            <w:tcW w:w="700" w:type="dxa"/>
            <w:vAlign w:val="bottom"/>
            <w:tcBorders>
              <w:bottom w:val="single" w:sz="8" w:color="auto"/>
              <w:right w:val="single" w:sz="8" w:color="EAF9E8"/>
            </w:tcBorders>
            <w:vMerge w:val="continue"/>
            <w:shd w:val="clear" w:color="auto" w:fill="EAF9E8"/>
          </w:tcPr>
          <w:p>
            <w:pPr>
              <w:spacing w:after="0"/>
              <w:rPr>
                <w:sz w:val="13"/>
                <w:szCs w:val="13"/>
                <w:color w:val="auto"/>
              </w:rPr>
            </w:pPr>
          </w:p>
        </w:tc>
        <w:tc>
          <w:tcPr>
            <w:tcW w:w="120" w:type="dxa"/>
            <w:vAlign w:val="bottom"/>
            <w:tcBorders>
              <w:bottom w:val="single" w:sz="8" w:color="EAF9E8"/>
            </w:tcBorders>
            <w:shd w:val="clear" w:color="auto" w:fill="EAF9E8"/>
          </w:tcPr>
          <w:p>
            <w:pPr>
              <w:spacing w:after="0"/>
              <w:rPr>
                <w:sz w:val="13"/>
                <w:szCs w:val="13"/>
                <w:color w:val="auto"/>
              </w:rPr>
            </w:pPr>
          </w:p>
        </w:tc>
        <w:tc>
          <w:tcPr>
            <w:tcW w:w="100" w:type="dxa"/>
            <w:vAlign w:val="bottom"/>
            <w:tcBorders>
              <w:bottom w:val="single" w:sz="8" w:color="EAF9E8"/>
            </w:tcBorders>
            <w:shd w:val="clear" w:color="auto" w:fill="EAF9E8"/>
          </w:tcPr>
          <w:p>
            <w:pPr>
              <w:spacing w:after="0"/>
              <w:rPr>
                <w:sz w:val="13"/>
                <w:szCs w:val="13"/>
                <w:color w:val="auto"/>
              </w:rPr>
            </w:pPr>
          </w:p>
        </w:tc>
        <w:tc>
          <w:tcPr>
            <w:tcW w:w="80" w:type="dxa"/>
            <w:vAlign w:val="bottom"/>
            <w:tcBorders>
              <w:bottom w:val="single" w:sz="8" w:color="auto"/>
            </w:tcBorders>
            <w:vMerge w:val="continue"/>
            <w:shd w:val="clear" w:color="auto" w:fill="EAF9E8"/>
          </w:tcPr>
          <w:p>
            <w:pPr>
              <w:spacing w:after="0"/>
              <w:rPr>
                <w:sz w:val="13"/>
                <w:szCs w:val="13"/>
                <w:color w:val="auto"/>
              </w:rPr>
            </w:pPr>
          </w:p>
        </w:tc>
        <w:tc>
          <w:tcPr>
            <w:tcW w:w="700" w:type="dxa"/>
            <w:vAlign w:val="bottom"/>
            <w:tcBorders>
              <w:bottom w:val="single" w:sz="8" w:color="auto"/>
            </w:tcBorders>
            <w:vMerge w:val="continue"/>
            <w:shd w:val="clear" w:color="auto" w:fill="EAF9E8"/>
          </w:tcPr>
          <w:p>
            <w:pPr>
              <w:spacing w:after="0"/>
              <w:rPr>
                <w:sz w:val="13"/>
                <w:szCs w:val="13"/>
                <w:color w:val="auto"/>
              </w:rPr>
            </w:pPr>
          </w:p>
        </w:tc>
        <w:tc>
          <w:tcPr>
            <w:tcW w:w="120" w:type="dxa"/>
            <w:vAlign w:val="bottom"/>
            <w:tcBorders>
              <w:bottom w:val="single" w:sz="8" w:color="EAF9E8"/>
            </w:tcBorders>
            <w:shd w:val="clear" w:color="auto" w:fill="EAF9E8"/>
          </w:tcPr>
          <w:p>
            <w:pPr>
              <w:spacing w:after="0"/>
              <w:rPr>
                <w:sz w:val="13"/>
                <w:szCs w:val="13"/>
                <w:color w:val="auto"/>
              </w:rPr>
            </w:pPr>
          </w:p>
        </w:tc>
        <w:tc>
          <w:tcPr>
            <w:tcW w:w="100" w:type="dxa"/>
            <w:vAlign w:val="bottom"/>
            <w:tcBorders>
              <w:bottom w:val="single" w:sz="8" w:color="auto"/>
            </w:tcBorders>
            <w:vMerge w:val="continue"/>
            <w:shd w:val="clear" w:color="auto" w:fill="EAF9E8"/>
          </w:tcPr>
          <w:p>
            <w:pPr>
              <w:spacing w:after="0"/>
              <w:rPr>
                <w:sz w:val="13"/>
                <w:szCs w:val="13"/>
                <w:color w:val="auto"/>
              </w:rPr>
            </w:pPr>
          </w:p>
        </w:tc>
        <w:tc>
          <w:tcPr>
            <w:tcW w:w="920" w:type="dxa"/>
            <w:vAlign w:val="bottom"/>
            <w:tcBorders>
              <w:bottom w:val="single" w:sz="8" w:color="auto"/>
            </w:tcBorders>
            <w:vMerge w:val="continue"/>
            <w:shd w:val="clear" w:color="auto" w:fill="EAF9E8"/>
          </w:tcPr>
          <w:p>
            <w:pPr>
              <w:spacing w:after="0"/>
              <w:rPr>
                <w:sz w:val="13"/>
                <w:szCs w:val="13"/>
                <w:color w:val="auto"/>
              </w:rPr>
            </w:pPr>
          </w:p>
        </w:tc>
        <w:tc>
          <w:tcPr>
            <w:tcW w:w="120" w:type="dxa"/>
            <w:vAlign w:val="bottom"/>
            <w:tcBorders>
              <w:bottom w:val="single" w:sz="8" w:color="EAF9E8"/>
            </w:tcBorders>
            <w:shd w:val="clear" w:color="auto" w:fill="EAF9E8"/>
          </w:tcPr>
          <w:p>
            <w:pPr>
              <w:spacing w:after="0"/>
              <w:rPr>
                <w:sz w:val="13"/>
                <w:szCs w:val="13"/>
                <w:color w:val="auto"/>
              </w:rPr>
            </w:pPr>
          </w:p>
        </w:tc>
        <w:tc>
          <w:tcPr>
            <w:tcW w:w="80" w:type="dxa"/>
            <w:vAlign w:val="bottom"/>
            <w:tcBorders>
              <w:bottom w:val="single" w:sz="8" w:color="auto"/>
            </w:tcBorders>
            <w:vMerge w:val="continue"/>
            <w:shd w:val="clear" w:color="auto" w:fill="EAF9E8"/>
          </w:tcPr>
          <w:p>
            <w:pPr>
              <w:spacing w:after="0"/>
              <w:rPr>
                <w:sz w:val="13"/>
                <w:szCs w:val="13"/>
                <w:color w:val="auto"/>
              </w:rPr>
            </w:pPr>
          </w:p>
        </w:tc>
        <w:tc>
          <w:tcPr>
            <w:tcW w:w="680" w:type="dxa"/>
            <w:vAlign w:val="bottom"/>
            <w:tcBorders>
              <w:bottom w:val="single" w:sz="8" w:color="auto"/>
            </w:tcBorders>
            <w:vMerge w:val="continue"/>
            <w:shd w:val="clear" w:color="auto" w:fill="EAF9E8"/>
          </w:tcPr>
          <w:p>
            <w:pPr>
              <w:spacing w:after="0"/>
              <w:rPr>
                <w:sz w:val="13"/>
                <w:szCs w:val="13"/>
                <w:color w:val="auto"/>
              </w:rPr>
            </w:pPr>
          </w:p>
        </w:tc>
        <w:tc>
          <w:tcPr>
            <w:tcW w:w="140" w:type="dxa"/>
            <w:vAlign w:val="bottom"/>
            <w:tcBorders>
              <w:bottom w:val="single" w:sz="8" w:color="EAF9E8"/>
              <w:right w:val="single" w:sz="8" w:color="EAF9E8"/>
            </w:tcBorders>
            <w:shd w:val="clear" w:color="auto" w:fill="EAF9E8"/>
          </w:tcPr>
          <w:p>
            <w:pPr>
              <w:spacing w:after="0"/>
              <w:rPr>
                <w:sz w:val="13"/>
                <w:szCs w:val="13"/>
                <w:color w:val="auto"/>
              </w:rPr>
            </w:pPr>
          </w:p>
        </w:tc>
        <w:tc>
          <w:tcPr>
            <w:tcW w:w="80" w:type="dxa"/>
            <w:vAlign w:val="bottom"/>
            <w:tcBorders>
              <w:bottom w:val="single" w:sz="8" w:color="auto"/>
            </w:tcBorders>
            <w:vMerge w:val="continue"/>
            <w:shd w:val="clear" w:color="auto" w:fill="EAF9E8"/>
          </w:tcPr>
          <w:p>
            <w:pPr>
              <w:spacing w:after="0"/>
              <w:rPr>
                <w:sz w:val="13"/>
                <w:szCs w:val="13"/>
                <w:color w:val="auto"/>
              </w:rPr>
            </w:pPr>
          </w:p>
        </w:tc>
        <w:tc>
          <w:tcPr>
            <w:tcW w:w="680" w:type="dxa"/>
            <w:vAlign w:val="bottom"/>
            <w:tcBorders>
              <w:bottom w:val="single" w:sz="8" w:color="auto"/>
            </w:tcBorders>
            <w:vMerge w:val="continue"/>
            <w:shd w:val="clear" w:color="auto" w:fill="EAF9E8"/>
          </w:tcPr>
          <w:p>
            <w:pPr>
              <w:spacing w:after="0"/>
              <w:rPr>
                <w:sz w:val="13"/>
                <w:szCs w:val="13"/>
                <w:color w:val="auto"/>
              </w:rPr>
            </w:pPr>
          </w:p>
        </w:tc>
        <w:tc>
          <w:tcPr>
            <w:tcW w:w="120" w:type="dxa"/>
            <w:vAlign w:val="bottom"/>
            <w:tcBorders>
              <w:bottom w:val="single" w:sz="8" w:color="EAF9E8"/>
              <w:right w:val="single" w:sz="8" w:color="EAF9E8"/>
            </w:tcBorders>
            <w:shd w:val="clear" w:color="auto" w:fill="EAF9E8"/>
          </w:tcPr>
          <w:p>
            <w:pPr>
              <w:spacing w:after="0"/>
              <w:rPr>
                <w:sz w:val="13"/>
                <w:szCs w:val="13"/>
                <w:color w:val="auto"/>
              </w:rPr>
            </w:pPr>
          </w:p>
        </w:tc>
        <w:tc>
          <w:tcPr>
            <w:tcW w:w="100" w:type="dxa"/>
            <w:vAlign w:val="bottom"/>
            <w:tcBorders>
              <w:bottom w:val="single" w:sz="8" w:color="auto"/>
            </w:tcBorders>
            <w:vMerge w:val="continue"/>
            <w:shd w:val="clear" w:color="auto" w:fill="EAF9E8"/>
          </w:tcPr>
          <w:p>
            <w:pPr>
              <w:spacing w:after="0"/>
              <w:rPr>
                <w:sz w:val="13"/>
                <w:szCs w:val="13"/>
                <w:color w:val="auto"/>
              </w:rPr>
            </w:pPr>
          </w:p>
        </w:tc>
        <w:tc>
          <w:tcPr>
            <w:tcW w:w="800" w:type="dxa"/>
            <w:vAlign w:val="bottom"/>
            <w:tcBorders>
              <w:bottom w:val="single" w:sz="8" w:color="auto"/>
            </w:tcBorders>
            <w:vMerge w:val="continue"/>
            <w:shd w:val="clear" w:color="auto" w:fill="EAF9E8"/>
          </w:tcPr>
          <w:p>
            <w:pPr>
              <w:spacing w:after="0"/>
              <w:rPr>
                <w:sz w:val="13"/>
                <w:szCs w:val="13"/>
                <w:color w:val="auto"/>
              </w:rPr>
            </w:pPr>
          </w:p>
        </w:tc>
        <w:tc>
          <w:tcPr>
            <w:tcW w:w="120" w:type="dxa"/>
            <w:vAlign w:val="bottom"/>
            <w:tcBorders>
              <w:bottom w:val="single" w:sz="8" w:color="EAF9E8"/>
            </w:tcBorders>
            <w:shd w:val="clear" w:color="auto" w:fill="EAF9E8"/>
          </w:tcPr>
          <w:p>
            <w:pPr>
              <w:spacing w:after="0"/>
              <w:rPr>
                <w:sz w:val="13"/>
                <w:szCs w:val="13"/>
                <w:color w:val="auto"/>
              </w:rPr>
            </w:pPr>
          </w:p>
        </w:tc>
        <w:tc>
          <w:tcPr>
            <w:tcW w:w="80" w:type="dxa"/>
            <w:vAlign w:val="bottom"/>
            <w:tcBorders>
              <w:bottom w:val="single" w:sz="8" w:color="auto"/>
            </w:tcBorders>
            <w:vMerge w:val="continue"/>
            <w:shd w:val="clear" w:color="auto" w:fill="EAF9E8"/>
          </w:tcPr>
          <w:p>
            <w:pPr>
              <w:spacing w:after="0"/>
              <w:rPr>
                <w:sz w:val="13"/>
                <w:szCs w:val="13"/>
                <w:color w:val="auto"/>
              </w:rPr>
            </w:pPr>
          </w:p>
        </w:tc>
        <w:tc>
          <w:tcPr>
            <w:tcW w:w="680" w:type="dxa"/>
            <w:vAlign w:val="bottom"/>
            <w:tcBorders>
              <w:bottom w:val="single" w:sz="8" w:color="auto"/>
            </w:tcBorders>
            <w:vMerge w:val="continue"/>
            <w:shd w:val="clear" w:color="auto" w:fill="EAF9E8"/>
          </w:tcPr>
          <w:p>
            <w:pPr>
              <w:spacing w:after="0"/>
              <w:rPr>
                <w:sz w:val="13"/>
                <w:szCs w:val="13"/>
                <w:color w:val="auto"/>
              </w:rPr>
            </w:pPr>
          </w:p>
        </w:tc>
        <w:tc>
          <w:tcPr>
            <w:tcW w:w="120" w:type="dxa"/>
            <w:vAlign w:val="bottom"/>
            <w:tcBorders>
              <w:bottom w:val="single" w:sz="8" w:color="EAF9E8"/>
              <w:right w:val="single" w:sz="8" w:color="EAF9E8"/>
            </w:tcBorders>
            <w:shd w:val="clear" w:color="auto" w:fill="EAF9E8"/>
          </w:tcPr>
          <w:p>
            <w:pPr>
              <w:spacing w:after="0"/>
              <w:rPr>
                <w:sz w:val="13"/>
                <w:szCs w:val="13"/>
                <w:color w:val="auto"/>
              </w:rPr>
            </w:pPr>
          </w:p>
        </w:tc>
        <w:tc>
          <w:tcPr>
            <w:tcW w:w="80" w:type="dxa"/>
            <w:vAlign w:val="bottom"/>
            <w:tcBorders>
              <w:bottom w:val="single" w:sz="8" w:color="auto"/>
            </w:tcBorders>
            <w:vMerge w:val="continue"/>
            <w:shd w:val="clear" w:color="auto" w:fill="EAF9E8"/>
          </w:tcPr>
          <w:p>
            <w:pPr>
              <w:spacing w:after="0"/>
              <w:rPr>
                <w:sz w:val="13"/>
                <w:szCs w:val="13"/>
                <w:color w:val="auto"/>
              </w:rPr>
            </w:pPr>
          </w:p>
        </w:tc>
        <w:tc>
          <w:tcPr>
            <w:tcW w:w="840" w:type="dxa"/>
            <w:vAlign w:val="bottom"/>
            <w:tcBorders>
              <w:bottom w:val="single" w:sz="8" w:color="auto"/>
            </w:tcBorders>
            <w:vMerge w:val="continue"/>
            <w:shd w:val="clear" w:color="auto" w:fill="EAF9E8"/>
          </w:tcPr>
          <w:p>
            <w:pPr>
              <w:spacing w:after="0"/>
              <w:rPr>
                <w:sz w:val="13"/>
                <w:szCs w:val="13"/>
                <w:color w:val="auto"/>
              </w:rPr>
            </w:pPr>
          </w:p>
        </w:tc>
        <w:tc>
          <w:tcPr>
            <w:tcW w:w="120" w:type="dxa"/>
            <w:vAlign w:val="bottom"/>
            <w:tcBorders>
              <w:bottom w:val="single" w:sz="8" w:color="EAF9E8"/>
              <w:right w:val="single" w:sz="8" w:color="EAF9E8"/>
            </w:tcBorders>
            <w:shd w:val="clear" w:color="auto" w:fill="EAF9E8"/>
          </w:tcPr>
          <w:p>
            <w:pPr>
              <w:spacing w:after="0"/>
              <w:rPr>
                <w:sz w:val="13"/>
                <w:szCs w:val="13"/>
                <w:color w:val="auto"/>
              </w:rPr>
            </w:pPr>
          </w:p>
        </w:tc>
        <w:tc>
          <w:tcPr>
            <w:tcW w:w="80" w:type="dxa"/>
            <w:vAlign w:val="bottom"/>
            <w:tcBorders>
              <w:bottom w:val="single" w:sz="8" w:color="auto"/>
            </w:tcBorders>
            <w:vMerge w:val="continue"/>
            <w:shd w:val="clear" w:color="auto" w:fill="EAF9E8"/>
          </w:tcPr>
          <w:p>
            <w:pPr>
              <w:spacing w:after="0"/>
              <w:rPr>
                <w:sz w:val="13"/>
                <w:szCs w:val="13"/>
                <w:color w:val="auto"/>
              </w:rPr>
            </w:pPr>
          </w:p>
        </w:tc>
        <w:tc>
          <w:tcPr>
            <w:tcW w:w="840" w:type="dxa"/>
            <w:vAlign w:val="bottom"/>
            <w:tcBorders>
              <w:bottom w:val="single" w:sz="8" w:color="auto"/>
            </w:tcBorders>
            <w:vMerge w:val="continue"/>
            <w:shd w:val="clear" w:color="auto" w:fill="EAF9E8"/>
          </w:tcPr>
          <w:p>
            <w:pPr>
              <w:spacing w:after="0"/>
              <w:rPr>
                <w:sz w:val="13"/>
                <w:szCs w:val="13"/>
                <w:color w:val="auto"/>
              </w:rPr>
            </w:pPr>
          </w:p>
        </w:tc>
        <w:tc>
          <w:tcPr>
            <w:tcW w:w="140" w:type="dxa"/>
            <w:vAlign w:val="bottom"/>
            <w:tcBorders>
              <w:bottom w:val="single" w:sz="8" w:color="EAF9E8"/>
            </w:tcBorders>
            <w:shd w:val="clear" w:color="auto" w:fill="EAF9E8"/>
          </w:tcPr>
          <w:p>
            <w:pPr>
              <w:spacing w:after="0"/>
              <w:rPr>
                <w:sz w:val="13"/>
                <w:szCs w:val="13"/>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880" w:firstLine="436"/>
        <w:spacing w:after="0" w:line="268" w:lineRule="auto"/>
        <w:rPr>
          <w:sz w:val="20"/>
          <w:szCs w:val="20"/>
          <w:color w:val="auto"/>
        </w:rPr>
      </w:pPr>
      <w:r>
        <w:rPr>
          <w:rFonts w:ascii="Arial" w:cs="Arial" w:eastAsia="Arial" w:hAnsi="Arial"/>
          <w:sz w:val="18"/>
          <w:szCs w:val="18"/>
          <w:color w:val="auto"/>
        </w:rPr>
        <w:t>We report the operating results of BOK, which are included in Corporate Items and Other, as discontinued operations. See Note 5 to the Interim Consolidated Financial Statements for additional information.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Servicing</w:t>
      </w:r>
    </w:p>
    <w:p>
      <w:pPr>
        <w:spacing w:after="0" w:line="225" w:lineRule="exact"/>
        <w:rPr>
          <w:sz w:val="20"/>
          <w:szCs w:val="20"/>
          <w:color w:val="auto"/>
        </w:rPr>
      </w:pPr>
    </w:p>
    <w:p>
      <w:pPr>
        <w:ind w:right="20" w:firstLine="436"/>
        <w:spacing w:after="0" w:line="289" w:lineRule="auto"/>
        <w:rPr>
          <w:sz w:val="20"/>
          <w:szCs w:val="20"/>
          <w:color w:val="auto"/>
        </w:rPr>
      </w:pPr>
      <w:r>
        <w:rPr>
          <w:rFonts w:ascii="Arial" w:cs="Arial" w:eastAsia="Arial" w:hAnsi="Arial"/>
          <w:sz w:val="16"/>
          <w:szCs w:val="16"/>
          <w:b w:val="1"/>
          <w:bCs w:val="1"/>
          <w:color w:val="auto"/>
        </w:rPr>
        <w:t xml:space="preserve">Three Months Ended September 2009 versus September 2008. </w:t>
      </w:r>
      <w:r>
        <w:rPr>
          <w:rFonts w:ascii="Arial" w:cs="Arial" w:eastAsia="Arial" w:hAnsi="Arial"/>
          <w:sz w:val="16"/>
          <w:szCs w:val="16"/>
          <w:color w:val="auto"/>
        </w:rPr>
        <w:t>Servicing continues to be our most profitable segment despite a 28% decline in total</w:t>
      </w:r>
      <w:r>
        <w:rPr>
          <w:rFonts w:ascii="Arial" w:cs="Arial" w:eastAsia="Arial" w:hAnsi="Arial"/>
          <w:sz w:val="16"/>
          <w:szCs w:val="16"/>
          <w:b w:val="1"/>
          <w:bCs w:val="1"/>
          <w:color w:val="auto"/>
        </w:rPr>
        <w:t xml:space="preserve"> </w:t>
      </w:r>
      <w:r>
        <w:rPr>
          <w:rFonts w:ascii="Arial" w:cs="Arial" w:eastAsia="Arial" w:hAnsi="Arial"/>
          <w:sz w:val="16"/>
          <w:szCs w:val="16"/>
          <w:color w:val="auto"/>
        </w:rPr>
        <w:t>revenue in the third quarter of 2009 as compared to 2008. A significant factor in the decline in Servicing and subservicing fees in the third quarter of 2009 was attributable to the effects of implementing HAMP which caused loan modifications that would ordinarily have been completed in the quarter to be delayed. In addition, the average UPB of loans that we service for others was 11% lower in the third quarter of 2009 as compared to the third quarter of 2008. Lower float balances and lower interest rates led to a decline in float earnings. The decline in revenue was somewhat offset by a 24% decline in operating expenses. Amortization of MSRs declined due to a decline in projected prepayment speeds. Servicing and origination expense declined as a result of a decline in voluntary loan payoffs, and compensation and benefits expense declined as a result of a 7% reduction in average staffing levels. As a result, income from operations declined by $14,471, or 32%, in the third quarter of 2009 as compared to 2008. Total interest expense declined by $1,557, or 9%, and income before income taxes declined by $11,343, or 39%, in the third quarter of 2009.</w:t>
      </w:r>
    </w:p>
    <w:p>
      <w:pPr>
        <w:spacing w:after="0" w:line="173" w:lineRule="exact"/>
        <w:rPr>
          <w:sz w:val="20"/>
          <w:szCs w:val="20"/>
          <w:color w:val="auto"/>
        </w:rPr>
      </w:pPr>
    </w:p>
    <w:p>
      <w:pPr>
        <w:ind w:firstLine="436"/>
        <w:spacing w:after="0" w:line="259" w:lineRule="auto"/>
        <w:rPr>
          <w:sz w:val="20"/>
          <w:szCs w:val="20"/>
          <w:color w:val="auto"/>
        </w:rPr>
      </w:pPr>
      <w:r>
        <w:rPr>
          <w:rFonts w:ascii="Arial" w:cs="Arial" w:eastAsia="Arial" w:hAnsi="Arial"/>
          <w:sz w:val="18"/>
          <w:szCs w:val="18"/>
          <w:color w:val="auto"/>
        </w:rPr>
        <w:t>The delinquency rate has remained relatively stable and total advances have continued to decline in 2009. Lower UPB and increased sales of foreclosed real estate also contributed to the decline in advances. We expect delinquency rates to remain flat for the remainder of 2009 which will lead to further reductions in advances as our seasoned portfolio matures.</w:t>
      </w:r>
    </w:p>
    <w:p>
      <w:pPr>
        <w:spacing w:after="0" w:line="194" w:lineRule="exact"/>
        <w:rPr>
          <w:sz w:val="20"/>
          <w:szCs w:val="20"/>
          <w:color w:val="auto"/>
        </w:rPr>
      </w:pPr>
    </w:p>
    <w:p>
      <w:pPr>
        <w:ind w:right="140" w:firstLine="439"/>
        <w:spacing w:after="0" w:line="255" w:lineRule="auto"/>
        <w:rPr>
          <w:sz w:val="20"/>
          <w:szCs w:val="20"/>
          <w:color w:val="auto"/>
        </w:rPr>
      </w:pPr>
      <w:r>
        <w:rPr>
          <w:rFonts w:ascii="Arial" w:cs="Arial" w:eastAsia="Arial" w:hAnsi="Arial"/>
          <w:sz w:val="18"/>
          <w:szCs w:val="18"/>
          <w:color w:val="auto"/>
        </w:rPr>
        <w:t>Excluding loans serviced for Freddie Mac, the number of non-performing loans serviced declined by 3,008 in the third quarter of 2009. The UPB of non-performing loans as a percentage of the portfolio serviced, excluding loans serviced for Freddie Mac, decreased from 27.4% at June 30, 2009 to 26.9% at September 30, 2009. Prepayment speed was lower in the third quarter of 2009 primarily due to a decline in loan payoffs offset by an increase in real estate sales. Real estate sales and other involuntary liquidations accounted for approximately 83% of prepayments during the third quarter of 2009 as compared to approximately 73% for the third quarter of 2008.</w:t>
      </w:r>
    </w:p>
    <w:p>
      <w:pPr>
        <w:sectPr>
          <w:pgSz w:w="11900" w:h="16838" w:orient="portrait"/>
          <w:cols w:equalWidth="0" w:num="1">
            <w:col w:w="11420"/>
          </w:cols>
          <w:pgMar w:left="240" w:top="131"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46" w:name="page47"/>
    <w:bookmarkEnd w:id="46"/>
    <w:p>
      <w:pPr>
        <w:ind w:right="80" w:firstLine="439"/>
        <w:spacing w:after="0" w:line="294" w:lineRule="auto"/>
        <w:rPr>
          <w:sz w:val="20"/>
          <w:szCs w:val="20"/>
          <w:color w:val="auto"/>
        </w:rPr>
      </w:pPr>
      <w:r>
        <w:rPr>
          <w:rFonts w:ascii="Arial" w:cs="Arial" w:eastAsia="Arial" w:hAnsi="Arial"/>
          <w:sz w:val="16"/>
          <w:szCs w:val="16"/>
          <w:i w:val="1"/>
          <w:iCs w:val="1"/>
          <w:color w:val="auto"/>
        </w:rPr>
        <w:t xml:space="preserve">Implementation of HAMP. </w:t>
      </w:r>
      <w:r>
        <w:rPr>
          <w:rFonts w:ascii="Arial" w:cs="Arial" w:eastAsia="Arial" w:hAnsi="Arial"/>
          <w:sz w:val="16"/>
          <w:szCs w:val="16"/>
          <w:color w:val="auto"/>
        </w:rPr>
        <w:t>During the first quarter of 2009, the President and U.S. Department of the Treasury announced and issued guidelines for HAMP.</w:t>
      </w:r>
      <w:r>
        <w:rPr>
          <w:rFonts w:ascii="Arial" w:cs="Arial" w:eastAsia="Arial" w:hAnsi="Arial"/>
          <w:sz w:val="16"/>
          <w:szCs w:val="16"/>
          <w:i w:val="1"/>
          <w:iCs w:val="1"/>
          <w:color w:val="auto"/>
        </w:rPr>
        <w:t xml:space="preserve"> </w:t>
      </w:r>
      <w:r>
        <w:rPr>
          <w:rFonts w:ascii="Arial" w:cs="Arial" w:eastAsia="Arial" w:hAnsi="Arial"/>
          <w:sz w:val="16"/>
          <w:szCs w:val="16"/>
          <w:color w:val="auto"/>
        </w:rPr>
        <w:t>This program provides a financial incentive for us to modify qualifying loans in accordance with the plan’s guidelines and requirements. In order to qualify for the initial and subsequent financial incentives, each loan modification must meet specific guidelines and criteria. A significant part of the process is a trial modification period that must last for 90 days in order to qualify for the initial base incentive fee per loan. An additional subsequent annual success incentive fee per loan is earned annually provided the borrower continues to perform under the modification in accordance with program guidelines.</w:t>
      </w:r>
    </w:p>
    <w:p>
      <w:pPr>
        <w:spacing w:after="0" w:line="170" w:lineRule="exact"/>
        <w:rPr>
          <w:sz w:val="20"/>
          <w:szCs w:val="20"/>
          <w:color w:val="auto"/>
        </w:rPr>
      </w:pPr>
    </w:p>
    <w:p>
      <w:pPr>
        <w:jc w:val="both"/>
        <w:ind w:right="80" w:firstLine="436"/>
        <w:spacing w:after="0" w:line="268" w:lineRule="auto"/>
        <w:rPr>
          <w:sz w:val="20"/>
          <w:szCs w:val="20"/>
          <w:color w:val="auto"/>
        </w:rPr>
      </w:pPr>
      <w:r>
        <w:rPr>
          <w:rFonts w:ascii="Arial" w:cs="Arial" w:eastAsia="Arial" w:hAnsi="Arial"/>
          <w:sz w:val="18"/>
          <w:szCs w:val="18"/>
          <w:color w:val="auto"/>
        </w:rPr>
        <w:t>We recognize revenue in the form of deferred servicing fees and ancillary fee income whenever we return a loan to performing status whether it be through a HAMP modification, a non-HAMP modification or otherwise.</w:t>
      </w:r>
    </w:p>
    <w:p>
      <w:pPr>
        <w:spacing w:after="0" w:line="186" w:lineRule="exact"/>
        <w:rPr>
          <w:sz w:val="20"/>
          <w:szCs w:val="20"/>
          <w:color w:val="auto"/>
        </w:rPr>
      </w:pPr>
    </w:p>
    <w:p>
      <w:pPr>
        <w:jc w:val="both"/>
        <w:ind w:right="60" w:firstLine="439"/>
        <w:spacing w:after="0" w:line="298" w:lineRule="auto"/>
        <w:rPr>
          <w:sz w:val="20"/>
          <w:szCs w:val="20"/>
          <w:color w:val="auto"/>
        </w:rPr>
      </w:pPr>
      <w:r>
        <w:rPr>
          <w:rFonts w:ascii="Arial" w:cs="Arial" w:eastAsia="Arial" w:hAnsi="Arial"/>
          <w:sz w:val="16"/>
          <w:szCs w:val="16"/>
          <w:color w:val="auto"/>
        </w:rPr>
        <w:t>HAMP is more document intensive than most of our previous loan modification efforts (which extends timelines due to the delay in borrowers responding to document requests). This, along with the extensive set of rules imposed by the government under HAMP in the second quarter of 2009, obligated us to review all in-process loan modifications essentially restarting the process using different underwriting and documentation requirements. HAMP modification offers were extended to 7,125 borrowers in the third quarter of 2009 as compared to 3,412 in the second quarter of 2009.</w:t>
      </w:r>
    </w:p>
    <w:p>
      <w:pPr>
        <w:spacing w:after="0" w:line="167" w:lineRule="exact"/>
        <w:rPr>
          <w:sz w:val="20"/>
          <w:szCs w:val="20"/>
          <w:color w:val="auto"/>
        </w:rPr>
      </w:pPr>
    </w:p>
    <w:p>
      <w:pPr>
        <w:ind w:right="340" w:firstLine="429"/>
        <w:spacing w:after="0" w:line="259" w:lineRule="auto"/>
        <w:rPr>
          <w:sz w:val="20"/>
          <w:szCs w:val="20"/>
          <w:color w:val="auto"/>
        </w:rPr>
      </w:pPr>
      <w:r>
        <w:rPr>
          <w:rFonts w:ascii="Arial" w:cs="Arial" w:eastAsia="Arial" w:hAnsi="Arial"/>
          <w:sz w:val="18"/>
          <w:szCs w:val="18"/>
          <w:color w:val="auto"/>
        </w:rPr>
        <w:t>As a result, we experienced a 64% decline in the number of completed modifications as compared to the third quarter of 2008, and a 14% decline as compared to the second quarter of 2009. We completed 19,263 modifications in the third quarter of 2008 as compared to 7,003 loan modifications in the third quarter of 2009. See Executive Summary—Outlook for additional details on loan modifications.</w:t>
      </w:r>
    </w:p>
    <w:p>
      <w:pPr>
        <w:spacing w:after="0" w:line="188" w:lineRule="exact"/>
        <w:rPr>
          <w:sz w:val="20"/>
          <w:szCs w:val="20"/>
          <w:color w:val="auto"/>
        </w:rPr>
      </w:pPr>
    </w:p>
    <w:p>
      <w:pPr>
        <w:ind w:right="60" w:firstLine="439"/>
        <w:spacing w:after="0" w:line="310" w:lineRule="auto"/>
        <w:rPr>
          <w:sz w:val="20"/>
          <w:szCs w:val="20"/>
          <w:color w:val="auto"/>
        </w:rPr>
      </w:pPr>
      <w:r>
        <w:rPr>
          <w:rFonts w:ascii="Arial" w:cs="Arial" w:eastAsia="Arial" w:hAnsi="Arial"/>
          <w:sz w:val="15"/>
          <w:szCs w:val="15"/>
          <w:b w:val="1"/>
          <w:bCs w:val="1"/>
          <w:color w:val="auto"/>
        </w:rPr>
        <w:t xml:space="preserve">Nine Months Ended September 2009 versus September 2008. </w:t>
      </w:r>
      <w:r>
        <w:rPr>
          <w:rFonts w:ascii="Arial" w:cs="Arial" w:eastAsia="Arial" w:hAnsi="Arial"/>
          <w:sz w:val="15"/>
          <w:szCs w:val="15"/>
          <w:color w:val="auto"/>
        </w:rPr>
        <w:t>Year to date revenue declined by 25% in 2009 as compared to the same period of 2008. A</w:t>
      </w:r>
      <w:r>
        <w:rPr>
          <w:rFonts w:ascii="Arial" w:cs="Arial" w:eastAsia="Arial" w:hAnsi="Arial"/>
          <w:sz w:val="15"/>
          <w:szCs w:val="15"/>
          <w:b w:val="1"/>
          <w:bCs w:val="1"/>
          <w:color w:val="auto"/>
        </w:rPr>
        <w:t xml:space="preserve"> </w:t>
      </w:r>
      <w:r>
        <w:rPr>
          <w:rFonts w:ascii="Arial" w:cs="Arial" w:eastAsia="Arial" w:hAnsi="Arial"/>
          <w:sz w:val="15"/>
          <w:szCs w:val="15"/>
          <w:color w:val="auto"/>
        </w:rPr>
        <w:t>significant factor in the decline in Servicing and subservicing fees in the first nine months of 2009 was attributable to the effects of implementing HAMP resulting in a timing delay with respect to revenue recognition (see Executive Summary—Outlook for details). Additionally, the average UPB of loans that we service for others was 17% lower in the first nine months of 2009 as compared to 2008. Lower float balances and lower interest rates resulted in a decline in float earnings. The decline in revenue was somewhat offset by a 22% decline in operating expenses, primarily amortization of servicing rights, compensation and benefits expense and servicing and origination expense. Amortization of MSRs declined due to declines in projected prepayment speeds and acquisitions of MSRs. Servicing and origination expense declined as a result of a decline in voluntary loan payoffs, and compensation and benefits expense declined as a result of a 17% reduction in average staffing levels. As a result, income from operations declined by $38,475, or 27% in the first nine months of 2009 as compared to 2008. Total interest expense declined by $11,912, or 20%, and income before income taxes declined by $23,934, or 29% in the first nine months of 2009.</w:t>
      </w:r>
    </w:p>
    <w:p>
      <w:pPr>
        <w:spacing w:after="0" w:line="162" w:lineRule="exact"/>
        <w:rPr>
          <w:sz w:val="20"/>
          <w:szCs w:val="20"/>
          <w:color w:val="auto"/>
        </w:rPr>
      </w:pPr>
    </w:p>
    <w:p>
      <w:pPr>
        <w:ind w:right="300" w:firstLine="436"/>
        <w:spacing w:after="0" w:line="268" w:lineRule="auto"/>
        <w:rPr>
          <w:sz w:val="20"/>
          <w:szCs w:val="20"/>
          <w:color w:val="auto"/>
        </w:rPr>
      </w:pPr>
      <w:r>
        <w:rPr>
          <w:rFonts w:ascii="Arial" w:cs="Arial" w:eastAsia="Arial" w:hAnsi="Arial"/>
          <w:sz w:val="18"/>
          <w:szCs w:val="18"/>
          <w:color w:val="auto"/>
        </w:rPr>
        <w:t>The following table provides key business data and other selected revenue and expense items of our residential servicing business at or for the three and nine months ended September 30:</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3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4"/>
          </w:tcPr>
          <w:p>
            <w:pPr>
              <w:ind w:left="40"/>
              <w:spacing w:after="0"/>
              <w:rPr>
                <w:sz w:val="20"/>
                <w:szCs w:val="20"/>
                <w:color w:val="auto"/>
              </w:rPr>
            </w:pPr>
            <w:r>
              <w:rPr>
                <w:rFonts w:ascii="Arial" w:cs="Arial" w:eastAsia="Arial" w:hAnsi="Arial"/>
                <w:sz w:val="18"/>
                <w:szCs w:val="18"/>
                <w:b w:val="1"/>
                <w:bCs w:val="1"/>
                <w:color w:val="auto"/>
              </w:rPr>
              <w:t>Three months</w:t>
            </w:r>
          </w:p>
        </w:tc>
        <w:tc>
          <w:tcPr>
            <w:tcW w:w="102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4"/>
          </w:tcPr>
          <w:p>
            <w:pPr>
              <w:jc w:val="right"/>
              <w:ind w:right="540"/>
              <w:spacing w:after="0"/>
              <w:rPr>
                <w:sz w:val="20"/>
                <w:szCs w:val="20"/>
                <w:color w:val="auto"/>
              </w:rPr>
            </w:pPr>
            <w:r>
              <w:rPr>
                <w:rFonts w:ascii="Arial" w:cs="Arial" w:eastAsia="Arial" w:hAnsi="Arial"/>
                <w:sz w:val="18"/>
                <w:szCs w:val="18"/>
                <w:b w:val="1"/>
                <w:bCs w:val="1"/>
                <w:color w:val="auto"/>
                <w:w w:val="86"/>
              </w:rPr>
              <w:t>Nine months</w:t>
            </w:r>
          </w:p>
        </w:tc>
        <w:tc>
          <w:tcPr>
            <w:tcW w:w="78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r>
      <w:tr>
        <w:trPr>
          <w:trHeight w:val="197"/>
        </w:trPr>
        <w:tc>
          <w:tcPr>
            <w:tcW w:w="3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jc w:val="right"/>
              <w:ind w:right="332"/>
              <w:spacing w:after="0" w:line="197" w:lineRule="exact"/>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ind w:right="212"/>
              <w:spacing w:after="0" w:line="197" w:lineRule="exact"/>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7"/>
                <w:szCs w:val="17"/>
                <w:color w:val="auto"/>
              </w:rPr>
            </w:pPr>
          </w:p>
        </w:tc>
      </w:tr>
      <w:tr>
        <w:trPr>
          <w:trHeight w:val="229"/>
        </w:trPr>
        <w:tc>
          <w:tcPr>
            <w:tcW w:w="3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ind w:right="312"/>
              <w:spacing w:after="0"/>
              <w:rPr>
                <w:sz w:val="20"/>
                <w:szCs w:val="20"/>
                <w:color w:val="auto"/>
              </w:rPr>
            </w:pPr>
            <w:r>
              <w:rPr>
                <w:rFonts w:ascii="Arial" w:cs="Arial" w:eastAsia="Arial" w:hAnsi="Arial"/>
                <w:sz w:val="18"/>
                <w:szCs w:val="18"/>
                <w:b w:val="1"/>
                <w:bCs w:val="1"/>
                <w:color w:val="auto"/>
              </w:rPr>
              <w:t>2009</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ind w:right="312"/>
              <w:spacing w:after="0"/>
              <w:rPr>
                <w:sz w:val="20"/>
                <w:szCs w:val="20"/>
                <w:color w:val="auto"/>
              </w:rPr>
            </w:pPr>
            <w:r>
              <w:rPr>
                <w:rFonts w:ascii="Arial" w:cs="Arial" w:eastAsia="Arial" w:hAnsi="Arial"/>
                <w:sz w:val="18"/>
                <w:szCs w:val="18"/>
                <w:b w:val="1"/>
                <w:bCs w:val="1"/>
                <w:color w:val="auto"/>
              </w:rPr>
              <w:t>2008</w:t>
            </w:r>
          </w:p>
        </w:tc>
        <w:tc>
          <w:tcPr>
            <w:tcW w:w="240" w:type="dxa"/>
            <w:vAlign w:val="bottom"/>
          </w:tcPr>
          <w:p>
            <w:pPr>
              <w:spacing w:after="0"/>
              <w:rPr>
                <w:sz w:val="19"/>
                <w:szCs w:val="19"/>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Change</w:t>
            </w:r>
          </w:p>
        </w:tc>
        <w:tc>
          <w:tcPr>
            <w:tcW w:w="240" w:type="dxa"/>
            <w:vAlign w:val="bottom"/>
          </w:tcPr>
          <w:p>
            <w:pPr>
              <w:spacing w:after="0"/>
              <w:rPr>
                <w:sz w:val="19"/>
                <w:szCs w:val="19"/>
                <w:color w:val="auto"/>
              </w:rPr>
            </w:pPr>
          </w:p>
        </w:tc>
        <w:tc>
          <w:tcPr>
            <w:tcW w:w="920" w:type="dxa"/>
            <w:vAlign w:val="bottom"/>
          </w:tcPr>
          <w:p>
            <w:pPr>
              <w:jc w:val="right"/>
              <w:ind w:right="312"/>
              <w:spacing w:after="0"/>
              <w:rPr>
                <w:sz w:val="20"/>
                <w:szCs w:val="20"/>
                <w:color w:val="auto"/>
              </w:rPr>
            </w:pPr>
            <w:r>
              <w:rPr>
                <w:rFonts w:ascii="Arial" w:cs="Arial" w:eastAsia="Arial" w:hAnsi="Arial"/>
                <w:sz w:val="18"/>
                <w:szCs w:val="18"/>
                <w:b w:val="1"/>
                <w:bCs w:val="1"/>
                <w:color w:val="auto"/>
              </w:rPr>
              <w:t>2009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ind w:right="312"/>
              <w:spacing w:after="0"/>
              <w:rPr>
                <w:sz w:val="20"/>
                <w:szCs w:val="20"/>
                <w:color w:val="auto"/>
              </w:rPr>
            </w:pPr>
            <w:r>
              <w:rPr>
                <w:rFonts w:ascii="Arial" w:cs="Arial" w:eastAsia="Arial" w:hAnsi="Arial"/>
                <w:sz w:val="18"/>
                <w:szCs w:val="18"/>
                <w:b w:val="1"/>
                <w:bCs w:val="1"/>
                <w:color w:val="auto"/>
              </w:rPr>
              <w:t>2008</w:t>
            </w:r>
          </w:p>
        </w:tc>
        <w:tc>
          <w:tcPr>
            <w:tcW w:w="240" w:type="dxa"/>
            <w:vAlign w:val="bottom"/>
          </w:tcPr>
          <w:p>
            <w:pPr>
              <w:spacing w:after="0"/>
              <w:rPr>
                <w:sz w:val="19"/>
                <w:szCs w:val="19"/>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9"/>
              </w:rPr>
              <w:t>Change</w:t>
            </w:r>
          </w:p>
        </w:tc>
      </w:tr>
      <w:tr>
        <w:trPr>
          <w:trHeight w:val="202"/>
        </w:trPr>
        <w:tc>
          <w:tcPr>
            <w:tcW w:w="3360" w:type="dxa"/>
            <w:vAlign w:val="bottom"/>
            <w:shd w:val="clear" w:color="auto" w:fill="EAF9E8"/>
          </w:tcPr>
          <w:p>
            <w:pPr>
              <w:spacing w:after="0" w:line="202" w:lineRule="exact"/>
              <w:rPr>
                <w:sz w:val="20"/>
                <w:szCs w:val="20"/>
                <w:color w:val="auto"/>
              </w:rPr>
            </w:pPr>
            <w:r>
              <w:rPr>
                <w:rFonts w:ascii="Arial" w:cs="Arial" w:eastAsia="Arial" w:hAnsi="Arial"/>
                <w:sz w:val="18"/>
                <w:szCs w:val="18"/>
                <w:color w:val="auto"/>
              </w:rPr>
              <w:t>Average UPB of loans and real estate</w:t>
            </w:r>
          </w:p>
        </w:tc>
        <w:tc>
          <w:tcPr>
            <w:tcW w:w="220" w:type="dxa"/>
            <w:vAlign w:val="bottom"/>
            <w:tcBorders>
              <w:top w:val="single" w:sz="8" w:color="auto"/>
            </w:tcBorders>
            <w:shd w:val="clear" w:color="auto" w:fill="EAF9E8"/>
          </w:tcPr>
          <w:p>
            <w:pPr>
              <w:spacing w:after="0"/>
              <w:rPr>
                <w:sz w:val="17"/>
                <w:szCs w:val="17"/>
                <w:color w:val="auto"/>
              </w:rPr>
            </w:pPr>
          </w:p>
        </w:tc>
        <w:tc>
          <w:tcPr>
            <w:tcW w:w="920" w:type="dxa"/>
            <w:vAlign w:val="bottom"/>
            <w:tcBorders>
              <w:top w:val="single" w:sz="8" w:color="auto"/>
            </w:tcBorders>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40" w:type="dxa"/>
            <w:vAlign w:val="bottom"/>
            <w:shd w:val="clear" w:color="auto" w:fill="EAF9E8"/>
          </w:tcPr>
          <w:p>
            <w:pPr>
              <w:spacing w:after="0"/>
              <w:rPr>
                <w:sz w:val="17"/>
                <w:szCs w:val="17"/>
                <w:color w:val="auto"/>
              </w:rPr>
            </w:pPr>
          </w:p>
        </w:tc>
        <w:tc>
          <w:tcPr>
            <w:tcW w:w="240" w:type="dxa"/>
            <w:vAlign w:val="bottom"/>
            <w:tcBorders>
              <w:top w:val="single" w:sz="8" w:color="auto"/>
            </w:tcBorders>
            <w:shd w:val="clear" w:color="auto" w:fill="EAF9E8"/>
          </w:tcPr>
          <w:p>
            <w:pPr>
              <w:spacing w:after="0"/>
              <w:rPr>
                <w:sz w:val="17"/>
                <w:szCs w:val="17"/>
                <w:color w:val="auto"/>
              </w:rPr>
            </w:pPr>
          </w:p>
        </w:tc>
        <w:tc>
          <w:tcPr>
            <w:tcW w:w="920" w:type="dxa"/>
            <w:vAlign w:val="bottom"/>
            <w:tcBorders>
              <w:top w:val="single" w:sz="8" w:color="auto"/>
            </w:tcBorders>
            <w:shd w:val="clear" w:color="auto" w:fill="EAF9E8"/>
          </w:tcPr>
          <w:p>
            <w:pPr>
              <w:spacing w:after="0"/>
              <w:rPr>
                <w:sz w:val="17"/>
                <w:szCs w:val="17"/>
                <w:color w:val="auto"/>
              </w:rPr>
            </w:pPr>
          </w:p>
        </w:tc>
        <w:tc>
          <w:tcPr>
            <w:tcW w:w="240" w:type="dxa"/>
            <w:vAlign w:val="bottom"/>
            <w:shd w:val="clear" w:color="auto" w:fill="EAF9E8"/>
          </w:tcPr>
          <w:p>
            <w:pPr>
              <w:spacing w:after="0"/>
              <w:rPr>
                <w:sz w:val="17"/>
                <w:szCs w:val="17"/>
                <w:color w:val="auto"/>
              </w:rPr>
            </w:pPr>
          </w:p>
        </w:tc>
        <w:tc>
          <w:tcPr>
            <w:tcW w:w="1020" w:type="dxa"/>
            <w:vAlign w:val="bottom"/>
            <w:tcBorders>
              <w:top w:val="single" w:sz="8" w:color="auto"/>
            </w:tcBorders>
            <w:shd w:val="clear" w:color="auto" w:fill="EAF9E8"/>
          </w:tcPr>
          <w:p>
            <w:pPr>
              <w:spacing w:after="0"/>
              <w:rPr>
                <w:sz w:val="17"/>
                <w:szCs w:val="17"/>
                <w:color w:val="auto"/>
              </w:rPr>
            </w:pPr>
          </w:p>
        </w:tc>
        <w:tc>
          <w:tcPr>
            <w:tcW w:w="380" w:type="dxa"/>
            <w:vAlign w:val="bottom"/>
            <w:shd w:val="clear" w:color="auto" w:fill="EAF9E8"/>
          </w:tcPr>
          <w:p>
            <w:pPr>
              <w:spacing w:after="0"/>
              <w:rPr>
                <w:sz w:val="17"/>
                <w:szCs w:val="17"/>
                <w:color w:val="auto"/>
              </w:rPr>
            </w:pPr>
          </w:p>
        </w:tc>
        <w:tc>
          <w:tcPr>
            <w:tcW w:w="240" w:type="dxa"/>
            <w:vAlign w:val="bottom"/>
            <w:tcBorders>
              <w:top w:val="single" w:sz="8" w:color="auto"/>
            </w:tcBorders>
            <w:shd w:val="clear" w:color="auto" w:fill="EAF9E8"/>
          </w:tcPr>
          <w:p>
            <w:pPr>
              <w:spacing w:after="0"/>
              <w:rPr>
                <w:sz w:val="17"/>
                <w:szCs w:val="17"/>
                <w:color w:val="auto"/>
              </w:rPr>
            </w:pPr>
          </w:p>
        </w:tc>
        <w:tc>
          <w:tcPr>
            <w:tcW w:w="920" w:type="dxa"/>
            <w:vAlign w:val="bottom"/>
            <w:tcBorders>
              <w:top w:val="single" w:sz="8" w:color="auto"/>
            </w:tcBorders>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80" w:type="dxa"/>
            <w:vAlign w:val="bottom"/>
            <w:shd w:val="clear" w:color="auto" w:fill="EAF9E8"/>
          </w:tcPr>
          <w:p>
            <w:pPr>
              <w:spacing w:after="0"/>
              <w:rPr>
                <w:sz w:val="17"/>
                <w:szCs w:val="17"/>
                <w:color w:val="auto"/>
              </w:rPr>
            </w:pPr>
          </w:p>
        </w:tc>
        <w:tc>
          <w:tcPr>
            <w:tcW w:w="240" w:type="dxa"/>
            <w:vAlign w:val="bottom"/>
            <w:tcBorders>
              <w:top w:val="single" w:sz="8" w:color="auto"/>
            </w:tcBorders>
            <w:shd w:val="clear" w:color="auto" w:fill="EAF9E8"/>
          </w:tcPr>
          <w:p>
            <w:pPr>
              <w:spacing w:after="0"/>
              <w:rPr>
                <w:sz w:val="17"/>
                <w:szCs w:val="17"/>
                <w:color w:val="auto"/>
              </w:rPr>
            </w:pPr>
          </w:p>
        </w:tc>
        <w:tc>
          <w:tcPr>
            <w:tcW w:w="940" w:type="dxa"/>
            <w:vAlign w:val="bottom"/>
            <w:tcBorders>
              <w:top w:val="single" w:sz="8" w:color="auto"/>
            </w:tcBorders>
            <w:shd w:val="clear" w:color="auto" w:fill="EAF9E8"/>
          </w:tcPr>
          <w:p>
            <w:pPr>
              <w:spacing w:after="0"/>
              <w:rPr>
                <w:sz w:val="17"/>
                <w:szCs w:val="17"/>
                <w:color w:val="auto"/>
              </w:rPr>
            </w:pPr>
          </w:p>
        </w:tc>
        <w:tc>
          <w:tcPr>
            <w:tcW w:w="240" w:type="dxa"/>
            <w:vAlign w:val="bottom"/>
            <w:shd w:val="clear" w:color="auto" w:fill="EAF9E8"/>
          </w:tcPr>
          <w:p>
            <w:pPr>
              <w:spacing w:after="0"/>
              <w:rPr>
                <w:sz w:val="17"/>
                <w:szCs w:val="17"/>
                <w:color w:val="auto"/>
              </w:rPr>
            </w:pPr>
          </w:p>
        </w:tc>
        <w:tc>
          <w:tcPr>
            <w:tcW w:w="780" w:type="dxa"/>
            <w:vAlign w:val="bottom"/>
            <w:tcBorders>
              <w:top w:val="single" w:sz="8" w:color="auto"/>
            </w:tcBorders>
            <w:shd w:val="clear" w:color="auto" w:fill="EAF9E8"/>
          </w:tcPr>
          <w:p>
            <w:pPr>
              <w:spacing w:after="0"/>
              <w:rPr>
                <w:sz w:val="17"/>
                <w:szCs w:val="17"/>
                <w:color w:val="auto"/>
              </w:rPr>
            </w:pPr>
          </w:p>
        </w:tc>
        <w:tc>
          <w:tcPr>
            <w:tcW w:w="280" w:type="dxa"/>
            <w:vAlign w:val="bottom"/>
            <w:shd w:val="clear" w:color="auto" w:fill="EAF9E8"/>
          </w:tcPr>
          <w:p>
            <w:pPr>
              <w:spacing w:after="0"/>
              <w:rPr>
                <w:sz w:val="17"/>
                <w:szCs w:val="17"/>
                <w:color w:val="auto"/>
              </w:rPr>
            </w:pPr>
          </w:p>
        </w:tc>
      </w:tr>
      <w:tr>
        <w:trPr>
          <w:trHeight w:val="224"/>
        </w:trPr>
        <w:tc>
          <w:tcPr>
            <w:tcW w:w="3360" w:type="dxa"/>
            <w:vAlign w:val="bottom"/>
            <w:shd w:val="clear" w:color="auto" w:fill="EAF9E8"/>
          </w:tcPr>
          <w:p>
            <w:pPr>
              <w:ind w:left="160"/>
              <w:spacing w:after="0"/>
              <w:rPr>
                <w:sz w:val="20"/>
                <w:szCs w:val="20"/>
                <w:color w:val="auto"/>
              </w:rPr>
            </w:pPr>
            <w:r>
              <w:rPr>
                <w:rFonts w:ascii="Arial" w:cs="Arial" w:eastAsia="Arial" w:hAnsi="Arial"/>
                <w:sz w:val="18"/>
                <w:szCs w:val="18"/>
                <w:color w:val="auto"/>
              </w:rPr>
              <w:t>serviced</w:t>
            </w:r>
          </w:p>
        </w:tc>
        <w:tc>
          <w:tcPr>
            <w:tcW w:w="220" w:type="dxa"/>
            <w:vAlign w:val="bottom"/>
            <w:shd w:val="clear" w:color="auto" w:fill="EAF9E8"/>
          </w:tcPr>
          <w:p>
            <w:pPr>
              <w:jc w:val="right"/>
              <w:ind w:right="63"/>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9"/>
              </w:rPr>
              <w:t>39,313,253</w:t>
            </w:r>
          </w:p>
        </w:tc>
        <w:tc>
          <w:tcPr>
            <w:tcW w:w="200" w:type="dxa"/>
            <w:vAlign w:val="bottom"/>
            <w:shd w:val="clear" w:color="auto" w:fill="EAF9E8"/>
          </w:tcPr>
          <w:p>
            <w:pPr>
              <w:spacing w:after="0"/>
              <w:rPr>
                <w:sz w:val="19"/>
                <w:szCs w:val="19"/>
                <w:color w:val="auto"/>
              </w:rPr>
            </w:pPr>
          </w:p>
        </w:tc>
        <w:tc>
          <w:tcPr>
            <w:tcW w:w="280" w:type="dxa"/>
            <w:vAlign w:val="bottom"/>
            <w:gridSpan w:val="2"/>
            <w:shd w:val="clear" w:color="auto" w:fill="EAF9E8"/>
          </w:tcPr>
          <w:p>
            <w:pPr>
              <w:ind w:left="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w w:val="99"/>
              </w:rPr>
              <w:t>44,017,358</w:t>
            </w:r>
          </w:p>
        </w:tc>
        <w:tc>
          <w:tcPr>
            <w:tcW w:w="140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(11)%</w:t>
            </w:r>
          </w:p>
        </w:tc>
        <w:tc>
          <w:tcPr>
            <w:tcW w:w="240" w:type="dxa"/>
            <w:vAlign w:val="bottom"/>
            <w:shd w:val="clear" w:color="auto" w:fill="EAF9E8"/>
          </w:tcPr>
          <w:p>
            <w:pPr>
              <w:jc w:val="right"/>
              <w:ind w:right="5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9"/>
              </w:rPr>
              <w:t>39,687,633</w:t>
            </w:r>
          </w:p>
        </w:tc>
        <w:tc>
          <w:tcPr>
            <w:tcW w:w="160" w:type="dxa"/>
            <w:vAlign w:val="bottom"/>
            <w:shd w:val="clear" w:color="auto" w:fill="EAF9E8"/>
          </w:tcPr>
          <w:p>
            <w:pPr>
              <w:spacing w:after="0"/>
              <w:rPr>
                <w:sz w:val="19"/>
                <w:szCs w:val="19"/>
                <w:color w:val="auto"/>
              </w:rPr>
            </w:pPr>
          </w:p>
        </w:tc>
        <w:tc>
          <w:tcPr>
            <w:tcW w:w="32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47,862,914</w:t>
            </w:r>
          </w:p>
        </w:tc>
        <w:tc>
          <w:tcPr>
            <w:tcW w:w="240" w:type="dxa"/>
            <w:vAlign w:val="bottom"/>
            <w:shd w:val="clear" w:color="auto" w:fill="EAF9E8"/>
          </w:tcPr>
          <w:p>
            <w:pPr>
              <w:spacing w:after="0"/>
              <w:rPr>
                <w:sz w:val="19"/>
                <w:szCs w:val="19"/>
                <w:color w:val="auto"/>
              </w:rPr>
            </w:pPr>
          </w:p>
        </w:tc>
        <w:tc>
          <w:tcPr>
            <w:tcW w:w="106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(17)%</w:t>
            </w:r>
          </w:p>
        </w:tc>
      </w:tr>
      <w:tr>
        <w:trPr>
          <w:trHeight w:val="241"/>
        </w:trPr>
        <w:tc>
          <w:tcPr>
            <w:tcW w:w="3360" w:type="dxa"/>
            <w:vAlign w:val="bottom"/>
          </w:tcPr>
          <w:p>
            <w:pPr>
              <w:spacing w:after="0"/>
              <w:rPr>
                <w:sz w:val="20"/>
                <w:szCs w:val="20"/>
                <w:color w:val="auto"/>
              </w:rPr>
            </w:pPr>
            <w:r>
              <w:rPr>
                <w:rFonts w:ascii="Arial" w:cs="Arial" w:eastAsia="Arial" w:hAnsi="Arial"/>
                <w:sz w:val="18"/>
                <w:szCs w:val="18"/>
                <w:color w:val="auto"/>
              </w:rPr>
              <w:t>Prepayment speed (average CPR)</w:t>
            </w:r>
          </w:p>
        </w:tc>
        <w:tc>
          <w:tcPr>
            <w:tcW w:w="22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(23)</w:t>
            </w:r>
          </w:p>
        </w:tc>
        <w:tc>
          <w:tcPr>
            <w:tcW w:w="24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(16)</w:t>
            </w:r>
          </w:p>
        </w:tc>
      </w:tr>
      <w:tr>
        <w:trPr>
          <w:trHeight w:val="210"/>
        </w:trPr>
        <w:tc>
          <w:tcPr>
            <w:tcW w:w="3360" w:type="dxa"/>
            <w:vAlign w:val="bottom"/>
            <w:shd w:val="clear" w:color="auto" w:fill="EAF9E8"/>
          </w:tcPr>
          <w:p>
            <w:pPr>
              <w:spacing w:after="0"/>
              <w:rPr>
                <w:sz w:val="20"/>
                <w:szCs w:val="20"/>
                <w:color w:val="auto"/>
              </w:rPr>
            </w:pPr>
            <w:r>
              <w:rPr>
                <w:rFonts w:ascii="Arial" w:cs="Arial" w:eastAsia="Arial" w:hAnsi="Arial"/>
                <w:sz w:val="18"/>
                <w:szCs w:val="18"/>
                <w:color w:val="auto"/>
              </w:rPr>
              <w:t>UPB of non-performing loans and real</w:t>
            </w:r>
          </w:p>
        </w:tc>
        <w:tc>
          <w:tcPr>
            <w:tcW w:w="22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4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94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78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r>
      <w:tr>
        <w:trPr>
          <w:trHeight w:val="216"/>
        </w:trPr>
        <w:tc>
          <w:tcPr>
            <w:tcW w:w="3360" w:type="dxa"/>
            <w:vAlign w:val="bottom"/>
            <w:shd w:val="clear" w:color="auto" w:fill="EAF9E8"/>
          </w:tcPr>
          <w:p>
            <w:pPr>
              <w:ind w:left="160"/>
              <w:spacing w:after="0"/>
              <w:rPr>
                <w:sz w:val="20"/>
                <w:szCs w:val="20"/>
                <w:color w:val="auto"/>
              </w:rPr>
            </w:pPr>
            <w:r>
              <w:rPr>
                <w:rFonts w:ascii="Arial" w:cs="Arial" w:eastAsia="Arial" w:hAnsi="Arial"/>
                <w:sz w:val="18"/>
                <w:szCs w:val="18"/>
                <w:color w:val="auto"/>
              </w:rPr>
              <w:t>estate serviced as a % of total at</w:t>
            </w:r>
          </w:p>
        </w:tc>
        <w:tc>
          <w:tcPr>
            <w:tcW w:w="22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4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94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78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r>
      <w:tr>
        <w:trPr>
          <w:trHeight w:val="224"/>
        </w:trPr>
        <w:tc>
          <w:tcPr>
            <w:tcW w:w="3360" w:type="dxa"/>
            <w:vAlign w:val="bottom"/>
            <w:shd w:val="clear" w:color="auto" w:fill="EAF9E8"/>
          </w:tcPr>
          <w:p>
            <w:pPr>
              <w:ind w:left="160"/>
              <w:spacing w:after="0"/>
              <w:rPr>
                <w:sz w:val="20"/>
                <w:szCs w:val="20"/>
                <w:color w:val="auto"/>
              </w:rPr>
            </w:pPr>
            <w:r>
              <w:rPr>
                <w:rFonts w:ascii="Arial" w:cs="Arial" w:eastAsia="Arial" w:hAnsi="Arial"/>
                <w:sz w:val="18"/>
                <w:szCs w:val="18"/>
                <w:color w:val="auto"/>
              </w:rPr>
              <w:t>September 30 (1)(2)</w:t>
            </w:r>
          </w:p>
        </w:tc>
        <w:tc>
          <w:tcPr>
            <w:tcW w:w="220" w:type="dxa"/>
            <w:vAlign w:val="bottom"/>
            <w:shd w:val="clear" w:color="auto" w:fill="EAF9E8"/>
          </w:tcPr>
          <w:p>
            <w:pPr>
              <w:spacing w:after="0"/>
              <w:rPr>
                <w:sz w:val="19"/>
                <w:szCs w:val="19"/>
                <w:color w:val="auto"/>
              </w:rPr>
            </w:pPr>
          </w:p>
        </w:tc>
        <w:tc>
          <w:tcPr>
            <w:tcW w:w="112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26.9%</w:t>
            </w:r>
          </w:p>
        </w:tc>
        <w:tc>
          <w:tcPr>
            <w:tcW w:w="4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11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22.7%</w:t>
            </w: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19</w:t>
            </w:r>
          </w:p>
        </w:tc>
        <w:tc>
          <w:tcPr>
            <w:tcW w:w="38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108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26.9%</w:t>
            </w:r>
          </w:p>
        </w:tc>
        <w:tc>
          <w:tcPr>
            <w:tcW w:w="8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11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22.7%</w:t>
            </w:r>
          </w:p>
        </w:tc>
        <w:tc>
          <w:tcPr>
            <w:tcW w:w="7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19</w:t>
            </w:r>
          </w:p>
        </w:tc>
        <w:tc>
          <w:tcPr>
            <w:tcW w:w="280" w:type="dxa"/>
            <w:vAlign w:val="bottom"/>
            <w:shd w:val="clear" w:color="auto" w:fill="EAF9E8"/>
          </w:tcPr>
          <w:p>
            <w:pPr>
              <w:spacing w:after="0"/>
              <w:rPr>
                <w:sz w:val="19"/>
                <w:szCs w:val="19"/>
                <w:color w:val="auto"/>
              </w:rPr>
            </w:pPr>
          </w:p>
        </w:tc>
      </w:tr>
      <w:tr>
        <w:trPr>
          <w:trHeight w:val="208"/>
        </w:trPr>
        <w:tc>
          <w:tcPr>
            <w:tcW w:w="3360" w:type="dxa"/>
            <w:vAlign w:val="bottom"/>
          </w:tcPr>
          <w:p>
            <w:pPr>
              <w:spacing w:after="0"/>
              <w:rPr>
                <w:sz w:val="20"/>
                <w:szCs w:val="20"/>
                <w:color w:val="auto"/>
              </w:rPr>
            </w:pPr>
            <w:r>
              <w:rPr>
                <w:rFonts w:ascii="Arial" w:cs="Arial" w:eastAsia="Arial" w:hAnsi="Arial"/>
                <w:sz w:val="18"/>
                <w:szCs w:val="18"/>
                <w:color w:val="auto"/>
              </w:rPr>
              <w:t>Average number of loans and real estate</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22"/>
        </w:trPr>
        <w:tc>
          <w:tcPr>
            <w:tcW w:w="3360" w:type="dxa"/>
            <w:vAlign w:val="bottom"/>
          </w:tcPr>
          <w:p>
            <w:pPr>
              <w:ind w:left="160"/>
              <w:spacing w:after="0"/>
              <w:rPr>
                <w:sz w:val="20"/>
                <w:szCs w:val="20"/>
                <w:color w:val="auto"/>
              </w:rPr>
            </w:pPr>
            <w:r>
              <w:rPr>
                <w:rFonts w:ascii="Arial" w:cs="Arial" w:eastAsia="Arial" w:hAnsi="Arial"/>
                <w:sz w:val="18"/>
                <w:szCs w:val="18"/>
                <w:color w:val="auto"/>
              </w:rPr>
              <w:t>serviced</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289,568</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355,638</w:t>
            </w: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(19)</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300,058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387,059</w:t>
            </w:r>
          </w:p>
        </w:tc>
        <w:tc>
          <w:tcPr>
            <w:tcW w:w="24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(22)</w:t>
            </w:r>
          </w:p>
        </w:tc>
      </w:tr>
      <w:tr>
        <w:trPr>
          <w:trHeight w:val="210"/>
        </w:trPr>
        <w:tc>
          <w:tcPr>
            <w:tcW w:w="3360" w:type="dxa"/>
            <w:vAlign w:val="bottom"/>
            <w:shd w:val="clear" w:color="auto" w:fill="EAF9E8"/>
          </w:tcPr>
          <w:p>
            <w:pPr>
              <w:spacing w:after="0"/>
              <w:rPr>
                <w:sz w:val="20"/>
                <w:szCs w:val="20"/>
                <w:color w:val="auto"/>
              </w:rPr>
            </w:pPr>
            <w:r>
              <w:rPr>
                <w:rFonts w:ascii="Arial" w:cs="Arial" w:eastAsia="Arial" w:hAnsi="Arial"/>
                <w:sz w:val="18"/>
                <w:szCs w:val="18"/>
                <w:color w:val="auto"/>
              </w:rPr>
              <w:t>Number of non-performing loans and real</w:t>
            </w:r>
          </w:p>
        </w:tc>
        <w:tc>
          <w:tcPr>
            <w:tcW w:w="22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4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94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78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r>
      <w:tr>
        <w:trPr>
          <w:trHeight w:val="216"/>
        </w:trPr>
        <w:tc>
          <w:tcPr>
            <w:tcW w:w="3360" w:type="dxa"/>
            <w:vAlign w:val="bottom"/>
            <w:shd w:val="clear" w:color="auto" w:fill="EAF9E8"/>
          </w:tcPr>
          <w:p>
            <w:pPr>
              <w:ind w:left="160"/>
              <w:spacing w:after="0"/>
              <w:rPr>
                <w:sz w:val="20"/>
                <w:szCs w:val="20"/>
                <w:color w:val="auto"/>
              </w:rPr>
            </w:pPr>
            <w:r>
              <w:rPr>
                <w:rFonts w:ascii="Arial" w:cs="Arial" w:eastAsia="Arial" w:hAnsi="Arial"/>
                <w:sz w:val="18"/>
                <w:szCs w:val="18"/>
                <w:color w:val="auto"/>
              </w:rPr>
              <w:t>estate serviced as a % of total at</w:t>
            </w:r>
          </w:p>
        </w:tc>
        <w:tc>
          <w:tcPr>
            <w:tcW w:w="22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4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94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78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r>
      <w:tr>
        <w:trPr>
          <w:trHeight w:val="224"/>
        </w:trPr>
        <w:tc>
          <w:tcPr>
            <w:tcW w:w="3360" w:type="dxa"/>
            <w:vAlign w:val="bottom"/>
            <w:shd w:val="clear" w:color="auto" w:fill="EAF9E8"/>
          </w:tcPr>
          <w:p>
            <w:pPr>
              <w:ind w:left="160"/>
              <w:spacing w:after="0"/>
              <w:rPr>
                <w:sz w:val="20"/>
                <w:szCs w:val="20"/>
                <w:color w:val="auto"/>
              </w:rPr>
            </w:pPr>
            <w:r>
              <w:rPr>
                <w:rFonts w:ascii="Arial" w:cs="Arial" w:eastAsia="Arial" w:hAnsi="Arial"/>
                <w:sz w:val="18"/>
                <w:szCs w:val="18"/>
                <w:color w:val="auto"/>
              </w:rPr>
              <w:t>September 30 (1)(2)</w:t>
            </w:r>
          </w:p>
        </w:tc>
        <w:tc>
          <w:tcPr>
            <w:tcW w:w="220" w:type="dxa"/>
            <w:vAlign w:val="bottom"/>
            <w:shd w:val="clear" w:color="auto" w:fill="EAF9E8"/>
          </w:tcPr>
          <w:p>
            <w:pPr>
              <w:spacing w:after="0"/>
              <w:rPr>
                <w:sz w:val="19"/>
                <w:szCs w:val="19"/>
                <w:color w:val="auto"/>
              </w:rPr>
            </w:pPr>
          </w:p>
        </w:tc>
        <w:tc>
          <w:tcPr>
            <w:tcW w:w="112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18.5%</w:t>
            </w:r>
          </w:p>
        </w:tc>
        <w:tc>
          <w:tcPr>
            <w:tcW w:w="4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11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16.7%</w:t>
            </w: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11</w:t>
            </w:r>
          </w:p>
        </w:tc>
        <w:tc>
          <w:tcPr>
            <w:tcW w:w="38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108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18.5%</w:t>
            </w:r>
          </w:p>
        </w:tc>
        <w:tc>
          <w:tcPr>
            <w:tcW w:w="8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11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16.7%</w:t>
            </w:r>
          </w:p>
        </w:tc>
        <w:tc>
          <w:tcPr>
            <w:tcW w:w="7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11</w:t>
            </w:r>
          </w:p>
        </w:tc>
        <w:tc>
          <w:tcPr>
            <w:tcW w:w="280" w:type="dxa"/>
            <w:vAlign w:val="bottom"/>
            <w:shd w:val="clear" w:color="auto" w:fill="EAF9E8"/>
          </w:tcPr>
          <w:p>
            <w:pPr>
              <w:spacing w:after="0"/>
              <w:rPr>
                <w:sz w:val="19"/>
                <w:szCs w:val="19"/>
                <w:color w:val="auto"/>
              </w:rPr>
            </w:pPr>
          </w:p>
        </w:tc>
      </w:tr>
      <w:tr>
        <w:trPr>
          <w:trHeight w:val="241"/>
        </w:trPr>
        <w:tc>
          <w:tcPr>
            <w:tcW w:w="3360" w:type="dxa"/>
            <w:vAlign w:val="bottom"/>
          </w:tcPr>
          <w:p>
            <w:pPr>
              <w:spacing w:after="0"/>
              <w:rPr>
                <w:sz w:val="20"/>
                <w:szCs w:val="20"/>
                <w:color w:val="auto"/>
              </w:rPr>
            </w:pPr>
            <w:r>
              <w:rPr>
                <w:rFonts w:ascii="Arial" w:cs="Arial" w:eastAsia="Arial" w:hAnsi="Arial"/>
                <w:sz w:val="18"/>
                <w:szCs w:val="18"/>
                <w:color w:val="auto"/>
              </w:rPr>
              <w:t>Average float balances</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385,900</w:t>
            </w:r>
          </w:p>
        </w:tc>
        <w:tc>
          <w:tcPr>
            <w:tcW w:w="200" w:type="dxa"/>
            <w:vAlign w:val="bottom"/>
          </w:tcPr>
          <w:p>
            <w:pPr>
              <w:spacing w:after="0"/>
              <w:rPr>
                <w:sz w:val="20"/>
                <w:szCs w:val="20"/>
                <w:color w:val="auto"/>
              </w:rPr>
            </w:pPr>
          </w:p>
        </w:tc>
        <w:tc>
          <w:tcPr>
            <w:tcW w:w="2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371,600</w:t>
            </w:r>
          </w:p>
        </w:tc>
        <w:tc>
          <w:tcPr>
            <w:tcW w:w="1020" w:type="dxa"/>
            <w:vAlign w:val="bottom"/>
          </w:tcPr>
          <w:p>
            <w:pPr>
              <w:jc w:val="right"/>
              <w:spacing w:after="0"/>
              <w:rPr>
                <w:sz w:val="20"/>
                <w:szCs w:val="20"/>
                <w:color w:val="auto"/>
              </w:rPr>
            </w:pPr>
            <w:r>
              <w:rPr>
                <w:rFonts w:ascii="Arial" w:cs="Arial" w:eastAsia="Arial" w:hAnsi="Arial"/>
                <w:sz w:val="18"/>
                <w:szCs w:val="18"/>
                <w:color w:val="auto"/>
              </w:rPr>
              <w:t>4</w:t>
            </w:r>
          </w:p>
        </w:tc>
        <w:tc>
          <w:tcPr>
            <w:tcW w:w="380" w:type="dxa"/>
            <w:vAlign w:val="bottom"/>
          </w:tcPr>
          <w:p>
            <w:pPr>
              <w:spacing w:after="0"/>
              <w:rPr>
                <w:sz w:val="20"/>
                <w:szCs w:val="20"/>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395,000</w:t>
            </w:r>
          </w:p>
        </w:tc>
        <w:tc>
          <w:tcPr>
            <w:tcW w:w="160" w:type="dxa"/>
            <w:vAlign w:val="bottom"/>
          </w:tcPr>
          <w:p>
            <w:pPr>
              <w:spacing w:after="0"/>
              <w:rPr>
                <w:sz w:val="20"/>
                <w:szCs w:val="20"/>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403,500</w:t>
            </w:r>
          </w:p>
        </w:tc>
        <w:tc>
          <w:tcPr>
            <w:tcW w:w="24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r>
      <w:tr>
        <w:trPr>
          <w:trHeight w:val="210"/>
        </w:trPr>
        <w:tc>
          <w:tcPr>
            <w:tcW w:w="3360" w:type="dxa"/>
            <w:vAlign w:val="bottom"/>
            <w:shd w:val="clear" w:color="auto" w:fill="EAF9E8"/>
          </w:tcPr>
          <w:p>
            <w:pPr>
              <w:spacing w:after="0"/>
              <w:rPr>
                <w:sz w:val="20"/>
                <w:szCs w:val="20"/>
                <w:color w:val="auto"/>
              </w:rPr>
            </w:pPr>
            <w:r>
              <w:rPr>
                <w:rFonts w:ascii="Arial" w:cs="Arial" w:eastAsia="Arial" w:hAnsi="Arial"/>
                <w:sz w:val="18"/>
                <w:szCs w:val="18"/>
                <w:color w:val="auto"/>
              </w:rPr>
              <w:t>Average balance of advances and match</w:t>
            </w:r>
          </w:p>
        </w:tc>
        <w:tc>
          <w:tcPr>
            <w:tcW w:w="22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4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94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78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r>
      <w:tr>
        <w:trPr>
          <w:trHeight w:val="224"/>
        </w:trPr>
        <w:tc>
          <w:tcPr>
            <w:tcW w:w="3360" w:type="dxa"/>
            <w:vAlign w:val="bottom"/>
            <w:shd w:val="clear" w:color="auto" w:fill="EAF9E8"/>
          </w:tcPr>
          <w:p>
            <w:pPr>
              <w:ind w:left="160"/>
              <w:spacing w:after="0"/>
              <w:rPr>
                <w:sz w:val="20"/>
                <w:szCs w:val="20"/>
                <w:color w:val="auto"/>
              </w:rPr>
            </w:pPr>
            <w:r>
              <w:rPr>
                <w:rFonts w:ascii="Arial" w:cs="Arial" w:eastAsia="Arial" w:hAnsi="Arial"/>
                <w:sz w:val="18"/>
                <w:szCs w:val="18"/>
                <w:color w:val="auto"/>
              </w:rPr>
              <w:t>funded advances</w:t>
            </w:r>
          </w:p>
        </w:tc>
        <w:tc>
          <w:tcPr>
            <w:tcW w:w="220" w:type="dxa"/>
            <w:vAlign w:val="bottom"/>
            <w:shd w:val="clear" w:color="auto" w:fill="EAF9E8"/>
          </w:tcPr>
          <w:p>
            <w:pPr>
              <w:jc w:val="right"/>
              <w:ind w:right="63"/>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998,907</w:t>
            </w:r>
          </w:p>
        </w:tc>
        <w:tc>
          <w:tcPr>
            <w:tcW w:w="200" w:type="dxa"/>
            <w:vAlign w:val="bottom"/>
            <w:shd w:val="clear" w:color="auto" w:fill="EAF9E8"/>
          </w:tcPr>
          <w:p>
            <w:pPr>
              <w:spacing w:after="0"/>
              <w:rPr>
                <w:sz w:val="19"/>
                <w:szCs w:val="19"/>
                <w:color w:val="auto"/>
              </w:rPr>
            </w:pPr>
          </w:p>
        </w:tc>
        <w:tc>
          <w:tcPr>
            <w:tcW w:w="280" w:type="dxa"/>
            <w:vAlign w:val="bottom"/>
            <w:gridSpan w:val="2"/>
            <w:shd w:val="clear" w:color="auto" w:fill="EAF9E8"/>
          </w:tcPr>
          <w:p>
            <w:pPr>
              <w:ind w:left="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1,190,795</w:t>
            </w:r>
          </w:p>
        </w:tc>
        <w:tc>
          <w:tcPr>
            <w:tcW w:w="140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(16)</w:t>
            </w:r>
          </w:p>
        </w:tc>
        <w:tc>
          <w:tcPr>
            <w:tcW w:w="240" w:type="dxa"/>
            <w:vAlign w:val="bottom"/>
            <w:shd w:val="clear" w:color="auto" w:fill="EAF9E8"/>
          </w:tcPr>
          <w:p>
            <w:pPr>
              <w:jc w:val="right"/>
              <w:ind w:right="5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1,041,319</w:t>
            </w:r>
          </w:p>
        </w:tc>
        <w:tc>
          <w:tcPr>
            <w:tcW w:w="160" w:type="dxa"/>
            <w:vAlign w:val="bottom"/>
            <w:shd w:val="clear" w:color="auto" w:fill="EAF9E8"/>
          </w:tcPr>
          <w:p>
            <w:pPr>
              <w:spacing w:after="0"/>
              <w:rPr>
                <w:sz w:val="19"/>
                <w:szCs w:val="19"/>
                <w:color w:val="auto"/>
              </w:rPr>
            </w:pPr>
          </w:p>
        </w:tc>
        <w:tc>
          <w:tcPr>
            <w:tcW w:w="32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1,286,369</w:t>
            </w:r>
          </w:p>
        </w:tc>
        <w:tc>
          <w:tcPr>
            <w:tcW w:w="240" w:type="dxa"/>
            <w:vAlign w:val="bottom"/>
            <w:shd w:val="clear" w:color="auto" w:fill="EAF9E8"/>
          </w:tcPr>
          <w:p>
            <w:pPr>
              <w:spacing w:after="0"/>
              <w:rPr>
                <w:sz w:val="19"/>
                <w:szCs w:val="19"/>
                <w:color w:val="auto"/>
              </w:rPr>
            </w:pPr>
          </w:p>
        </w:tc>
        <w:tc>
          <w:tcPr>
            <w:tcW w:w="106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(19)</w:t>
            </w:r>
          </w:p>
        </w:tc>
      </w:tr>
      <w:tr>
        <w:trPr>
          <w:trHeight w:val="242"/>
        </w:trPr>
        <w:tc>
          <w:tcPr>
            <w:tcW w:w="3360" w:type="dxa"/>
            <w:vAlign w:val="bottom"/>
          </w:tcPr>
          <w:p>
            <w:pPr>
              <w:spacing w:after="0"/>
              <w:rPr>
                <w:sz w:val="20"/>
                <w:szCs w:val="20"/>
                <w:color w:val="auto"/>
              </w:rPr>
            </w:pPr>
            <w:r>
              <w:rPr>
                <w:rFonts w:ascii="Arial" w:cs="Arial" w:eastAsia="Arial" w:hAnsi="Arial"/>
                <w:sz w:val="18"/>
                <w:szCs w:val="18"/>
                <w:color w:val="auto"/>
              </w:rPr>
              <w:t>Average balance of MSRs</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129,704</w:t>
            </w:r>
          </w:p>
        </w:tc>
        <w:tc>
          <w:tcPr>
            <w:tcW w:w="200" w:type="dxa"/>
            <w:vAlign w:val="bottom"/>
          </w:tcPr>
          <w:p>
            <w:pPr>
              <w:spacing w:after="0"/>
              <w:rPr>
                <w:sz w:val="21"/>
                <w:szCs w:val="21"/>
                <w:color w:val="auto"/>
              </w:rPr>
            </w:pPr>
          </w:p>
        </w:tc>
        <w:tc>
          <w:tcPr>
            <w:tcW w:w="2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159,090</w:t>
            </w: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(18)</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134,009</w:t>
            </w:r>
          </w:p>
        </w:tc>
        <w:tc>
          <w:tcPr>
            <w:tcW w:w="160" w:type="dxa"/>
            <w:vAlign w:val="bottom"/>
          </w:tcPr>
          <w:p>
            <w:pPr>
              <w:spacing w:after="0"/>
              <w:rPr>
                <w:sz w:val="21"/>
                <w:szCs w:val="21"/>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175,109</w:t>
            </w:r>
          </w:p>
        </w:tc>
        <w:tc>
          <w:tcPr>
            <w:tcW w:w="24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(23)</w:t>
            </w:r>
          </w:p>
        </w:tc>
      </w:tr>
      <w:tr>
        <w:trPr>
          <w:trHeight w:val="244"/>
        </w:trPr>
        <w:tc>
          <w:tcPr>
            <w:tcW w:w="3360" w:type="dxa"/>
            <w:vAlign w:val="bottom"/>
            <w:shd w:val="clear" w:color="auto" w:fill="EAF9E8"/>
          </w:tcPr>
          <w:p>
            <w:pPr>
              <w:spacing w:after="0"/>
              <w:rPr>
                <w:sz w:val="20"/>
                <w:szCs w:val="20"/>
                <w:color w:val="auto"/>
              </w:rPr>
            </w:pPr>
            <w:r>
              <w:rPr>
                <w:rFonts w:ascii="Arial" w:cs="Arial" w:eastAsia="Arial" w:hAnsi="Arial"/>
                <w:sz w:val="18"/>
                <w:szCs w:val="18"/>
                <w:color w:val="auto"/>
              </w:rPr>
              <w:t>Collections on loans serviced for others</w:t>
            </w:r>
          </w:p>
        </w:tc>
        <w:tc>
          <w:tcPr>
            <w:tcW w:w="220" w:type="dxa"/>
            <w:vAlign w:val="bottom"/>
            <w:shd w:val="clear" w:color="auto" w:fill="EAF9E8"/>
          </w:tcPr>
          <w:p>
            <w:pPr>
              <w:jc w:val="right"/>
              <w:ind w:right="63"/>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1,591,973</w:t>
            </w:r>
          </w:p>
        </w:tc>
        <w:tc>
          <w:tcPr>
            <w:tcW w:w="200" w:type="dxa"/>
            <w:vAlign w:val="bottom"/>
            <w:shd w:val="clear" w:color="auto" w:fill="EAF9E8"/>
          </w:tcPr>
          <w:p>
            <w:pPr>
              <w:spacing w:after="0"/>
              <w:rPr>
                <w:sz w:val="21"/>
                <w:szCs w:val="21"/>
                <w:color w:val="auto"/>
              </w:rPr>
            </w:pPr>
          </w:p>
        </w:tc>
        <w:tc>
          <w:tcPr>
            <w:tcW w:w="280" w:type="dxa"/>
            <w:vAlign w:val="bottom"/>
            <w:gridSpan w:val="2"/>
            <w:shd w:val="clear" w:color="auto" w:fill="EAF9E8"/>
          </w:tcPr>
          <w:p>
            <w:pPr>
              <w:ind w:left="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2,535,501</w:t>
            </w:r>
          </w:p>
        </w:tc>
        <w:tc>
          <w:tcPr>
            <w:tcW w:w="140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(37)</w:t>
            </w:r>
          </w:p>
        </w:tc>
        <w:tc>
          <w:tcPr>
            <w:tcW w:w="240" w:type="dxa"/>
            <w:vAlign w:val="bottom"/>
            <w:shd w:val="clear" w:color="auto" w:fill="EAF9E8"/>
          </w:tcPr>
          <w:p>
            <w:pPr>
              <w:jc w:val="right"/>
              <w:ind w:right="5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5,222,974</w:t>
            </w:r>
          </w:p>
        </w:tc>
        <w:tc>
          <w:tcPr>
            <w:tcW w:w="160" w:type="dxa"/>
            <w:vAlign w:val="bottom"/>
            <w:shd w:val="clear" w:color="auto" w:fill="EAF9E8"/>
          </w:tcPr>
          <w:p>
            <w:pPr>
              <w:spacing w:after="0"/>
              <w:rPr>
                <w:sz w:val="21"/>
                <w:szCs w:val="21"/>
                <w:color w:val="auto"/>
              </w:rPr>
            </w:pPr>
          </w:p>
        </w:tc>
        <w:tc>
          <w:tcPr>
            <w:tcW w:w="32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8,575,452</w:t>
            </w:r>
          </w:p>
        </w:tc>
        <w:tc>
          <w:tcPr>
            <w:tcW w:w="240" w:type="dxa"/>
            <w:vAlign w:val="bottom"/>
            <w:shd w:val="clear" w:color="auto" w:fill="EAF9E8"/>
          </w:tcPr>
          <w:p>
            <w:pPr>
              <w:spacing w:after="0"/>
              <w:rPr>
                <w:sz w:val="21"/>
                <w:szCs w:val="21"/>
                <w:color w:val="auto"/>
              </w:rPr>
            </w:pPr>
          </w:p>
        </w:tc>
        <w:tc>
          <w:tcPr>
            <w:tcW w:w="106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(39)</w:t>
            </w:r>
          </w:p>
        </w:tc>
      </w:tr>
      <w:tr>
        <w:trPr>
          <w:trHeight w:val="208"/>
        </w:trPr>
        <w:tc>
          <w:tcPr>
            <w:tcW w:w="3360" w:type="dxa"/>
            <w:vAlign w:val="bottom"/>
          </w:tcPr>
          <w:p>
            <w:pPr>
              <w:spacing w:after="0"/>
              <w:rPr>
                <w:sz w:val="20"/>
                <w:szCs w:val="20"/>
                <w:color w:val="auto"/>
              </w:rPr>
            </w:pPr>
            <w:r>
              <w:rPr>
                <w:rFonts w:ascii="Arial" w:cs="Arial" w:eastAsia="Arial" w:hAnsi="Arial"/>
                <w:sz w:val="18"/>
                <w:szCs w:val="18"/>
                <w:color w:val="auto"/>
                <w:w w:val="98"/>
              </w:rPr>
              <w:t>Servicing and subservicing fees (excluding</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23"/>
        </w:trPr>
        <w:tc>
          <w:tcPr>
            <w:tcW w:w="3360" w:type="dxa"/>
            <w:vAlign w:val="bottom"/>
          </w:tcPr>
          <w:p>
            <w:pPr>
              <w:ind w:left="160"/>
              <w:spacing w:after="0"/>
              <w:rPr>
                <w:sz w:val="20"/>
                <w:szCs w:val="20"/>
                <w:color w:val="auto"/>
              </w:rPr>
            </w:pPr>
            <w:r>
              <w:rPr>
                <w:rFonts w:ascii="Arial" w:cs="Arial" w:eastAsia="Arial" w:hAnsi="Arial"/>
                <w:sz w:val="18"/>
                <w:szCs w:val="18"/>
                <w:color w:val="auto"/>
              </w:rPr>
              <w:t>float and ancillary income)</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41,317</w:t>
            </w:r>
          </w:p>
        </w:tc>
        <w:tc>
          <w:tcPr>
            <w:tcW w:w="200" w:type="dxa"/>
            <w:vAlign w:val="bottom"/>
          </w:tcPr>
          <w:p>
            <w:pPr>
              <w:spacing w:after="0"/>
              <w:rPr>
                <w:sz w:val="19"/>
                <w:szCs w:val="19"/>
                <w:color w:val="auto"/>
              </w:rPr>
            </w:pPr>
          </w:p>
        </w:tc>
        <w:tc>
          <w:tcPr>
            <w:tcW w:w="2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54,547</w:t>
            </w: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(24)</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129,555</w:t>
            </w:r>
          </w:p>
        </w:tc>
        <w:tc>
          <w:tcPr>
            <w:tcW w:w="160" w:type="dxa"/>
            <w:vAlign w:val="bottom"/>
          </w:tcPr>
          <w:p>
            <w:pPr>
              <w:spacing w:after="0"/>
              <w:rPr>
                <w:sz w:val="19"/>
                <w:szCs w:val="19"/>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167,790</w:t>
            </w:r>
          </w:p>
        </w:tc>
        <w:tc>
          <w:tcPr>
            <w:tcW w:w="24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(23)</w:t>
            </w:r>
          </w:p>
        </w:tc>
      </w:tr>
      <w:tr>
        <w:trPr>
          <w:trHeight w:val="244"/>
        </w:trPr>
        <w:tc>
          <w:tcPr>
            <w:tcW w:w="3360" w:type="dxa"/>
            <w:vAlign w:val="bottom"/>
            <w:shd w:val="clear" w:color="auto" w:fill="EAF9E8"/>
          </w:tcPr>
          <w:p>
            <w:pPr>
              <w:spacing w:after="0"/>
              <w:rPr>
                <w:sz w:val="20"/>
                <w:szCs w:val="20"/>
                <w:color w:val="auto"/>
              </w:rPr>
            </w:pPr>
            <w:r>
              <w:rPr>
                <w:rFonts w:ascii="Arial" w:cs="Arial" w:eastAsia="Arial" w:hAnsi="Arial"/>
                <w:sz w:val="18"/>
                <w:szCs w:val="18"/>
                <w:color w:val="auto"/>
              </w:rPr>
              <w:t>Float earnings</w:t>
            </w:r>
          </w:p>
        </w:tc>
        <w:tc>
          <w:tcPr>
            <w:tcW w:w="220" w:type="dxa"/>
            <w:vAlign w:val="bottom"/>
            <w:shd w:val="clear" w:color="auto" w:fill="EAF9E8"/>
          </w:tcPr>
          <w:p>
            <w:pPr>
              <w:jc w:val="right"/>
              <w:ind w:right="63"/>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866</w:t>
            </w:r>
          </w:p>
        </w:tc>
        <w:tc>
          <w:tcPr>
            <w:tcW w:w="200" w:type="dxa"/>
            <w:vAlign w:val="bottom"/>
            <w:shd w:val="clear" w:color="auto" w:fill="EAF9E8"/>
          </w:tcPr>
          <w:p>
            <w:pPr>
              <w:spacing w:after="0"/>
              <w:rPr>
                <w:sz w:val="21"/>
                <w:szCs w:val="21"/>
                <w:color w:val="auto"/>
              </w:rPr>
            </w:pPr>
          </w:p>
        </w:tc>
        <w:tc>
          <w:tcPr>
            <w:tcW w:w="280" w:type="dxa"/>
            <w:vAlign w:val="bottom"/>
            <w:gridSpan w:val="2"/>
            <w:shd w:val="clear" w:color="auto" w:fill="EAF9E8"/>
          </w:tcPr>
          <w:p>
            <w:pPr>
              <w:ind w:left="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1,718</w:t>
            </w:r>
          </w:p>
        </w:tc>
        <w:tc>
          <w:tcPr>
            <w:tcW w:w="140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(50)</w:t>
            </w:r>
          </w:p>
        </w:tc>
        <w:tc>
          <w:tcPr>
            <w:tcW w:w="240" w:type="dxa"/>
            <w:vAlign w:val="bottom"/>
            <w:shd w:val="clear" w:color="auto" w:fill="EAF9E8"/>
          </w:tcPr>
          <w:p>
            <w:pPr>
              <w:jc w:val="right"/>
              <w:ind w:right="5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3,906</w:t>
            </w:r>
          </w:p>
        </w:tc>
        <w:tc>
          <w:tcPr>
            <w:tcW w:w="160" w:type="dxa"/>
            <w:vAlign w:val="bottom"/>
            <w:shd w:val="clear" w:color="auto" w:fill="EAF9E8"/>
          </w:tcPr>
          <w:p>
            <w:pPr>
              <w:spacing w:after="0"/>
              <w:rPr>
                <w:sz w:val="21"/>
                <w:szCs w:val="21"/>
                <w:color w:val="auto"/>
              </w:rPr>
            </w:pPr>
          </w:p>
        </w:tc>
        <w:tc>
          <w:tcPr>
            <w:tcW w:w="32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8,719</w:t>
            </w:r>
          </w:p>
        </w:tc>
        <w:tc>
          <w:tcPr>
            <w:tcW w:w="240" w:type="dxa"/>
            <w:vAlign w:val="bottom"/>
            <w:shd w:val="clear" w:color="auto" w:fill="EAF9E8"/>
          </w:tcPr>
          <w:p>
            <w:pPr>
              <w:spacing w:after="0"/>
              <w:rPr>
                <w:sz w:val="21"/>
                <w:szCs w:val="21"/>
                <w:color w:val="auto"/>
              </w:rPr>
            </w:pPr>
          </w:p>
        </w:tc>
        <w:tc>
          <w:tcPr>
            <w:tcW w:w="106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(55)</w:t>
            </w:r>
          </w:p>
        </w:tc>
      </w:tr>
      <w:tr>
        <w:trPr>
          <w:trHeight w:val="241"/>
        </w:trPr>
        <w:tc>
          <w:tcPr>
            <w:tcW w:w="3360" w:type="dxa"/>
            <w:vAlign w:val="bottom"/>
          </w:tcPr>
          <w:p>
            <w:pPr>
              <w:spacing w:after="0"/>
              <w:rPr>
                <w:sz w:val="20"/>
                <w:szCs w:val="20"/>
                <w:color w:val="auto"/>
              </w:rPr>
            </w:pPr>
            <w:r>
              <w:rPr>
                <w:rFonts w:ascii="Arial" w:cs="Arial" w:eastAsia="Arial" w:hAnsi="Arial"/>
                <w:sz w:val="18"/>
                <w:szCs w:val="18"/>
                <w:color w:val="auto"/>
              </w:rPr>
              <w:t>Amortization of servicing rights (3)</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8,113</w:t>
            </w:r>
          </w:p>
        </w:tc>
        <w:tc>
          <w:tcPr>
            <w:tcW w:w="2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12,106</w:t>
            </w: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(33)</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25,118</w:t>
            </w:r>
          </w:p>
        </w:tc>
        <w:tc>
          <w:tcPr>
            <w:tcW w:w="160" w:type="dxa"/>
            <w:vAlign w:val="bottom"/>
          </w:tcPr>
          <w:p>
            <w:pPr>
              <w:spacing w:after="0"/>
              <w:rPr>
                <w:sz w:val="20"/>
                <w:szCs w:val="20"/>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40,438</w:t>
            </w:r>
          </w:p>
        </w:tc>
        <w:tc>
          <w:tcPr>
            <w:tcW w:w="24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(38)</w:t>
            </w:r>
          </w:p>
        </w:tc>
      </w:tr>
      <w:tr>
        <w:trPr>
          <w:trHeight w:val="210"/>
        </w:trPr>
        <w:tc>
          <w:tcPr>
            <w:tcW w:w="3360" w:type="dxa"/>
            <w:vAlign w:val="bottom"/>
            <w:shd w:val="clear" w:color="auto" w:fill="EAF9E8"/>
          </w:tcPr>
          <w:p>
            <w:pPr>
              <w:spacing w:after="0"/>
              <w:rPr>
                <w:sz w:val="20"/>
                <w:szCs w:val="20"/>
                <w:color w:val="auto"/>
              </w:rPr>
            </w:pPr>
            <w:r>
              <w:rPr>
                <w:rFonts w:ascii="Arial" w:cs="Arial" w:eastAsia="Arial" w:hAnsi="Arial"/>
                <w:sz w:val="18"/>
                <w:szCs w:val="18"/>
                <w:color w:val="auto"/>
                <w:w w:val="96"/>
              </w:rPr>
              <w:t>Interest expense on match funded liabilities</w:t>
            </w:r>
          </w:p>
        </w:tc>
        <w:tc>
          <w:tcPr>
            <w:tcW w:w="22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4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94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78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r>
      <w:tr>
        <w:trPr>
          <w:trHeight w:val="224"/>
        </w:trPr>
        <w:tc>
          <w:tcPr>
            <w:tcW w:w="3360" w:type="dxa"/>
            <w:vAlign w:val="bottom"/>
            <w:shd w:val="clear" w:color="auto" w:fill="EAF9E8"/>
          </w:tcPr>
          <w:p>
            <w:pPr>
              <w:ind w:left="160"/>
              <w:spacing w:after="0"/>
              <w:rPr>
                <w:sz w:val="20"/>
                <w:szCs w:val="20"/>
                <w:color w:val="auto"/>
              </w:rPr>
            </w:pPr>
            <w:r>
              <w:rPr>
                <w:rFonts w:ascii="Arial" w:cs="Arial" w:eastAsia="Arial" w:hAnsi="Arial"/>
                <w:sz w:val="18"/>
                <w:szCs w:val="18"/>
                <w:color w:val="auto"/>
              </w:rPr>
              <w:t>and lines of credit</w:t>
            </w:r>
          </w:p>
        </w:tc>
        <w:tc>
          <w:tcPr>
            <w:tcW w:w="220" w:type="dxa"/>
            <w:vAlign w:val="bottom"/>
            <w:shd w:val="clear" w:color="auto" w:fill="EAF9E8"/>
          </w:tcPr>
          <w:p>
            <w:pPr>
              <w:jc w:val="right"/>
              <w:ind w:right="63"/>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13,530</w:t>
            </w:r>
          </w:p>
        </w:tc>
        <w:tc>
          <w:tcPr>
            <w:tcW w:w="200" w:type="dxa"/>
            <w:vAlign w:val="bottom"/>
            <w:shd w:val="clear" w:color="auto" w:fill="EAF9E8"/>
          </w:tcPr>
          <w:p>
            <w:pPr>
              <w:spacing w:after="0"/>
              <w:rPr>
                <w:sz w:val="19"/>
                <w:szCs w:val="19"/>
                <w:color w:val="auto"/>
              </w:rPr>
            </w:pPr>
          </w:p>
        </w:tc>
        <w:tc>
          <w:tcPr>
            <w:tcW w:w="280" w:type="dxa"/>
            <w:vAlign w:val="bottom"/>
            <w:gridSpan w:val="2"/>
            <w:shd w:val="clear" w:color="auto" w:fill="EAF9E8"/>
          </w:tcPr>
          <w:p>
            <w:pPr>
              <w:ind w:left="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14,747</w:t>
            </w:r>
          </w:p>
        </w:tc>
        <w:tc>
          <w:tcPr>
            <w:tcW w:w="140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(8)</w:t>
            </w:r>
          </w:p>
        </w:tc>
        <w:tc>
          <w:tcPr>
            <w:tcW w:w="240" w:type="dxa"/>
            <w:vAlign w:val="bottom"/>
            <w:shd w:val="clear" w:color="auto" w:fill="EAF9E8"/>
          </w:tcPr>
          <w:p>
            <w:pPr>
              <w:jc w:val="right"/>
              <w:ind w:right="5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40,342</w:t>
            </w:r>
          </w:p>
        </w:tc>
        <w:tc>
          <w:tcPr>
            <w:tcW w:w="160" w:type="dxa"/>
            <w:vAlign w:val="bottom"/>
            <w:shd w:val="clear" w:color="auto" w:fill="EAF9E8"/>
          </w:tcPr>
          <w:p>
            <w:pPr>
              <w:spacing w:after="0"/>
              <w:rPr>
                <w:sz w:val="19"/>
                <w:szCs w:val="19"/>
                <w:color w:val="auto"/>
              </w:rPr>
            </w:pPr>
          </w:p>
        </w:tc>
        <w:tc>
          <w:tcPr>
            <w:tcW w:w="32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52,358</w:t>
            </w:r>
          </w:p>
        </w:tc>
        <w:tc>
          <w:tcPr>
            <w:tcW w:w="240" w:type="dxa"/>
            <w:vAlign w:val="bottom"/>
            <w:shd w:val="clear" w:color="auto" w:fill="EAF9E8"/>
          </w:tcPr>
          <w:p>
            <w:pPr>
              <w:spacing w:after="0"/>
              <w:rPr>
                <w:sz w:val="19"/>
                <w:szCs w:val="19"/>
                <w:color w:val="auto"/>
              </w:rPr>
            </w:pPr>
          </w:p>
        </w:tc>
        <w:tc>
          <w:tcPr>
            <w:tcW w:w="106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(23)</w:t>
            </w:r>
          </w:p>
        </w:tc>
      </w:tr>
      <w:tr>
        <w:trPr>
          <w:trHeight w:val="241"/>
        </w:trPr>
        <w:tc>
          <w:tcPr>
            <w:tcW w:w="3360" w:type="dxa"/>
            <w:vAlign w:val="bottom"/>
          </w:tcPr>
          <w:p>
            <w:pPr>
              <w:spacing w:after="0"/>
              <w:rPr>
                <w:sz w:val="20"/>
                <w:szCs w:val="20"/>
                <w:color w:val="auto"/>
              </w:rPr>
            </w:pPr>
            <w:r>
              <w:rPr>
                <w:rFonts w:ascii="Arial" w:cs="Arial" w:eastAsia="Arial" w:hAnsi="Arial"/>
                <w:sz w:val="18"/>
                <w:szCs w:val="18"/>
                <w:color w:val="auto"/>
              </w:rPr>
              <w:t>Compensating interest expense</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382</w:t>
            </w:r>
          </w:p>
        </w:tc>
        <w:tc>
          <w:tcPr>
            <w:tcW w:w="200" w:type="dxa"/>
            <w:vAlign w:val="bottom"/>
          </w:tcPr>
          <w:p>
            <w:pPr>
              <w:spacing w:after="0"/>
              <w:rPr>
                <w:sz w:val="20"/>
                <w:szCs w:val="20"/>
                <w:color w:val="auto"/>
              </w:rPr>
            </w:pPr>
          </w:p>
        </w:tc>
        <w:tc>
          <w:tcPr>
            <w:tcW w:w="2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581</w:t>
            </w: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(34)</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1,045</w:t>
            </w:r>
          </w:p>
        </w:tc>
        <w:tc>
          <w:tcPr>
            <w:tcW w:w="160" w:type="dxa"/>
            <w:vAlign w:val="bottom"/>
          </w:tcPr>
          <w:p>
            <w:pPr>
              <w:spacing w:after="0"/>
              <w:rPr>
                <w:sz w:val="20"/>
                <w:szCs w:val="20"/>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2,710</w:t>
            </w:r>
          </w:p>
        </w:tc>
        <w:tc>
          <w:tcPr>
            <w:tcW w:w="24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(61)</w:t>
            </w:r>
          </w:p>
        </w:tc>
      </w:tr>
      <w:tr>
        <w:trPr>
          <w:trHeight w:val="210"/>
        </w:trPr>
        <w:tc>
          <w:tcPr>
            <w:tcW w:w="3360" w:type="dxa"/>
            <w:vAlign w:val="bottom"/>
            <w:shd w:val="clear" w:color="auto" w:fill="EAF9E8"/>
          </w:tcPr>
          <w:p>
            <w:pPr>
              <w:spacing w:after="0"/>
              <w:rPr>
                <w:sz w:val="20"/>
                <w:szCs w:val="20"/>
                <w:color w:val="auto"/>
              </w:rPr>
            </w:pPr>
            <w:r>
              <w:rPr>
                <w:rFonts w:ascii="Arial" w:cs="Arial" w:eastAsia="Arial" w:hAnsi="Arial"/>
                <w:sz w:val="18"/>
                <w:szCs w:val="18"/>
                <w:color w:val="auto"/>
                <w:w w:val="98"/>
              </w:rPr>
              <w:t>Operating expenses directly related to loss</w:t>
            </w:r>
          </w:p>
        </w:tc>
        <w:tc>
          <w:tcPr>
            <w:tcW w:w="22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4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94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78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r>
      <w:tr>
        <w:trPr>
          <w:trHeight w:val="224"/>
        </w:trPr>
        <w:tc>
          <w:tcPr>
            <w:tcW w:w="3360" w:type="dxa"/>
            <w:vAlign w:val="bottom"/>
            <w:shd w:val="clear" w:color="auto" w:fill="EAF9E8"/>
          </w:tcPr>
          <w:p>
            <w:pPr>
              <w:ind w:left="160"/>
              <w:spacing w:after="0"/>
              <w:rPr>
                <w:sz w:val="20"/>
                <w:szCs w:val="20"/>
                <w:color w:val="auto"/>
              </w:rPr>
            </w:pPr>
            <w:r>
              <w:rPr>
                <w:rFonts w:ascii="Arial" w:cs="Arial" w:eastAsia="Arial" w:hAnsi="Arial"/>
                <w:sz w:val="18"/>
                <w:szCs w:val="18"/>
                <w:color w:val="auto"/>
              </w:rPr>
              <w:t>mitigation activities</w:t>
            </w:r>
          </w:p>
        </w:tc>
        <w:tc>
          <w:tcPr>
            <w:tcW w:w="220" w:type="dxa"/>
            <w:vAlign w:val="bottom"/>
            <w:shd w:val="clear" w:color="auto" w:fill="EAF9E8"/>
          </w:tcPr>
          <w:p>
            <w:pPr>
              <w:jc w:val="right"/>
              <w:ind w:right="63"/>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6,412</w:t>
            </w:r>
          </w:p>
        </w:tc>
        <w:tc>
          <w:tcPr>
            <w:tcW w:w="200" w:type="dxa"/>
            <w:vAlign w:val="bottom"/>
            <w:shd w:val="clear" w:color="auto" w:fill="EAF9E8"/>
          </w:tcPr>
          <w:p>
            <w:pPr>
              <w:spacing w:after="0"/>
              <w:rPr>
                <w:sz w:val="19"/>
                <w:szCs w:val="19"/>
                <w:color w:val="auto"/>
              </w:rPr>
            </w:pPr>
          </w:p>
        </w:tc>
        <w:tc>
          <w:tcPr>
            <w:tcW w:w="280" w:type="dxa"/>
            <w:vAlign w:val="bottom"/>
            <w:gridSpan w:val="2"/>
            <w:shd w:val="clear" w:color="auto" w:fill="EAF9E8"/>
          </w:tcPr>
          <w:p>
            <w:pPr>
              <w:ind w:left="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7,556</w:t>
            </w:r>
          </w:p>
        </w:tc>
        <w:tc>
          <w:tcPr>
            <w:tcW w:w="140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(15)</w:t>
            </w:r>
          </w:p>
        </w:tc>
        <w:tc>
          <w:tcPr>
            <w:tcW w:w="240" w:type="dxa"/>
            <w:vAlign w:val="bottom"/>
            <w:shd w:val="clear" w:color="auto" w:fill="EAF9E8"/>
          </w:tcPr>
          <w:p>
            <w:pPr>
              <w:jc w:val="right"/>
              <w:ind w:right="5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20,096</w:t>
            </w:r>
          </w:p>
        </w:tc>
        <w:tc>
          <w:tcPr>
            <w:tcW w:w="160" w:type="dxa"/>
            <w:vAlign w:val="bottom"/>
            <w:shd w:val="clear" w:color="auto" w:fill="EAF9E8"/>
          </w:tcPr>
          <w:p>
            <w:pPr>
              <w:spacing w:after="0"/>
              <w:rPr>
                <w:sz w:val="19"/>
                <w:szCs w:val="19"/>
                <w:color w:val="auto"/>
              </w:rPr>
            </w:pPr>
          </w:p>
        </w:tc>
        <w:tc>
          <w:tcPr>
            <w:tcW w:w="32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22,723</w:t>
            </w:r>
          </w:p>
        </w:tc>
        <w:tc>
          <w:tcPr>
            <w:tcW w:w="240" w:type="dxa"/>
            <w:vAlign w:val="bottom"/>
            <w:shd w:val="clear" w:color="auto" w:fill="EAF9E8"/>
          </w:tcPr>
          <w:p>
            <w:pPr>
              <w:spacing w:after="0"/>
              <w:rPr>
                <w:sz w:val="19"/>
                <w:szCs w:val="19"/>
                <w:color w:val="auto"/>
              </w:rPr>
            </w:pPr>
          </w:p>
        </w:tc>
        <w:tc>
          <w:tcPr>
            <w:tcW w:w="106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(12)</w:t>
            </w:r>
          </w:p>
        </w:tc>
      </w:tr>
    </w:tbl>
    <w:p>
      <w:pPr>
        <w:spacing w:after="0" w:line="248" w:lineRule="exact"/>
        <w:rPr>
          <w:sz w:val="20"/>
          <w:szCs w:val="20"/>
          <w:color w:val="auto"/>
        </w:rPr>
      </w:pPr>
    </w:p>
    <w:p>
      <w:pPr>
        <w:ind w:left="580" w:hanging="572"/>
        <w:spacing w:after="0"/>
        <w:tabs>
          <w:tab w:leader="none" w:pos="5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Excluding loans serviced for Freddie Mac. Also excludes real estate serviced pursuant to our contract with the VA that expired on July 24, 2008.</w:t>
      </w:r>
    </w:p>
    <w:p>
      <w:pPr>
        <w:sectPr>
          <w:pgSz w:w="11900" w:h="16838" w:orient="portrait"/>
          <w:cols w:equalWidth="0" w:num="1">
            <w:col w:w="11420"/>
          </w:cols>
          <w:pgMar w:left="240" w:top="131" w:right="239" w:bottom="1440" w:gutter="0" w:footer="0" w:header="0"/>
        </w:sect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47" w:name="page48"/>
    <w:bookmarkEnd w:id="47"/>
    <w:p>
      <w:pPr>
        <w:ind w:left="580" w:right="200" w:hanging="572"/>
        <w:spacing w:after="0" w:line="268" w:lineRule="auto"/>
        <w:tabs>
          <w:tab w:leader="none" w:pos="5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At December 31, 2008, the UPB of non-performing assets comprised 24.3% of total UPB and the number of non-performing assets serviced comprised 19% of total UPB.</w:t>
      </w:r>
    </w:p>
    <w:p>
      <w:pPr>
        <w:spacing w:after="0" w:line="212" w:lineRule="exact"/>
        <w:rPr>
          <w:rFonts w:ascii="Arial" w:cs="Arial" w:eastAsia="Arial" w:hAnsi="Arial"/>
          <w:sz w:val="18"/>
          <w:szCs w:val="18"/>
          <w:color w:val="auto"/>
        </w:rPr>
      </w:pPr>
    </w:p>
    <w:p>
      <w:pPr>
        <w:ind w:left="580" w:right="60" w:hanging="572"/>
        <w:spacing w:after="0" w:line="294" w:lineRule="auto"/>
        <w:tabs>
          <w:tab w:leader="none" w:pos="5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During the three months ended September 30, 2009, amortization of servicing liabilities exceeded the amount of charges we recognized to increase our servicing liability obligations by $954. We reported this net amount as a reduction in amortization of servicing rights. During the nine months ended September 30, 2009, the amount of charges we recognized to increase our servicing liability obligations exceeded amortization by $625. We reported this net amount as an increase in amortization of servicing rights. The total amount of amortization of servicing rights reported by the Servicing segment for the three and nine months ended September 30, 2009 is $7,159 and $25,743, respectively.</w:t>
      </w:r>
    </w:p>
    <w:p>
      <w:pPr>
        <w:spacing w:after="0" w:line="196" w:lineRule="exact"/>
        <w:rPr>
          <w:rFonts w:ascii="Arial" w:cs="Arial" w:eastAsia="Arial" w:hAnsi="Arial"/>
          <w:sz w:val="16"/>
          <w:szCs w:val="16"/>
          <w:color w:val="auto"/>
        </w:rPr>
      </w:pPr>
    </w:p>
    <w:p>
      <w:pPr>
        <w:ind w:left="580"/>
        <w:spacing w:after="0"/>
        <w:rPr>
          <w:rFonts w:ascii="Arial" w:cs="Arial" w:eastAsia="Arial" w:hAnsi="Arial"/>
          <w:sz w:val="16"/>
          <w:szCs w:val="16"/>
          <w:color w:val="auto"/>
        </w:rPr>
      </w:pPr>
      <w:r>
        <w:rPr>
          <w:rFonts w:ascii="Arial" w:cs="Arial" w:eastAsia="Arial" w:hAnsi="Arial"/>
          <w:sz w:val="18"/>
          <w:szCs w:val="18"/>
          <w:color w:val="auto"/>
        </w:rPr>
        <w:t>The following table sets forth information regarding residential loans and real estate serviced for others: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0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ind w:left="720"/>
              <w:spacing w:after="0"/>
              <w:rPr>
                <w:sz w:val="20"/>
                <w:szCs w:val="20"/>
                <w:color w:val="auto"/>
              </w:rPr>
            </w:pPr>
            <w:r>
              <w:rPr>
                <w:rFonts w:ascii="Arial" w:cs="Arial" w:eastAsia="Arial" w:hAnsi="Arial"/>
                <w:sz w:val="18"/>
                <w:szCs w:val="18"/>
                <w:b w:val="1"/>
                <w:bCs w:val="1"/>
                <w:color w:val="auto"/>
                <w:w w:val="92"/>
              </w:rPr>
              <w:t>Loans (1)</w:t>
            </w:r>
          </w:p>
        </w:tc>
        <w:tc>
          <w:tcPr>
            <w:tcW w:w="8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gridSpan w:val="3"/>
          </w:tcPr>
          <w:p>
            <w:pPr>
              <w:jc w:val="right"/>
              <w:ind w:right="632"/>
              <w:spacing w:after="0"/>
              <w:rPr>
                <w:sz w:val="20"/>
                <w:szCs w:val="20"/>
                <w:color w:val="auto"/>
              </w:rPr>
            </w:pPr>
            <w:r>
              <w:rPr>
                <w:rFonts w:ascii="Arial" w:cs="Arial" w:eastAsia="Arial" w:hAnsi="Arial"/>
                <w:sz w:val="18"/>
                <w:szCs w:val="18"/>
                <w:b w:val="1"/>
                <w:bCs w:val="1"/>
                <w:color w:val="auto"/>
              </w:rPr>
              <w:t>Real Estate (2)</w:t>
            </w:r>
          </w:p>
        </w:tc>
        <w:tc>
          <w:tcPr>
            <w:tcW w:w="2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3"/>
          </w:tcPr>
          <w:p>
            <w:pPr>
              <w:ind w:left="720"/>
              <w:spacing w:after="0"/>
              <w:rPr>
                <w:sz w:val="20"/>
                <w:szCs w:val="20"/>
                <w:color w:val="auto"/>
              </w:rPr>
            </w:pPr>
            <w:r>
              <w:rPr>
                <w:rFonts w:ascii="Arial" w:cs="Arial" w:eastAsia="Arial" w:hAnsi="Arial"/>
                <w:sz w:val="18"/>
                <w:szCs w:val="18"/>
                <w:b w:val="1"/>
                <w:bCs w:val="1"/>
                <w:color w:val="auto"/>
                <w:w w:val="95"/>
              </w:rPr>
              <w:t>Total (4)(5)</w:t>
            </w:r>
          </w:p>
        </w:tc>
        <w:tc>
          <w:tcPr>
            <w:tcW w:w="8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r>
      <w:tr>
        <w:trPr>
          <w:trHeight w:val="224"/>
        </w:trPr>
        <w:tc>
          <w:tcPr>
            <w:tcW w:w="3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gridSpan w:val="3"/>
          </w:tcPr>
          <w:p>
            <w:pPr>
              <w:ind w:left="80"/>
              <w:spacing w:after="0"/>
              <w:rPr>
                <w:sz w:val="20"/>
                <w:szCs w:val="20"/>
                <w:color w:val="auto"/>
              </w:rPr>
            </w:pPr>
            <w:r>
              <w:rPr>
                <w:rFonts w:ascii="Arial" w:cs="Arial" w:eastAsia="Arial" w:hAnsi="Arial"/>
                <w:sz w:val="18"/>
                <w:szCs w:val="18"/>
                <w:b w:val="1"/>
                <w:bCs w:val="1"/>
                <w:color w:val="auto"/>
              </w:rPr>
              <w:t>Amount</w:t>
            </w:r>
          </w:p>
        </w:tc>
        <w:tc>
          <w:tcPr>
            <w:tcW w:w="860" w:type="dxa"/>
            <w:vAlign w:val="bottom"/>
          </w:tcPr>
          <w:p>
            <w:pPr>
              <w:jc w:val="right"/>
              <w:ind w:right="252"/>
              <w:spacing w:after="0"/>
              <w:rPr>
                <w:sz w:val="20"/>
                <w:szCs w:val="20"/>
                <w:color w:val="auto"/>
              </w:rPr>
            </w:pPr>
            <w:r>
              <w:rPr>
                <w:rFonts w:ascii="Arial" w:cs="Arial" w:eastAsia="Arial" w:hAnsi="Arial"/>
                <w:sz w:val="18"/>
                <w:szCs w:val="18"/>
                <w:b w:val="1"/>
                <w:bCs w:val="1"/>
                <w:color w:val="auto"/>
                <w:w w:val="96"/>
              </w:rPr>
              <w:t>Count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ind w:left="120"/>
              <w:spacing w:after="0"/>
              <w:rPr>
                <w:sz w:val="20"/>
                <w:szCs w:val="20"/>
                <w:color w:val="auto"/>
              </w:rPr>
            </w:pPr>
            <w:r>
              <w:rPr>
                <w:rFonts w:ascii="Arial" w:cs="Arial" w:eastAsia="Arial" w:hAnsi="Arial"/>
                <w:sz w:val="18"/>
                <w:szCs w:val="18"/>
                <w:b w:val="1"/>
                <w:bCs w:val="1"/>
                <w:color w:val="auto"/>
              </w:rPr>
              <w:t>Amount</w:t>
            </w:r>
          </w:p>
        </w:tc>
        <w:tc>
          <w:tcPr>
            <w:tcW w:w="1020" w:type="dxa"/>
            <w:vAlign w:val="bottom"/>
          </w:tcPr>
          <w:p>
            <w:pPr>
              <w:jc w:val="right"/>
              <w:ind w:right="192"/>
              <w:spacing w:after="0"/>
              <w:rPr>
                <w:sz w:val="20"/>
                <w:szCs w:val="20"/>
                <w:color w:val="auto"/>
              </w:rPr>
            </w:pPr>
            <w:r>
              <w:rPr>
                <w:rFonts w:ascii="Arial" w:cs="Arial" w:eastAsia="Arial" w:hAnsi="Arial"/>
                <w:sz w:val="18"/>
                <w:szCs w:val="18"/>
                <w:b w:val="1"/>
                <w:bCs w:val="1"/>
                <w:color w:val="auto"/>
              </w:rPr>
              <w:t>Count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gridSpan w:val="3"/>
          </w:tcPr>
          <w:p>
            <w:pPr>
              <w:ind w:left="140"/>
              <w:spacing w:after="0"/>
              <w:rPr>
                <w:sz w:val="20"/>
                <w:szCs w:val="20"/>
                <w:color w:val="auto"/>
              </w:rPr>
            </w:pPr>
            <w:r>
              <w:rPr>
                <w:rFonts w:ascii="Arial" w:cs="Arial" w:eastAsia="Arial" w:hAnsi="Arial"/>
                <w:sz w:val="18"/>
                <w:szCs w:val="18"/>
                <w:b w:val="1"/>
                <w:bCs w:val="1"/>
                <w:color w:val="auto"/>
              </w:rPr>
              <w:t>Amount</w:t>
            </w:r>
          </w:p>
        </w:tc>
        <w:tc>
          <w:tcPr>
            <w:tcW w:w="860" w:type="dxa"/>
            <w:vAlign w:val="bottom"/>
          </w:tcPr>
          <w:p>
            <w:pPr>
              <w:ind w:left="60"/>
              <w:spacing w:after="0"/>
              <w:rPr>
                <w:sz w:val="20"/>
                <w:szCs w:val="20"/>
                <w:color w:val="auto"/>
              </w:rPr>
            </w:pPr>
            <w:r>
              <w:rPr>
                <w:rFonts w:ascii="Arial" w:cs="Arial" w:eastAsia="Arial" w:hAnsi="Arial"/>
                <w:sz w:val="18"/>
                <w:szCs w:val="18"/>
                <w:b w:val="1"/>
                <w:bCs w:val="1"/>
                <w:color w:val="auto"/>
              </w:rPr>
              <w:t>Count</w:t>
            </w:r>
          </w:p>
        </w:tc>
        <w:tc>
          <w:tcPr>
            <w:tcW w:w="140" w:type="dxa"/>
            <w:vAlign w:val="bottom"/>
          </w:tcPr>
          <w:p>
            <w:pPr>
              <w:spacing w:after="0"/>
              <w:rPr>
                <w:sz w:val="19"/>
                <w:szCs w:val="19"/>
                <w:color w:val="auto"/>
              </w:rPr>
            </w:pPr>
          </w:p>
        </w:tc>
      </w:tr>
      <w:tr>
        <w:trPr>
          <w:trHeight w:val="237"/>
        </w:trPr>
        <w:tc>
          <w:tcPr>
            <w:tcW w:w="3060" w:type="dxa"/>
            <w:vAlign w:val="bottom"/>
            <w:shd w:val="clear" w:color="auto" w:fill="EAF9E8"/>
          </w:tcPr>
          <w:p>
            <w:pPr>
              <w:spacing w:after="0"/>
              <w:rPr>
                <w:sz w:val="20"/>
                <w:szCs w:val="20"/>
                <w:color w:val="auto"/>
              </w:rPr>
            </w:pPr>
            <w:r>
              <w:rPr>
                <w:rFonts w:ascii="Arial" w:cs="Arial" w:eastAsia="Arial" w:hAnsi="Arial"/>
                <w:sz w:val="18"/>
                <w:szCs w:val="18"/>
                <w:color w:val="auto"/>
              </w:rPr>
              <w:t>September 30, 2009:</w:t>
            </w:r>
          </w:p>
        </w:tc>
        <w:tc>
          <w:tcPr>
            <w:tcW w:w="180" w:type="dxa"/>
            <w:vAlign w:val="bottom"/>
            <w:tcBorders>
              <w:top w:val="single" w:sz="8" w:color="auto"/>
            </w:tcBorders>
            <w:shd w:val="clear" w:color="auto" w:fill="EAF9E8"/>
          </w:tcPr>
          <w:p>
            <w:pPr>
              <w:spacing w:after="0"/>
              <w:rPr>
                <w:sz w:val="20"/>
                <w:szCs w:val="20"/>
                <w:color w:val="auto"/>
              </w:rPr>
            </w:pPr>
          </w:p>
        </w:tc>
        <w:tc>
          <w:tcPr>
            <w:tcW w:w="960" w:type="dxa"/>
            <w:vAlign w:val="bottom"/>
            <w:tcBorders>
              <w:top w:val="single" w:sz="8" w:color="auto"/>
            </w:tcBorders>
            <w:shd w:val="clear" w:color="auto" w:fill="EAF9E8"/>
          </w:tcPr>
          <w:p>
            <w:pPr>
              <w:spacing w:after="0"/>
              <w:rPr>
                <w:sz w:val="20"/>
                <w:szCs w:val="20"/>
                <w:color w:val="auto"/>
              </w:rPr>
            </w:pPr>
          </w:p>
        </w:tc>
        <w:tc>
          <w:tcPr>
            <w:tcW w:w="240" w:type="dxa"/>
            <w:vAlign w:val="bottom"/>
            <w:shd w:val="clear" w:color="auto" w:fill="EAF9E8"/>
          </w:tcPr>
          <w:p>
            <w:pPr>
              <w:spacing w:after="0"/>
              <w:rPr>
                <w:sz w:val="20"/>
                <w:szCs w:val="20"/>
                <w:color w:val="auto"/>
              </w:rPr>
            </w:pPr>
          </w:p>
        </w:tc>
        <w:tc>
          <w:tcPr>
            <w:tcW w:w="280" w:type="dxa"/>
            <w:vAlign w:val="bottom"/>
            <w:tcBorders>
              <w:top w:val="single" w:sz="8" w:color="auto"/>
            </w:tcBorders>
            <w:shd w:val="clear" w:color="auto" w:fill="EAF9E8"/>
          </w:tcPr>
          <w:p>
            <w:pPr>
              <w:spacing w:after="0"/>
              <w:rPr>
                <w:sz w:val="20"/>
                <w:szCs w:val="20"/>
                <w:color w:val="auto"/>
              </w:rPr>
            </w:pPr>
          </w:p>
        </w:tc>
        <w:tc>
          <w:tcPr>
            <w:tcW w:w="860" w:type="dxa"/>
            <w:vAlign w:val="bottom"/>
            <w:tcBorders>
              <w:top w:val="single" w:sz="8" w:color="auto"/>
            </w:tcBorders>
            <w:shd w:val="clear" w:color="auto" w:fill="EAF9E8"/>
          </w:tcPr>
          <w:p>
            <w:pPr>
              <w:spacing w:after="0"/>
              <w:rPr>
                <w:sz w:val="20"/>
                <w:szCs w:val="20"/>
                <w:color w:val="auto"/>
              </w:rPr>
            </w:pPr>
          </w:p>
        </w:tc>
        <w:tc>
          <w:tcPr>
            <w:tcW w:w="120" w:type="dxa"/>
            <w:vAlign w:val="bottom"/>
            <w:shd w:val="clear" w:color="auto" w:fill="EAF9E8"/>
          </w:tcPr>
          <w:p>
            <w:pPr>
              <w:spacing w:after="0"/>
              <w:rPr>
                <w:sz w:val="20"/>
                <w:szCs w:val="20"/>
                <w:color w:val="auto"/>
              </w:rPr>
            </w:pPr>
          </w:p>
        </w:tc>
        <w:tc>
          <w:tcPr>
            <w:tcW w:w="120" w:type="dxa"/>
            <w:vAlign w:val="bottom"/>
            <w:shd w:val="clear" w:color="auto" w:fill="EAF9E8"/>
          </w:tcPr>
          <w:p>
            <w:pPr>
              <w:spacing w:after="0"/>
              <w:rPr>
                <w:sz w:val="20"/>
                <w:szCs w:val="20"/>
                <w:color w:val="auto"/>
              </w:rPr>
            </w:pPr>
          </w:p>
        </w:tc>
        <w:tc>
          <w:tcPr>
            <w:tcW w:w="200" w:type="dxa"/>
            <w:vAlign w:val="bottom"/>
            <w:tcBorders>
              <w:top w:val="single" w:sz="8" w:color="auto"/>
            </w:tcBorders>
            <w:shd w:val="clear" w:color="auto" w:fill="EAF9E8"/>
          </w:tcPr>
          <w:p>
            <w:pPr>
              <w:spacing w:after="0"/>
              <w:rPr>
                <w:sz w:val="20"/>
                <w:szCs w:val="20"/>
                <w:color w:val="auto"/>
              </w:rPr>
            </w:pPr>
          </w:p>
        </w:tc>
        <w:tc>
          <w:tcPr>
            <w:tcW w:w="1080" w:type="dxa"/>
            <w:vAlign w:val="bottom"/>
            <w:tcBorders>
              <w:top w:val="single" w:sz="8" w:color="auto"/>
            </w:tcBorders>
            <w:shd w:val="clear" w:color="auto" w:fill="EAF9E8"/>
          </w:tcPr>
          <w:p>
            <w:pPr>
              <w:spacing w:after="0"/>
              <w:rPr>
                <w:sz w:val="20"/>
                <w:szCs w:val="20"/>
                <w:color w:val="auto"/>
              </w:rPr>
            </w:pPr>
          </w:p>
        </w:tc>
        <w:tc>
          <w:tcPr>
            <w:tcW w:w="240" w:type="dxa"/>
            <w:vAlign w:val="bottom"/>
            <w:shd w:val="clear" w:color="auto" w:fill="EAF9E8"/>
          </w:tcPr>
          <w:p>
            <w:pPr>
              <w:spacing w:after="0"/>
              <w:rPr>
                <w:sz w:val="20"/>
                <w:szCs w:val="20"/>
                <w:color w:val="auto"/>
              </w:rPr>
            </w:pPr>
          </w:p>
        </w:tc>
        <w:tc>
          <w:tcPr>
            <w:tcW w:w="1020" w:type="dxa"/>
            <w:vAlign w:val="bottom"/>
            <w:tcBorders>
              <w:top w:val="single" w:sz="8" w:color="auto"/>
            </w:tcBorders>
            <w:shd w:val="clear" w:color="auto" w:fill="EAF9E8"/>
          </w:tcPr>
          <w:p>
            <w:pPr>
              <w:spacing w:after="0"/>
              <w:rPr>
                <w:sz w:val="20"/>
                <w:szCs w:val="20"/>
                <w:color w:val="auto"/>
              </w:rPr>
            </w:pPr>
          </w:p>
        </w:tc>
        <w:tc>
          <w:tcPr>
            <w:tcW w:w="240" w:type="dxa"/>
            <w:vAlign w:val="bottom"/>
            <w:shd w:val="clear" w:color="auto" w:fill="EAF9E8"/>
          </w:tcPr>
          <w:p>
            <w:pPr>
              <w:spacing w:after="0"/>
              <w:rPr>
                <w:sz w:val="20"/>
                <w:szCs w:val="20"/>
                <w:color w:val="auto"/>
              </w:rPr>
            </w:pPr>
          </w:p>
        </w:tc>
        <w:tc>
          <w:tcPr>
            <w:tcW w:w="200" w:type="dxa"/>
            <w:vAlign w:val="bottom"/>
            <w:tcBorders>
              <w:top w:val="single" w:sz="8" w:color="auto"/>
            </w:tcBorders>
            <w:shd w:val="clear" w:color="auto" w:fill="EAF9E8"/>
          </w:tcPr>
          <w:p>
            <w:pPr>
              <w:spacing w:after="0"/>
              <w:rPr>
                <w:sz w:val="20"/>
                <w:szCs w:val="20"/>
                <w:color w:val="auto"/>
              </w:rPr>
            </w:pPr>
          </w:p>
        </w:tc>
        <w:tc>
          <w:tcPr>
            <w:tcW w:w="1080" w:type="dxa"/>
            <w:vAlign w:val="bottom"/>
            <w:tcBorders>
              <w:top w:val="single" w:sz="8" w:color="auto"/>
            </w:tcBorders>
            <w:shd w:val="clear" w:color="auto" w:fill="EAF9E8"/>
          </w:tcPr>
          <w:p>
            <w:pPr>
              <w:spacing w:after="0"/>
              <w:rPr>
                <w:sz w:val="20"/>
                <w:szCs w:val="20"/>
                <w:color w:val="auto"/>
              </w:rPr>
            </w:pPr>
          </w:p>
        </w:tc>
        <w:tc>
          <w:tcPr>
            <w:tcW w:w="240" w:type="dxa"/>
            <w:vAlign w:val="bottom"/>
            <w:shd w:val="clear" w:color="auto" w:fill="EAF9E8"/>
          </w:tcPr>
          <w:p>
            <w:pPr>
              <w:spacing w:after="0"/>
              <w:rPr>
                <w:sz w:val="20"/>
                <w:szCs w:val="20"/>
                <w:color w:val="auto"/>
              </w:rPr>
            </w:pPr>
          </w:p>
        </w:tc>
        <w:tc>
          <w:tcPr>
            <w:tcW w:w="300" w:type="dxa"/>
            <w:vAlign w:val="bottom"/>
            <w:tcBorders>
              <w:top w:val="single" w:sz="8" w:color="auto"/>
            </w:tcBorders>
            <w:shd w:val="clear" w:color="auto" w:fill="EAF9E8"/>
          </w:tcPr>
          <w:p>
            <w:pPr>
              <w:spacing w:after="0"/>
              <w:rPr>
                <w:sz w:val="20"/>
                <w:szCs w:val="20"/>
                <w:color w:val="auto"/>
              </w:rPr>
            </w:pPr>
          </w:p>
        </w:tc>
        <w:tc>
          <w:tcPr>
            <w:tcW w:w="860" w:type="dxa"/>
            <w:vAlign w:val="bottom"/>
            <w:tcBorders>
              <w:top w:val="single" w:sz="8" w:color="auto"/>
            </w:tcBorders>
            <w:shd w:val="clear" w:color="auto" w:fill="EAF9E8"/>
          </w:tcPr>
          <w:p>
            <w:pPr>
              <w:spacing w:after="0"/>
              <w:rPr>
                <w:sz w:val="20"/>
                <w:szCs w:val="20"/>
                <w:color w:val="auto"/>
              </w:rPr>
            </w:pPr>
          </w:p>
        </w:tc>
        <w:tc>
          <w:tcPr>
            <w:tcW w:w="140" w:type="dxa"/>
            <w:vAlign w:val="bottom"/>
            <w:shd w:val="clear" w:color="auto" w:fill="EAF9E8"/>
          </w:tcPr>
          <w:p>
            <w:pPr>
              <w:spacing w:after="0"/>
              <w:rPr>
                <w:sz w:val="20"/>
                <w:szCs w:val="20"/>
                <w:color w:val="auto"/>
              </w:rPr>
            </w:pPr>
          </w:p>
        </w:tc>
      </w:tr>
      <w:tr>
        <w:trPr>
          <w:trHeight w:val="242"/>
        </w:trPr>
        <w:tc>
          <w:tcPr>
            <w:tcW w:w="3060" w:type="dxa"/>
            <w:vAlign w:val="bottom"/>
          </w:tcPr>
          <w:p>
            <w:pPr>
              <w:ind w:left="160"/>
              <w:spacing w:after="0"/>
              <w:rPr>
                <w:sz w:val="20"/>
                <w:szCs w:val="20"/>
                <w:color w:val="auto"/>
              </w:rPr>
            </w:pPr>
            <w:r>
              <w:rPr>
                <w:rFonts w:ascii="Arial" w:cs="Arial" w:eastAsia="Arial" w:hAnsi="Arial"/>
                <w:sz w:val="18"/>
                <w:szCs w:val="18"/>
                <w:color w:val="auto"/>
              </w:rPr>
              <w:t>Performing</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27,712,867</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228,575</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27,712,867</w:t>
            </w:r>
          </w:p>
        </w:tc>
        <w:tc>
          <w:tcPr>
            <w:tcW w:w="300" w:type="dxa"/>
            <w:vAlign w:val="bottom"/>
          </w:tcPr>
          <w:p>
            <w:pPr>
              <w:spacing w:after="0"/>
              <w:rPr>
                <w:sz w:val="21"/>
                <w:szCs w:val="21"/>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228,575</w:t>
            </w:r>
          </w:p>
        </w:tc>
      </w:tr>
      <w:tr>
        <w:trPr>
          <w:trHeight w:val="244"/>
        </w:trPr>
        <w:tc>
          <w:tcPr>
            <w:tcW w:w="3060" w:type="dxa"/>
            <w:vAlign w:val="bottom"/>
            <w:shd w:val="clear" w:color="auto" w:fill="EAF9E8"/>
          </w:tcPr>
          <w:p>
            <w:pPr>
              <w:ind w:left="160"/>
              <w:spacing w:after="0"/>
              <w:rPr>
                <w:sz w:val="20"/>
                <w:szCs w:val="20"/>
                <w:color w:val="auto"/>
              </w:rPr>
            </w:pPr>
            <w:r>
              <w:rPr>
                <w:rFonts w:ascii="Arial" w:cs="Arial" w:eastAsia="Arial" w:hAnsi="Arial"/>
                <w:sz w:val="18"/>
                <w:szCs w:val="18"/>
                <w:color w:val="auto"/>
              </w:rPr>
              <w:t>Non-performing (3)</w:t>
            </w:r>
          </w:p>
        </w:tc>
        <w:tc>
          <w:tcPr>
            <w:tcW w:w="180" w:type="dxa"/>
            <w:vAlign w:val="bottom"/>
            <w:shd w:val="clear" w:color="auto" w:fill="EAF9E8"/>
          </w:tcPr>
          <w:p>
            <w:pPr>
              <w:spacing w:after="0"/>
              <w:rPr>
                <w:sz w:val="21"/>
                <w:szCs w:val="21"/>
                <w:color w:val="auto"/>
              </w:rPr>
            </w:pPr>
          </w:p>
        </w:tc>
        <w:tc>
          <w:tcPr>
            <w:tcW w:w="9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10,102,719</w:t>
            </w:r>
          </w:p>
        </w:tc>
        <w:tc>
          <w:tcPr>
            <w:tcW w:w="240" w:type="dxa"/>
            <w:vAlign w:val="bottom"/>
            <w:shd w:val="clear" w:color="auto" w:fill="EAF9E8"/>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8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52,540</w:t>
            </w:r>
          </w:p>
        </w:tc>
        <w:tc>
          <w:tcPr>
            <w:tcW w:w="12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200" w:type="dxa"/>
            <w:vAlign w:val="bottom"/>
            <w:shd w:val="clear" w:color="auto" w:fill="EAF9E8"/>
          </w:tcPr>
          <w:p>
            <w:pPr>
              <w:spacing w:after="0"/>
              <w:rPr>
                <w:sz w:val="21"/>
                <w:szCs w:val="21"/>
                <w:color w:val="auto"/>
              </w:rPr>
            </w:pPr>
          </w:p>
        </w:tc>
        <w:tc>
          <w:tcPr>
            <w:tcW w:w="10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2,478,112</w:t>
            </w:r>
          </w:p>
        </w:tc>
        <w:tc>
          <w:tcPr>
            <w:tcW w:w="240" w:type="dxa"/>
            <w:vAlign w:val="bottom"/>
            <w:shd w:val="clear" w:color="auto" w:fill="EAF9E8"/>
          </w:tcPr>
          <w:p>
            <w:pPr>
              <w:spacing w:after="0"/>
              <w:rPr>
                <w:sz w:val="21"/>
                <w:szCs w:val="21"/>
                <w:color w:val="auto"/>
              </w:rPr>
            </w:pP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11,841</w:t>
            </w:r>
          </w:p>
        </w:tc>
        <w:tc>
          <w:tcPr>
            <w:tcW w:w="240" w:type="dxa"/>
            <w:vAlign w:val="bottom"/>
            <w:shd w:val="clear" w:color="auto" w:fill="EAF9E8"/>
          </w:tcPr>
          <w:p>
            <w:pPr>
              <w:spacing w:after="0"/>
              <w:rPr>
                <w:sz w:val="21"/>
                <w:szCs w:val="21"/>
                <w:color w:val="auto"/>
              </w:rPr>
            </w:pPr>
          </w:p>
        </w:tc>
        <w:tc>
          <w:tcPr>
            <w:tcW w:w="200" w:type="dxa"/>
            <w:vAlign w:val="bottom"/>
            <w:shd w:val="clear" w:color="auto" w:fill="EAF9E8"/>
          </w:tcPr>
          <w:p>
            <w:pPr>
              <w:spacing w:after="0"/>
              <w:rPr>
                <w:sz w:val="21"/>
                <w:szCs w:val="21"/>
                <w:color w:val="auto"/>
              </w:rPr>
            </w:pPr>
          </w:p>
        </w:tc>
        <w:tc>
          <w:tcPr>
            <w:tcW w:w="132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12,580,831</w:t>
            </w:r>
          </w:p>
        </w:tc>
        <w:tc>
          <w:tcPr>
            <w:tcW w:w="300" w:type="dxa"/>
            <w:vAlign w:val="bottom"/>
            <w:shd w:val="clear" w:color="auto" w:fill="EAF9E8"/>
          </w:tcPr>
          <w:p>
            <w:pPr>
              <w:spacing w:after="0"/>
              <w:rPr>
                <w:sz w:val="21"/>
                <w:szCs w:val="21"/>
                <w:color w:val="auto"/>
              </w:rPr>
            </w:pPr>
          </w:p>
        </w:tc>
        <w:tc>
          <w:tcPr>
            <w:tcW w:w="100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64,381</w:t>
            </w:r>
          </w:p>
        </w:tc>
      </w:tr>
      <w:tr>
        <w:trPr>
          <w:trHeight w:val="20"/>
        </w:trPr>
        <w:tc>
          <w:tcPr>
            <w:tcW w:w="3060" w:type="dxa"/>
            <w:vAlign w:val="bottom"/>
            <w:shd w:val="clear" w:color="auto" w:fill="EAF9E8"/>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EAF9E8"/>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EAF9E8"/>
          </w:tcPr>
          <w:p>
            <w:pPr>
              <w:spacing w:after="0" w:line="20" w:lineRule="exact"/>
              <w:rPr>
                <w:sz w:val="1"/>
                <w:szCs w:val="1"/>
                <w:color w:val="auto"/>
              </w:rPr>
            </w:pPr>
          </w:p>
        </w:tc>
        <w:tc>
          <w:tcPr>
            <w:tcW w:w="120" w:type="dxa"/>
            <w:vAlign w:val="bottom"/>
            <w:shd w:val="clear" w:color="auto" w:fill="EAF9E8"/>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EAF9E8"/>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EAF9E8"/>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EAF9E8"/>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EAF9E8"/>
          </w:tcPr>
          <w:p>
            <w:pPr>
              <w:spacing w:after="0" w:line="20" w:lineRule="exact"/>
              <w:rPr>
                <w:sz w:val="1"/>
                <w:szCs w:val="1"/>
                <w:color w:val="auto"/>
              </w:rPr>
            </w:pPr>
          </w:p>
        </w:tc>
      </w:tr>
      <w:tr>
        <w:trPr>
          <w:trHeight w:val="236"/>
        </w:trPr>
        <w:tc>
          <w:tcPr>
            <w:tcW w:w="3060" w:type="dxa"/>
            <w:vAlign w:val="bottom"/>
          </w:tcPr>
          <w:p>
            <w:pPr>
              <w:spacing w:after="0"/>
              <w:rPr>
                <w:sz w:val="20"/>
                <w:szCs w:val="20"/>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37,815,586</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281,115</w:t>
            </w:r>
          </w:p>
        </w:tc>
        <w:tc>
          <w:tcPr>
            <w:tcW w:w="120" w:type="dxa"/>
            <w:vAlign w:val="bottom"/>
          </w:tcPr>
          <w:p>
            <w:pPr>
              <w:spacing w:after="0"/>
              <w:rPr>
                <w:sz w:val="20"/>
                <w:szCs w:val="20"/>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2,478,112</w:t>
            </w:r>
          </w:p>
        </w:tc>
        <w:tc>
          <w:tcPr>
            <w:tcW w:w="1020" w:type="dxa"/>
            <w:vAlign w:val="bottom"/>
          </w:tcPr>
          <w:p>
            <w:pPr>
              <w:jc w:val="right"/>
              <w:spacing w:after="0"/>
              <w:rPr>
                <w:sz w:val="20"/>
                <w:szCs w:val="20"/>
                <w:color w:val="auto"/>
              </w:rPr>
            </w:pPr>
            <w:r>
              <w:rPr>
                <w:rFonts w:ascii="Arial" w:cs="Arial" w:eastAsia="Arial" w:hAnsi="Arial"/>
                <w:sz w:val="18"/>
                <w:szCs w:val="18"/>
                <w:color w:val="auto"/>
              </w:rPr>
              <w:t>11,841</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40,293,698</w:t>
            </w:r>
          </w:p>
        </w:tc>
        <w:tc>
          <w:tcPr>
            <w:tcW w:w="30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292,956</w:t>
            </w:r>
          </w:p>
        </w:tc>
      </w:tr>
      <w:tr>
        <w:trPr>
          <w:trHeight w:val="20"/>
        </w:trPr>
        <w:tc>
          <w:tcPr>
            <w:tcW w:w="30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25"/>
        </w:trPr>
        <w:tc>
          <w:tcPr>
            <w:tcW w:w="3060" w:type="dxa"/>
            <w:vAlign w:val="bottom"/>
            <w:shd w:val="clear" w:color="auto" w:fill="EAF9E8"/>
          </w:tcPr>
          <w:p>
            <w:pPr>
              <w:spacing w:after="0"/>
              <w:rPr>
                <w:sz w:val="20"/>
                <w:szCs w:val="20"/>
                <w:color w:val="auto"/>
              </w:rPr>
            </w:pPr>
            <w:r>
              <w:rPr>
                <w:rFonts w:ascii="Arial" w:cs="Arial" w:eastAsia="Arial" w:hAnsi="Arial"/>
                <w:sz w:val="18"/>
                <w:szCs w:val="18"/>
                <w:color w:val="auto"/>
              </w:rPr>
              <w:t>December 31, 2008:</w:t>
            </w:r>
          </w:p>
        </w:tc>
        <w:tc>
          <w:tcPr>
            <w:tcW w:w="180" w:type="dxa"/>
            <w:vAlign w:val="bottom"/>
            <w:shd w:val="clear" w:color="auto" w:fill="EAF9E8"/>
          </w:tcPr>
          <w:p>
            <w:pPr>
              <w:spacing w:after="0"/>
              <w:rPr>
                <w:sz w:val="19"/>
                <w:szCs w:val="19"/>
                <w:color w:val="auto"/>
              </w:rPr>
            </w:pPr>
          </w:p>
        </w:tc>
        <w:tc>
          <w:tcPr>
            <w:tcW w:w="96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8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200" w:type="dxa"/>
            <w:vAlign w:val="bottom"/>
            <w:shd w:val="clear" w:color="auto" w:fill="EAF9E8"/>
          </w:tcPr>
          <w:p>
            <w:pPr>
              <w:spacing w:after="0"/>
              <w:rPr>
                <w:sz w:val="19"/>
                <w:szCs w:val="19"/>
                <w:color w:val="auto"/>
              </w:rPr>
            </w:pPr>
          </w:p>
        </w:tc>
        <w:tc>
          <w:tcPr>
            <w:tcW w:w="108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102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200" w:type="dxa"/>
            <w:vAlign w:val="bottom"/>
            <w:shd w:val="clear" w:color="auto" w:fill="EAF9E8"/>
          </w:tcPr>
          <w:p>
            <w:pPr>
              <w:spacing w:after="0"/>
              <w:rPr>
                <w:sz w:val="19"/>
                <w:szCs w:val="19"/>
                <w:color w:val="auto"/>
              </w:rPr>
            </w:pPr>
          </w:p>
        </w:tc>
        <w:tc>
          <w:tcPr>
            <w:tcW w:w="108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86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r>
      <w:tr>
        <w:trPr>
          <w:trHeight w:val="242"/>
        </w:trPr>
        <w:tc>
          <w:tcPr>
            <w:tcW w:w="3060" w:type="dxa"/>
            <w:vAlign w:val="bottom"/>
          </w:tcPr>
          <w:p>
            <w:pPr>
              <w:ind w:left="160"/>
              <w:spacing w:after="0"/>
              <w:rPr>
                <w:sz w:val="20"/>
                <w:szCs w:val="20"/>
                <w:color w:val="auto"/>
              </w:rPr>
            </w:pPr>
            <w:r>
              <w:rPr>
                <w:rFonts w:ascii="Arial" w:cs="Arial" w:eastAsia="Arial" w:hAnsi="Arial"/>
                <w:sz w:val="18"/>
                <w:szCs w:val="18"/>
                <w:color w:val="auto"/>
              </w:rPr>
              <w:t>Performing</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30,416,049</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261,387</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30,416,049</w:t>
            </w:r>
          </w:p>
        </w:tc>
        <w:tc>
          <w:tcPr>
            <w:tcW w:w="300" w:type="dxa"/>
            <w:vAlign w:val="bottom"/>
          </w:tcPr>
          <w:p>
            <w:pPr>
              <w:spacing w:after="0"/>
              <w:rPr>
                <w:sz w:val="21"/>
                <w:szCs w:val="21"/>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261,387</w:t>
            </w:r>
          </w:p>
        </w:tc>
      </w:tr>
      <w:tr>
        <w:trPr>
          <w:trHeight w:val="244"/>
        </w:trPr>
        <w:tc>
          <w:tcPr>
            <w:tcW w:w="3060" w:type="dxa"/>
            <w:vAlign w:val="bottom"/>
            <w:shd w:val="clear" w:color="auto" w:fill="EAF9E8"/>
          </w:tcPr>
          <w:p>
            <w:pPr>
              <w:ind w:left="160"/>
              <w:spacing w:after="0"/>
              <w:rPr>
                <w:sz w:val="20"/>
                <w:szCs w:val="20"/>
                <w:color w:val="auto"/>
              </w:rPr>
            </w:pPr>
            <w:r>
              <w:rPr>
                <w:rFonts w:ascii="Arial" w:cs="Arial" w:eastAsia="Arial" w:hAnsi="Arial"/>
                <w:sz w:val="18"/>
                <w:szCs w:val="18"/>
                <w:color w:val="auto"/>
              </w:rPr>
              <w:t>Non-performing</w:t>
            </w:r>
          </w:p>
        </w:tc>
        <w:tc>
          <w:tcPr>
            <w:tcW w:w="180" w:type="dxa"/>
            <w:vAlign w:val="bottom"/>
            <w:shd w:val="clear" w:color="auto" w:fill="EAF9E8"/>
          </w:tcPr>
          <w:p>
            <w:pPr>
              <w:spacing w:after="0"/>
              <w:rPr>
                <w:sz w:val="21"/>
                <w:szCs w:val="21"/>
                <w:color w:val="auto"/>
              </w:rPr>
            </w:pPr>
          </w:p>
        </w:tc>
        <w:tc>
          <w:tcPr>
            <w:tcW w:w="9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6,937,002</w:t>
            </w:r>
          </w:p>
        </w:tc>
        <w:tc>
          <w:tcPr>
            <w:tcW w:w="240" w:type="dxa"/>
            <w:vAlign w:val="bottom"/>
            <w:shd w:val="clear" w:color="auto" w:fill="EAF9E8"/>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8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47,611</w:t>
            </w:r>
          </w:p>
        </w:tc>
        <w:tc>
          <w:tcPr>
            <w:tcW w:w="12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200" w:type="dxa"/>
            <w:vAlign w:val="bottom"/>
            <w:shd w:val="clear" w:color="auto" w:fill="EAF9E8"/>
          </w:tcPr>
          <w:p>
            <w:pPr>
              <w:spacing w:after="0"/>
              <w:rPr>
                <w:sz w:val="21"/>
                <w:szCs w:val="21"/>
                <w:color w:val="auto"/>
              </w:rPr>
            </w:pPr>
          </w:p>
        </w:tc>
        <w:tc>
          <w:tcPr>
            <w:tcW w:w="10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2,818,481</w:t>
            </w:r>
          </w:p>
        </w:tc>
        <w:tc>
          <w:tcPr>
            <w:tcW w:w="240" w:type="dxa"/>
            <w:vAlign w:val="bottom"/>
            <w:shd w:val="clear" w:color="auto" w:fill="EAF9E8"/>
          </w:tcPr>
          <w:p>
            <w:pPr>
              <w:spacing w:after="0"/>
              <w:rPr>
                <w:sz w:val="21"/>
                <w:szCs w:val="21"/>
                <w:color w:val="auto"/>
              </w:rPr>
            </w:pP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13,517</w:t>
            </w:r>
          </w:p>
        </w:tc>
        <w:tc>
          <w:tcPr>
            <w:tcW w:w="240" w:type="dxa"/>
            <w:vAlign w:val="bottom"/>
            <w:shd w:val="clear" w:color="auto" w:fill="EAF9E8"/>
          </w:tcPr>
          <w:p>
            <w:pPr>
              <w:spacing w:after="0"/>
              <w:rPr>
                <w:sz w:val="21"/>
                <w:szCs w:val="21"/>
                <w:color w:val="auto"/>
              </w:rPr>
            </w:pPr>
          </w:p>
        </w:tc>
        <w:tc>
          <w:tcPr>
            <w:tcW w:w="200" w:type="dxa"/>
            <w:vAlign w:val="bottom"/>
            <w:shd w:val="clear" w:color="auto" w:fill="EAF9E8"/>
          </w:tcPr>
          <w:p>
            <w:pPr>
              <w:spacing w:after="0"/>
              <w:rPr>
                <w:sz w:val="21"/>
                <w:szCs w:val="21"/>
                <w:color w:val="auto"/>
              </w:rPr>
            </w:pPr>
          </w:p>
        </w:tc>
        <w:tc>
          <w:tcPr>
            <w:tcW w:w="132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9,755,483</w:t>
            </w:r>
          </w:p>
        </w:tc>
        <w:tc>
          <w:tcPr>
            <w:tcW w:w="300" w:type="dxa"/>
            <w:vAlign w:val="bottom"/>
            <w:shd w:val="clear" w:color="auto" w:fill="EAF9E8"/>
          </w:tcPr>
          <w:p>
            <w:pPr>
              <w:spacing w:after="0"/>
              <w:rPr>
                <w:sz w:val="21"/>
                <w:szCs w:val="21"/>
                <w:color w:val="auto"/>
              </w:rPr>
            </w:pPr>
          </w:p>
        </w:tc>
        <w:tc>
          <w:tcPr>
            <w:tcW w:w="100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61,128</w:t>
            </w:r>
          </w:p>
        </w:tc>
      </w:tr>
      <w:tr>
        <w:trPr>
          <w:trHeight w:val="20"/>
        </w:trPr>
        <w:tc>
          <w:tcPr>
            <w:tcW w:w="3060" w:type="dxa"/>
            <w:vAlign w:val="bottom"/>
            <w:shd w:val="clear" w:color="auto" w:fill="EAF9E8"/>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EAF9E8"/>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EAF9E8"/>
          </w:tcPr>
          <w:p>
            <w:pPr>
              <w:spacing w:after="0" w:line="20" w:lineRule="exact"/>
              <w:rPr>
                <w:sz w:val="1"/>
                <w:szCs w:val="1"/>
                <w:color w:val="auto"/>
              </w:rPr>
            </w:pPr>
          </w:p>
        </w:tc>
        <w:tc>
          <w:tcPr>
            <w:tcW w:w="120" w:type="dxa"/>
            <w:vAlign w:val="bottom"/>
            <w:shd w:val="clear" w:color="auto" w:fill="EAF9E8"/>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EAF9E8"/>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EAF9E8"/>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EAF9E8"/>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EAF9E8"/>
          </w:tcPr>
          <w:p>
            <w:pPr>
              <w:spacing w:after="0" w:line="20" w:lineRule="exact"/>
              <w:rPr>
                <w:sz w:val="1"/>
                <w:szCs w:val="1"/>
                <w:color w:val="auto"/>
              </w:rPr>
            </w:pPr>
          </w:p>
        </w:tc>
      </w:tr>
      <w:tr>
        <w:trPr>
          <w:trHeight w:val="236"/>
        </w:trPr>
        <w:tc>
          <w:tcPr>
            <w:tcW w:w="3060" w:type="dxa"/>
            <w:vAlign w:val="bottom"/>
          </w:tcPr>
          <w:p>
            <w:pPr>
              <w:spacing w:after="0"/>
              <w:rPr>
                <w:sz w:val="20"/>
                <w:szCs w:val="20"/>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37,353,051</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308,998</w:t>
            </w:r>
          </w:p>
        </w:tc>
        <w:tc>
          <w:tcPr>
            <w:tcW w:w="120" w:type="dxa"/>
            <w:vAlign w:val="bottom"/>
          </w:tcPr>
          <w:p>
            <w:pPr>
              <w:spacing w:after="0"/>
              <w:rPr>
                <w:sz w:val="20"/>
                <w:szCs w:val="20"/>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2,818,481</w:t>
            </w: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13,517</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40,171,532</w:t>
            </w:r>
          </w:p>
        </w:tc>
        <w:tc>
          <w:tcPr>
            <w:tcW w:w="30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322,515</w:t>
            </w:r>
          </w:p>
        </w:tc>
      </w:tr>
      <w:tr>
        <w:trPr>
          <w:trHeight w:val="20"/>
        </w:trPr>
        <w:tc>
          <w:tcPr>
            <w:tcW w:w="30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25"/>
        </w:trPr>
        <w:tc>
          <w:tcPr>
            <w:tcW w:w="3060" w:type="dxa"/>
            <w:vAlign w:val="bottom"/>
            <w:shd w:val="clear" w:color="auto" w:fill="EAF9E8"/>
          </w:tcPr>
          <w:p>
            <w:pPr>
              <w:spacing w:after="0"/>
              <w:rPr>
                <w:sz w:val="20"/>
                <w:szCs w:val="20"/>
                <w:color w:val="auto"/>
              </w:rPr>
            </w:pPr>
            <w:r>
              <w:rPr>
                <w:rFonts w:ascii="Arial" w:cs="Arial" w:eastAsia="Arial" w:hAnsi="Arial"/>
                <w:sz w:val="18"/>
                <w:szCs w:val="18"/>
                <w:color w:val="auto"/>
              </w:rPr>
              <w:t>September 30, 2008:</w:t>
            </w:r>
          </w:p>
        </w:tc>
        <w:tc>
          <w:tcPr>
            <w:tcW w:w="180" w:type="dxa"/>
            <w:vAlign w:val="bottom"/>
            <w:shd w:val="clear" w:color="auto" w:fill="EAF9E8"/>
          </w:tcPr>
          <w:p>
            <w:pPr>
              <w:spacing w:after="0"/>
              <w:rPr>
                <w:sz w:val="19"/>
                <w:szCs w:val="19"/>
                <w:color w:val="auto"/>
              </w:rPr>
            </w:pPr>
          </w:p>
        </w:tc>
        <w:tc>
          <w:tcPr>
            <w:tcW w:w="96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8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200" w:type="dxa"/>
            <w:vAlign w:val="bottom"/>
            <w:shd w:val="clear" w:color="auto" w:fill="EAF9E8"/>
          </w:tcPr>
          <w:p>
            <w:pPr>
              <w:spacing w:after="0"/>
              <w:rPr>
                <w:sz w:val="19"/>
                <w:szCs w:val="19"/>
                <w:color w:val="auto"/>
              </w:rPr>
            </w:pPr>
          </w:p>
        </w:tc>
        <w:tc>
          <w:tcPr>
            <w:tcW w:w="108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102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200" w:type="dxa"/>
            <w:vAlign w:val="bottom"/>
            <w:shd w:val="clear" w:color="auto" w:fill="EAF9E8"/>
          </w:tcPr>
          <w:p>
            <w:pPr>
              <w:spacing w:after="0"/>
              <w:rPr>
                <w:sz w:val="19"/>
                <w:szCs w:val="19"/>
                <w:color w:val="auto"/>
              </w:rPr>
            </w:pPr>
          </w:p>
        </w:tc>
        <w:tc>
          <w:tcPr>
            <w:tcW w:w="108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86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r>
      <w:tr>
        <w:trPr>
          <w:trHeight w:val="242"/>
        </w:trPr>
        <w:tc>
          <w:tcPr>
            <w:tcW w:w="3060" w:type="dxa"/>
            <w:vAlign w:val="bottom"/>
          </w:tcPr>
          <w:p>
            <w:pPr>
              <w:ind w:left="160"/>
              <w:spacing w:after="0"/>
              <w:rPr>
                <w:sz w:val="20"/>
                <w:szCs w:val="20"/>
                <w:color w:val="auto"/>
              </w:rPr>
            </w:pPr>
            <w:r>
              <w:rPr>
                <w:rFonts w:ascii="Arial" w:cs="Arial" w:eastAsia="Arial" w:hAnsi="Arial"/>
                <w:sz w:val="18"/>
                <w:szCs w:val="18"/>
                <w:color w:val="auto"/>
              </w:rPr>
              <w:t>Performing</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32,290,885</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279,206</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32,290,885</w:t>
            </w:r>
          </w:p>
        </w:tc>
        <w:tc>
          <w:tcPr>
            <w:tcW w:w="300" w:type="dxa"/>
            <w:vAlign w:val="bottom"/>
          </w:tcPr>
          <w:p>
            <w:pPr>
              <w:spacing w:after="0"/>
              <w:rPr>
                <w:sz w:val="21"/>
                <w:szCs w:val="21"/>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279,206</w:t>
            </w:r>
          </w:p>
        </w:tc>
      </w:tr>
      <w:tr>
        <w:trPr>
          <w:trHeight w:val="244"/>
        </w:trPr>
        <w:tc>
          <w:tcPr>
            <w:tcW w:w="3060" w:type="dxa"/>
            <w:vAlign w:val="bottom"/>
            <w:shd w:val="clear" w:color="auto" w:fill="EAF9E8"/>
          </w:tcPr>
          <w:p>
            <w:pPr>
              <w:ind w:left="160"/>
              <w:spacing w:after="0"/>
              <w:rPr>
                <w:sz w:val="20"/>
                <w:szCs w:val="20"/>
                <w:color w:val="auto"/>
              </w:rPr>
            </w:pPr>
            <w:r>
              <w:rPr>
                <w:rFonts w:ascii="Arial" w:cs="Arial" w:eastAsia="Arial" w:hAnsi="Arial"/>
                <w:sz w:val="18"/>
                <w:szCs w:val="18"/>
                <w:color w:val="auto"/>
              </w:rPr>
              <w:t>Non-performing</w:t>
            </w:r>
          </w:p>
        </w:tc>
        <w:tc>
          <w:tcPr>
            <w:tcW w:w="180" w:type="dxa"/>
            <w:vAlign w:val="bottom"/>
            <w:shd w:val="clear" w:color="auto" w:fill="EAF9E8"/>
          </w:tcPr>
          <w:p>
            <w:pPr>
              <w:spacing w:after="0"/>
              <w:rPr>
                <w:sz w:val="21"/>
                <w:szCs w:val="21"/>
                <w:color w:val="auto"/>
              </w:rPr>
            </w:pPr>
          </w:p>
        </w:tc>
        <w:tc>
          <w:tcPr>
            <w:tcW w:w="9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6,137,690</w:t>
            </w:r>
          </w:p>
        </w:tc>
        <w:tc>
          <w:tcPr>
            <w:tcW w:w="240" w:type="dxa"/>
            <w:vAlign w:val="bottom"/>
            <w:shd w:val="clear" w:color="auto" w:fill="EAF9E8"/>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8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39,790</w:t>
            </w:r>
          </w:p>
        </w:tc>
        <w:tc>
          <w:tcPr>
            <w:tcW w:w="12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200" w:type="dxa"/>
            <w:vAlign w:val="bottom"/>
            <w:shd w:val="clear" w:color="auto" w:fill="EAF9E8"/>
          </w:tcPr>
          <w:p>
            <w:pPr>
              <w:spacing w:after="0"/>
              <w:rPr>
                <w:sz w:val="21"/>
                <w:szCs w:val="21"/>
                <w:color w:val="auto"/>
              </w:rPr>
            </w:pPr>
          </w:p>
        </w:tc>
        <w:tc>
          <w:tcPr>
            <w:tcW w:w="10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4,020,456</w:t>
            </w:r>
          </w:p>
        </w:tc>
        <w:tc>
          <w:tcPr>
            <w:tcW w:w="240" w:type="dxa"/>
            <w:vAlign w:val="bottom"/>
            <w:shd w:val="clear" w:color="auto" w:fill="EAF9E8"/>
          </w:tcPr>
          <w:p>
            <w:pPr>
              <w:spacing w:after="0"/>
              <w:rPr>
                <w:sz w:val="21"/>
                <w:szCs w:val="21"/>
                <w:color w:val="auto"/>
              </w:rPr>
            </w:pP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23,491</w:t>
            </w:r>
          </w:p>
        </w:tc>
        <w:tc>
          <w:tcPr>
            <w:tcW w:w="240" w:type="dxa"/>
            <w:vAlign w:val="bottom"/>
            <w:shd w:val="clear" w:color="auto" w:fill="EAF9E8"/>
          </w:tcPr>
          <w:p>
            <w:pPr>
              <w:spacing w:after="0"/>
              <w:rPr>
                <w:sz w:val="21"/>
                <w:szCs w:val="21"/>
                <w:color w:val="auto"/>
              </w:rPr>
            </w:pPr>
          </w:p>
        </w:tc>
        <w:tc>
          <w:tcPr>
            <w:tcW w:w="200" w:type="dxa"/>
            <w:vAlign w:val="bottom"/>
            <w:shd w:val="clear" w:color="auto" w:fill="EAF9E8"/>
          </w:tcPr>
          <w:p>
            <w:pPr>
              <w:spacing w:after="0"/>
              <w:rPr>
                <w:sz w:val="21"/>
                <w:szCs w:val="21"/>
                <w:color w:val="auto"/>
              </w:rPr>
            </w:pPr>
          </w:p>
        </w:tc>
        <w:tc>
          <w:tcPr>
            <w:tcW w:w="132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10,158,146</w:t>
            </w:r>
          </w:p>
        </w:tc>
        <w:tc>
          <w:tcPr>
            <w:tcW w:w="300" w:type="dxa"/>
            <w:vAlign w:val="bottom"/>
            <w:shd w:val="clear" w:color="auto" w:fill="EAF9E8"/>
          </w:tcPr>
          <w:p>
            <w:pPr>
              <w:spacing w:after="0"/>
              <w:rPr>
                <w:sz w:val="21"/>
                <w:szCs w:val="21"/>
                <w:color w:val="auto"/>
              </w:rPr>
            </w:pPr>
          </w:p>
        </w:tc>
        <w:tc>
          <w:tcPr>
            <w:tcW w:w="100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63,281</w:t>
            </w:r>
          </w:p>
        </w:tc>
      </w:tr>
      <w:tr>
        <w:trPr>
          <w:trHeight w:val="20"/>
        </w:trPr>
        <w:tc>
          <w:tcPr>
            <w:tcW w:w="3060" w:type="dxa"/>
            <w:vAlign w:val="bottom"/>
            <w:shd w:val="clear" w:color="auto" w:fill="EAF9E8"/>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EAF9E8"/>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EAF9E8"/>
          </w:tcPr>
          <w:p>
            <w:pPr>
              <w:spacing w:after="0" w:line="20" w:lineRule="exact"/>
              <w:rPr>
                <w:sz w:val="1"/>
                <w:szCs w:val="1"/>
                <w:color w:val="auto"/>
              </w:rPr>
            </w:pPr>
          </w:p>
        </w:tc>
        <w:tc>
          <w:tcPr>
            <w:tcW w:w="120" w:type="dxa"/>
            <w:vAlign w:val="bottom"/>
            <w:shd w:val="clear" w:color="auto" w:fill="EAF9E8"/>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EAF9E8"/>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EAF9E8"/>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EAF9E8"/>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EAF9E8"/>
          </w:tcPr>
          <w:p>
            <w:pPr>
              <w:spacing w:after="0" w:line="20" w:lineRule="exact"/>
              <w:rPr>
                <w:sz w:val="1"/>
                <w:szCs w:val="1"/>
                <w:color w:val="auto"/>
              </w:rPr>
            </w:pPr>
          </w:p>
        </w:tc>
      </w:tr>
      <w:tr>
        <w:trPr>
          <w:trHeight w:val="236"/>
        </w:trPr>
        <w:tc>
          <w:tcPr>
            <w:tcW w:w="3060" w:type="dxa"/>
            <w:vAlign w:val="bottom"/>
          </w:tcPr>
          <w:p>
            <w:pPr>
              <w:spacing w:after="0"/>
              <w:rPr>
                <w:sz w:val="20"/>
                <w:szCs w:val="20"/>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38,428,575</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318,996</w:t>
            </w:r>
          </w:p>
        </w:tc>
        <w:tc>
          <w:tcPr>
            <w:tcW w:w="120" w:type="dxa"/>
            <w:vAlign w:val="bottom"/>
          </w:tcPr>
          <w:p>
            <w:pPr>
              <w:spacing w:after="0"/>
              <w:rPr>
                <w:sz w:val="20"/>
                <w:szCs w:val="20"/>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4,020,456</w:t>
            </w: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23,491</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42,449,031</w:t>
            </w:r>
          </w:p>
        </w:tc>
        <w:tc>
          <w:tcPr>
            <w:tcW w:w="30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342,487</w:t>
            </w:r>
          </w:p>
        </w:tc>
      </w:tr>
      <w:tr>
        <w:trPr>
          <w:trHeight w:val="20"/>
        </w:trPr>
        <w:tc>
          <w:tcPr>
            <w:tcW w:w="30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48" w:lineRule="exact"/>
        <w:rPr>
          <w:sz w:val="20"/>
          <w:szCs w:val="20"/>
          <w:color w:val="auto"/>
        </w:rPr>
      </w:pPr>
    </w:p>
    <w:p>
      <w:pPr>
        <w:ind w:left="580" w:right="20" w:hanging="572"/>
        <w:spacing w:after="0" w:line="259" w:lineRule="auto"/>
        <w:tabs>
          <w:tab w:leader="none" w:pos="5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Performing loans include those loans that are current or have been delinquent for less than 90 days in accordance with their original terms and those loans for which borrowers are making scheduled payments under modification, forbearance or bankruptcy plans. We consider all other loans to be non-performing.</w:t>
      </w:r>
    </w:p>
    <w:p>
      <w:pPr>
        <w:spacing w:after="0" w:line="221" w:lineRule="exact"/>
        <w:rPr>
          <w:rFonts w:ascii="Arial" w:cs="Arial" w:eastAsia="Arial" w:hAnsi="Arial"/>
          <w:sz w:val="18"/>
          <w:szCs w:val="18"/>
          <w:color w:val="auto"/>
        </w:rPr>
      </w:pPr>
    </w:p>
    <w:p>
      <w:pPr>
        <w:ind w:left="580" w:right="200" w:hanging="572"/>
        <w:spacing w:after="0" w:line="332" w:lineRule="auto"/>
        <w:tabs>
          <w:tab w:leader="none" w:pos="5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Real estate includes $694,663 of foreclosed residential properties serviced for the VA at September 30, 2008. We elected not to renew our contract with the VA in July 2008 and completed the transition of the remaining properties to the new service provider in October 2008.</w:t>
      </w:r>
    </w:p>
    <w:p>
      <w:pPr>
        <w:spacing w:after="0" w:line="166" w:lineRule="exact"/>
        <w:rPr>
          <w:rFonts w:ascii="Arial" w:cs="Arial" w:eastAsia="Arial" w:hAnsi="Arial"/>
          <w:sz w:val="16"/>
          <w:szCs w:val="16"/>
          <w:color w:val="auto"/>
        </w:rPr>
      </w:pPr>
    </w:p>
    <w:p>
      <w:pPr>
        <w:ind w:left="580" w:hanging="572"/>
        <w:spacing w:after="0"/>
        <w:tabs>
          <w:tab w:leader="none" w:pos="5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Non-performing loans at September 30, 2009 include loans serviced for Freddie Mac.</w:t>
      </w:r>
    </w:p>
    <w:p>
      <w:pPr>
        <w:spacing w:after="0" w:line="252" w:lineRule="exact"/>
        <w:rPr>
          <w:rFonts w:ascii="Arial" w:cs="Arial" w:eastAsia="Arial" w:hAnsi="Arial"/>
          <w:sz w:val="18"/>
          <w:szCs w:val="18"/>
          <w:color w:val="auto"/>
        </w:rPr>
      </w:pPr>
    </w:p>
    <w:p>
      <w:pPr>
        <w:ind w:left="580" w:right="220" w:hanging="572"/>
        <w:spacing w:after="0" w:line="370" w:lineRule="auto"/>
        <w:tabs>
          <w:tab w:leader="none" w:pos="580" w:val="left"/>
        </w:tabs>
        <w:numPr>
          <w:ilvl w:val="0"/>
          <w:numId w:val="42"/>
        </w:numPr>
        <w:rPr>
          <w:rFonts w:ascii="Arial" w:cs="Arial" w:eastAsia="Arial" w:hAnsi="Arial"/>
          <w:sz w:val="15"/>
          <w:szCs w:val="15"/>
          <w:color w:val="auto"/>
        </w:rPr>
      </w:pPr>
      <w:r>
        <w:rPr>
          <w:rFonts w:ascii="Arial" w:cs="Arial" w:eastAsia="Arial" w:hAnsi="Arial"/>
          <w:sz w:val="15"/>
          <w:szCs w:val="15"/>
          <w:color w:val="auto"/>
        </w:rPr>
        <w:t>At September 30, 2009, we serviced 194,774 subprime loans and real estate with a UPB of $27,888,502 as compared to 227,929 subprime loans with a UPB of $32,776,696 at December 31, 2008. At September 30, 2008, we serviced 240,555 subprime loans and real estate with a UPB of $34,759,902.</w:t>
      </w:r>
    </w:p>
    <w:p>
      <w:pPr>
        <w:spacing w:after="0" w:line="143" w:lineRule="exact"/>
        <w:rPr>
          <w:rFonts w:ascii="Arial" w:cs="Arial" w:eastAsia="Arial" w:hAnsi="Arial"/>
          <w:sz w:val="15"/>
          <w:szCs w:val="15"/>
          <w:color w:val="auto"/>
        </w:rPr>
      </w:pPr>
    </w:p>
    <w:p>
      <w:pPr>
        <w:ind w:left="580" w:right="40" w:hanging="572"/>
        <w:spacing w:after="0" w:line="259" w:lineRule="auto"/>
        <w:tabs>
          <w:tab w:leader="none" w:pos="5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hold subservicing contracts for 113,546 residential loans and real estate with a UPB of $13,254,631 as of September 30, 2009. This compares to 108,545 residential loans and real estate with a UPB of $10,340,878 as of December 31, 2008 and 122,759 residential loans and real estate with a UPB of $10,729,971 at September 30, 2008.</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88" w:right="239" w:bottom="1440" w:gutter="0" w:footer="0" w:header="0"/>
        </w:sectPr>
      </w:pPr>
    </w:p>
    <w:bookmarkStart w:id="48" w:name="page49"/>
    <w:bookmarkEnd w:id="48"/>
    <w:p>
      <w:pPr>
        <w:ind w:left="440"/>
        <w:spacing w:after="0"/>
        <w:rPr>
          <w:sz w:val="20"/>
          <w:szCs w:val="20"/>
          <w:color w:val="auto"/>
        </w:rPr>
      </w:pPr>
      <w:r>
        <w:rPr>
          <w:rFonts w:ascii="Arial" w:cs="Arial" w:eastAsia="Arial" w:hAnsi="Arial"/>
          <w:sz w:val="18"/>
          <w:szCs w:val="18"/>
          <w:color w:val="auto"/>
        </w:rPr>
        <w:t>The following table sets forth information regarding the changes in our portfolio of residential assets serviced for others: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Amount</w:t>
            </w:r>
          </w:p>
        </w:tc>
        <w:tc>
          <w:tcPr>
            <w:tcW w:w="280" w:type="dxa"/>
            <w:vAlign w:val="bottom"/>
          </w:tcPr>
          <w:p>
            <w:pPr>
              <w:spacing w:after="0"/>
              <w:rPr>
                <w:sz w:val="20"/>
                <w:szCs w:val="20"/>
                <w:color w:val="auto"/>
              </w:rPr>
            </w:pPr>
          </w:p>
        </w:tc>
        <w:tc>
          <w:tcPr>
            <w:tcW w:w="126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Count</w:t>
            </w:r>
          </w:p>
        </w:tc>
      </w:tr>
      <w:tr>
        <w:trPr>
          <w:trHeight w:val="243"/>
        </w:trPr>
        <w:tc>
          <w:tcPr>
            <w:tcW w:w="8260" w:type="dxa"/>
            <w:vAlign w:val="bottom"/>
            <w:shd w:val="clear" w:color="auto" w:fill="EAF9E8"/>
          </w:tcPr>
          <w:p>
            <w:pPr>
              <w:spacing w:after="0"/>
              <w:rPr>
                <w:sz w:val="20"/>
                <w:szCs w:val="20"/>
                <w:color w:val="auto"/>
              </w:rPr>
            </w:pPr>
            <w:r>
              <w:rPr>
                <w:rFonts w:ascii="Arial" w:cs="Arial" w:eastAsia="Arial" w:hAnsi="Arial"/>
                <w:sz w:val="18"/>
                <w:szCs w:val="18"/>
                <w:color w:val="auto"/>
              </w:rPr>
              <w:t>Servicing portfolio at December 31, 2007</w:t>
            </w:r>
          </w:p>
        </w:tc>
        <w:tc>
          <w:tcPr>
            <w:tcW w:w="240" w:type="dxa"/>
            <w:vAlign w:val="bottom"/>
            <w:tcBorders>
              <w:top w:val="single" w:sz="8" w:color="auto"/>
            </w:tcBorders>
            <w:shd w:val="clear" w:color="auto" w:fill="EAF9E8"/>
          </w:tcPr>
          <w:p>
            <w:pPr>
              <w:jc w:val="right"/>
              <w:ind w:right="83"/>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53,545,985</w:t>
            </w:r>
          </w:p>
        </w:tc>
        <w:tc>
          <w:tcPr>
            <w:tcW w:w="220" w:type="dxa"/>
            <w:vAlign w:val="bottom"/>
            <w:shd w:val="clear" w:color="auto" w:fill="EAF9E8"/>
          </w:tcPr>
          <w:p>
            <w:pPr>
              <w:spacing w:after="0"/>
              <w:rPr>
                <w:sz w:val="21"/>
                <w:szCs w:val="21"/>
                <w:color w:val="auto"/>
              </w:rPr>
            </w:pPr>
          </w:p>
        </w:tc>
        <w:tc>
          <w:tcPr>
            <w:tcW w:w="280" w:type="dxa"/>
            <w:vAlign w:val="bottom"/>
            <w:tcBorders>
              <w:top w:val="single" w:sz="8" w:color="auto"/>
            </w:tcBorders>
            <w:shd w:val="clear" w:color="auto" w:fill="EAF9E8"/>
          </w:tcPr>
          <w:p>
            <w:pPr>
              <w:spacing w:after="0"/>
              <w:rPr>
                <w:sz w:val="21"/>
                <w:szCs w:val="21"/>
                <w:color w:val="auto"/>
              </w:rPr>
            </w:pPr>
          </w:p>
        </w:tc>
        <w:tc>
          <w:tcPr>
            <w:tcW w:w="114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435,616</w:t>
            </w:r>
          </w:p>
        </w:tc>
        <w:tc>
          <w:tcPr>
            <w:tcW w:w="120" w:type="dxa"/>
            <w:vAlign w:val="bottom"/>
            <w:shd w:val="clear" w:color="auto" w:fill="EAF9E8"/>
          </w:tcPr>
          <w:p>
            <w:pPr>
              <w:spacing w:after="0"/>
              <w:rPr>
                <w:sz w:val="21"/>
                <w:szCs w:val="21"/>
                <w:color w:val="auto"/>
              </w:rPr>
            </w:pPr>
          </w:p>
        </w:tc>
      </w:tr>
      <w:tr>
        <w:trPr>
          <w:trHeight w:val="242"/>
        </w:trPr>
        <w:tc>
          <w:tcPr>
            <w:tcW w:w="8260" w:type="dxa"/>
            <w:vAlign w:val="bottom"/>
          </w:tcPr>
          <w:p>
            <w:pPr>
              <w:ind w:left="160"/>
              <w:spacing w:after="0"/>
              <w:rPr>
                <w:sz w:val="20"/>
                <w:szCs w:val="20"/>
                <w:color w:val="auto"/>
              </w:rPr>
            </w:pPr>
            <w:r>
              <w:rPr>
                <w:rFonts w:ascii="Arial" w:cs="Arial" w:eastAsia="Arial" w:hAnsi="Arial"/>
                <w:sz w:val="18"/>
                <w:szCs w:val="18"/>
                <w:color w:val="auto"/>
              </w:rPr>
              <w:t>Additions</w:t>
            </w: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518,439</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4,483</w:t>
            </w:r>
          </w:p>
        </w:tc>
        <w:tc>
          <w:tcPr>
            <w:tcW w:w="120" w:type="dxa"/>
            <w:vAlign w:val="bottom"/>
          </w:tcPr>
          <w:p>
            <w:pPr>
              <w:spacing w:after="0"/>
              <w:rPr>
                <w:sz w:val="21"/>
                <w:szCs w:val="21"/>
                <w:color w:val="auto"/>
              </w:rPr>
            </w:pPr>
          </w:p>
        </w:tc>
      </w:tr>
      <w:tr>
        <w:trPr>
          <w:trHeight w:val="244"/>
        </w:trPr>
        <w:tc>
          <w:tcPr>
            <w:tcW w:w="8260" w:type="dxa"/>
            <w:vAlign w:val="bottom"/>
            <w:shd w:val="clear" w:color="auto" w:fill="EAF9E8"/>
          </w:tcPr>
          <w:p>
            <w:pPr>
              <w:ind w:left="160"/>
              <w:spacing w:after="0"/>
              <w:rPr>
                <w:sz w:val="20"/>
                <w:szCs w:val="20"/>
                <w:color w:val="auto"/>
              </w:rPr>
            </w:pPr>
            <w:r>
              <w:rPr>
                <w:rFonts w:ascii="Arial" w:cs="Arial" w:eastAsia="Arial" w:hAnsi="Arial"/>
                <w:sz w:val="18"/>
                <w:szCs w:val="18"/>
                <w:color w:val="auto"/>
              </w:rPr>
              <w:t>Runoff</w:t>
            </w:r>
          </w:p>
        </w:tc>
        <w:tc>
          <w:tcPr>
            <w:tcW w:w="240" w:type="dxa"/>
            <w:vAlign w:val="bottom"/>
            <w:shd w:val="clear" w:color="auto" w:fill="EAF9E8"/>
          </w:tcPr>
          <w:p>
            <w:pPr>
              <w:spacing w:after="0"/>
              <w:rPr>
                <w:sz w:val="21"/>
                <w:szCs w:val="21"/>
                <w:color w:val="auto"/>
              </w:rPr>
            </w:pPr>
          </w:p>
        </w:tc>
        <w:tc>
          <w:tcPr>
            <w:tcW w:w="138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(3,939,848)</w:t>
            </w:r>
          </w:p>
        </w:tc>
        <w:tc>
          <w:tcPr>
            <w:tcW w:w="280" w:type="dxa"/>
            <w:vAlign w:val="bottom"/>
            <w:shd w:val="clear" w:color="auto" w:fill="EAF9E8"/>
          </w:tcPr>
          <w:p>
            <w:pPr>
              <w:spacing w:after="0"/>
              <w:rPr>
                <w:sz w:val="21"/>
                <w:szCs w:val="21"/>
                <w:color w:val="auto"/>
              </w:rPr>
            </w:pPr>
          </w:p>
        </w:tc>
        <w:tc>
          <w:tcPr>
            <w:tcW w:w="126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(36,395)</w:t>
            </w:r>
          </w:p>
        </w:tc>
      </w:tr>
      <w:tr>
        <w:trPr>
          <w:trHeight w:val="20"/>
        </w:trPr>
        <w:tc>
          <w:tcPr>
            <w:tcW w:w="8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9"/>
        </w:trPr>
        <w:tc>
          <w:tcPr>
            <w:tcW w:w="8260" w:type="dxa"/>
            <w:vAlign w:val="bottom"/>
          </w:tcPr>
          <w:p>
            <w:pPr>
              <w:spacing w:after="0"/>
              <w:rPr>
                <w:sz w:val="20"/>
                <w:szCs w:val="20"/>
                <w:color w:val="auto"/>
              </w:rPr>
            </w:pPr>
            <w:r>
              <w:rPr>
                <w:rFonts w:ascii="Arial" w:cs="Arial" w:eastAsia="Arial" w:hAnsi="Arial"/>
                <w:sz w:val="18"/>
                <w:szCs w:val="18"/>
                <w:color w:val="auto"/>
              </w:rPr>
              <w:t>Servicing portfolio at March 31, 2008</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50,124,576</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403,704</w:t>
            </w:r>
          </w:p>
        </w:tc>
        <w:tc>
          <w:tcPr>
            <w:tcW w:w="120" w:type="dxa"/>
            <w:vAlign w:val="bottom"/>
          </w:tcPr>
          <w:p>
            <w:pPr>
              <w:spacing w:after="0"/>
              <w:rPr>
                <w:sz w:val="19"/>
                <w:szCs w:val="19"/>
                <w:color w:val="auto"/>
              </w:rPr>
            </w:pPr>
          </w:p>
        </w:tc>
      </w:tr>
      <w:tr>
        <w:trPr>
          <w:trHeight w:val="244"/>
        </w:trPr>
        <w:tc>
          <w:tcPr>
            <w:tcW w:w="8260" w:type="dxa"/>
            <w:vAlign w:val="bottom"/>
            <w:shd w:val="clear" w:color="auto" w:fill="EAF9E8"/>
          </w:tcPr>
          <w:p>
            <w:pPr>
              <w:ind w:left="160"/>
              <w:spacing w:after="0"/>
              <w:rPr>
                <w:sz w:val="20"/>
                <w:szCs w:val="20"/>
                <w:color w:val="auto"/>
              </w:rPr>
            </w:pPr>
            <w:r>
              <w:rPr>
                <w:rFonts w:ascii="Arial" w:cs="Arial" w:eastAsia="Arial" w:hAnsi="Arial"/>
                <w:sz w:val="18"/>
                <w:szCs w:val="18"/>
                <w:color w:val="auto"/>
              </w:rPr>
              <w:t>Additions</w:t>
            </w:r>
          </w:p>
        </w:tc>
        <w:tc>
          <w:tcPr>
            <w:tcW w:w="240" w:type="dxa"/>
            <w:vAlign w:val="bottom"/>
            <w:shd w:val="clear" w:color="auto" w:fill="EAF9E8"/>
          </w:tcPr>
          <w:p>
            <w:pPr>
              <w:spacing w:after="0"/>
              <w:rPr>
                <w:sz w:val="21"/>
                <w:szCs w:val="21"/>
                <w:color w:val="auto"/>
              </w:rPr>
            </w:pPr>
          </w:p>
        </w:tc>
        <w:tc>
          <w:tcPr>
            <w:tcW w:w="1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255,912</w:t>
            </w:r>
          </w:p>
        </w:tc>
        <w:tc>
          <w:tcPr>
            <w:tcW w:w="220" w:type="dxa"/>
            <w:vAlign w:val="bottom"/>
            <w:shd w:val="clear" w:color="auto" w:fill="EAF9E8"/>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11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2,421</w:t>
            </w:r>
          </w:p>
        </w:tc>
        <w:tc>
          <w:tcPr>
            <w:tcW w:w="120" w:type="dxa"/>
            <w:vAlign w:val="bottom"/>
            <w:shd w:val="clear" w:color="auto" w:fill="EAF9E8"/>
          </w:tcPr>
          <w:p>
            <w:pPr>
              <w:spacing w:after="0"/>
              <w:rPr>
                <w:sz w:val="21"/>
                <w:szCs w:val="21"/>
                <w:color w:val="auto"/>
              </w:rPr>
            </w:pPr>
          </w:p>
        </w:tc>
      </w:tr>
      <w:tr>
        <w:trPr>
          <w:trHeight w:val="250"/>
        </w:trPr>
        <w:tc>
          <w:tcPr>
            <w:tcW w:w="8260" w:type="dxa"/>
            <w:vAlign w:val="bottom"/>
          </w:tcPr>
          <w:p>
            <w:pPr>
              <w:ind w:left="160"/>
              <w:spacing w:after="0"/>
              <w:rPr>
                <w:sz w:val="20"/>
                <w:szCs w:val="20"/>
                <w:color w:val="auto"/>
              </w:rPr>
            </w:pPr>
            <w:r>
              <w:rPr>
                <w:rFonts w:ascii="Arial" w:cs="Arial" w:eastAsia="Arial" w:hAnsi="Arial"/>
                <w:sz w:val="18"/>
                <w:szCs w:val="18"/>
                <w:color w:val="auto"/>
              </w:rPr>
              <w:t>Runoff</w:t>
            </w:r>
          </w:p>
        </w:tc>
        <w:tc>
          <w:tcPr>
            <w:tcW w:w="240" w:type="dxa"/>
            <w:vAlign w:val="bottom"/>
          </w:tcPr>
          <w:p>
            <w:pPr>
              <w:spacing w:after="0"/>
              <w:rPr>
                <w:sz w:val="21"/>
                <w:szCs w:val="21"/>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(4,712,421)</w:t>
            </w:r>
          </w:p>
        </w:tc>
        <w:tc>
          <w:tcPr>
            <w:tcW w:w="280" w:type="dxa"/>
            <w:vAlign w:val="bottom"/>
          </w:tcPr>
          <w:p>
            <w:pPr>
              <w:spacing w:after="0"/>
              <w:rPr>
                <w:sz w:val="21"/>
                <w:szCs w:val="21"/>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(37,347)</w:t>
            </w:r>
          </w:p>
        </w:tc>
      </w:tr>
      <w:tr>
        <w:trPr>
          <w:trHeight w:val="243"/>
        </w:trPr>
        <w:tc>
          <w:tcPr>
            <w:tcW w:w="8260" w:type="dxa"/>
            <w:vAlign w:val="bottom"/>
            <w:shd w:val="clear" w:color="auto" w:fill="EAF9E8"/>
          </w:tcPr>
          <w:p>
            <w:pPr>
              <w:spacing w:after="0"/>
              <w:rPr>
                <w:sz w:val="20"/>
                <w:szCs w:val="20"/>
                <w:color w:val="auto"/>
              </w:rPr>
            </w:pPr>
            <w:r>
              <w:rPr>
                <w:rFonts w:ascii="Arial" w:cs="Arial" w:eastAsia="Arial" w:hAnsi="Arial"/>
                <w:sz w:val="18"/>
                <w:szCs w:val="18"/>
                <w:color w:val="auto"/>
              </w:rPr>
              <w:t>Servicing portfolio at June 30, 2008</w:t>
            </w:r>
          </w:p>
        </w:tc>
        <w:tc>
          <w:tcPr>
            <w:tcW w:w="240" w:type="dxa"/>
            <w:vAlign w:val="bottom"/>
            <w:tcBorders>
              <w:top w:val="single" w:sz="8" w:color="auto"/>
            </w:tcBorders>
            <w:shd w:val="clear" w:color="auto" w:fill="EAF9E8"/>
          </w:tcPr>
          <w:p>
            <w:pPr>
              <w:spacing w:after="0"/>
              <w:rPr>
                <w:sz w:val="21"/>
                <w:szCs w:val="21"/>
                <w:color w:val="auto"/>
              </w:rPr>
            </w:pPr>
          </w:p>
        </w:tc>
        <w:tc>
          <w:tcPr>
            <w:tcW w:w="116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45,668,067</w:t>
            </w:r>
          </w:p>
        </w:tc>
        <w:tc>
          <w:tcPr>
            <w:tcW w:w="220" w:type="dxa"/>
            <w:vAlign w:val="bottom"/>
            <w:shd w:val="clear" w:color="auto" w:fill="EAF9E8"/>
          </w:tcPr>
          <w:p>
            <w:pPr>
              <w:spacing w:after="0"/>
              <w:rPr>
                <w:sz w:val="21"/>
                <w:szCs w:val="21"/>
                <w:color w:val="auto"/>
              </w:rPr>
            </w:pPr>
          </w:p>
        </w:tc>
        <w:tc>
          <w:tcPr>
            <w:tcW w:w="280" w:type="dxa"/>
            <w:vAlign w:val="bottom"/>
            <w:tcBorders>
              <w:top w:val="single" w:sz="8" w:color="auto"/>
            </w:tcBorders>
            <w:shd w:val="clear" w:color="auto" w:fill="EAF9E8"/>
          </w:tcPr>
          <w:p>
            <w:pPr>
              <w:spacing w:after="0"/>
              <w:rPr>
                <w:sz w:val="21"/>
                <w:szCs w:val="21"/>
                <w:color w:val="auto"/>
              </w:rPr>
            </w:pPr>
          </w:p>
        </w:tc>
        <w:tc>
          <w:tcPr>
            <w:tcW w:w="114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368,778</w:t>
            </w:r>
          </w:p>
        </w:tc>
        <w:tc>
          <w:tcPr>
            <w:tcW w:w="120" w:type="dxa"/>
            <w:vAlign w:val="bottom"/>
            <w:shd w:val="clear" w:color="auto" w:fill="EAF9E8"/>
          </w:tcPr>
          <w:p>
            <w:pPr>
              <w:spacing w:after="0"/>
              <w:rPr>
                <w:sz w:val="21"/>
                <w:szCs w:val="21"/>
                <w:color w:val="auto"/>
              </w:rPr>
            </w:pPr>
          </w:p>
        </w:tc>
      </w:tr>
      <w:tr>
        <w:trPr>
          <w:trHeight w:val="242"/>
        </w:trPr>
        <w:tc>
          <w:tcPr>
            <w:tcW w:w="8260" w:type="dxa"/>
            <w:vAlign w:val="bottom"/>
          </w:tcPr>
          <w:p>
            <w:pPr>
              <w:ind w:left="160"/>
              <w:spacing w:after="0"/>
              <w:rPr>
                <w:sz w:val="20"/>
                <w:szCs w:val="20"/>
                <w:color w:val="auto"/>
              </w:rPr>
            </w:pPr>
            <w:r>
              <w:rPr>
                <w:rFonts w:ascii="Arial" w:cs="Arial" w:eastAsia="Arial" w:hAnsi="Arial"/>
                <w:sz w:val="18"/>
                <w:szCs w:val="18"/>
                <w:color w:val="auto"/>
              </w:rPr>
              <w:t>Additions</w:t>
            </w: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146,000</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1,075</w:t>
            </w:r>
          </w:p>
        </w:tc>
        <w:tc>
          <w:tcPr>
            <w:tcW w:w="120" w:type="dxa"/>
            <w:vAlign w:val="bottom"/>
          </w:tcPr>
          <w:p>
            <w:pPr>
              <w:spacing w:after="0"/>
              <w:rPr>
                <w:sz w:val="21"/>
                <w:szCs w:val="21"/>
                <w:color w:val="auto"/>
              </w:rPr>
            </w:pPr>
          </w:p>
        </w:tc>
      </w:tr>
      <w:tr>
        <w:trPr>
          <w:trHeight w:val="244"/>
        </w:trPr>
        <w:tc>
          <w:tcPr>
            <w:tcW w:w="8260" w:type="dxa"/>
            <w:vAlign w:val="bottom"/>
            <w:shd w:val="clear" w:color="auto" w:fill="EAF9E8"/>
          </w:tcPr>
          <w:p>
            <w:pPr>
              <w:ind w:left="160"/>
              <w:spacing w:after="0"/>
              <w:rPr>
                <w:sz w:val="20"/>
                <w:szCs w:val="20"/>
                <w:color w:val="auto"/>
              </w:rPr>
            </w:pPr>
            <w:r>
              <w:rPr>
                <w:rFonts w:ascii="Arial" w:cs="Arial" w:eastAsia="Arial" w:hAnsi="Arial"/>
                <w:sz w:val="18"/>
                <w:szCs w:val="18"/>
                <w:color w:val="auto"/>
              </w:rPr>
              <w:t>Runoff</w:t>
            </w:r>
          </w:p>
        </w:tc>
        <w:tc>
          <w:tcPr>
            <w:tcW w:w="240" w:type="dxa"/>
            <w:vAlign w:val="bottom"/>
            <w:shd w:val="clear" w:color="auto" w:fill="EAF9E8"/>
          </w:tcPr>
          <w:p>
            <w:pPr>
              <w:spacing w:after="0"/>
              <w:rPr>
                <w:sz w:val="21"/>
                <w:szCs w:val="21"/>
                <w:color w:val="auto"/>
              </w:rPr>
            </w:pPr>
          </w:p>
        </w:tc>
        <w:tc>
          <w:tcPr>
            <w:tcW w:w="138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(3,365,036)</w:t>
            </w:r>
          </w:p>
        </w:tc>
        <w:tc>
          <w:tcPr>
            <w:tcW w:w="280" w:type="dxa"/>
            <w:vAlign w:val="bottom"/>
            <w:shd w:val="clear" w:color="auto" w:fill="EAF9E8"/>
          </w:tcPr>
          <w:p>
            <w:pPr>
              <w:spacing w:after="0"/>
              <w:rPr>
                <w:sz w:val="21"/>
                <w:szCs w:val="21"/>
                <w:color w:val="auto"/>
              </w:rPr>
            </w:pPr>
          </w:p>
        </w:tc>
        <w:tc>
          <w:tcPr>
            <w:tcW w:w="126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(27,366)</w:t>
            </w:r>
          </w:p>
        </w:tc>
      </w:tr>
      <w:tr>
        <w:trPr>
          <w:trHeight w:val="20"/>
        </w:trPr>
        <w:tc>
          <w:tcPr>
            <w:tcW w:w="8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9"/>
        </w:trPr>
        <w:tc>
          <w:tcPr>
            <w:tcW w:w="8260" w:type="dxa"/>
            <w:vAlign w:val="bottom"/>
          </w:tcPr>
          <w:p>
            <w:pPr>
              <w:spacing w:after="0"/>
              <w:rPr>
                <w:sz w:val="20"/>
                <w:szCs w:val="20"/>
                <w:color w:val="auto"/>
              </w:rPr>
            </w:pPr>
            <w:r>
              <w:rPr>
                <w:rFonts w:ascii="Arial" w:cs="Arial" w:eastAsia="Arial" w:hAnsi="Arial"/>
                <w:sz w:val="18"/>
                <w:szCs w:val="18"/>
                <w:color w:val="auto"/>
              </w:rPr>
              <w:t>Servicing portfolio at September 30, 2008</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42,449,031</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342,487</w:t>
            </w:r>
          </w:p>
        </w:tc>
        <w:tc>
          <w:tcPr>
            <w:tcW w:w="120" w:type="dxa"/>
            <w:vAlign w:val="bottom"/>
          </w:tcPr>
          <w:p>
            <w:pPr>
              <w:spacing w:after="0"/>
              <w:rPr>
                <w:sz w:val="19"/>
                <w:szCs w:val="19"/>
                <w:color w:val="auto"/>
              </w:rPr>
            </w:pPr>
          </w:p>
        </w:tc>
      </w:tr>
      <w:tr>
        <w:trPr>
          <w:trHeight w:val="244"/>
        </w:trPr>
        <w:tc>
          <w:tcPr>
            <w:tcW w:w="8260" w:type="dxa"/>
            <w:vAlign w:val="bottom"/>
            <w:shd w:val="clear" w:color="auto" w:fill="EAF9E8"/>
          </w:tcPr>
          <w:p>
            <w:pPr>
              <w:ind w:left="160"/>
              <w:spacing w:after="0"/>
              <w:rPr>
                <w:sz w:val="20"/>
                <w:szCs w:val="20"/>
                <w:color w:val="auto"/>
              </w:rPr>
            </w:pPr>
            <w:r>
              <w:rPr>
                <w:rFonts w:ascii="Arial" w:cs="Arial" w:eastAsia="Arial" w:hAnsi="Arial"/>
                <w:sz w:val="18"/>
                <w:szCs w:val="18"/>
                <w:color w:val="auto"/>
              </w:rPr>
              <w:t>Additions</w:t>
            </w:r>
          </w:p>
        </w:tc>
        <w:tc>
          <w:tcPr>
            <w:tcW w:w="240" w:type="dxa"/>
            <w:vAlign w:val="bottom"/>
            <w:shd w:val="clear" w:color="auto" w:fill="EAF9E8"/>
          </w:tcPr>
          <w:p>
            <w:pPr>
              <w:spacing w:after="0"/>
              <w:rPr>
                <w:sz w:val="21"/>
                <w:szCs w:val="21"/>
                <w:color w:val="auto"/>
              </w:rPr>
            </w:pPr>
          </w:p>
        </w:tc>
        <w:tc>
          <w:tcPr>
            <w:tcW w:w="1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677,000</w:t>
            </w:r>
          </w:p>
        </w:tc>
        <w:tc>
          <w:tcPr>
            <w:tcW w:w="220" w:type="dxa"/>
            <w:vAlign w:val="bottom"/>
            <w:shd w:val="clear" w:color="auto" w:fill="EAF9E8"/>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11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1,790</w:t>
            </w:r>
          </w:p>
        </w:tc>
        <w:tc>
          <w:tcPr>
            <w:tcW w:w="120" w:type="dxa"/>
            <w:vAlign w:val="bottom"/>
            <w:shd w:val="clear" w:color="auto" w:fill="EAF9E8"/>
          </w:tcPr>
          <w:p>
            <w:pPr>
              <w:spacing w:after="0"/>
              <w:rPr>
                <w:sz w:val="21"/>
                <w:szCs w:val="21"/>
                <w:color w:val="auto"/>
              </w:rPr>
            </w:pPr>
          </w:p>
        </w:tc>
      </w:tr>
      <w:tr>
        <w:trPr>
          <w:trHeight w:val="250"/>
        </w:trPr>
        <w:tc>
          <w:tcPr>
            <w:tcW w:w="8260" w:type="dxa"/>
            <w:vAlign w:val="bottom"/>
          </w:tcPr>
          <w:p>
            <w:pPr>
              <w:ind w:left="160"/>
              <w:spacing w:after="0"/>
              <w:rPr>
                <w:sz w:val="20"/>
                <w:szCs w:val="20"/>
                <w:color w:val="auto"/>
              </w:rPr>
            </w:pPr>
            <w:r>
              <w:rPr>
                <w:rFonts w:ascii="Arial" w:cs="Arial" w:eastAsia="Arial" w:hAnsi="Arial"/>
                <w:sz w:val="18"/>
                <w:szCs w:val="18"/>
                <w:color w:val="auto"/>
              </w:rPr>
              <w:t>Runoff</w:t>
            </w:r>
          </w:p>
        </w:tc>
        <w:tc>
          <w:tcPr>
            <w:tcW w:w="240" w:type="dxa"/>
            <w:vAlign w:val="bottom"/>
          </w:tcPr>
          <w:p>
            <w:pPr>
              <w:spacing w:after="0"/>
              <w:rPr>
                <w:sz w:val="21"/>
                <w:szCs w:val="21"/>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(2,954,499)</w:t>
            </w:r>
          </w:p>
        </w:tc>
        <w:tc>
          <w:tcPr>
            <w:tcW w:w="280" w:type="dxa"/>
            <w:vAlign w:val="bottom"/>
          </w:tcPr>
          <w:p>
            <w:pPr>
              <w:spacing w:after="0"/>
              <w:rPr>
                <w:sz w:val="21"/>
                <w:szCs w:val="21"/>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(21,762)</w:t>
            </w:r>
          </w:p>
        </w:tc>
      </w:tr>
      <w:tr>
        <w:trPr>
          <w:trHeight w:val="243"/>
        </w:trPr>
        <w:tc>
          <w:tcPr>
            <w:tcW w:w="8260" w:type="dxa"/>
            <w:vAlign w:val="bottom"/>
            <w:shd w:val="clear" w:color="auto" w:fill="EAF9E8"/>
          </w:tcPr>
          <w:p>
            <w:pPr>
              <w:spacing w:after="0"/>
              <w:rPr>
                <w:sz w:val="20"/>
                <w:szCs w:val="20"/>
                <w:color w:val="auto"/>
              </w:rPr>
            </w:pPr>
            <w:r>
              <w:rPr>
                <w:rFonts w:ascii="Arial" w:cs="Arial" w:eastAsia="Arial" w:hAnsi="Arial"/>
                <w:sz w:val="18"/>
                <w:szCs w:val="18"/>
                <w:color w:val="auto"/>
              </w:rPr>
              <w:t>Servicing portfolio at December 31, 2008</w:t>
            </w:r>
          </w:p>
        </w:tc>
        <w:tc>
          <w:tcPr>
            <w:tcW w:w="240" w:type="dxa"/>
            <w:vAlign w:val="bottom"/>
            <w:tcBorders>
              <w:top w:val="single" w:sz="8" w:color="auto"/>
            </w:tcBorders>
            <w:shd w:val="clear" w:color="auto" w:fill="EAF9E8"/>
          </w:tcPr>
          <w:p>
            <w:pPr>
              <w:spacing w:after="0"/>
              <w:rPr>
                <w:sz w:val="21"/>
                <w:szCs w:val="21"/>
                <w:color w:val="auto"/>
              </w:rPr>
            </w:pPr>
          </w:p>
        </w:tc>
        <w:tc>
          <w:tcPr>
            <w:tcW w:w="116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40,171,532</w:t>
            </w:r>
          </w:p>
        </w:tc>
        <w:tc>
          <w:tcPr>
            <w:tcW w:w="220" w:type="dxa"/>
            <w:vAlign w:val="bottom"/>
            <w:shd w:val="clear" w:color="auto" w:fill="EAF9E8"/>
          </w:tcPr>
          <w:p>
            <w:pPr>
              <w:spacing w:after="0"/>
              <w:rPr>
                <w:sz w:val="21"/>
                <w:szCs w:val="21"/>
                <w:color w:val="auto"/>
              </w:rPr>
            </w:pPr>
          </w:p>
        </w:tc>
        <w:tc>
          <w:tcPr>
            <w:tcW w:w="280" w:type="dxa"/>
            <w:vAlign w:val="bottom"/>
            <w:tcBorders>
              <w:top w:val="single" w:sz="8" w:color="auto"/>
            </w:tcBorders>
            <w:shd w:val="clear" w:color="auto" w:fill="EAF9E8"/>
          </w:tcPr>
          <w:p>
            <w:pPr>
              <w:spacing w:after="0"/>
              <w:rPr>
                <w:sz w:val="21"/>
                <w:szCs w:val="21"/>
                <w:color w:val="auto"/>
              </w:rPr>
            </w:pPr>
          </w:p>
        </w:tc>
        <w:tc>
          <w:tcPr>
            <w:tcW w:w="114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322,515</w:t>
            </w:r>
          </w:p>
        </w:tc>
        <w:tc>
          <w:tcPr>
            <w:tcW w:w="120" w:type="dxa"/>
            <w:vAlign w:val="bottom"/>
            <w:shd w:val="clear" w:color="auto" w:fill="EAF9E8"/>
          </w:tcPr>
          <w:p>
            <w:pPr>
              <w:spacing w:after="0"/>
              <w:rPr>
                <w:sz w:val="21"/>
                <w:szCs w:val="21"/>
                <w:color w:val="auto"/>
              </w:rPr>
            </w:pPr>
          </w:p>
        </w:tc>
      </w:tr>
      <w:tr>
        <w:trPr>
          <w:trHeight w:val="242"/>
        </w:trPr>
        <w:tc>
          <w:tcPr>
            <w:tcW w:w="8260" w:type="dxa"/>
            <w:vAlign w:val="bottom"/>
          </w:tcPr>
          <w:p>
            <w:pPr>
              <w:ind w:left="160"/>
              <w:spacing w:after="0"/>
              <w:rPr>
                <w:sz w:val="20"/>
                <w:szCs w:val="20"/>
                <w:color w:val="auto"/>
              </w:rPr>
            </w:pPr>
            <w:r>
              <w:rPr>
                <w:rFonts w:ascii="Arial" w:cs="Arial" w:eastAsia="Arial" w:hAnsi="Arial"/>
                <w:sz w:val="18"/>
                <w:szCs w:val="18"/>
                <w:color w:val="auto"/>
              </w:rPr>
              <w:t>Additions</w:t>
            </w: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3,626,000</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11,036</w:t>
            </w:r>
          </w:p>
        </w:tc>
        <w:tc>
          <w:tcPr>
            <w:tcW w:w="120" w:type="dxa"/>
            <w:vAlign w:val="bottom"/>
          </w:tcPr>
          <w:p>
            <w:pPr>
              <w:spacing w:after="0"/>
              <w:rPr>
                <w:sz w:val="21"/>
                <w:szCs w:val="21"/>
                <w:color w:val="auto"/>
              </w:rPr>
            </w:pPr>
          </w:p>
        </w:tc>
      </w:tr>
      <w:tr>
        <w:trPr>
          <w:trHeight w:val="244"/>
        </w:trPr>
        <w:tc>
          <w:tcPr>
            <w:tcW w:w="8260" w:type="dxa"/>
            <w:vAlign w:val="bottom"/>
            <w:shd w:val="clear" w:color="auto" w:fill="EAF9E8"/>
          </w:tcPr>
          <w:p>
            <w:pPr>
              <w:ind w:left="160"/>
              <w:spacing w:after="0"/>
              <w:rPr>
                <w:sz w:val="20"/>
                <w:szCs w:val="20"/>
                <w:color w:val="auto"/>
              </w:rPr>
            </w:pPr>
            <w:r>
              <w:rPr>
                <w:rFonts w:ascii="Arial" w:cs="Arial" w:eastAsia="Arial" w:hAnsi="Arial"/>
                <w:sz w:val="18"/>
                <w:szCs w:val="18"/>
                <w:color w:val="auto"/>
              </w:rPr>
              <w:t>Runoff</w:t>
            </w:r>
          </w:p>
        </w:tc>
        <w:tc>
          <w:tcPr>
            <w:tcW w:w="240" w:type="dxa"/>
            <w:vAlign w:val="bottom"/>
            <w:shd w:val="clear" w:color="auto" w:fill="EAF9E8"/>
          </w:tcPr>
          <w:p>
            <w:pPr>
              <w:spacing w:after="0"/>
              <w:rPr>
                <w:sz w:val="21"/>
                <w:szCs w:val="21"/>
                <w:color w:val="auto"/>
              </w:rPr>
            </w:pPr>
          </w:p>
        </w:tc>
        <w:tc>
          <w:tcPr>
            <w:tcW w:w="138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(3,008,397)</w:t>
            </w:r>
          </w:p>
        </w:tc>
        <w:tc>
          <w:tcPr>
            <w:tcW w:w="280" w:type="dxa"/>
            <w:vAlign w:val="bottom"/>
            <w:shd w:val="clear" w:color="auto" w:fill="EAF9E8"/>
          </w:tcPr>
          <w:p>
            <w:pPr>
              <w:spacing w:after="0"/>
              <w:rPr>
                <w:sz w:val="21"/>
                <w:szCs w:val="21"/>
                <w:color w:val="auto"/>
              </w:rPr>
            </w:pPr>
          </w:p>
        </w:tc>
        <w:tc>
          <w:tcPr>
            <w:tcW w:w="126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(29,451)</w:t>
            </w:r>
          </w:p>
        </w:tc>
      </w:tr>
      <w:tr>
        <w:trPr>
          <w:trHeight w:val="20"/>
        </w:trPr>
        <w:tc>
          <w:tcPr>
            <w:tcW w:w="8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9"/>
        </w:trPr>
        <w:tc>
          <w:tcPr>
            <w:tcW w:w="8260" w:type="dxa"/>
            <w:vAlign w:val="bottom"/>
          </w:tcPr>
          <w:p>
            <w:pPr>
              <w:spacing w:after="0"/>
              <w:rPr>
                <w:sz w:val="20"/>
                <w:szCs w:val="20"/>
                <w:color w:val="auto"/>
              </w:rPr>
            </w:pPr>
            <w:r>
              <w:rPr>
                <w:rFonts w:ascii="Arial" w:cs="Arial" w:eastAsia="Arial" w:hAnsi="Arial"/>
                <w:sz w:val="18"/>
                <w:szCs w:val="18"/>
                <w:color w:val="auto"/>
              </w:rPr>
              <w:t>Servicing portfolio at March 31, 2009</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40,789,135</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304,100</w:t>
            </w:r>
          </w:p>
        </w:tc>
        <w:tc>
          <w:tcPr>
            <w:tcW w:w="120" w:type="dxa"/>
            <w:vAlign w:val="bottom"/>
          </w:tcPr>
          <w:p>
            <w:pPr>
              <w:spacing w:after="0"/>
              <w:rPr>
                <w:sz w:val="19"/>
                <w:szCs w:val="19"/>
                <w:color w:val="auto"/>
              </w:rPr>
            </w:pPr>
          </w:p>
        </w:tc>
      </w:tr>
      <w:tr>
        <w:trPr>
          <w:trHeight w:val="244"/>
        </w:trPr>
        <w:tc>
          <w:tcPr>
            <w:tcW w:w="8260" w:type="dxa"/>
            <w:vAlign w:val="bottom"/>
            <w:shd w:val="clear" w:color="auto" w:fill="EAF9E8"/>
          </w:tcPr>
          <w:p>
            <w:pPr>
              <w:ind w:left="160"/>
              <w:spacing w:after="0"/>
              <w:rPr>
                <w:sz w:val="20"/>
                <w:szCs w:val="20"/>
                <w:color w:val="auto"/>
              </w:rPr>
            </w:pPr>
            <w:r>
              <w:rPr>
                <w:rFonts w:ascii="Arial" w:cs="Arial" w:eastAsia="Arial" w:hAnsi="Arial"/>
                <w:sz w:val="18"/>
                <w:szCs w:val="18"/>
                <w:color w:val="auto"/>
              </w:rPr>
              <w:t>Additions</w:t>
            </w:r>
          </w:p>
        </w:tc>
        <w:tc>
          <w:tcPr>
            <w:tcW w:w="240" w:type="dxa"/>
            <w:vAlign w:val="bottom"/>
            <w:shd w:val="clear" w:color="auto" w:fill="EAF9E8"/>
          </w:tcPr>
          <w:p>
            <w:pPr>
              <w:spacing w:after="0"/>
              <w:rPr>
                <w:sz w:val="21"/>
                <w:szCs w:val="21"/>
                <w:color w:val="auto"/>
              </w:rPr>
            </w:pPr>
          </w:p>
        </w:tc>
        <w:tc>
          <w:tcPr>
            <w:tcW w:w="1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57,000</w:t>
            </w:r>
          </w:p>
        </w:tc>
        <w:tc>
          <w:tcPr>
            <w:tcW w:w="220" w:type="dxa"/>
            <w:vAlign w:val="bottom"/>
            <w:shd w:val="clear" w:color="auto" w:fill="EAF9E8"/>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11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180</w:t>
            </w:r>
          </w:p>
        </w:tc>
        <w:tc>
          <w:tcPr>
            <w:tcW w:w="120" w:type="dxa"/>
            <w:vAlign w:val="bottom"/>
            <w:shd w:val="clear" w:color="auto" w:fill="EAF9E8"/>
          </w:tcPr>
          <w:p>
            <w:pPr>
              <w:spacing w:after="0"/>
              <w:rPr>
                <w:sz w:val="21"/>
                <w:szCs w:val="21"/>
                <w:color w:val="auto"/>
              </w:rPr>
            </w:pPr>
          </w:p>
        </w:tc>
      </w:tr>
      <w:tr>
        <w:trPr>
          <w:trHeight w:val="250"/>
        </w:trPr>
        <w:tc>
          <w:tcPr>
            <w:tcW w:w="8260" w:type="dxa"/>
            <w:vAlign w:val="bottom"/>
          </w:tcPr>
          <w:p>
            <w:pPr>
              <w:ind w:left="160"/>
              <w:spacing w:after="0"/>
              <w:rPr>
                <w:sz w:val="20"/>
                <w:szCs w:val="20"/>
                <w:color w:val="auto"/>
              </w:rPr>
            </w:pPr>
            <w:r>
              <w:rPr>
                <w:rFonts w:ascii="Arial" w:cs="Arial" w:eastAsia="Arial" w:hAnsi="Arial"/>
                <w:sz w:val="18"/>
                <w:szCs w:val="18"/>
                <w:color w:val="auto"/>
              </w:rPr>
              <w:t>Runoff</w:t>
            </w:r>
          </w:p>
        </w:tc>
        <w:tc>
          <w:tcPr>
            <w:tcW w:w="240" w:type="dxa"/>
            <w:vAlign w:val="bottom"/>
          </w:tcPr>
          <w:p>
            <w:pPr>
              <w:spacing w:after="0"/>
              <w:rPr>
                <w:sz w:val="21"/>
                <w:szCs w:val="21"/>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(2,440,128)</w:t>
            </w:r>
          </w:p>
        </w:tc>
        <w:tc>
          <w:tcPr>
            <w:tcW w:w="280" w:type="dxa"/>
            <w:vAlign w:val="bottom"/>
          </w:tcPr>
          <w:p>
            <w:pPr>
              <w:spacing w:after="0"/>
              <w:rPr>
                <w:sz w:val="21"/>
                <w:szCs w:val="21"/>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(17,758)</w:t>
            </w:r>
          </w:p>
        </w:tc>
      </w:tr>
      <w:tr>
        <w:trPr>
          <w:trHeight w:val="243"/>
        </w:trPr>
        <w:tc>
          <w:tcPr>
            <w:tcW w:w="8260" w:type="dxa"/>
            <w:vAlign w:val="bottom"/>
            <w:shd w:val="clear" w:color="auto" w:fill="EAF9E8"/>
          </w:tcPr>
          <w:p>
            <w:pPr>
              <w:spacing w:after="0"/>
              <w:rPr>
                <w:sz w:val="20"/>
                <w:szCs w:val="20"/>
                <w:color w:val="auto"/>
              </w:rPr>
            </w:pPr>
            <w:r>
              <w:rPr>
                <w:rFonts w:ascii="Arial" w:cs="Arial" w:eastAsia="Arial" w:hAnsi="Arial"/>
                <w:sz w:val="18"/>
                <w:szCs w:val="18"/>
                <w:color w:val="auto"/>
              </w:rPr>
              <w:t>Servicing portfolio at June 30, 2009</w:t>
            </w:r>
          </w:p>
        </w:tc>
        <w:tc>
          <w:tcPr>
            <w:tcW w:w="240" w:type="dxa"/>
            <w:vAlign w:val="bottom"/>
            <w:tcBorders>
              <w:top w:val="single" w:sz="8" w:color="auto"/>
            </w:tcBorders>
            <w:shd w:val="clear" w:color="auto" w:fill="EAF9E8"/>
          </w:tcPr>
          <w:p>
            <w:pPr>
              <w:spacing w:after="0"/>
              <w:rPr>
                <w:sz w:val="21"/>
                <w:szCs w:val="21"/>
                <w:color w:val="auto"/>
              </w:rPr>
            </w:pPr>
          </w:p>
        </w:tc>
        <w:tc>
          <w:tcPr>
            <w:tcW w:w="116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38,406,007</w:t>
            </w:r>
          </w:p>
        </w:tc>
        <w:tc>
          <w:tcPr>
            <w:tcW w:w="220" w:type="dxa"/>
            <w:vAlign w:val="bottom"/>
            <w:shd w:val="clear" w:color="auto" w:fill="EAF9E8"/>
          </w:tcPr>
          <w:p>
            <w:pPr>
              <w:spacing w:after="0"/>
              <w:rPr>
                <w:sz w:val="21"/>
                <w:szCs w:val="21"/>
                <w:color w:val="auto"/>
              </w:rPr>
            </w:pPr>
          </w:p>
        </w:tc>
        <w:tc>
          <w:tcPr>
            <w:tcW w:w="280" w:type="dxa"/>
            <w:vAlign w:val="bottom"/>
            <w:tcBorders>
              <w:top w:val="single" w:sz="8" w:color="auto"/>
            </w:tcBorders>
            <w:shd w:val="clear" w:color="auto" w:fill="EAF9E8"/>
          </w:tcPr>
          <w:p>
            <w:pPr>
              <w:spacing w:after="0"/>
              <w:rPr>
                <w:sz w:val="21"/>
                <w:szCs w:val="21"/>
                <w:color w:val="auto"/>
              </w:rPr>
            </w:pPr>
          </w:p>
        </w:tc>
        <w:tc>
          <w:tcPr>
            <w:tcW w:w="114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286,522</w:t>
            </w:r>
          </w:p>
        </w:tc>
        <w:tc>
          <w:tcPr>
            <w:tcW w:w="120" w:type="dxa"/>
            <w:vAlign w:val="bottom"/>
            <w:shd w:val="clear" w:color="auto" w:fill="EAF9E8"/>
          </w:tcPr>
          <w:p>
            <w:pPr>
              <w:spacing w:after="0"/>
              <w:rPr>
                <w:sz w:val="21"/>
                <w:szCs w:val="21"/>
                <w:color w:val="auto"/>
              </w:rPr>
            </w:pPr>
          </w:p>
        </w:tc>
      </w:tr>
      <w:tr>
        <w:trPr>
          <w:trHeight w:val="242"/>
        </w:trPr>
        <w:tc>
          <w:tcPr>
            <w:tcW w:w="8260" w:type="dxa"/>
            <w:vAlign w:val="bottom"/>
          </w:tcPr>
          <w:p>
            <w:pPr>
              <w:ind w:left="160"/>
              <w:spacing w:after="0"/>
              <w:rPr>
                <w:sz w:val="20"/>
                <w:szCs w:val="20"/>
                <w:color w:val="auto"/>
              </w:rPr>
            </w:pPr>
            <w:r>
              <w:rPr>
                <w:rFonts w:ascii="Arial" w:cs="Arial" w:eastAsia="Arial" w:hAnsi="Arial"/>
                <w:sz w:val="18"/>
                <w:szCs w:val="18"/>
                <w:color w:val="auto"/>
              </w:rPr>
              <w:t>Additions</w:t>
            </w: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4,493,000</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24,062</w:t>
            </w:r>
          </w:p>
        </w:tc>
        <w:tc>
          <w:tcPr>
            <w:tcW w:w="120" w:type="dxa"/>
            <w:vAlign w:val="bottom"/>
          </w:tcPr>
          <w:p>
            <w:pPr>
              <w:spacing w:after="0"/>
              <w:rPr>
                <w:sz w:val="21"/>
                <w:szCs w:val="21"/>
                <w:color w:val="auto"/>
              </w:rPr>
            </w:pPr>
          </w:p>
        </w:tc>
      </w:tr>
      <w:tr>
        <w:trPr>
          <w:trHeight w:val="244"/>
        </w:trPr>
        <w:tc>
          <w:tcPr>
            <w:tcW w:w="8260" w:type="dxa"/>
            <w:vAlign w:val="bottom"/>
            <w:shd w:val="clear" w:color="auto" w:fill="EAF9E8"/>
          </w:tcPr>
          <w:p>
            <w:pPr>
              <w:ind w:left="160"/>
              <w:spacing w:after="0"/>
              <w:rPr>
                <w:sz w:val="20"/>
                <w:szCs w:val="20"/>
                <w:color w:val="auto"/>
              </w:rPr>
            </w:pPr>
            <w:r>
              <w:rPr>
                <w:rFonts w:ascii="Arial" w:cs="Arial" w:eastAsia="Arial" w:hAnsi="Arial"/>
                <w:sz w:val="18"/>
                <w:szCs w:val="18"/>
                <w:color w:val="auto"/>
              </w:rPr>
              <w:t>Runoff</w:t>
            </w:r>
          </w:p>
        </w:tc>
        <w:tc>
          <w:tcPr>
            <w:tcW w:w="240" w:type="dxa"/>
            <w:vAlign w:val="bottom"/>
            <w:shd w:val="clear" w:color="auto" w:fill="EAF9E8"/>
          </w:tcPr>
          <w:p>
            <w:pPr>
              <w:spacing w:after="0"/>
              <w:rPr>
                <w:sz w:val="21"/>
                <w:szCs w:val="21"/>
                <w:color w:val="auto"/>
              </w:rPr>
            </w:pPr>
          </w:p>
        </w:tc>
        <w:tc>
          <w:tcPr>
            <w:tcW w:w="138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(2,605,309)</w:t>
            </w:r>
          </w:p>
        </w:tc>
        <w:tc>
          <w:tcPr>
            <w:tcW w:w="280" w:type="dxa"/>
            <w:vAlign w:val="bottom"/>
            <w:shd w:val="clear" w:color="auto" w:fill="EAF9E8"/>
          </w:tcPr>
          <w:p>
            <w:pPr>
              <w:spacing w:after="0"/>
              <w:rPr>
                <w:sz w:val="21"/>
                <w:szCs w:val="21"/>
                <w:color w:val="auto"/>
              </w:rPr>
            </w:pPr>
          </w:p>
        </w:tc>
        <w:tc>
          <w:tcPr>
            <w:tcW w:w="126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(17,628)</w:t>
            </w:r>
          </w:p>
        </w:tc>
      </w:tr>
      <w:tr>
        <w:trPr>
          <w:trHeight w:val="20"/>
        </w:trPr>
        <w:tc>
          <w:tcPr>
            <w:tcW w:w="8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7"/>
        </w:trPr>
        <w:tc>
          <w:tcPr>
            <w:tcW w:w="8260" w:type="dxa"/>
            <w:vAlign w:val="bottom"/>
          </w:tcPr>
          <w:p>
            <w:pPr>
              <w:spacing w:after="0"/>
              <w:rPr>
                <w:sz w:val="20"/>
                <w:szCs w:val="20"/>
                <w:color w:val="auto"/>
              </w:rPr>
            </w:pPr>
            <w:r>
              <w:rPr>
                <w:rFonts w:ascii="Arial" w:cs="Arial" w:eastAsia="Arial" w:hAnsi="Arial"/>
                <w:sz w:val="18"/>
                <w:szCs w:val="18"/>
                <w:color w:val="auto"/>
              </w:rPr>
              <w:t>Servicing portfolio at September 30, 2009</w:t>
            </w:r>
          </w:p>
        </w:tc>
        <w:tc>
          <w:tcPr>
            <w:tcW w:w="24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40,293,698</w:t>
            </w:r>
          </w:p>
        </w:tc>
        <w:tc>
          <w:tcPr>
            <w:tcW w:w="220" w:type="dxa"/>
            <w:vAlign w:val="bottom"/>
          </w:tcPr>
          <w:p>
            <w:pPr>
              <w:spacing w:after="0"/>
              <w:rPr>
                <w:sz w:val="20"/>
                <w:szCs w:val="20"/>
                <w:color w:val="auto"/>
              </w:rPr>
            </w:pPr>
          </w:p>
        </w:tc>
        <w:tc>
          <w:tcPr>
            <w:tcW w:w="28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292,956</w:t>
            </w:r>
          </w:p>
        </w:tc>
        <w:tc>
          <w:tcPr>
            <w:tcW w:w="120" w:type="dxa"/>
            <w:vAlign w:val="bottom"/>
          </w:tcPr>
          <w:p>
            <w:pPr>
              <w:spacing w:after="0"/>
              <w:rPr>
                <w:sz w:val="20"/>
                <w:szCs w:val="20"/>
                <w:color w:val="auto"/>
              </w:rPr>
            </w:pPr>
          </w:p>
        </w:tc>
      </w:tr>
      <w:tr>
        <w:trPr>
          <w:trHeight w:val="20"/>
        </w:trPr>
        <w:tc>
          <w:tcPr>
            <w:tcW w:w="8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0" w:firstLine="429"/>
        <w:spacing w:after="0" w:line="298" w:lineRule="auto"/>
        <w:rPr>
          <w:sz w:val="20"/>
          <w:szCs w:val="20"/>
          <w:color w:val="auto"/>
        </w:rPr>
      </w:pPr>
      <w:r>
        <w:rPr>
          <w:rFonts w:ascii="Arial" w:cs="Arial" w:eastAsia="Arial" w:hAnsi="Arial"/>
          <w:sz w:val="16"/>
          <w:szCs w:val="16"/>
          <w:color w:val="auto"/>
        </w:rPr>
        <w:t>Additions primarily represent servicing purchased from the owners of the mortgages and servicing obtained by entering into subservicing agreements with other entities that own the MSRs. MSR runoff primarily results from principal repayments on loans and sales of real estate. We expect various large servicing portfolios are or may be available for acquisition in the near term. We are pursuing opportunities to acquire additional servicing and subservicing business. We are optimistic about our prospects for maintaining scale and growing the Servicing business through additional servicing acquisitions.</w:t>
      </w:r>
    </w:p>
    <w:p>
      <w:pPr>
        <w:spacing w:after="0" w:line="167" w:lineRule="exact"/>
        <w:rPr>
          <w:sz w:val="20"/>
          <w:szCs w:val="20"/>
          <w:color w:val="auto"/>
        </w:rPr>
      </w:pPr>
    </w:p>
    <w:p>
      <w:pPr>
        <w:ind w:right="240" w:firstLine="439"/>
        <w:spacing w:after="0" w:line="255" w:lineRule="auto"/>
        <w:rPr>
          <w:sz w:val="20"/>
          <w:szCs w:val="20"/>
          <w:color w:val="auto"/>
        </w:rPr>
      </w:pPr>
      <w:r>
        <w:rPr>
          <w:rFonts w:ascii="Arial" w:cs="Arial" w:eastAsia="Arial" w:hAnsi="Arial"/>
          <w:sz w:val="18"/>
          <w:szCs w:val="18"/>
          <w:color w:val="auto"/>
        </w:rPr>
        <w:t>In addition to acting as servicer and subservicer, we have entered into backup servicing agreements with two large financial institutions. As backup servicer, we have agreed to accept the servicing responsibilities on up to $40,000,000 of mortgage loans in the event that the primary servicer is terminated. As back up servicer, we are entitled to all servicing compensation to which the terminated servicer would have been entitled. We are not required to fund the delinquency or servicer advance obligations or the compensating interest obligations on the loans that we accept. As of September 30, 2009, we were not servicing any loans under these agreements.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200" w:type="dxa"/>
            <w:vAlign w:val="bottom"/>
            <w:gridSpan w:val="2"/>
          </w:tcPr>
          <w:p>
            <w:pPr>
              <w:spacing w:after="0"/>
              <w:rPr>
                <w:sz w:val="20"/>
                <w:szCs w:val="20"/>
                <w:color w:val="auto"/>
              </w:rPr>
            </w:pPr>
            <w:r>
              <w:rPr>
                <w:rFonts w:ascii="Arial" w:cs="Arial" w:eastAsia="Arial" w:hAnsi="Arial"/>
                <w:sz w:val="18"/>
                <w:szCs w:val="18"/>
                <w:color w:val="auto"/>
              </w:rPr>
              <w:t>Comparative selected balance sheet data is as follows:</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452"/>
        </w:trPr>
        <w:tc>
          <w:tcPr>
            <w:tcW w:w="3820" w:type="dxa"/>
            <w:vAlign w:val="bottom"/>
            <w:tcBorders>
              <w:top w:val="single" w:sz="8" w:color="auto"/>
            </w:tcBorders>
          </w:tcPr>
          <w:p>
            <w:pPr>
              <w:spacing w:after="0"/>
              <w:rPr>
                <w:sz w:val="24"/>
                <w:szCs w:val="24"/>
                <w:color w:val="auto"/>
              </w:rPr>
            </w:pPr>
          </w:p>
        </w:tc>
        <w:tc>
          <w:tcPr>
            <w:tcW w:w="4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jc w:val="right"/>
              <w:ind w:right="52"/>
              <w:spacing w:after="0"/>
              <w:rPr>
                <w:sz w:val="20"/>
                <w:szCs w:val="20"/>
                <w:color w:val="auto"/>
              </w:rPr>
            </w:pPr>
            <w:r>
              <w:rPr>
                <w:rFonts w:ascii="Arial" w:cs="Arial" w:eastAsia="Arial" w:hAnsi="Arial"/>
                <w:sz w:val="18"/>
                <w:szCs w:val="18"/>
                <w:b w:val="1"/>
                <w:bCs w:val="1"/>
                <w:color w:val="auto"/>
                <w:w w:val="89"/>
              </w:rPr>
              <w:t>September 30,</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jc w:val="right"/>
              <w:ind w:right="92"/>
              <w:spacing w:after="0"/>
              <w:rPr>
                <w:sz w:val="20"/>
                <w:szCs w:val="20"/>
                <w:color w:val="auto"/>
              </w:rPr>
            </w:pPr>
            <w:r>
              <w:rPr>
                <w:rFonts w:ascii="Arial" w:cs="Arial" w:eastAsia="Arial" w:hAnsi="Arial"/>
                <w:sz w:val="18"/>
                <w:szCs w:val="18"/>
                <w:b w:val="1"/>
                <w:bCs w:val="1"/>
                <w:color w:val="auto"/>
                <w:w w:val="88"/>
              </w:rPr>
              <w:t>December 31,</w:t>
            </w:r>
          </w:p>
        </w:tc>
        <w:tc>
          <w:tcPr>
            <w:tcW w:w="120" w:type="dxa"/>
            <w:vAlign w:val="bottom"/>
          </w:tcPr>
          <w:p>
            <w:pPr>
              <w:spacing w:after="0"/>
              <w:rPr>
                <w:sz w:val="24"/>
                <w:szCs w:val="24"/>
                <w:color w:val="auto"/>
              </w:rPr>
            </w:pPr>
          </w:p>
        </w:tc>
      </w:tr>
      <w:tr>
        <w:trPr>
          <w:trHeight w:val="237"/>
        </w:trPr>
        <w:tc>
          <w:tcPr>
            <w:tcW w:w="382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b w:val="1"/>
                <w:bCs w:val="1"/>
                <w:color w:val="auto"/>
              </w:rPr>
              <w:t>2009</w:t>
            </w:r>
          </w:p>
        </w:tc>
        <w:tc>
          <w:tcPr>
            <w:tcW w:w="3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b w:val="1"/>
                <w:bCs w:val="1"/>
                <w:color w:val="auto"/>
              </w:rPr>
              <w:t>2008</w:t>
            </w:r>
          </w:p>
        </w:tc>
        <w:tc>
          <w:tcPr>
            <w:tcW w:w="120" w:type="dxa"/>
            <w:vAlign w:val="bottom"/>
          </w:tcPr>
          <w:p>
            <w:pPr>
              <w:spacing w:after="0"/>
              <w:rPr>
                <w:sz w:val="20"/>
                <w:szCs w:val="20"/>
                <w:color w:val="auto"/>
              </w:rPr>
            </w:pPr>
          </w:p>
        </w:tc>
      </w:tr>
      <w:tr>
        <w:trPr>
          <w:trHeight w:val="243"/>
        </w:trPr>
        <w:tc>
          <w:tcPr>
            <w:tcW w:w="820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Advances</w:t>
            </w:r>
          </w:p>
        </w:tc>
        <w:tc>
          <w:tcPr>
            <w:tcW w:w="12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126,787</w:t>
            </w:r>
          </w:p>
        </w:tc>
        <w:tc>
          <w:tcPr>
            <w:tcW w:w="48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97,098</w:t>
            </w:r>
          </w:p>
        </w:tc>
        <w:tc>
          <w:tcPr>
            <w:tcW w:w="120" w:type="dxa"/>
            <w:vAlign w:val="bottom"/>
            <w:shd w:val="clear" w:color="auto" w:fill="EAF9E8"/>
          </w:tcPr>
          <w:p>
            <w:pPr>
              <w:spacing w:after="0"/>
              <w:rPr>
                <w:sz w:val="21"/>
                <w:szCs w:val="21"/>
                <w:color w:val="auto"/>
              </w:rPr>
            </w:pPr>
          </w:p>
        </w:tc>
      </w:tr>
      <w:tr>
        <w:trPr>
          <w:trHeight w:val="242"/>
        </w:trPr>
        <w:tc>
          <w:tcPr>
            <w:tcW w:w="8200" w:type="dxa"/>
            <w:vAlign w:val="bottom"/>
            <w:gridSpan w:val="2"/>
          </w:tcPr>
          <w:p>
            <w:pPr>
              <w:spacing w:after="0"/>
              <w:rPr>
                <w:sz w:val="20"/>
                <w:szCs w:val="20"/>
                <w:color w:val="auto"/>
              </w:rPr>
            </w:pPr>
            <w:r>
              <w:rPr>
                <w:rFonts w:ascii="Arial" w:cs="Arial" w:eastAsia="Arial" w:hAnsi="Arial"/>
                <w:sz w:val="18"/>
                <w:szCs w:val="18"/>
                <w:color w:val="auto"/>
              </w:rPr>
              <w:t>Match funded advances</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879,444</w:t>
            </w: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1,100,555</w:t>
            </w:r>
          </w:p>
        </w:tc>
        <w:tc>
          <w:tcPr>
            <w:tcW w:w="120" w:type="dxa"/>
            <w:vAlign w:val="bottom"/>
          </w:tcPr>
          <w:p>
            <w:pPr>
              <w:spacing w:after="0"/>
              <w:rPr>
                <w:sz w:val="21"/>
                <w:szCs w:val="21"/>
                <w:color w:val="auto"/>
              </w:rPr>
            </w:pPr>
          </w:p>
        </w:tc>
      </w:tr>
      <w:tr>
        <w:trPr>
          <w:trHeight w:val="244"/>
        </w:trPr>
        <w:tc>
          <w:tcPr>
            <w:tcW w:w="820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Mortgage servicing rights (Residential)</w:t>
            </w:r>
          </w:p>
        </w:tc>
        <w:tc>
          <w:tcPr>
            <w:tcW w:w="120" w:type="dxa"/>
            <w:vAlign w:val="bottom"/>
            <w:shd w:val="clear" w:color="auto" w:fill="EAF9E8"/>
          </w:tcPr>
          <w:p>
            <w:pPr>
              <w:spacing w:after="0"/>
              <w:rPr>
                <w:sz w:val="21"/>
                <w:szCs w:val="21"/>
                <w:color w:val="auto"/>
              </w:rPr>
            </w:pPr>
          </w:p>
        </w:tc>
        <w:tc>
          <w:tcPr>
            <w:tcW w:w="12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124,989</w:t>
            </w:r>
          </w:p>
        </w:tc>
        <w:tc>
          <w:tcPr>
            <w:tcW w:w="34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12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139,500</w:t>
            </w:r>
          </w:p>
        </w:tc>
        <w:tc>
          <w:tcPr>
            <w:tcW w:w="120" w:type="dxa"/>
            <w:vAlign w:val="bottom"/>
            <w:shd w:val="clear" w:color="auto" w:fill="EAF9E8"/>
          </w:tcPr>
          <w:p>
            <w:pPr>
              <w:spacing w:after="0"/>
              <w:rPr>
                <w:sz w:val="21"/>
                <w:szCs w:val="21"/>
                <w:color w:val="auto"/>
              </w:rPr>
            </w:pPr>
          </w:p>
        </w:tc>
      </w:tr>
      <w:tr>
        <w:trPr>
          <w:trHeight w:val="242"/>
        </w:trPr>
        <w:tc>
          <w:tcPr>
            <w:tcW w:w="8200" w:type="dxa"/>
            <w:vAlign w:val="bottom"/>
            <w:gridSpan w:val="2"/>
          </w:tcPr>
          <w:p>
            <w:pPr>
              <w:spacing w:after="0"/>
              <w:rPr>
                <w:sz w:val="20"/>
                <w:szCs w:val="20"/>
                <w:color w:val="auto"/>
              </w:rPr>
            </w:pPr>
            <w:r>
              <w:rPr>
                <w:rFonts w:ascii="Arial" w:cs="Arial" w:eastAsia="Arial" w:hAnsi="Arial"/>
                <w:sz w:val="18"/>
                <w:szCs w:val="18"/>
                <w:color w:val="auto"/>
              </w:rPr>
              <w:t>Receivables</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19,621</w:t>
            </w: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7,936</w:t>
            </w:r>
          </w:p>
        </w:tc>
        <w:tc>
          <w:tcPr>
            <w:tcW w:w="120" w:type="dxa"/>
            <w:vAlign w:val="bottom"/>
          </w:tcPr>
          <w:p>
            <w:pPr>
              <w:spacing w:after="0"/>
              <w:rPr>
                <w:sz w:val="21"/>
                <w:szCs w:val="21"/>
                <w:color w:val="auto"/>
              </w:rPr>
            </w:pPr>
          </w:p>
        </w:tc>
      </w:tr>
      <w:tr>
        <w:trPr>
          <w:trHeight w:val="244"/>
        </w:trPr>
        <w:tc>
          <w:tcPr>
            <w:tcW w:w="820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Debt service accounts</w:t>
            </w:r>
          </w:p>
        </w:tc>
        <w:tc>
          <w:tcPr>
            <w:tcW w:w="120" w:type="dxa"/>
            <w:vAlign w:val="bottom"/>
            <w:shd w:val="clear" w:color="auto" w:fill="EAF9E8"/>
          </w:tcPr>
          <w:p>
            <w:pPr>
              <w:spacing w:after="0"/>
              <w:rPr>
                <w:sz w:val="21"/>
                <w:szCs w:val="21"/>
                <w:color w:val="auto"/>
              </w:rPr>
            </w:pPr>
          </w:p>
        </w:tc>
        <w:tc>
          <w:tcPr>
            <w:tcW w:w="12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39,738</w:t>
            </w:r>
          </w:p>
        </w:tc>
        <w:tc>
          <w:tcPr>
            <w:tcW w:w="34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12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58,468</w:t>
            </w:r>
          </w:p>
        </w:tc>
        <w:tc>
          <w:tcPr>
            <w:tcW w:w="120" w:type="dxa"/>
            <w:vAlign w:val="bottom"/>
            <w:shd w:val="clear" w:color="auto" w:fill="EAF9E8"/>
          </w:tcPr>
          <w:p>
            <w:pPr>
              <w:spacing w:after="0"/>
              <w:rPr>
                <w:sz w:val="21"/>
                <w:szCs w:val="21"/>
                <w:color w:val="auto"/>
              </w:rPr>
            </w:pPr>
          </w:p>
        </w:tc>
      </w:tr>
      <w:tr>
        <w:trPr>
          <w:trHeight w:val="250"/>
        </w:trPr>
        <w:tc>
          <w:tcPr>
            <w:tcW w:w="8200" w:type="dxa"/>
            <w:vAlign w:val="bottom"/>
            <w:gridSpan w:val="2"/>
          </w:tcPr>
          <w:p>
            <w:pPr>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6,636</w:t>
            </w:r>
          </w:p>
        </w:tc>
        <w:tc>
          <w:tcPr>
            <w:tcW w:w="3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13,058</w:t>
            </w:r>
          </w:p>
        </w:tc>
        <w:tc>
          <w:tcPr>
            <w:tcW w:w="120" w:type="dxa"/>
            <w:vAlign w:val="bottom"/>
          </w:tcPr>
          <w:p>
            <w:pPr>
              <w:spacing w:after="0"/>
              <w:rPr>
                <w:sz w:val="21"/>
                <w:szCs w:val="21"/>
                <w:color w:val="auto"/>
              </w:rPr>
            </w:pPr>
          </w:p>
        </w:tc>
      </w:tr>
      <w:tr>
        <w:trPr>
          <w:trHeight w:val="243"/>
        </w:trPr>
        <w:tc>
          <w:tcPr>
            <w:tcW w:w="820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Total assets</w:t>
            </w:r>
          </w:p>
        </w:tc>
        <w:tc>
          <w:tcPr>
            <w:tcW w:w="12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1,197,215</w:t>
            </w:r>
          </w:p>
        </w:tc>
        <w:tc>
          <w:tcPr>
            <w:tcW w:w="48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1,416,615</w:t>
            </w:r>
          </w:p>
        </w:tc>
        <w:tc>
          <w:tcPr>
            <w:tcW w:w="120" w:type="dxa"/>
            <w:vAlign w:val="bottom"/>
            <w:shd w:val="clear" w:color="auto" w:fill="EAF9E8"/>
          </w:tcPr>
          <w:p>
            <w:pPr>
              <w:spacing w:after="0"/>
              <w:rPr>
                <w:sz w:val="21"/>
                <w:szCs w:val="21"/>
                <w:color w:val="auto"/>
              </w:rPr>
            </w:pPr>
          </w:p>
        </w:tc>
      </w:tr>
      <w:tr>
        <w:trPr>
          <w:trHeight w:val="20"/>
        </w:trPr>
        <w:tc>
          <w:tcPr>
            <w:tcW w:w="38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
        </w:trPr>
        <w:tc>
          <w:tcPr>
            <w:tcW w:w="38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59"/>
        </w:trPr>
        <w:tc>
          <w:tcPr>
            <w:tcW w:w="8200" w:type="dxa"/>
            <w:vAlign w:val="bottom"/>
            <w:gridSpan w:val="2"/>
          </w:tcPr>
          <w:p>
            <w:pPr>
              <w:spacing w:after="0"/>
              <w:rPr>
                <w:sz w:val="20"/>
                <w:szCs w:val="20"/>
                <w:color w:val="auto"/>
              </w:rPr>
            </w:pPr>
            <w:r>
              <w:rPr>
                <w:rFonts w:ascii="Arial" w:cs="Arial" w:eastAsia="Arial" w:hAnsi="Arial"/>
                <w:sz w:val="18"/>
                <w:szCs w:val="18"/>
                <w:color w:val="auto"/>
              </w:rPr>
              <w:t>Match funded liabilities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529,779</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961,939</w:t>
            </w:r>
          </w:p>
        </w:tc>
        <w:tc>
          <w:tcPr>
            <w:tcW w:w="120" w:type="dxa"/>
            <w:vAlign w:val="bottom"/>
          </w:tcPr>
          <w:p>
            <w:pPr>
              <w:spacing w:after="0"/>
              <w:rPr>
                <w:sz w:val="24"/>
                <w:szCs w:val="24"/>
                <w:color w:val="auto"/>
              </w:rPr>
            </w:pPr>
          </w:p>
        </w:tc>
      </w:tr>
      <w:tr>
        <w:trPr>
          <w:trHeight w:val="244"/>
        </w:trPr>
        <w:tc>
          <w:tcPr>
            <w:tcW w:w="820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Lines of credit and other secured borrowings</w:t>
            </w:r>
          </w:p>
        </w:tc>
        <w:tc>
          <w:tcPr>
            <w:tcW w:w="120" w:type="dxa"/>
            <w:vAlign w:val="bottom"/>
            <w:shd w:val="clear" w:color="auto" w:fill="EAF9E8"/>
          </w:tcPr>
          <w:p>
            <w:pPr>
              <w:spacing w:after="0"/>
              <w:rPr>
                <w:sz w:val="21"/>
                <w:szCs w:val="21"/>
                <w:color w:val="auto"/>
              </w:rPr>
            </w:pPr>
          </w:p>
        </w:tc>
        <w:tc>
          <w:tcPr>
            <w:tcW w:w="12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54,665</w:t>
            </w:r>
          </w:p>
        </w:tc>
        <w:tc>
          <w:tcPr>
            <w:tcW w:w="34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12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97,987</w:t>
            </w:r>
          </w:p>
        </w:tc>
        <w:tc>
          <w:tcPr>
            <w:tcW w:w="120" w:type="dxa"/>
            <w:vAlign w:val="bottom"/>
            <w:shd w:val="clear" w:color="auto" w:fill="EAF9E8"/>
          </w:tcPr>
          <w:p>
            <w:pPr>
              <w:spacing w:after="0"/>
              <w:rPr>
                <w:sz w:val="21"/>
                <w:szCs w:val="21"/>
                <w:color w:val="auto"/>
              </w:rPr>
            </w:pPr>
          </w:p>
        </w:tc>
      </w:tr>
      <w:tr>
        <w:trPr>
          <w:trHeight w:val="242"/>
        </w:trPr>
        <w:tc>
          <w:tcPr>
            <w:tcW w:w="8200" w:type="dxa"/>
            <w:vAlign w:val="bottom"/>
            <w:gridSpan w:val="2"/>
          </w:tcPr>
          <w:p>
            <w:pPr>
              <w:spacing w:after="0"/>
              <w:rPr>
                <w:sz w:val="20"/>
                <w:szCs w:val="20"/>
                <w:color w:val="auto"/>
              </w:rPr>
            </w:pPr>
            <w:r>
              <w:rPr>
                <w:rFonts w:ascii="Arial" w:cs="Arial" w:eastAsia="Arial" w:hAnsi="Arial"/>
                <w:sz w:val="18"/>
                <w:szCs w:val="18"/>
                <w:color w:val="auto"/>
              </w:rPr>
              <w:t>Servicer liabilities</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59,355</w:t>
            </w: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135,649</w:t>
            </w:r>
          </w:p>
        </w:tc>
        <w:tc>
          <w:tcPr>
            <w:tcW w:w="120" w:type="dxa"/>
            <w:vAlign w:val="bottom"/>
          </w:tcPr>
          <w:p>
            <w:pPr>
              <w:spacing w:after="0"/>
              <w:rPr>
                <w:sz w:val="21"/>
                <w:szCs w:val="21"/>
                <w:color w:val="auto"/>
              </w:rPr>
            </w:pPr>
          </w:p>
        </w:tc>
      </w:tr>
      <w:tr>
        <w:trPr>
          <w:trHeight w:val="244"/>
        </w:trPr>
        <w:tc>
          <w:tcPr>
            <w:tcW w:w="820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EAF9E8"/>
          </w:tcPr>
          <w:p>
            <w:pPr>
              <w:spacing w:after="0"/>
              <w:rPr>
                <w:sz w:val="21"/>
                <w:szCs w:val="21"/>
                <w:color w:val="auto"/>
              </w:rPr>
            </w:pPr>
          </w:p>
        </w:tc>
        <w:tc>
          <w:tcPr>
            <w:tcW w:w="12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36,467</w:t>
            </w:r>
          </w:p>
        </w:tc>
        <w:tc>
          <w:tcPr>
            <w:tcW w:w="34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12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23,138</w:t>
            </w:r>
          </w:p>
        </w:tc>
        <w:tc>
          <w:tcPr>
            <w:tcW w:w="120" w:type="dxa"/>
            <w:vAlign w:val="bottom"/>
            <w:shd w:val="clear" w:color="auto" w:fill="EAF9E8"/>
          </w:tcPr>
          <w:p>
            <w:pPr>
              <w:spacing w:after="0"/>
              <w:rPr>
                <w:sz w:val="21"/>
                <w:szCs w:val="21"/>
                <w:color w:val="auto"/>
              </w:rPr>
            </w:pPr>
          </w:p>
        </w:tc>
      </w:tr>
      <w:tr>
        <w:trPr>
          <w:trHeight w:val="20"/>
        </w:trPr>
        <w:tc>
          <w:tcPr>
            <w:tcW w:w="38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7"/>
        </w:trPr>
        <w:tc>
          <w:tcPr>
            <w:tcW w:w="8200" w:type="dxa"/>
            <w:vAlign w:val="bottom"/>
            <w:gridSpan w:val="2"/>
          </w:tcPr>
          <w:p>
            <w:pPr>
              <w:ind w:left="160"/>
              <w:spacing w:after="0"/>
              <w:rPr>
                <w:sz w:val="20"/>
                <w:szCs w:val="20"/>
                <w:color w:val="auto"/>
              </w:rPr>
            </w:pPr>
            <w:r>
              <w:rPr>
                <w:rFonts w:ascii="Arial" w:cs="Arial" w:eastAsia="Arial" w:hAnsi="Arial"/>
                <w:sz w:val="18"/>
                <w:szCs w:val="18"/>
                <w:color w:val="auto"/>
              </w:rPr>
              <w:t>Total liabilities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680,266</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1,218,713</w:t>
            </w:r>
          </w:p>
        </w:tc>
        <w:tc>
          <w:tcPr>
            <w:tcW w:w="120" w:type="dxa"/>
            <w:vAlign w:val="bottom"/>
          </w:tcPr>
          <w:p>
            <w:pPr>
              <w:spacing w:after="0"/>
              <w:rPr>
                <w:sz w:val="20"/>
                <w:szCs w:val="20"/>
                <w:color w:val="auto"/>
              </w:rPr>
            </w:pPr>
          </w:p>
        </w:tc>
      </w:tr>
      <w:tr>
        <w:trPr>
          <w:trHeight w:val="20"/>
        </w:trPr>
        <w:tc>
          <w:tcPr>
            <w:tcW w:w="38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31" w:right="239" w:bottom="1440" w:gutter="0" w:footer="0" w:header="0"/>
        </w:sectPr>
      </w:pP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49" w:name="page50"/>
    <w:bookmarkEnd w:id="49"/>
    <w:p>
      <w:pPr>
        <w:ind w:firstLine="436"/>
        <w:spacing w:after="0" w:line="289" w:lineRule="auto"/>
        <w:rPr>
          <w:sz w:val="20"/>
          <w:szCs w:val="20"/>
          <w:color w:val="auto"/>
        </w:rPr>
      </w:pPr>
      <w:r>
        <w:rPr>
          <w:rFonts w:ascii="Arial" w:cs="Arial" w:eastAsia="Arial" w:hAnsi="Arial"/>
          <w:sz w:val="16"/>
          <w:szCs w:val="16"/>
          <w:i w:val="1"/>
          <w:iCs w:val="1"/>
          <w:color w:val="auto"/>
        </w:rPr>
        <w:t xml:space="preserve">Advances and Match Funded Advances. </w:t>
      </w:r>
      <w:r>
        <w:rPr>
          <w:rFonts w:ascii="Arial" w:cs="Arial" w:eastAsia="Arial" w:hAnsi="Arial"/>
          <w:sz w:val="16"/>
          <w:szCs w:val="16"/>
          <w:color w:val="auto"/>
        </w:rPr>
        <w:t>When the borrower does not make a full principal and interest payment, we are required under most of our</w:t>
      </w:r>
      <w:r>
        <w:rPr>
          <w:rFonts w:ascii="Arial" w:cs="Arial" w:eastAsia="Arial" w:hAnsi="Arial"/>
          <w:sz w:val="16"/>
          <w:szCs w:val="16"/>
          <w:i w:val="1"/>
          <w:iCs w:val="1"/>
          <w:color w:val="auto"/>
        </w:rPr>
        <w:t xml:space="preserve"> </w:t>
      </w:r>
      <w:r>
        <w:rPr>
          <w:rFonts w:ascii="Arial" w:cs="Arial" w:eastAsia="Arial" w:hAnsi="Arial"/>
          <w:sz w:val="16"/>
          <w:szCs w:val="16"/>
          <w:color w:val="auto"/>
        </w:rPr>
        <w:t>servicing agreements to advance funds to the investment trust. However, we are obligated to advance funds only to the extent that we believe that the advances are recoverable from loan proceeds. Most of our advances have the highest standing for reimbursement from payments, repayments and liquidation proceeds at the loan level. In addition, for any advances that are not covered by loan proceeds, the large majority of our pooling and servicing agreements provide for reimbursement at the pool level using collections on other loans. We are also required to pay property taxes and insurance premiums, to process foreclosures and to advance funds to maintain, repair and market real estate properties on behalf of investors, and these advances are accorded the same high priority for repayment as principal and interest advances. We generally recover our advances in full when foreclosed properties are sold, and this is also generally true when we modify a loan.</w:t>
      </w:r>
    </w:p>
    <w:p>
      <w:pPr>
        <w:spacing w:after="0" w:line="172" w:lineRule="exact"/>
        <w:rPr>
          <w:sz w:val="20"/>
          <w:szCs w:val="20"/>
          <w:color w:val="auto"/>
        </w:rPr>
      </w:pPr>
    </w:p>
    <w:p>
      <w:pPr>
        <w:ind w:right="80" w:firstLine="439"/>
        <w:spacing w:after="0" w:line="259" w:lineRule="auto"/>
        <w:rPr>
          <w:sz w:val="20"/>
          <w:szCs w:val="20"/>
          <w:color w:val="auto"/>
        </w:rPr>
      </w:pPr>
      <w:r>
        <w:rPr>
          <w:rFonts w:ascii="Arial" w:cs="Arial" w:eastAsia="Arial" w:hAnsi="Arial"/>
          <w:sz w:val="18"/>
          <w:szCs w:val="18"/>
          <w:color w:val="auto"/>
        </w:rPr>
        <w:t>During the nine months ended September 2009, the combined balance of advances and match funded advances decreased by $191,422, or 16%. Within the combined balance of advances and match funded advances, advances increased due to the transfer of certain collateral from special purpose entities (SPEs) categorized as match funded to an SPE not categorized as match funded.</w:t>
      </w:r>
    </w:p>
    <w:p>
      <w:pPr>
        <w:spacing w:after="0" w:line="194" w:lineRule="exact"/>
        <w:rPr>
          <w:sz w:val="20"/>
          <w:szCs w:val="20"/>
          <w:color w:val="auto"/>
        </w:rPr>
      </w:pPr>
    </w:p>
    <w:p>
      <w:pPr>
        <w:ind w:right="60" w:firstLine="439"/>
        <w:spacing w:after="0" w:line="253" w:lineRule="auto"/>
        <w:rPr>
          <w:sz w:val="20"/>
          <w:szCs w:val="20"/>
          <w:color w:val="auto"/>
        </w:rPr>
      </w:pPr>
      <w:r>
        <w:rPr>
          <w:rFonts w:ascii="Arial" w:cs="Arial" w:eastAsia="Arial" w:hAnsi="Arial"/>
          <w:sz w:val="18"/>
          <w:szCs w:val="18"/>
          <w:color w:val="auto"/>
        </w:rPr>
        <w:t>Match funded advances on loans serviced for others result from our transfers of residential loan servicing advances to SPEs in exchange for cash. We make these transfers under the terms of four advance facility agreements. We either retain control of the advances, or the advances are transferred to trusts that are not QSPEs. As a result, we include the SPEs in our Consolidated Financial Statements. The match funded advances are owned by the SPEs and are not available to satisfy general claims of our creditors. Conversely, the holders of the debt issued by the SPEs can look only to the assets of the issuer for satisfaction of the debt and have no recourse against OCN. Nevertheless, OLS has guaranteed the payment of the obligations of the issuer under the match funded facility that we executed in April 2008. The maximum amount payable under the guarantee is limited to 10% of the notes outstanding at the end of the facility’s revolving period in May 2010.</w:t>
      </w:r>
    </w:p>
    <w:p>
      <w:pPr>
        <w:spacing w:after="0" w:line="201" w:lineRule="exact"/>
        <w:rPr>
          <w:sz w:val="20"/>
          <w:szCs w:val="20"/>
          <w:color w:val="auto"/>
        </w:rPr>
      </w:pPr>
    </w:p>
    <w:p>
      <w:pPr>
        <w:ind w:firstLine="439"/>
        <w:spacing w:after="0" w:line="332" w:lineRule="auto"/>
        <w:rPr>
          <w:sz w:val="20"/>
          <w:szCs w:val="20"/>
          <w:color w:val="auto"/>
        </w:rPr>
      </w:pPr>
      <w:r>
        <w:rPr>
          <w:rFonts w:ascii="Arial" w:cs="Arial" w:eastAsia="Arial" w:hAnsi="Arial"/>
          <w:sz w:val="16"/>
          <w:szCs w:val="16"/>
          <w:i w:val="1"/>
          <w:iCs w:val="1"/>
          <w:color w:val="auto"/>
        </w:rPr>
        <w:t>Mortgage Servicing Rights</w:t>
      </w:r>
      <w:r>
        <w:rPr>
          <w:rFonts w:ascii="Arial" w:cs="Arial" w:eastAsia="Arial" w:hAnsi="Arial"/>
          <w:sz w:val="16"/>
          <w:szCs w:val="16"/>
          <w:color w:val="auto"/>
        </w:rPr>
        <w:t>. The unamortized balance of residential MSRs is primarily related to subprime residential loans. Residential MSRs decreased by</w:t>
      </w:r>
      <w:r>
        <w:rPr>
          <w:rFonts w:ascii="Arial" w:cs="Arial" w:eastAsia="Arial" w:hAnsi="Arial"/>
          <w:sz w:val="16"/>
          <w:szCs w:val="16"/>
          <w:i w:val="1"/>
          <w:iCs w:val="1"/>
          <w:color w:val="auto"/>
        </w:rPr>
        <w:t xml:space="preserve"> </w:t>
      </w:r>
      <w:r>
        <w:rPr>
          <w:rFonts w:ascii="Arial" w:cs="Arial" w:eastAsia="Arial" w:hAnsi="Arial"/>
          <w:sz w:val="16"/>
          <w:szCs w:val="16"/>
          <w:color w:val="auto"/>
        </w:rPr>
        <w:t>$14,511 during the first nine months of 2009 primarily due to amortization expense of $25,118 that exceeds acquisitions of $10,241.</w:t>
      </w:r>
    </w:p>
    <w:p>
      <w:pPr>
        <w:spacing w:after="0" w:line="139" w:lineRule="exact"/>
        <w:rPr>
          <w:sz w:val="20"/>
          <w:szCs w:val="20"/>
          <w:color w:val="auto"/>
        </w:rPr>
      </w:pPr>
    </w:p>
    <w:p>
      <w:pPr>
        <w:ind w:firstLine="439"/>
        <w:spacing w:after="0" w:line="253" w:lineRule="auto"/>
        <w:rPr>
          <w:sz w:val="20"/>
          <w:szCs w:val="20"/>
          <w:color w:val="auto"/>
        </w:rPr>
      </w:pPr>
      <w:r>
        <w:rPr>
          <w:rFonts w:ascii="Arial" w:cs="Arial" w:eastAsia="Arial" w:hAnsi="Arial"/>
          <w:sz w:val="18"/>
          <w:szCs w:val="18"/>
          <w:i w:val="1"/>
          <w:iCs w:val="1"/>
          <w:color w:val="auto"/>
        </w:rPr>
        <w:t>Match Funded Liabilities</w:t>
      </w:r>
      <w:r>
        <w:rPr>
          <w:rFonts w:ascii="Arial" w:cs="Arial" w:eastAsia="Arial" w:hAnsi="Arial"/>
          <w:sz w:val="18"/>
          <w:szCs w:val="18"/>
          <w:color w:val="auto"/>
        </w:rPr>
        <w:t>. Match funded liabilities are obligations secured by the related match funded assets and are repaid through the cash collections</w:t>
      </w:r>
      <w:r>
        <w:rPr>
          <w:rFonts w:ascii="Arial" w:cs="Arial" w:eastAsia="Arial" w:hAnsi="Arial"/>
          <w:sz w:val="18"/>
          <w:szCs w:val="18"/>
          <w:i w:val="1"/>
          <w:iCs w:val="1"/>
          <w:color w:val="auto"/>
        </w:rPr>
        <w:t xml:space="preserve"> </w:t>
      </w:r>
      <w:r>
        <w:rPr>
          <w:rFonts w:ascii="Arial" w:cs="Arial" w:eastAsia="Arial" w:hAnsi="Arial"/>
          <w:sz w:val="18"/>
          <w:szCs w:val="18"/>
          <w:color w:val="auto"/>
        </w:rPr>
        <w:t>arising from those assets. We account for and report match funded liabilities as secured borrowings with pledges of collateral. All of our match funded liabilities are secured by advances on loans serviced for others. On August 11, 2009, we repaid the $165,000 fixed rate term note that was outstanding under one of our match funded facilities. The majority of the borrowing under this note was transferred to the variable funding note under the same facility. The $432,160 decrease in match funded liabilities during the first nine months of 2009 is in part the result of the $221,111 reduction in the balance of match funded advances. In addition, during the third quarter of 2009, we implemented a strategy to reduce interest expense by using our cash reserves and proceeds from our equity offering to reduce advance finance borrowings.</w:t>
      </w:r>
    </w:p>
    <w:p>
      <w:pPr>
        <w:spacing w:after="0" w:line="201" w:lineRule="exact"/>
        <w:rPr>
          <w:sz w:val="20"/>
          <w:szCs w:val="20"/>
          <w:color w:val="auto"/>
        </w:rPr>
      </w:pPr>
    </w:p>
    <w:p>
      <w:pPr>
        <w:ind w:right="400" w:firstLine="439"/>
        <w:spacing w:after="0" w:line="370" w:lineRule="auto"/>
        <w:rPr>
          <w:sz w:val="20"/>
          <w:szCs w:val="20"/>
          <w:color w:val="auto"/>
        </w:rPr>
      </w:pPr>
      <w:r>
        <w:rPr>
          <w:rFonts w:ascii="Arial" w:cs="Arial" w:eastAsia="Arial" w:hAnsi="Arial"/>
          <w:sz w:val="15"/>
          <w:szCs w:val="15"/>
          <w:color w:val="auto"/>
        </w:rPr>
        <w:t>Unused borrowing capacity under our match funded facilities increased from $257,893 at December 31, 2008 to $720,221 at September 30, 2009. Our maximum borrowing capacity under our match funded facilities was $1,250,000 at September 30, 2009 as compared to $1,215,000 at December 31, 2008.</w:t>
      </w:r>
    </w:p>
    <w:p>
      <w:pPr>
        <w:spacing w:after="0" w:line="116" w:lineRule="exact"/>
        <w:rPr>
          <w:sz w:val="20"/>
          <w:szCs w:val="20"/>
          <w:color w:val="auto"/>
        </w:rPr>
      </w:pPr>
    </w:p>
    <w:p>
      <w:pPr>
        <w:ind w:right="160" w:firstLine="439"/>
        <w:spacing w:after="0" w:line="318" w:lineRule="auto"/>
        <w:rPr>
          <w:sz w:val="20"/>
          <w:szCs w:val="20"/>
          <w:color w:val="auto"/>
        </w:rPr>
      </w:pPr>
      <w:r>
        <w:rPr>
          <w:rFonts w:ascii="Arial" w:cs="Arial" w:eastAsia="Arial" w:hAnsi="Arial"/>
          <w:sz w:val="15"/>
          <w:szCs w:val="15"/>
          <w:i w:val="1"/>
          <w:iCs w:val="1"/>
          <w:color w:val="auto"/>
        </w:rPr>
        <w:t>Lines of Credit and Other Secured Borrowings</w:t>
      </w:r>
      <w:r>
        <w:rPr>
          <w:rFonts w:ascii="Arial" w:cs="Arial" w:eastAsia="Arial" w:hAnsi="Arial"/>
          <w:sz w:val="15"/>
          <w:szCs w:val="15"/>
          <w:color w:val="auto"/>
        </w:rPr>
        <w:t>. In August 2008, we exercised the option contained in our senior secured credit agreement to issue an 18-month term note to finance MSRs. We transferred the advance collateral that had been pledged to the senior secured credit agreement to existing match funded facilities. In August 2009, we repaid the remaining balance outstanding under the term note. We entered into two new facilities in March 2009. We recorded a $60,000 zero-coupon bond with a five-year term at $45,373, net of a discount of $14,627. We also issued a $7,000 term note maturing in five years with a stated interest rate of 1-Month LIBOR plus 350 basis points. Both notes are similar to the match funded advance facilities and are secured by the pledge of advances.</w:t>
      </w:r>
    </w:p>
    <w:p>
      <w:pPr>
        <w:spacing w:after="0" w:line="154" w:lineRule="exact"/>
        <w:rPr>
          <w:sz w:val="20"/>
          <w:szCs w:val="20"/>
          <w:color w:val="auto"/>
        </w:rPr>
      </w:pPr>
    </w:p>
    <w:p>
      <w:pPr>
        <w:ind w:right="20" w:firstLine="439"/>
        <w:spacing w:after="0" w:line="256" w:lineRule="auto"/>
        <w:rPr>
          <w:sz w:val="20"/>
          <w:szCs w:val="20"/>
          <w:color w:val="auto"/>
        </w:rPr>
      </w:pPr>
      <w:r>
        <w:rPr>
          <w:rFonts w:ascii="Arial" w:cs="Arial" w:eastAsia="Arial" w:hAnsi="Arial"/>
          <w:sz w:val="18"/>
          <w:szCs w:val="18"/>
          <w:i w:val="1"/>
          <w:iCs w:val="1"/>
          <w:color w:val="auto"/>
        </w:rPr>
        <w:t>Servicer Liabilities</w:t>
      </w:r>
      <w:r>
        <w:rPr>
          <w:rFonts w:ascii="Arial" w:cs="Arial" w:eastAsia="Arial" w:hAnsi="Arial"/>
          <w:sz w:val="18"/>
          <w:szCs w:val="18"/>
          <w:color w:val="auto"/>
        </w:rPr>
        <w:t>. Servicer liabilities represent amounts we have collected, primarily from residential borrowers whose loans we service, which we will</w:t>
      </w:r>
      <w:r>
        <w:rPr>
          <w:rFonts w:ascii="Arial" w:cs="Arial" w:eastAsia="Arial" w:hAnsi="Arial"/>
          <w:sz w:val="18"/>
          <w:szCs w:val="18"/>
          <w:i w:val="1"/>
          <w:iCs w:val="1"/>
          <w:color w:val="auto"/>
        </w:rPr>
        <w:t xml:space="preserve"> </w:t>
      </w:r>
      <w:r>
        <w:rPr>
          <w:rFonts w:ascii="Arial" w:cs="Arial" w:eastAsia="Arial" w:hAnsi="Arial"/>
          <w:sz w:val="18"/>
          <w:szCs w:val="18"/>
          <w:color w:val="auto"/>
        </w:rPr>
        <w:t>deposit in custodial accounts, pay directly to an investment trust or refund to borrowers. We exclude custodial accounts from our balance sheet. Servicer liabilities declined by $76,294 during the first nine months of 2009 largely due to low collection volume primarily resulting from slower voluntary prepayments and a smaller servicing portfolio.</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0" w:name="page51"/>
    <w:bookmarkEnd w:id="50"/>
    <w:p>
      <w:pPr>
        <w:ind w:left="220"/>
        <w:spacing w:after="0"/>
        <w:rPr>
          <w:sz w:val="20"/>
          <w:szCs w:val="20"/>
          <w:color w:val="auto"/>
        </w:rPr>
      </w:pPr>
      <w:r>
        <w:rPr>
          <w:rFonts w:ascii="Arial" w:cs="Arial" w:eastAsia="Arial" w:hAnsi="Arial"/>
          <w:sz w:val="18"/>
          <w:szCs w:val="18"/>
          <w:u w:val="single" w:color="auto"/>
          <w:color w:val="auto"/>
        </w:rPr>
        <w:t>Comparative selected operations data for the periods ended September 30 is as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6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Three months</w:t>
            </w:r>
          </w:p>
        </w:tc>
        <w:tc>
          <w:tcPr>
            <w:tcW w:w="7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8"/>
                <w:szCs w:val="18"/>
                <w:b w:val="1"/>
                <w:bCs w:val="1"/>
                <w:color w:val="auto"/>
              </w:rPr>
              <w:t>Nine months</w:t>
            </w:r>
          </w:p>
        </w:tc>
        <w:tc>
          <w:tcPr>
            <w:tcW w:w="8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50"/>
        </w:trPr>
        <w:tc>
          <w:tcPr>
            <w:tcW w:w="56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2009</w:t>
            </w:r>
          </w:p>
        </w:tc>
        <w:tc>
          <w:tcPr>
            <w:tcW w:w="34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w w:val="89"/>
              </w:rPr>
              <w:t>2008</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2009</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w w:val="94"/>
              </w:rPr>
              <w:t>2008</w:t>
            </w:r>
          </w:p>
        </w:tc>
        <w:tc>
          <w:tcPr>
            <w:tcW w:w="120" w:type="dxa"/>
            <w:vAlign w:val="bottom"/>
          </w:tcPr>
          <w:p>
            <w:pPr>
              <w:spacing w:after="0"/>
              <w:rPr>
                <w:sz w:val="21"/>
                <w:szCs w:val="21"/>
                <w:color w:val="auto"/>
              </w:rPr>
            </w:pPr>
          </w:p>
        </w:tc>
      </w:tr>
      <w:tr>
        <w:trPr>
          <w:trHeight w:val="243"/>
        </w:trPr>
        <w:tc>
          <w:tcPr>
            <w:tcW w:w="5660" w:type="dxa"/>
            <w:vAlign w:val="bottom"/>
            <w:shd w:val="clear" w:color="auto" w:fill="EAF9E8"/>
          </w:tcPr>
          <w:p>
            <w:pPr>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EAF9E8"/>
          </w:tcPr>
          <w:p>
            <w:pPr>
              <w:spacing w:after="0"/>
              <w:rPr>
                <w:sz w:val="21"/>
                <w:szCs w:val="21"/>
                <w:color w:val="auto"/>
              </w:rPr>
            </w:pPr>
          </w:p>
        </w:tc>
        <w:tc>
          <w:tcPr>
            <w:tcW w:w="920" w:type="dxa"/>
            <w:vAlign w:val="bottom"/>
            <w:shd w:val="clear" w:color="auto" w:fill="EAF9E8"/>
          </w:tcPr>
          <w:p>
            <w:pPr>
              <w:spacing w:after="0"/>
              <w:rPr>
                <w:sz w:val="21"/>
                <w:szCs w:val="21"/>
                <w:color w:val="auto"/>
              </w:rPr>
            </w:pPr>
          </w:p>
        </w:tc>
        <w:tc>
          <w:tcPr>
            <w:tcW w:w="340" w:type="dxa"/>
            <w:vAlign w:val="bottom"/>
            <w:shd w:val="clear" w:color="auto" w:fill="EAF9E8"/>
          </w:tcPr>
          <w:p>
            <w:pPr>
              <w:spacing w:after="0"/>
              <w:rPr>
                <w:sz w:val="21"/>
                <w:szCs w:val="21"/>
                <w:color w:val="auto"/>
              </w:rPr>
            </w:pPr>
          </w:p>
        </w:tc>
        <w:tc>
          <w:tcPr>
            <w:tcW w:w="360" w:type="dxa"/>
            <w:vAlign w:val="bottom"/>
            <w:shd w:val="clear" w:color="auto" w:fill="EAF9E8"/>
          </w:tcPr>
          <w:p>
            <w:pPr>
              <w:spacing w:after="0"/>
              <w:rPr>
                <w:sz w:val="21"/>
                <w:szCs w:val="21"/>
                <w:color w:val="auto"/>
              </w:rPr>
            </w:pPr>
          </w:p>
        </w:tc>
        <w:tc>
          <w:tcPr>
            <w:tcW w:w="780" w:type="dxa"/>
            <w:vAlign w:val="bottom"/>
            <w:shd w:val="clear" w:color="auto" w:fill="EAF9E8"/>
          </w:tcPr>
          <w:p>
            <w:pPr>
              <w:spacing w:after="0"/>
              <w:rPr>
                <w:sz w:val="21"/>
                <w:szCs w:val="21"/>
                <w:color w:val="auto"/>
              </w:rPr>
            </w:pPr>
          </w:p>
        </w:tc>
        <w:tc>
          <w:tcPr>
            <w:tcW w:w="20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240" w:type="dxa"/>
            <w:vAlign w:val="bottom"/>
            <w:shd w:val="clear" w:color="auto" w:fill="EAF9E8"/>
          </w:tcPr>
          <w:p>
            <w:pPr>
              <w:spacing w:after="0"/>
              <w:rPr>
                <w:sz w:val="21"/>
                <w:szCs w:val="21"/>
                <w:color w:val="auto"/>
              </w:rPr>
            </w:pPr>
          </w:p>
        </w:tc>
        <w:tc>
          <w:tcPr>
            <w:tcW w:w="900" w:type="dxa"/>
            <w:vAlign w:val="bottom"/>
            <w:shd w:val="clear" w:color="auto" w:fill="EAF9E8"/>
          </w:tcPr>
          <w:p>
            <w:pPr>
              <w:spacing w:after="0"/>
              <w:rPr>
                <w:sz w:val="21"/>
                <w:szCs w:val="21"/>
                <w:color w:val="auto"/>
              </w:rPr>
            </w:pPr>
          </w:p>
        </w:tc>
        <w:tc>
          <w:tcPr>
            <w:tcW w:w="20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360" w:type="dxa"/>
            <w:vAlign w:val="bottom"/>
            <w:shd w:val="clear" w:color="auto" w:fill="EAF9E8"/>
          </w:tcPr>
          <w:p>
            <w:pPr>
              <w:spacing w:after="0"/>
              <w:rPr>
                <w:sz w:val="21"/>
                <w:szCs w:val="21"/>
                <w:color w:val="auto"/>
              </w:rPr>
            </w:pPr>
          </w:p>
        </w:tc>
        <w:tc>
          <w:tcPr>
            <w:tcW w:w="82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r>
      <w:tr>
        <w:trPr>
          <w:trHeight w:val="242"/>
        </w:trPr>
        <w:tc>
          <w:tcPr>
            <w:tcW w:w="5660" w:type="dxa"/>
            <w:vAlign w:val="bottom"/>
          </w:tcPr>
          <w:p>
            <w:pPr>
              <w:ind w:left="160"/>
              <w:spacing w:after="0"/>
              <w:rPr>
                <w:sz w:val="20"/>
                <w:szCs w:val="20"/>
                <w:color w:val="auto"/>
              </w:rPr>
            </w:pPr>
            <w:r>
              <w:rPr>
                <w:rFonts w:ascii="Arial" w:cs="Arial" w:eastAsia="Arial" w:hAnsi="Arial"/>
                <w:sz w:val="18"/>
                <w:szCs w:val="18"/>
                <w:color w:val="auto"/>
              </w:rPr>
              <w:t>Servicing and subservicing fees</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52,968</w:t>
            </w:r>
          </w:p>
        </w:tc>
        <w:tc>
          <w:tcPr>
            <w:tcW w:w="340" w:type="dxa"/>
            <w:vAlign w:val="bottom"/>
          </w:tcPr>
          <w:p>
            <w:pPr>
              <w:spacing w:after="0"/>
              <w:rPr>
                <w:sz w:val="21"/>
                <w:szCs w:val="21"/>
                <w:color w:val="auto"/>
              </w:rPr>
            </w:pPr>
          </w:p>
        </w:tc>
        <w:tc>
          <w:tcPr>
            <w:tcW w:w="360" w:type="dxa"/>
            <w:vAlign w:val="bottom"/>
          </w:tcPr>
          <w:p>
            <w:pPr>
              <w:jc w:val="right"/>
              <w:ind w:right="203"/>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76,112</w:t>
            </w:r>
          </w:p>
        </w:tc>
        <w:tc>
          <w:tcPr>
            <w:tcW w:w="200" w:type="dxa"/>
            <w:vAlign w:val="bottom"/>
          </w:tcPr>
          <w:p>
            <w:pPr>
              <w:spacing w:after="0"/>
              <w:rPr>
                <w:sz w:val="21"/>
                <w:szCs w:val="21"/>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170,846</w:t>
            </w:r>
          </w:p>
        </w:tc>
        <w:tc>
          <w:tcPr>
            <w:tcW w:w="200" w:type="dxa"/>
            <w:vAlign w:val="bottom"/>
          </w:tcPr>
          <w:p>
            <w:pPr>
              <w:spacing w:after="0"/>
              <w:rPr>
                <w:sz w:val="21"/>
                <w:szCs w:val="21"/>
                <w:color w:val="auto"/>
              </w:rPr>
            </w:pPr>
          </w:p>
        </w:tc>
        <w:tc>
          <w:tcPr>
            <w:tcW w:w="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240,041</w:t>
            </w:r>
          </w:p>
        </w:tc>
        <w:tc>
          <w:tcPr>
            <w:tcW w:w="120" w:type="dxa"/>
            <w:vAlign w:val="bottom"/>
          </w:tcPr>
          <w:p>
            <w:pPr>
              <w:spacing w:after="0"/>
              <w:rPr>
                <w:sz w:val="21"/>
                <w:szCs w:val="21"/>
                <w:color w:val="auto"/>
              </w:rPr>
            </w:pPr>
          </w:p>
        </w:tc>
      </w:tr>
      <w:tr>
        <w:trPr>
          <w:trHeight w:val="244"/>
        </w:trPr>
        <w:tc>
          <w:tcPr>
            <w:tcW w:w="5660" w:type="dxa"/>
            <w:vAlign w:val="bottom"/>
            <w:shd w:val="clear" w:color="auto" w:fill="EAF9E8"/>
          </w:tcPr>
          <w:p>
            <w:pPr>
              <w:ind w:left="160"/>
              <w:spacing w:after="0"/>
              <w:rPr>
                <w:sz w:val="20"/>
                <w:szCs w:val="20"/>
                <w:color w:val="auto"/>
              </w:rPr>
            </w:pPr>
            <w:r>
              <w:rPr>
                <w:rFonts w:ascii="Arial" w:cs="Arial" w:eastAsia="Arial" w:hAnsi="Arial"/>
                <w:sz w:val="18"/>
                <w:szCs w:val="18"/>
                <w:color w:val="auto"/>
              </w:rPr>
              <w:t>Process management fees and Other</w:t>
            </w:r>
          </w:p>
        </w:tc>
        <w:tc>
          <w:tcPr>
            <w:tcW w:w="240" w:type="dxa"/>
            <w:vAlign w:val="bottom"/>
            <w:shd w:val="clear" w:color="auto" w:fill="EAF9E8"/>
          </w:tcPr>
          <w:p>
            <w:pPr>
              <w:spacing w:after="0"/>
              <w:rPr>
                <w:sz w:val="21"/>
                <w:szCs w:val="21"/>
                <w:color w:val="auto"/>
              </w:rPr>
            </w:pP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9,150</w:t>
            </w:r>
          </w:p>
        </w:tc>
        <w:tc>
          <w:tcPr>
            <w:tcW w:w="340" w:type="dxa"/>
            <w:vAlign w:val="bottom"/>
            <w:shd w:val="clear" w:color="auto" w:fill="EAF9E8"/>
          </w:tcPr>
          <w:p>
            <w:pPr>
              <w:spacing w:after="0"/>
              <w:rPr>
                <w:sz w:val="21"/>
                <w:szCs w:val="21"/>
                <w:color w:val="auto"/>
              </w:rPr>
            </w:pPr>
          </w:p>
        </w:tc>
        <w:tc>
          <w:tcPr>
            <w:tcW w:w="360" w:type="dxa"/>
            <w:vAlign w:val="bottom"/>
            <w:shd w:val="clear" w:color="auto" w:fill="EAF9E8"/>
          </w:tcPr>
          <w:p>
            <w:pPr>
              <w:spacing w:after="0"/>
              <w:rPr>
                <w:sz w:val="21"/>
                <w:szCs w:val="21"/>
                <w:color w:val="auto"/>
              </w:rPr>
            </w:pPr>
          </w:p>
        </w:tc>
        <w:tc>
          <w:tcPr>
            <w:tcW w:w="7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9,946</w:t>
            </w:r>
          </w:p>
        </w:tc>
        <w:tc>
          <w:tcPr>
            <w:tcW w:w="20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240" w:type="dxa"/>
            <w:vAlign w:val="bottom"/>
            <w:shd w:val="clear" w:color="auto" w:fill="EAF9E8"/>
          </w:tcPr>
          <w:p>
            <w:pPr>
              <w:spacing w:after="0"/>
              <w:rPr>
                <w:sz w:val="21"/>
                <w:szCs w:val="21"/>
                <w:color w:val="auto"/>
              </w:rPr>
            </w:pPr>
          </w:p>
        </w:tc>
        <w:tc>
          <w:tcPr>
            <w:tcW w:w="9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28,693</w:t>
            </w:r>
          </w:p>
        </w:tc>
        <w:tc>
          <w:tcPr>
            <w:tcW w:w="20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360" w:type="dxa"/>
            <w:vAlign w:val="bottom"/>
            <w:shd w:val="clear" w:color="auto" w:fill="EAF9E8"/>
          </w:tcPr>
          <w:p>
            <w:pPr>
              <w:spacing w:after="0"/>
              <w:rPr>
                <w:sz w:val="21"/>
                <w:szCs w:val="21"/>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24,944</w:t>
            </w:r>
          </w:p>
        </w:tc>
        <w:tc>
          <w:tcPr>
            <w:tcW w:w="120" w:type="dxa"/>
            <w:vAlign w:val="bottom"/>
            <w:shd w:val="clear" w:color="auto" w:fill="EAF9E8"/>
          </w:tcPr>
          <w:p>
            <w:pPr>
              <w:spacing w:after="0"/>
              <w:rPr>
                <w:sz w:val="21"/>
                <w:szCs w:val="21"/>
                <w:color w:val="auto"/>
              </w:rPr>
            </w:pPr>
          </w:p>
        </w:tc>
      </w:tr>
      <w:tr>
        <w:trPr>
          <w:trHeight w:val="20"/>
        </w:trPr>
        <w:tc>
          <w:tcPr>
            <w:tcW w:w="5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7"/>
        </w:trPr>
        <w:tc>
          <w:tcPr>
            <w:tcW w:w="5660" w:type="dxa"/>
            <w:vAlign w:val="bottom"/>
          </w:tcPr>
          <w:p>
            <w:pPr>
              <w:ind w:left="320"/>
              <w:spacing w:after="0"/>
              <w:rPr>
                <w:sz w:val="20"/>
                <w:szCs w:val="20"/>
                <w:color w:val="auto"/>
              </w:rPr>
            </w:pPr>
            <w:r>
              <w:rPr>
                <w:rFonts w:ascii="Arial" w:cs="Arial" w:eastAsia="Arial" w:hAnsi="Arial"/>
                <w:sz w:val="18"/>
                <w:szCs w:val="18"/>
                <w:color w:val="auto"/>
              </w:rPr>
              <w:t>Total revenue</w:t>
            </w:r>
          </w:p>
        </w:tc>
        <w:tc>
          <w:tcPr>
            <w:tcW w:w="240" w:type="dxa"/>
            <w:vAlign w:val="bottom"/>
          </w:tcPr>
          <w:p>
            <w:pPr>
              <w:spacing w:after="0"/>
              <w:rPr>
                <w:sz w:val="20"/>
                <w:szCs w:val="20"/>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62,118</w:t>
            </w:r>
          </w:p>
        </w:tc>
        <w:tc>
          <w:tcPr>
            <w:tcW w:w="3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86,058</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199,539</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264,985</w:t>
            </w:r>
          </w:p>
        </w:tc>
        <w:tc>
          <w:tcPr>
            <w:tcW w:w="120" w:type="dxa"/>
            <w:vAlign w:val="bottom"/>
          </w:tcPr>
          <w:p>
            <w:pPr>
              <w:spacing w:after="0"/>
              <w:rPr>
                <w:sz w:val="20"/>
                <w:szCs w:val="20"/>
                <w:color w:val="auto"/>
              </w:rPr>
            </w:pPr>
          </w:p>
        </w:tc>
      </w:tr>
      <w:tr>
        <w:trPr>
          <w:trHeight w:val="243"/>
        </w:trPr>
        <w:tc>
          <w:tcPr>
            <w:tcW w:w="566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r>
      <w:tr>
        <w:trPr>
          <w:trHeight w:val="243"/>
        </w:trPr>
        <w:tc>
          <w:tcPr>
            <w:tcW w:w="5660" w:type="dxa"/>
            <w:vAlign w:val="bottom"/>
            <w:shd w:val="clear" w:color="auto" w:fill="EAF9E8"/>
          </w:tcPr>
          <w:p>
            <w:pPr>
              <w:spacing w:after="0"/>
              <w:rPr>
                <w:sz w:val="20"/>
                <w:szCs w:val="20"/>
                <w:color w:val="auto"/>
              </w:rPr>
            </w:pPr>
            <w:r>
              <w:rPr>
                <w:rFonts w:ascii="Arial" w:cs="Arial" w:eastAsia="Arial" w:hAnsi="Arial"/>
                <w:sz w:val="18"/>
                <w:szCs w:val="18"/>
                <w:color w:val="auto"/>
              </w:rPr>
              <w:t>Operating expenses:</w:t>
            </w:r>
          </w:p>
        </w:tc>
        <w:tc>
          <w:tcPr>
            <w:tcW w:w="240" w:type="dxa"/>
            <w:vAlign w:val="bottom"/>
            <w:shd w:val="clear" w:color="auto" w:fill="EAF9E8"/>
          </w:tcPr>
          <w:p>
            <w:pPr>
              <w:spacing w:after="0"/>
              <w:rPr>
                <w:sz w:val="21"/>
                <w:szCs w:val="21"/>
                <w:color w:val="auto"/>
              </w:rPr>
            </w:pPr>
          </w:p>
        </w:tc>
        <w:tc>
          <w:tcPr>
            <w:tcW w:w="920" w:type="dxa"/>
            <w:vAlign w:val="bottom"/>
            <w:shd w:val="clear" w:color="auto" w:fill="EAF9E8"/>
          </w:tcPr>
          <w:p>
            <w:pPr>
              <w:spacing w:after="0"/>
              <w:rPr>
                <w:sz w:val="21"/>
                <w:szCs w:val="21"/>
                <w:color w:val="auto"/>
              </w:rPr>
            </w:pPr>
          </w:p>
        </w:tc>
        <w:tc>
          <w:tcPr>
            <w:tcW w:w="340" w:type="dxa"/>
            <w:vAlign w:val="bottom"/>
            <w:shd w:val="clear" w:color="auto" w:fill="EAF9E8"/>
          </w:tcPr>
          <w:p>
            <w:pPr>
              <w:spacing w:after="0"/>
              <w:rPr>
                <w:sz w:val="21"/>
                <w:szCs w:val="21"/>
                <w:color w:val="auto"/>
              </w:rPr>
            </w:pPr>
          </w:p>
        </w:tc>
        <w:tc>
          <w:tcPr>
            <w:tcW w:w="360" w:type="dxa"/>
            <w:vAlign w:val="bottom"/>
            <w:shd w:val="clear" w:color="auto" w:fill="EAF9E8"/>
          </w:tcPr>
          <w:p>
            <w:pPr>
              <w:spacing w:after="0"/>
              <w:rPr>
                <w:sz w:val="21"/>
                <w:szCs w:val="21"/>
                <w:color w:val="auto"/>
              </w:rPr>
            </w:pPr>
          </w:p>
        </w:tc>
        <w:tc>
          <w:tcPr>
            <w:tcW w:w="780" w:type="dxa"/>
            <w:vAlign w:val="bottom"/>
            <w:shd w:val="clear" w:color="auto" w:fill="EAF9E8"/>
          </w:tcPr>
          <w:p>
            <w:pPr>
              <w:spacing w:after="0"/>
              <w:rPr>
                <w:sz w:val="21"/>
                <w:szCs w:val="21"/>
                <w:color w:val="auto"/>
              </w:rPr>
            </w:pPr>
          </w:p>
        </w:tc>
        <w:tc>
          <w:tcPr>
            <w:tcW w:w="20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240" w:type="dxa"/>
            <w:vAlign w:val="bottom"/>
            <w:shd w:val="clear" w:color="auto" w:fill="EAF9E8"/>
          </w:tcPr>
          <w:p>
            <w:pPr>
              <w:spacing w:after="0"/>
              <w:rPr>
                <w:sz w:val="21"/>
                <w:szCs w:val="21"/>
                <w:color w:val="auto"/>
              </w:rPr>
            </w:pPr>
          </w:p>
        </w:tc>
        <w:tc>
          <w:tcPr>
            <w:tcW w:w="900" w:type="dxa"/>
            <w:vAlign w:val="bottom"/>
            <w:shd w:val="clear" w:color="auto" w:fill="EAF9E8"/>
          </w:tcPr>
          <w:p>
            <w:pPr>
              <w:spacing w:after="0"/>
              <w:rPr>
                <w:sz w:val="21"/>
                <w:szCs w:val="21"/>
                <w:color w:val="auto"/>
              </w:rPr>
            </w:pPr>
          </w:p>
        </w:tc>
        <w:tc>
          <w:tcPr>
            <w:tcW w:w="20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360" w:type="dxa"/>
            <w:vAlign w:val="bottom"/>
            <w:shd w:val="clear" w:color="auto" w:fill="EAF9E8"/>
          </w:tcPr>
          <w:p>
            <w:pPr>
              <w:spacing w:after="0"/>
              <w:rPr>
                <w:sz w:val="21"/>
                <w:szCs w:val="21"/>
                <w:color w:val="auto"/>
              </w:rPr>
            </w:pPr>
          </w:p>
        </w:tc>
        <w:tc>
          <w:tcPr>
            <w:tcW w:w="82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r>
      <w:tr>
        <w:trPr>
          <w:trHeight w:val="242"/>
        </w:trPr>
        <w:tc>
          <w:tcPr>
            <w:tcW w:w="5660" w:type="dxa"/>
            <w:vAlign w:val="bottom"/>
          </w:tcPr>
          <w:p>
            <w:pPr>
              <w:ind w:left="160"/>
              <w:spacing w:after="0"/>
              <w:rPr>
                <w:sz w:val="20"/>
                <w:szCs w:val="20"/>
                <w:color w:val="auto"/>
              </w:rPr>
            </w:pPr>
            <w:r>
              <w:rPr>
                <w:rFonts w:ascii="Arial" w:cs="Arial" w:eastAsia="Arial" w:hAnsi="Arial"/>
                <w:sz w:val="18"/>
                <w:szCs w:val="18"/>
                <w:color w:val="auto"/>
              </w:rPr>
              <w:t>Compensation and benefits</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7,754</w:t>
            </w: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10,656</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24,100</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31,986</w:t>
            </w:r>
          </w:p>
        </w:tc>
        <w:tc>
          <w:tcPr>
            <w:tcW w:w="120" w:type="dxa"/>
            <w:vAlign w:val="bottom"/>
          </w:tcPr>
          <w:p>
            <w:pPr>
              <w:spacing w:after="0"/>
              <w:rPr>
                <w:sz w:val="21"/>
                <w:szCs w:val="21"/>
                <w:color w:val="auto"/>
              </w:rPr>
            </w:pPr>
          </w:p>
        </w:tc>
      </w:tr>
      <w:tr>
        <w:trPr>
          <w:trHeight w:val="244"/>
        </w:trPr>
        <w:tc>
          <w:tcPr>
            <w:tcW w:w="5660" w:type="dxa"/>
            <w:vAlign w:val="bottom"/>
            <w:shd w:val="clear" w:color="auto" w:fill="EAF9E8"/>
          </w:tcPr>
          <w:p>
            <w:pPr>
              <w:ind w:left="160"/>
              <w:spacing w:after="0"/>
              <w:rPr>
                <w:sz w:val="20"/>
                <w:szCs w:val="20"/>
                <w:color w:val="auto"/>
              </w:rPr>
            </w:pPr>
            <w:r>
              <w:rPr>
                <w:rFonts w:ascii="Arial" w:cs="Arial" w:eastAsia="Arial" w:hAnsi="Arial"/>
                <w:sz w:val="18"/>
                <w:szCs w:val="18"/>
                <w:color w:val="auto"/>
              </w:rPr>
              <w:t>Amortization of servicing rights</w:t>
            </w:r>
          </w:p>
        </w:tc>
        <w:tc>
          <w:tcPr>
            <w:tcW w:w="240" w:type="dxa"/>
            <w:vAlign w:val="bottom"/>
            <w:shd w:val="clear" w:color="auto" w:fill="EAF9E8"/>
          </w:tcPr>
          <w:p>
            <w:pPr>
              <w:spacing w:after="0"/>
              <w:rPr>
                <w:sz w:val="21"/>
                <w:szCs w:val="21"/>
                <w:color w:val="auto"/>
              </w:rPr>
            </w:pP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7,159</w:t>
            </w:r>
          </w:p>
        </w:tc>
        <w:tc>
          <w:tcPr>
            <w:tcW w:w="340" w:type="dxa"/>
            <w:vAlign w:val="bottom"/>
            <w:shd w:val="clear" w:color="auto" w:fill="EAF9E8"/>
          </w:tcPr>
          <w:p>
            <w:pPr>
              <w:spacing w:after="0"/>
              <w:rPr>
                <w:sz w:val="21"/>
                <w:szCs w:val="21"/>
                <w:color w:val="auto"/>
              </w:rPr>
            </w:pPr>
          </w:p>
        </w:tc>
        <w:tc>
          <w:tcPr>
            <w:tcW w:w="360" w:type="dxa"/>
            <w:vAlign w:val="bottom"/>
            <w:shd w:val="clear" w:color="auto" w:fill="EAF9E8"/>
          </w:tcPr>
          <w:p>
            <w:pPr>
              <w:spacing w:after="0"/>
              <w:rPr>
                <w:sz w:val="21"/>
                <w:szCs w:val="21"/>
                <w:color w:val="auto"/>
              </w:rPr>
            </w:pPr>
          </w:p>
        </w:tc>
        <w:tc>
          <w:tcPr>
            <w:tcW w:w="7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12,106</w:t>
            </w:r>
          </w:p>
        </w:tc>
        <w:tc>
          <w:tcPr>
            <w:tcW w:w="20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240" w:type="dxa"/>
            <w:vAlign w:val="bottom"/>
            <w:shd w:val="clear" w:color="auto" w:fill="EAF9E8"/>
          </w:tcPr>
          <w:p>
            <w:pPr>
              <w:spacing w:after="0"/>
              <w:rPr>
                <w:sz w:val="21"/>
                <w:szCs w:val="21"/>
                <w:color w:val="auto"/>
              </w:rPr>
            </w:pPr>
          </w:p>
        </w:tc>
        <w:tc>
          <w:tcPr>
            <w:tcW w:w="9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25,743</w:t>
            </w:r>
          </w:p>
        </w:tc>
        <w:tc>
          <w:tcPr>
            <w:tcW w:w="20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360" w:type="dxa"/>
            <w:vAlign w:val="bottom"/>
            <w:shd w:val="clear" w:color="auto" w:fill="EAF9E8"/>
          </w:tcPr>
          <w:p>
            <w:pPr>
              <w:spacing w:after="0"/>
              <w:rPr>
                <w:sz w:val="21"/>
                <w:szCs w:val="21"/>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40,438</w:t>
            </w:r>
          </w:p>
        </w:tc>
        <w:tc>
          <w:tcPr>
            <w:tcW w:w="120" w:type="dxa"/>
            <w:vAlign w:val="bottom"/>
            <w:shd w:val="clear" w:color="auto" w:fill="EAF9E8"/>
          </w:tcPr>
          <w:p>
            <w:pPr>
              <w:spacing w:after="0"/>
              <w:rPr>
                <w:sz w:val="21"/>
                <w:szCs w:val="21"/>
                <w:color w:val="auto"/>
              </w:rPr>
            </w:pPr>
          </w:p>
        </w:tc>
      </w:tr>
      <w:tr>
        <w:trPr>
          <w:trHeight w:val="242"/>
        </w:trPr>
        <w:tc>
          <w:tcPr>
            <w:tcW w:w="5660" w:type="dxa"/>
            <w:vAlign w:val="bottom"/>
          </w:tcPr>
          <w:p>
            <w:pPr>
              <w:ind w:left="160"/>
              <w:spacing w:after="0"/>
              <w:rPr>
                <w:sz w:val="20"/>
                <w:szCs w:val="20"/>
                <w:color w:val="auto"/>
              </w:rPr>
            </w:pPr>
            <w:r>
              <w:rPr>
                <w:rFonts w:ascii="Arial" w:cs="Arial" w:eastAsia="Arial" w:hAnsi="Arial"/>
                <w:sz w:val="18"/>
                <w:szCs w:val="18"/>
                <w:color w:val="auto"/>
              </w:rPr>
              <w:t>Servicing and origination</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1,516</w:t>
            </w: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4,089</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5,696</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10,757</w:t>
            </w:r>
          </w:p>
        </w:tc>
        <w:tc>
          <w:tcPr>
            <w:tcW w:w="120" w:type="dxa"/>
            <w:vAlign w:val="bottom"/>
          </w:tcPr>
          <w:p>
            <w:pPr>
              <w:spacing w:after="0"/>
              <w:rPr>
                <w:sz w:val="21"/>
                <w:szCs w:val="21"/>
                <w:color w:val="auto"/>
              </w:rPr>
            </w:pPr>
          </w:p>
        </w:tc>
      </w:tr>
      <w:tr>
        <w:trPr>
          <w:trHeight w:val="244"/>
        </w:trPr>
        <w:tc>
          <w:tcPr>
            <w:tcW w:w="5660" w:type="dxa"/>
            <w:vAlign w:val="bottom"/>
            <w:shd w:val="clear" w:color="auto" w:fill="EAF9E8"/>
          </w:tcPr>
          <w:p>
            <w:pPr>
              <w:ind w:left="160"/>
              <w:spacing w:after="0"/>
              <w:rPr>
                <w:sz w:val="20"/>
                <w:szCs w:val="20"/>
                <w:color w:val="auto"/>
              </w:rPr>
            </w:pPr>
            <w:r>
              <w:rPr>
                <w:rFonts w:ascii="Arial" w:cs="Arial" w:eastAsia="Arial" w:hAnsi="Arial"/>
                <w:sz w:val="18"/>
                <w:szCs w:val="18"/>
                <w:color w:val="auto"/>
              </w:rPr>
              <w:t>Technology and communications</w:t>
            </w:r>
          </w:p>
        </w:tc>
        <w:tc>
          <w:tcPr>
            <w:tcW w:w="240" w:type="dxa"/>
            <w:vAlign w:val="bottom"/>
            <w:shd w:val="clear" w:color="auto" w:fill="EAF9E8"/>
          </w:tcPr>
          <w:p>
            <w:pPr>
              <w:spacing w:after="0"/>
              <w:rPr>
                <w:sz w:val="21"/>
                <w:szCs w:val="21"/>
                <w:color w:val="auto"/>
              </w:rPr>
            </w:pP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2,993</w:t>
            </w:r>
          </w:p>
        </w:tc>
        <w:tc>
          <w:tcPr>
            <w:tcW w:w="340" w:type="dxa"/>
            <w:vAlign w:val="bottom"/>
            <w:shd w:val="clear" w:color="auto" w:fill="EAF9E8"/>
          </w:tcPr>
          <w:p>
            <w:pPr>
              <w:spacing w:after="0"/>
              <w:rPr>
                <w:sz w:val="21"/>
                <w:szCs w:val="21"/>
                <w:color w:val="auto"/>
              </w:rPr>
            </w:pPr>
          </w:p>
        </w:tc>
        <w:tc>
          <w:tcPr>
            <w:tcW w:w="360" w:type="dxa"/>
            <w:vAlign w:val="bottom"/>
            <w:shd w:val="clear" w:color="auto" w:fill="EAF9E8"/>
          </w:tcPr>
          <w:p>
            <w:pPr>
              <w:spacing w:after="0"/>
              <w:rPr>
                <w:sz w:val="21"/>
                <w:szCs w:val="21"/>
                <w:color w:val="auto"/>
              </w:rPr>
            </w:pPr>
          </w:p>
        </w:tc>
        <w:tc>
          <w:tcPr>
            <w:tcW w:w="7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3,445</w:t>
            </w:r>
          </w:p>
        </w:tc>
        <w:tc>
          <w:tcPr>
            <w:tcW w:w="20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240" w:type="dxa"/>
            <w:vAlign w:val="bottom"/>
            <w:shd w:val="clear" w:color="auto" w:fill="EAF9E8"/>
          </w:tcPr>
          <w:p>
            <w:pPr>
              <w:spacing w:after="0"/>
              <w:rPr>
                <w:sz w:val="21"/>
                <w:szCs w:val="21"/>
                <w:color w:val="auto"/>
              </w:rPr>
            </w:pPr>
          </w:p>
        </w:tc>
        <w:tc>
          <w:tcPr>
            <w:tcW w:w="9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8,961</w:t>
            </w:r>
          </w:p>
        </w:tc>
        <w:tc>
          <w:tcPr>
            <w:tcW w:w="20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360" w:type="dxa"/>
            <w:vAlign w:val="bottom"/>
            <w:shd w:val="clear" w:color="auto" w:fill="EAF9E8"/>
          </w:tcPr>
          <w:p>
            <w:pPr>
              <w:spacing w:after="0"/>
              <w:rPr>
                <w:sz w:val="21"/>
                <w:szCs w:val="21"/>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9,208</w:t>
            </w:r>
          </w:p>
        </w:tc>
        <w:tc>
          <w:tcPr>
            <w:tcW w:w="120" w:type="dxa"/>
            <w:vAlign w:val="bottom"/>
            <w:shd w:val="clear" w:color="auto" w:fill="EAF9E8"/>
          </w:tcPr>
          <w:p>
            <w:pPr>
              <w:spacing w:after="0"/>
              <w:rPr>
                <w:sz w:val="21"/>
                <w:szCs w:val="21"/>
                <w:color w:val="auto"/>
              </w:rPr>
            </w:pPr>
          </w:p>
        </w:tc>
      </w:tr>
      <w:tr>
        <w:trPr>
          <w:trHeight w:val="242"/>
        </w:trPr>
        <w:tc>
          <w:tcPr>
            <w:tcW w:w="5660" w:type="dxa"/>
            <w:vAlign w:val="bottom"/>
          </w:tcPr>
          <w:p>
            <w:pPr>
              <w:ind w:left="160"/>
              <w:spacing w:after="0"/>
              <w:rPr>
                <w:sz w:val="20"/>
                <w:szCs w:val="20"/>
                <w:color w:val="auto"/>
              </w:rPr>
            </w:pPr>
            <w:r>
              <w:rPr>
                <w:rFonts w:ascii="Arial" w:cs="Arial" w:eastAsia="Arial" w:hAnsi="Arial"/>
                <w:sz w:val="18"/>
                <w:szCs w:val="18"/>
                <w:color w:val="auto"/>
              </w:rPr>
              <w:t>Professional services</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1,783</w:t>
            </w: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2,643</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6,402</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8,044</w:t>
            </w:r>
          </w:p>
        </w:tc>
        <w:tc>
          <w:tcPr>
            <w:tcW w:w="120" w:type="dxa"/>
            <w:vAlign w:val="bottom"/>
          </w:tcPr>
          <w:p>
            <w:pPr>
              <w:spacing w:after="0"/>
              <w:rPr>
                <w:sz w:val="21"/>
                <w:szCs w:val="21"/>
                <w:color w:val="auto"/>
              </w:rPr>
            </w:pPr>
          </w:p>
        </w:tc>
      </w:tr>
      <w:tr>
        <w:trPr>
          <w:trHeight w:val="244"/>
        </w:trPr>
        <w:tc>
          <w:tcPr>
            <w:tcW w:w="5660" w:type="dxa"/>
            <w:vAlign w:val="bottom"/>
            <w:shd w:val="clear" w:color="auto" w:fill="EAF9E8"/>
          </w:tcPr>
          <w:p>
            <w:pPr>
              <w:ind w:left="160"/>
              <w:spacing w:after="0"/>
              <w:rPr>
                <w:sz w:val="20"/>
                <w:szCs w:val="20"/>
                <w:color w:val="auto"/>
              </w:rPr>
            </w:pPr>
            <w:r>
              <w:rPr>
                <w:rFonts w:ascii="Arial" w:cs="Arial" w:eastAsia="Arial" w:hAnsi="Arial"/>
                <w:sz w:val="18"/>
                <w:szCs w:val="18"/>
                <w:color w:val="auto"/>
              </w:rPr>
              <w:t>Occupancy and equipment</w:t>
            </w:r>
          </w:p>
        </w:tc>
        <w:tc>
          <w:tcPr>
            <w:tcW w:w="240" w:type="dxa"/>
            <w:vAlign w:val="bottom"/>
            <w:shd w:val="clear" w:color="auto" w:fill="EAF9E8"/>
          </w:tcPr>
          <w:p>
            <w:pPr>
              <w:spacing w:after="0"/>
              <w:rPr>
                <w:sz w:val="21"/>
                <w:szCs w:val="21"/>
                <w:color w:val="auto"/>
              </w:rPr>
            </w:pP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2,537</w:t>
            </w:r>
          </w:p>
        </w:tc>
        <w:tc>
          <w:tcPr>
            <w:tcW w:w="340" w:type="dxa"/>
            <w:vAlign w:val="bottom"/>
            <w:shd w:val="clear" w:color="auto" w:fill="EAF9E8"/>
          </w:tcPr>
          <w:p>
            <w:pPr>
              <w:spacing w:after="0"/>
              <w:rPr>
                <w:sz w:val="21"/>
                <w:szCs w:val="21"/>
                <w:color w:val="auto"/>
              </w:rPr>
            </w:pPr>
          </w:p>
        </w:tc>
        <w:tc>
          <w:tcPr>
            <w:tcW w:w="360" w:type="dxa"/>
            <w:vAlign w:val="bottom"/>
            <w:shd w:val="clear" w:color="auto" w:fill="EAF9E8"/>
          </w:tcPr>
          <w:p>
            <w:pPr>
              <w:spacing w:after="0"/>
              <w:rPr>
                <w:sz w:val="21"/>
                <w:szCs w:val="21"/>
                <w:color w:val="auto"/>
              </w:rPr>
            </w:pPr>
          </w:p>
        </w:tc>
        <w:tc>
          <w:tcPr>
            <w:tcW w:w="7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2,218</w:t>
            </w:r>
          </w:p>
        </w:tc>
        <w:tc>
          <w:tcPr>
            <w:tcW w:w="20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240" w:type="dxa"/>
            <w:vAlign w:val="bottom"/>
            <w:shd w:val="clear" w:color="auto" w:fill="EAF9E8"/>
          </w:tcPr>
          <w:p>
            <w:pPr>
              <w:spacing w:after="0"/>
              <w:rPr>
                <w:sz w:val="21"/>
                <w:szCs w:val="21"/>
                <w:color w:val="auto"/>
              </w:rPr>
            </w:pPr>
          </w:p>
        </w:tc>
        <w:tc>
          <w:tcPr>
            <w:tcW w:w="9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7,542</w:t>
            </w:r>
          </w:p>
        </w:tc>
        <w:tc>
          <w:tcPr>
            <w:tcW w:w="20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360" w:type="dxa"/>
            <w:vAlign w:val="bottom"/>
            <w:shd w:val="clear" w:color="auto" w:fill="EAF9E8"/>
          </w:tcPr>
          <w:p>
            <w:pPr>
              <w:spacing w:after="0"/>
              <w:rPr>
                <w:sz w:val="21"/>
                <w:szCs w:val="21"/>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8,678</w:t>
            </w:r>
          </w:p>
        </w:tc>
        <w:tc>
          <w:tcPr>
            <w:tcW w:w="120" w:type="dxa"/>
            <w:vAlign w:val="bottom"/>
            <w:shd w:val="clear" w:color="auto" w:fill="EAF9E8"/>
          </w:tcPr>
          <w:p>
            <w:pPr>
              <w:spacing w:after="0"/>
              <w:rPr>
                <w:sz w:val="21"/>
                <w:szCs w:val="21"/>
                <w:color w:val="auto"/>
              </w:rPr>
            </w:pPr>
          </w:p>
        </w:tc>
      </w:tr>
      <w:tr>
        <w:trPr>
          <w:trHeight w:val="250"/>
        </w:trPr>
        <w:tc>
          <w:tcPr>
            <w:tcW w:w="5660" w:type="dxa"/>
            <w:vAlign w:val="bottom"/>
          </w:tcPr>
          <w:p>
            <w:pPr>
              <w:ind w:left="16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7,007</w:t>
            </w:r>
          </w:p>
        </w:tc>
        <w:tc>
          <w:tcPr>
            <w:tcW w:w="34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5,061</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19,478</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15,782</w:t>
            </w:r>
          </w:p>
        </w:tc>
        <w:tc>
          <w:tcPr>
            <w:tcW w:w="120" w:type="dxa"/>
            <w:vAlign w:val="bottom"/>
          </w:tcPr>
          <w:p>
            <w:pPr>
              <w:spacing w:after="0"/>
              <w:rPr>
                <w:sz w:val="21"/>
                <w:szCs w:val="21"/>
                <w:color w:val="auto"/>
              </w:rPr>
            </w:pPr>
          </w:p>
        </w:tc>
      </w:tr>
      <w:tr>
        <w:trPr>
          <w:trHeight w:val="243"/>
        </w:trPr>
        <w:tc>
          <w:tcPr>
            <w:tcW w:w="5660" w:type="dxa"/>
            <w:vAlign w:val="bottom"/>
            <w:shd w:val="clear" w:color="auto" w:fill="EAF9E8"/>
          </w:tcPr>
          <w:p>
            <w:pPr>
              <w:ind w:left="320"/>
              <w:spacing w:after="0"/>
              <w:rPr>
                <w:sz w:val="20"/>
                <w:szCs w:val="20"/>
                <w:color w:val="auto"/>
              </w:rPr>
            </w:pPr>
            <w:r>
              <w:rPr>
                <w:rFonts w:ascii="Arial" w:cs="Arial" w:eastAsia="Arial" w:hAnsi="Arial"/>
                <w:sz w:val="18"/>
                <w:szCs w:val="18"/>
                <w:color w:val="auto"/>
              </w:rPr>
              <w:t>Total operating expenses</w:t>
            </w:r>
          </w:p>
        </w:tc>
        <w:tc>
          <w:tcPr>
            <w:tcW w:w="240" w:type="dxa"/>
            <w:vAlign w:val="bottom"/>
            <w:shd w:val="clear" w:color="auto" w:fill="EAF9E8"/>
          </w:tcPr>
          <w:p>
            <w:pPr>
              <w:spacing w:after="0"/>
              <w:rPr>
                <w:sz w:val="21"/>
                <w:szCs w:val="21"/>
                <w:color w:val="auto"/>
              </w:rPr>
            </w:pP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30,749</w:t>
            </w:r>
          </w:p>
        </w:tc>
        <w:tc>
          <w:tcPr>
            <w:tcW w:w="340" w:type="dxa"/>
            <w:vAlign w:val="bottom"/>
            <w:shd w:val="clear" w:color="auto" w:fill="EAF9E8"/>
          </w:tcPr>
          <w:p>
            <w:pPr>
              <w:spacing w:after="0"/>
              <w:rPr>
                <w:sz w:val="21"/>
                <w:szCs w:val="21"/>
                <w:color w:val="auto"/>
              </w:rPr>
            </w:pPr>
          </w:p>
        </w:tc>
        <w:tc>
          <w:tcPr>
            <w:tcW w:w="360" w:type="dxa"/>
            <w:vAlign w:val="bottom"/>
            <w:shd w:val="clear" w:color="auto" w:fill="EAF9E8"/>
          </w:tcPr>
          <w:p>
            <w:pPr>
              <w:spacing w:after="0"/>
              <w:rPr>
                <w:sz w:val="21"/>
                <w:szCs w:val="21"/>
                <w:color w:val="auto"/>
              </w:rPr>
            </w:pPr>
          </w:p>
        </w:tc>
        <w:tc>
          <w:tcPr>
            <w:tcW w:w="7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40,218</w:t>
            </w:r>
          </w:p>
        </w:tc>
        <w:tc>
          <w:tcPr>
            <w:tcW w:w="20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240" w:type="dxa"/>
            <w:vAlign w:val="bottom"/>
            <w:shd w:val="clear" w:color="auto" w:fill="EAF9E8"/>
          </w:tcPr>
          <w:p>
            <w:pPr>
              <w:spacing w:after="0"/>
              <w:rPr>
                <w:sz w:val="21"/>
                <w:szCs w:val="21"/>
                <w:color w:val="auto"/>
              </w:rPr>
            </w:pPr>
          </w:p>
        </w:tc>
        <w:tc>
          <w:tcPr>
            <w:tcW w:w="9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97,922</w:t>
            </w:r>
          </w:p>
        </w:tc>
        <w:tc>
          <w:tcPr>
            <w:tcW w:w="20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360" w:type="dxa"/>
            <w:vAlign w:val="bottom"/>
            <w:shd w:val="clear" w:color="auto" w:fill="EAF9E8"/>
          </w:tcPr>
          <w:p>
            <w:pPr>
              <w:spacing w:after="0"/>
              <w:rPr>
                <w:sz w:val="21"/>
                <w:szCs w:val="21"/>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124,893</w:t>
            </w:r>
          </w:p>
        </w:tc>
        <w:tc>
          <w:tcPr>
            <w:tcW w:w="120" w:type="dxa"/>
            <w:vAlign w:val="bottom"/>
            <w:shd w:val="clear" w:color="auto" w:fill="EAF9E8"/>
          </w:tcPr>
          <w:p>
            <w:pPr>
              <w:spacing w:after="0"/>
              <w:rPr>
                <w:sz w:val="21"/>
                <w:szCs w:val="21"/>
                <w:color w:val="auto"/>
              </w:rPr>
            </w:pPr>
          </w:p>
        </w:tc>
      </w:tr>
      <w:tr>
        <w:trPr>
          <w:trHeight w:val="20"/>
        </w:trPr>
        <w:tc>
          <w:tcPr>
            <w:tcW w:w="5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7"/>
        </w:trPr>
        <w:tc>
          <w:tcPr>
            <w:tcW w:w="5660" w:type="dxa"/>
            <w:vAlign w:val="bottom"/>
          </w:tcPr>
          <w:p>
            <w:pPr>
              <w:spacing w:after="0"/>
              <w:rPr>
                <w:sz w:val="20"/>
                <w:szCs w:val="20"/>
                <w:color w:val="auto"/>
              </w:rPr>
            </w:pPr>
            <w:r>
              <w:rPr>
                <w:rFonts w:ascii="Arial" w:cs="Arial" w:eastAsia="Arial" w:hAnsi="Arial"/>
                <w:sz w:val="18"/>
                <w:szCs w:val="18"/>
                <w:color w:val="auto"/>
              </w:rPr>
              <w:t>Income from operations</w:t>
            </w: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31,369</w:t>
            </w:r>
          </w:p>
        </w:tc>
        <w:tc>
          <w:tcPr>
            <w:tcW w:w="3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45,840</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101,617</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140,092</w:t>
            </w:r>
          </w:p>
        </w:tc>
        <w:tc>
          <w:tcPr>
            <w:tcW w:w="120" w:type="dxa"/>
            <w:vAlign w:val="bottom"/>
          </w:tcPr>
          <w:p>
            <w:pPr>
              <w:spacing w:after="0"/>
              <w:rPr>
                <w:sz w:val="20"/>
                <w:szCs w:val="20"/>
                <w:color w:val="auto"/>
              </w:rPr>
            </w:pPr>
          </w:p>
        </w:tc>
      </w:tr>
      <w:tr>
        <w:trPr>
          <w:trHeight w:val="243"/>
        </w:trPr>
        <w:tc>
          <w:tcPr>
            <w:tcW w:w="5660" w:type="dxa"/>
            <w:vAlign w:val="bottom"/>
            <w:shd w:val="clear" w:color="auto" w:fill="EAF9E8"/>
          </w:tcPr>
          <w:p>
            <w:pPr>
              <w:spacing w:after="0"/>
              <w:rPr>
                <w:sz w:val="20"/>
                <w:szCs w:val="20"/>
                <w:color w:val="auto"/>
              </w:rPr>
            </w:pPr>
            <w:r>
              <w:rPr>
                <w:rFonts w:ascii="Arial" w:cs="Arial" w:eastAsia="Arial" w:hAnsi="Arial"/>
                <w:sz w:val="18"/>
                <w:szCs w:val="18"/>
                <w:color w:val="auto"/>
              </w:rPr>
              <w:t>Other income (expense):</w:t>
            </w:r>
          </w:p>
        </w:tc>
        <w:tc>
          <w:tcPr>
            <w:tcW w:w="240" w:type="dxa"/>
            <w:vAlign w:val="bottom"/>
            <w:shd w:val="clear" w:color="auto" w:fill="EAF9E8"/>
          </w:tcPr>
          <w:p>
            <w:pPr>
              <w:spacing w:after="0"/>
              <w:rPr>
                <w:sz w:val="21"/>
                <w:szCs w:val="21"/>
                <w:color w:val="auto"/>
              </w:rPr>
            </w:pPr>
          </w:p>
        </w:tc>
        <w:tc>
          <w:tcPr>
            <w:tcW w:w="920" w:type="dxa"/>
            <w:vAlign w:val="bottom"/>
            <w:shd w:val="clear" w:color="auto" w:fill="EAF9E8"/>
          </w:tcPr>
          <w:p>
            <w:pPr>
              <w:spacing w:after="0"/>
              <w:rPr>
                <w:sz w:val="21"/>
                <w:szCs w:val="21"/>
                <w:color w:val="auto"/>
              </w:rPr>
            </w:pPr>
          </w:p>
        </w:tc>
        <w:tc>
          <w:tcPr>
            <w:tcW w:w="340" w:type="dxa"/>
            <w:vAlign w:val="bottom"/>
            <w:shd w:val="clear" w:color="auto" w:fill="EAF9E8"/>
          </w:tcPr>
          <w:p>
            <w:pPr>
              <w:spacing w:after="0"/>
              <w:rPr>
                <w:sz w:val="21"/>
                <w:szCs w:val="21"/>
                <w:color w:val="auto"/>
              </w:rPr>
            </w:pPr>
          </w:p>
        </w:tc>
        <w:tc>
          <w:tcPr>
            <w:tcW w:w="360" w:type="dxa"/>
            <w:vAlign w:val="bottom"/>
            <w:shd w:val="clear" w:color="auto" w:fill="EAF9E8"/>
          </w:tcPr>
          <w:p>
            <w:pPr>
              <w:spacing w:after="0"/>
              <w:rPr>
                <w:sz w:val="21"/>
                <w:szCs w:val="21"/>
                <w:color w:val="auto"/>
              </w:rPr>
            </w:pPr>
          </w:p>
        </w:tc>
        <w:tc>
          <w:tcPr>
            <w:tcW w:w="780" w:type="dxa"/>
            <w:vAlign w:val="bottom"/>
            <w:shd w:val="clear" w:color="auto" w:fill="EAF9E8"/>
          </w:tcPr>
          <w:p>
            <w:pPr>
              <w:spacing w:after="0"/>
              <w:rPr>
                <w:sz w:val="21"/>
                <w:szCs w:val="21"/>
                <w:color w:val="auto"/>
              </w:rPr>
            </w:pPr>
          </w:p>
        </w:tc>
        <w:tc>
          <w:tcPr>
            <w:tcW w:w="20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240" w:type="dxa"/>
            <w:vAlign w:val="bottom"/>
            <w:shd w:val="clear" w:color="auto" w:fill="EAF9E8"/>
          </w:tcPr>
          <w:p>
            <w:pPr>
              <w:spacing w:after="0"/>
              <w:rPr>
                <w:sz w:val="21"/>
                <w:szCs w:val="21"/>
                <w:color w:val="auto"/>
              </w:rPr>
            </w:pPr>
          </w:p>
        </w:tc>
        <w:tc>
          <w:tcPr>
            <w:tcW w:w="900" w:type="dxa"/>
            <w:vAlign w:val="bottom"/>
            <w:shd w:val="clear" w:color="auto" w:fill="EAF9E8"/>
          </w:tcPr>
          <w:p>
            <w:pPr>
              <w:spacing w:after="0"/>
              <w:rPr>
                <w:sz w:val="21"/>
                <w:szCs w:val="21"/>
                <w:color w:val="auto"/>
              </w:rPr>
            </w:pPr>
          </w:p>
        </w:tc>
        <w:tc>
          <w:tcPr>
            <w:tcW w:w="20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360" w:type="dxa"/>
            <w:vAlign w:val="bottom"/>
            <w:shd w:val="clear" w:color="auto" w:fill="EAF9E8"/>
          </w:tcPr>
          <w:p>
            <w:pPr>
              <w:spacing w:after="0"/>
              <w:rPr>
                <w:sz w:val="21"/>
                <w:szCs w:val="21"/>
                <w:color w:val="auto"/>
              </w:rPr>
            </w:pPr>
          </w:p>
        </w:tc>
        <w:tc>
          <w:tcPr>
            <w:tcW w:w="82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r>
      <w:tr>
        <w:trPr>
          <w:trHeight w:val="242"/>
        </w:trPr>
        <w:tc>
          <w:tcPr>
            <w:tcW w:w="5660" w:type="dxa"/>
            <w:vAlign w:val="bottom"/>
          </w:tcPr>
          <w:p>
            <w:pPr>
              <w:ind w:left="16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4"/>
        </w:trPr>
        <w:tc>
          <w:tcPr>
            <w:tcW w:w="5660" w:type="dxa"/>
            <w:vAlign w:val="bottom"/>
            <w:shd w:val="clear" w:color="auto" w:fill="EAF9E8"/>
          </w:tcPr>
          <w:p>
            <w:pPr>
              <w:ind w:left="320"/>
              <w:spacing w:after="0"/>
              <w:rPr>
                <w:sz w:val="20"/>
                <w:szCs w:val="20"/>
                <w:color w:val="auto"/>
              </w:rPr>
            </w:pPr>
            <w:r>
              <w:rPr>
                <w:rFonts w:ascii="Arial" w:cs="Arial" w:eastAsia="Arial" w:hAnsi="Arial"/>
                <w:sz w:val="18"/>
                <w:szCs w:val="18"/>
                <w:color w:val="auto"/>
              </w:rPr>
              <w:t>Match funded liabilities</w:t>
            </w:r>
          </w:p>
        </w:tc>
        <w:tc>
          <w:tcPr>
            <w:tcW w:w="240" w:type="dxa"/>
            <w:vAlign w:val="bottom"/>
            <w:shd w:val="clear" w:color="auto" w:fill="EAF9E8"/>
          </w:tcPr>
          <w:p>
            <w:pPr>
              <w:spacing w:after="0"/>
              <w:rPr>
                <w:sz w:val="21"/>
                <w:szCs w:val="21"/>
                <w:color w:val="auto"/>
              </w:rPr>
            </w:pPr>
          </w:p>
        </w:tc>
        <w:tc>
          <w:tcPr>
            <w:tcW w:w="126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(12,605)</w:t>
            </w:r>
          </w:p>
        </w:tc>
        <w:tc>
          <w:tcPr>
            <w:tcW w:w="360" w:type="dxa"/>
            <w:vAlign w:val="bottom"/>
            <w:shd w:val="clear" w:color="auto" w:fill="EAF9E8"/>
          </w:tcPr>
          <w:p>
            <w:pPr>
              <w:spacing w:after="0"/>
              <w:rPr>
                <w:sz w:val="21"/>
                <w:szCs w:val="21"/>
                <w:color w:val="auto"/>
              </w:rPr>
            </w:pPr>
          </w:p>
        </w:tc>
        <w:tc>
          <w:tcPr>
            <w:tcW w:w="98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(12,747)</w:t>
            </w:r>
          </w:p>
        </w:tc>
        <w:tc>
          <w:tcPr>
            <w:tcW w:w="140" w:type="dxa"/>
            <w:vAlign w:val="bottom"/>
            <w:shd w:val="clear" w:color="auto" w:fill="EAF9E8"/>
          </w:tcPr>
          <w:p>
            <w:pPr>
              <w:spacing w:after="0"/>
              <w:rPr>
                <w:sz w:val="21"/>
                <w:szCs w:val="21"/>
                <w:color w:val="auto"/>
              </w:rPr>
            </w:pPr>
          </w:p>
        </w:tc>
        <w:tc>
          <w:tcPr>
            <w:tcW w:w="240" w:type="dxa"/>
            <w:vAlign w:val="bottom"/>
            <w:shd w:val="clear" w:color="auto" w:fill="EAF9E8"/>
          </w:tcPr>
          <w:p>
            <w:pPr>
              <w:spacing w:after="0"/>
              <w:rPr>
                <w:sz w:val="21"/>
                <w:szCs w:val="21"/>
                <w:color w:val="auto"/>
              </w:rPr>
            </w:pPr>
          </w:p>
        </w:tc>
        <w:tc>
          <w:tcPr>
            <w:tcW w:w="110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(37,257)</w:t>
            </w:r>
          </w:p>
        </w:tc>
        <w:tc>
          <w:tcPr>
            <w:tcW w:w="140" w:type="dxa"/>
            <w:vAlign w:val="bottom"/>
            <w:shd w:val="clear" w:color="auto" w:fill="EAF9E8"/>
          </w:tcPr>
          <w:p>
            <w:pPr>
              <w:spacing w:after="0"/>
              <w:rPr>
                <w:sz w:val="21"/>
                <w:szCs w:val="21"/>
                <w:color w:val="auto"/>
              </w:rPr>
            </w:pPr>
          </w:p>
        </w:tc>
        <w:tc>
          <w:tcPr>
            <w:tcW w:w="360" w:type="dxa"/>
            <w:vAlign w:val="bottom"/>
            <w:shd w:val="clear" w:color="auto" w:fill="EAF9E8"/>
          </w:tcPr>
          <w:p>
            <w:pPr>
              <w:spacing w:after="0"/>
              <w:rPr>
                <w:sz w:val="21"/>
                <w:szCs w:val="21"/>
                <w:color w:val="auto"/>
              </w:rPr>
            </w:pPr>
          </w:p>
        </w:tc>
        <w:tc>
          <w:tcPr>
            <w:tcW w:w="94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(44,511)</w:t>
            </w:r>
          </w:p>
        </w:tc>
      </w:tr>
      <w:tr>
        <w:trPr>
          <w:trHeight w:val="242"/>
        </w:trPr>
        <w:tc>
          <w:tcPr>
            <w:tcW w:w="5660" w:type="dxa"/>
            <w:vAlign w:val="bottom"/>
          </w:tcPr>
          <w:p>
            <w:pPr>
              <w:ind w:left="320"/>
              <w:spacing w:after="0"/>
              <w:rPr>
                <w:sz w:val="20"/>
                <w:szCs w:val="20"/>
                <w:color w:val="auto"/>
              </w:rPr>
            </w:pPr>
            <w:r>
              <w:rPr>
                <w:rFonts w:ascii="Arial" w:cs="Arial" w:eastAsia="Arial" w:hAnsi="Arial"/>
                <w:sz w:val="18"/>
                <w:szCs w:val="18"/>
                <w:color w:val="auto"/>
              </w:rPr>
              <w:t>Lines of credit and other secured borrowings</w:t>
            </w:r>
          </w:p>
        </w:tc>
        <w:tc>
          <w:tcPr>
            <w:tcW w:w="240" w:type="dxa"/>
            <w:vAlign w:val="bottom"/>
          </w:tcPr>
          <w:p>
            <w:pPr>
              <w:spacing w:after="0"/>
              <w:rPr>
                <w:sz w:val="21"/>
                <w:szCs w:val="21"/>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(925)</w:t>
            </w:r>
          </w:p>
        </w:tc>
        <w:tc>
          <w:tcPr>
            <w:tcW w:w="360" w:type="dxa"/>
            <w:vAlign w:val="bottom"/>
          </w:tcPr>
          <w:p>
            <w:pPr>
              <w:spacing w:after="0"/>
              <w:rPr>
                <w:sz w:val="21"/>
                <w:szCs w:val="21"/>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(2,001)</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(3,085)</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(7,847)</w:t>
            </w:r>
          </w:p>
        </w:tc>
      </w:tr>
      <w:tr>
        <w:trPr>
          <w:trHeight w:val="244"/>
        </w:trPr>
        <w:tc>
          <w:tcPr>
            <w:tcW w:w="5660" w:type="dxa"/>
            <w:vAlign w:val="bottom"/>
            <w:shd w:val="clear" w:color="auto" w:fill="EAF9E8"/>
          </w:tcPr>
          <w:p>
            <w:pPr>
              <w:ind w:left="320"/>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EAF9E8"/>
          </w:tcPr>
          <w:p>
            <w:pPr>
              <w:spacing w:after="0"/>
              <w:rPr>
                <w:sz w:val="21"/>
                <w:szCs w:val="21"/>
                <w:color w:val="auto"/>
              </w:rPr>
            </w:pPr>
          </w:p>
        </w:tc>
        <w:tc>
          <w:tcPr>
            <w:tcW w:w="126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(1,814)</w:t>
            </w:r>
          </w:p>
        </w:tc>
        <w:tc>
          <w:tcPr>
            <w:tcW w:w="360" w:type="dxa"/>
            <w:vAlign w:val="bottom"/>
            <w:shd w:val="clear" w:color="auto" w:fill="EAF9E8"/>
          </w:tcPr>
          <w:p>
            <w:pPr>
              <w:spacing w:after="0"/>
              <w:rPr>
                <w:sz w:val="21"/>
                <w:szCs w:val="21"/>
                <w:color w:val="auto"/>
              </w:rPr>
            </w:pPr>
          </w:p>
        </w:tc>
        <w:tc>
          <w:tcPr>
            <w:tcW w:w="98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(2,153)</w:t>
            </w:r>
          </w:p>
        </w:tc>
        <w:tc>
          <w:tcPr>
            <w:tcW w:w="140" w:type="dxa"/>
            <w:vAlign w:val="bottom"/>
            <w:shd w:val="clear" w:color="auto" w:fill="EAF9E8"/>
          </w:tcPr>
          <w:p>
            <w:pPr>
              <w:spacing w:after="0"/>
              <w:rPr>
                <w:sz w:val="21"/>
                <w:szCs w:val="21"/>
                <w:color w:val="auto"/>
              </w:rPr>
            </w:pPr>
          </w:p>
        </w:tc>
        <w:tc>
          <w:tcPr>
            <w:tcW w:w="240" w:type="dxa"/>
            <w:vAlign w:val="bottom"/>
            <w:shd w:val="clear" w:color="auto" w:fill="EAF9E8"/>
          </w:tcPr>
          <w:p>
            <w:pPr>
              <w:spacing w:after="0"/>
              <w:rPr>
                <w:sz w:val="21"/>
                <w:szCs w:val="21"/>
                <w:color w:val="auto"/>
              </w:rPr>
            </w:pPr>
          </w:p>
        </w:tc>
        <w:tc>
          <w:tcPr>
            <w:tcW w:w="110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(6,487)</w:t>
            </w:r>
          </w:p>
        </w:tc>
        <w:tc>
          <w:tcPr>
            <w:tcW w:w="140" w:type="dxa"/>
            <w:vAlign w:val="bottom"/>
            <w:shd w:val="clear" w:color="auto" w:fill="EAF9E8"/>
          </w:tcPr>
          <w:p>
            <w:pPr>
              <w:spacing w:after="0"/>
              <w:rPr>
                <w:sz w:val="21"/>
                <w:szCs w:val="21"/>
                <w:color w:val="auto"/>
              </w:rPr>
            </w:pPr>
          </w:p>
        </w:tc>
        <w:tc>
          <w:tcPr>
            <w:tcW w:w="360" w:type="dxa"/>
            <w:vAlign w:val="bottom"/>
            <w:shd w:val="clear" w:color="auto" w:fill="EAF9E8"/>
          </w:tcPr>
          <w:p>
            <w:pPr>
              <w:spacing w:after="0"/>
              <w:rPr>
                <w:sz w:val="21"/>
                <w:szCs w:val="21"/>
                <w:color w:val="auto"/>
              </w:rPr>
            </w:pPr>
          </w:p>
        </w:tc>
        <w:tc>
          <w:tcPr>
            <w:tcW w:w="94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(6,383)</w:t>
            </w:r>
          </w:p>
        </w:tc>
      </w:tr>
      <w:tr>
        <w:trPr>
          <w:trHeight w:val="20"/>
        </w:trPr>
        <w:tc>
          <w:tcPr>
            <w:tcW w:w="5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9"/>
        </w:trPr>
        <w:tc>
          <w:tcPr>
            <w:tcW w:w="5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(15,344)</w:t>
            </w:r>
          </w:p>
        </w:tc>
        <w:tc>
          <w:tcPr>
            <w:tcW w:w="36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(16,901)</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(46,829)</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(58,741)</w:t>
            </w:r>
          </w:p>
        </w:tc>
      </w:tr>
      <w:tr>
        <w:trPr>
          <w:trHeight w:val="244"/>
        </w:trPr>
        <w:tc>
          <w:tcPr>
            <w:tcW w:w="5660" w:type="dxa"/>
            <w:vAlign w:val="bottom"/>
            <w:shd w:val="clear" w:color="auto" w:fill="EAF9E8"/>
          </w:tcPr>
          <w:p>
            <w:pPr>
              <w:ind w:left="160"/>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EAF9E8"/>
          </w:tcPr>
          <w:p>
            <w:pPr>
              <w:spacing w:after="0"/>
              <w:rPr>
                <w:sz w:val="21"/>
                <w:szCs w:val="21"/>
                <w:color w:val="auto"/>
              </w:rPr>
            </w:pP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1,656</w:t>
            </w:r>
          </w:p>
        </w:tc>
        <w:tc>
          <w:tcPr>
            <w:tcW w:w="340" w:type="dxa"/>
            <w:vAlign w:val="bottom"/>
            <w:shd w:val="clear" w:color="auto" w:fill="EAF9E8"/>
          </w:tcPr>
          <w:p>
            <w:pPr>
              <w:spacing w:after="0"/>
              <w:rPr>
                <w:sz w:val="21"/>
                <w:szCs w:val="21"/>
                <w:color w:val="auto"/>
              </w:rPr>
            </w:pPr>
          </w:p>
        </w:tc>
        <w:tc>
          <w:tcPr>
            <w:tcW w:w="360" w:type="dxa"/>
            <w:vAlign w:val="bottom"/>
            <w:shd w:val="clear" w:color="auto" w:fill="EAF9E8"/>
          </w:tcPr>
          <w:p>
            <w:pPr>
              <w:spacing w:after="0"/>
              <w:rPr>
                <w:sz w:val="21"/>
                <w:szCs w:val="21"/>
                <w:color w:val="auto"/>
              </w:rPr>
            </w:pPr>
          </w:p>
        </w:tc>
        <w:tc>
          <w:tcPr>
            <w:tcW w:w="7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85</w:t>
            </w:r>
          </w:p>
        </w:tc>
        <w:tc>
          <w:tcPr>
            <w:tcW w:w="20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240" w:type="dxa"/>
            <w:vAlign w:val="bottom"/>
            <w:shd w:val="clear" w:color="auto" w:fill="EAF9E8"/>
          </w:tcPr>
          <w:p>
            <w:pPr>
              <w:spacing w:after="0"/>
              <w:rPr>
                <w:sz w:val="21"/>
                <w:szCs w:val="21"/>
                <w:color w:val="auto"/>
              </w:rPr>
            </w:pPr>
          </w:p>
        </w:tc>
        <w:tc>
          <w:tcPr>
            <w:tcW w:w="9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3,593</w:t>
            </w:r>
          </w:p>
        </w:tc>
        <w:tc>
          <w:tcPr>
            <w:tcW w:w="20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360" w:type="dxa"/>
            <w:vAlign w:val="bottom"/>
            <w:shd w:val="clear" w:color="auto" w:fill="EAF9E8"/>
          </w:tcPr>
          <w:p>
            <w:pPr>
              <w:spacing w:after="0"/>
              <w:rPr>
                <w:sz w:val="21"/>
                <w:szCs w:val="21"/>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964</w:t>
            </w:r>
          </w:p>
        </w:tc>
        <w:tc>
          <w:tcPr>
            <w:tcW w:w="120" w:type="dxa"/>
            <w:vAlign w:val="bottom"/>
            <w:shd w:val="clear" w:color="auto" w:fill="EAF9E8"/>
          </w:tcPr>
          <w:p>
            <w:pPr>
              <w:spacing w:after="0"/>
              <w:rPr>
                <w:sz w:val="21"/>
                <w:szCs w:val="21"/>
                <w:color w:val="auto"/>
              </w:rPr>
            </w:pPr>
          </w:p>
        </w:tc>
      </w:tr>
      <w:tr>
        <w:trPr>
          <w:trHeight w:val="20"/>
        </w:trPr>
        <w:tc>
          <w:tcPr>
            <w:tcW w:w="5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6"/>
        </w:trPr>
        <w:tc>
          <w:tcPr>
            <w:tcW w:w="5660" w:type="dxa"/>
            <w:vAlign w:val="bottom"/>
          </w:tcPr>
          <w:p>
            <w:pPr>
              <w:ind w:left="320"/>
              <w:spacing w:after="0"/>
              <w:rPr>
                <w:sz w:val="20"/>
                <w:szCs w:val="20"/>
                <w:color w:val="auto"/>
              </w:rPr>
            </w:pPr>
            <w:r>
              <w:rPr>
                <w:rFonts w:ascii="Arial" w:cs="Arial" w:eastAsia="Arial" w:hAnsi="Arial"/>
                <w:sz w:val="18"/>
                <w:szCs w:val="18"/>
                <w:color w:val="auto"/>
              </w:rPr>
              <w:t>Total other expense</w:t>
            </w:r>
          </w:p>
        </w:tc>
        <w:tc>
          <w:tcPr>
            <w:tcW w:w="240" w:type="dxa"/>
            <w:vAlign w:val="bottom"/>
          </w:tcPr>
          <w:p>
            <w:pPr>
              <w:spacing w:after="0"/>
              <w:rPr>
                <w:sz w:val="20"/>
                <w:szCs w:val="20"/>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(13,688)</w:t>
            </w:r>
          </w:p>
        </w:tc>
        <w:tc>
          <w:tcPr>
            <w:tcW w:w="36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(16,816)</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(43,236)</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(57,777)</w:t>
            </w:r>
          </w:p>
        </w:tc>
      </w:tr>
      <w:tr>
        <w:trPr>
          <w:trHeight w:val="21"/>
        </w:trPr>
        <w:tc>
          <w:tcPr>
            <w:tcW w:w="56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43"/>
        </w:trPr>
        <w:tc>
          <w:tcPr>
            <w:tcW w:w="5660" w:type="dxa"/>
            <w:vAlign w:val="bottom"/>
            <w:shd w:val="clear" w:color="auto" w:fill="EAF9E8"/>
          </w:tcPr>
          <w:p>
            <w:pPr>
              <w:spacing w:after="0"/>
              <w:rPr>
                <w:sz w:val="20"/>
                <w:szCs w:val="20"/>
                <w:color w:val="auto"/>
              </w:rPr>
            </w:pPr>
            <w:r>
              <w:rPr>
                <w:rFonts w:ascii="Arial" w:cs="Arial" w:eastAsia="Arial" w:hAnsi="Arial"/>
                <w:sz w:val="18"/>
                <w:szCs w:val="18"/>
                <w:color w:val="auto"/>
              </w:rPr>
              <w:t>Income before income taxes</w:t>
            </w:r>
          </w:p>
        </w:tc>
        <w:tc>
          <w:tcPr>
            <w:tcW w:w="240" w:type="dxa"/>
            <w:vAlign w:val="bottom"/>
            <w:shd w:val="clear" w:color="auto" w:fill="EAF9E8"/>
          </w:tcPr>
          <w:p>
            <w:pPr>
              <w:jc w:val="right"/>
              <w:ind w:right="5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17,681</w:t>
            </w:r>
          </w:p>
        </w:tc>
        <w:tc>
          <w:tcPr>
            <w:tcW w:w="340" w:type="dxa"/>
            <w:vAlign w:val="bottom"/>
            <w:shd w:val="clear" w:color="auto" w:fill="EAF9E8"/>
          </w:tcPr>
          <w:p>
            <w:pPr>
              <w:spacing w:after="0"/>
              <w:rPr>
                <w:sz w:val="21"/>
                <w:szCs w:val="21"/>
                <w:color w:val="auto"/>
              </w:rPr>
            </w:pPr>
          </w:p>
        </w:tc>
        <w:tc>
          <w:tcPr>
            <w:tcW w:w="360" w:type="dxa"/>
            <w:vAlign w:val="bottom"/>
            <w:shd w:val="clear" w:color="auto" w:fill="EAF9E8"/>
          </w:tcPr>
          <w:p>
            <w:pPr>
              <w:jc w:val="right"/>
              <w:ind w:right="203"/>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29,024</w:t>
            </w:r>
          </w:p>
        </w:tc>
        <w:tc>
          <w:tcPr>
            <w:tcW w:w="200" w:type="dxa"/>
            <w:vAlign w:val="bottom"/>
            <w:shd w:val="clear" w:color="auto" w:fill="EAF9E8"/>
          </w:tcPr>
          <w:p>
            <w:pPr>
              <w:spacing w:after="0"/>
              <w:rPr>
                <w:sz w:val="21"/>
                <w:szCs w:val="21"/>
                <w:color w:val="auto"/>
              </w:rPr>
            </w:pPr>
          </w:p>
        </w:tc>
        <w:tc>
          <w:tcPr>
            <w:tcW w:w="38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58,381</w:t>
            </w:r>
          </w:p>
        </w:tc>
        <w:tc>
          <w:tcPr>
            <w:tcW w:w="200" w:type="dxa"/>
            <w:vAlign w:val="bottom"/>
            <w:shd w:val="clear" w:color="auto" w:fill="EAF9E8"/>
          </w:tcPr>
          <w:p>
            <w:pPr>
              <w:spacing w:after="0"/>
              <w:rPr>
                <w:sz w:val="21"/>
                <w:szCs w:val="21"/>
                <w:color w:val="auto"/>
              </w:rPr>
            </w:pPr>
          </w:p>
        </w:tc>
        <w:tc>
          <w:tcPr>
            <w:tcW w:w="50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w:t>
            </w:r>
          </w:p>
        </w:tc>
        <w:tc>
          <w:tcPr>
            <w:tcW w:w="8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82,315</w:t>
            </w:r>
          </w:p>
        </w:tc>
        <w:tc>
          <w:tcPr>
            <w:tcW w:w="120" w:type="dxa"/>
            <w:vAlign w:val="bottom"/>
            <w:shd w:val="clear" w:color="auto" w:fill="EAF9E8"/>
          </w:tcPr>
          <w:p>
            <w:pPr>
              <w:spacing w:after="0"/>
              <w:rPr>
                <w:sz w:val="21"/>
                <w:szCs w:val="21"/>
                <w:color w:val="auto"/>
              </w:rPr>
            </w:pPr>
          </w:p>
        </w:tc>
      </w:tr>
      <w:tr>
        <w:trPr>
          <w:trHeight w:val="20"/>
        </w:trPr>
        <w:tc>
          <w:tcPr>
            <w:tcW w:w="5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
        </w:trPr>
        <w:tc>
          <w:tcPr>
            <w:tcW w:w="5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3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 xml:space="preserve">Servicing and Subservicing Fees. </w:t>
      </w:r>
      <w:r>
        <w:rPr>
          <w:rFonts w:ascii="Arial" w:cs="Arial" w:eastAsia="Arial" w:hAnsi="Arial"/>
          <w:sz w:val="18"/>
          <w:szCs w:val="18"/>
          <w:color w:val="auto"/>
        </w:rPr>
        <w:t>The principal components of servicing and subservicing fees for the periods ended September 30 are:</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6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rPr>
              <w:t>Three months</w:t>
            </w:r>
          </w:p>
        </w:tc>
        <w:tc>
          <w:tcPr>
            <w:tcW w:w="78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b w:val="1"/>
                <w:bCs w:val="1"/>
                <w:color w:val="auto"/>
              </w:rPr>
              <w:t>Nine months</w:t>
            </w:r>
          </w:p>
        </w:tc>
        <w:tc>
          <w:tcPr>
            <w:tcW w:w="8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50"/>
        </w:trPr>
        <w:tc>
          <w:tcPr>
            <w:tcW w:w="56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2009</w:t>
            </w:r>
          </w:p>
        </w:tc>
        <w:tc>
          <w:tcPr>
            <w:tcW w:w="34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w w:val="89"/>
              </w:rPr>
              <w:t>2008</w:t>
            </w:r>
          </w:p>
        </w:tc>
        <w:tc>
          <w:tcPr>
            <w:tcW w:w="3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2009</w:t>
            </w:r>
          </w:p>
        </w:tc>
        <w:tc>
          <w:tcPr>
            <w:tcW w:w="34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w w:val="94"/>
              </w:rPr>
              <w:t>2008</w:t>
            </w:r>
          </w:p>
        </w:tc>
        <w:tc>
          <w:tcPr>
            <w:tcW w:w="120" w:type="dxa"/>
            <w:vAlign w:val="bottom"/>
          </w:tcPr>
          <w:p>
            <w:pPr>
              <w:spacing w:after="0"/>
              <w:rPr>
                <w:sz w:val="21"/>
                <w:szCs w:val="21"/>
                <w:color w:val="auto"/>
              </w:rPr>
            </w:pPr>
          </w:p>
        </w:tc>
      </w:tr>
      <w:tr>
        <w:trPr>
          <w:trHeight w:val="243"/>
        </w:trPr>
        <w:tc>
          <w:tcPr>
            <w:tcW w:w="5660" w:type="dxa"/>
            <w:vAlign w:val="bottom"/>
            <w:shd w:val="clear" w:color="auto" w:fill="EAF9E8"/>
          </w:tcPr>
          <w:p>
            <w:pPr>
              <w:spacing w:after="0"/>
              <w:rPr>
                <w:sz w:val="20"/>
                <w:szCs w:val="20"/>
                <w:color w:val="auto"/>
              </w:rPr>
            </w:pPr>
            <w:r>
              <w:rPr>
                <w:rFonts w:ascii="Arial" w:cs="Arial" w:eastAsia="Arial" w:hAnsi="Arial"/>
                <w:sz w:val="18"/>
                <w:szCs w:val="18"/>
                <w:color w:val="auto"/>
              </w:rPr>
              <w:t>Residential</w:t>
            </w:r>
          </w:p>
        </w:tc>
        <w:tc>
          <w:tcPr>
            <w:tcW w:w="240" w:type="dxa"/>
            <w:vAlign w:val="bottom"/>
            <w:shd w:val="clear" w:color="auto" w:fill="EAF9E8"/>
          </w:tcPr>
          <w:p>
            <w:pPr>
              <w:spacing w:after="0"/>
              <w:rPr>
                <w:sz w:val="21"/>
                <w:szCs w:val="21"/>
                <w:color w:val="auto"/>
              </w:rPr>
            </w:pPr>
          </w:p>
        </w:tc>
        <w:tc>
          <w:tcPr>
            <w:tcW w:w="920" w:type="dxa"/>
            <w:vAlign w:val="bottom"/>
            <w:shd w:val="clear" w:color="auto" w:fill="EAF9E8"/>
          </w:tcPr>
          <w:p>
            <w:pPr>
              <w:spacing w:after="0"/>
              <w:rPr>
                <w:sz w:val="21"/>
                <w:szCs w:val="21"/>
                <w:color w:val="auto"/>
              </w:rPr>
            </w:pPr>
          </w:p>
        </w:tc>
        <w:tc>
          <w:tcPr>
            <w:tcW w:w="340" w:type="dxa"/>
            <w:vAlign w:val="bottom"/>
            <w:shd w:val="clear" w:color="auto" w:fill="EAF9E8"/>
          </w:tcPr>
          <w:p>
            <w:pPr>
              <w:spacing w:after="0"/>
              <w:rPr>
                <w:sz w:val="21"/>
                <w:szCs w:val="21"/>
                <w:color w:val="auto"/>
              </w:rPr>
            </w:pPr>
          </w:p>
        </w:tc>
        <w:tc>
          <w:tcPr>
            <w:tcW w:w="360" w:type="dxa"/>
            <w:vAlign w:val="bottom"/>
            <w:shd w:val="clear" w:color="auto" w:fill="EAF9E8"/>
          </w:tcPr>
          <w:p>
            <w:pPr>
              <w:spacing w:after="0"/>
              <w:rPr>
                <w:sz w:val="21"/>
                <w:szCs w:val="21"/>
                <w:color w:val="auto"/>
              </w:rPr>
            </w:pPr>
          </w:p>
        </w:tc>
        <w:tc>
          <w:tcPr>
            <w:tcW w:w="780" w:type="dxa"/>
            <w:vAlign w:val="bottom"/>
            <w:shd w:val="clear" w:color="auto" w:fill="EAF9E8"/>
          </w:tcPr>
          <w:p>
            <w:pPr>
              <w:spacing w:after="0"/>
              <w:rPr>
                <w:sz w:val="21"/>
                <w:szCs w:val="21"/>
                <w:color w:val="auto"/>
              </w:rPr>
            </w:pPr>
          </w:p>
        </w:tc>
        <w:tc>
          <w:tcPr>
            <w:tcW w:w="340" w:type="dxa"/>
            <w:vAlign w:val="bottom"/>
            <w:shd w:val="clear" w:color="auto" w:fill="EAF9E8"/>
          </w:tcPr>
          <w:p>
            <w:pPr>
              <w:spacing w:after="0"/>
              <w:rPr>
                <w:sz w:val="21"/>
                <w:szCs w:val="21"/>
                <w:color w:val="auto"/>
              </w:rPr>
            </w:pPr>
          </w:p>
        </w:tc>
        <w:tc>
          <w:tcPr>
            <w:tcW w:w="240" w:type="dxa"/>
            <w:vAlign w:val="bottom"/>
            <w:shd w:val="clear" w:color="auto" w:fill="EAF9E8"/>
          </w:tcPr>
          <w:p>
            <w:pPr>
              <w:spacing w:after="0"/>
              <w:rPr>
                <w:sz w:val="21"/>
                <w:szCs w:val="21"/>
                <w:color w:val="auto"/>
              </w:rPr>
            </w:pPr>
          </w:p>
        </w:tc>
        <w:tc>
          <w:tcPr>
            <w:tcW w:w="900" w:type="dxa"/>
            <w:vAlign w:val="bottom"/>
            <w:shd w:val="clear" w:color="auto" w:fill="EAF9E8"/>
          </w:tcPr>
          <w:p>
            <w:pPr>
              <w:spacing w:after="0"/>
              <w:rPr>
                <w:sz w:val="21"/>
                <w:szCs w:val="21"/>
                <w:color w:val="auto"/>
              </w:rPr>
            </w:pPr>
          </w:p>
        </w:tc>
        <w:tc>
          <w:tcPr>
            <w:tcW w:w="340" w:type="dxa"/>
            <w:vAlign w:val="bottom"/>
            <w:shd w:val="clear" w:color="auto" w:fill="EAF9E8"/>
          </w:tcPr>
          <w:p>
            <w:pPr>
              <w:spacing w:after="0"/>
              <w:rPr>
                <w:sz w:val="21"/>
                <w:szCs w:val="21"/>
                <w:color w:val="auto"/>
              </w:rPr>
            </w:pPr>
          </w:p>
        </w:tc>
        <w:tc>
          <w:tcPr>
            <w:tcW w:w="360" w:type="dxa"/>
            <w:vAlign w:val="bottom"/>
            <w:shd w:val="clear" w:color="auto" w:fill="EAF9E8"/>
          </w:tcPr>
          <w:p>
            <w:pPr>
              <w:spacing w:after="0"/>
              <w:rPr>
                <w:sz w:val="21"/>
                <w:szCs w:val="21"/>
                <w:color w:val="auto"/>
              </w:rPr>
            </w:pPr>
          </w:p>
        </w:tc>
        <w:tc>
          <w:tcPr>
            <w:tcW w:w="82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r>
      <w:tr>
        <w:trPr>
          <w:trHeight w:val="242"/>
        </w:trPr>
        <w:tc>
          <w:tcPr>
            <w:tcW w:w="5660" w:type="dxa"/>
            <w:vAlign w:val="bottom"/>
          </w:tcPr>
          <w:p>
            <w:pPr>
              <w:ind w:left="160"/>
              <w:spacing w:after="0"/>
              <w:rPr>
                <w:sz w:val="20"/>
                <w:szCs w:val="20"/>
                <w:color w:val="auto"/>
              </w:rPr>
            </w:pPr>
            <w:r>
              <w:rPr>
                <w:rFonts w:ascii="Arial" w:cs="Arial" w:eastAsia="Arial" w:hAnsi="Arial"/>
                <w:sz w:val="18"/>
                <w:szCs w:val="18"/>
                <w:color w:val="auto"/>
              </w:rPr>
              <w:t>Loan servicing and subservicing</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41,317</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54,547</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129,555</w:t>
            </w: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167,790</w:t>
            </w:r>
          </w:p>
        </w:tc>
        <w:tc>
          <w:tcPr>
            <w:tcW w:w="120" w:type="dxa"/>
            <w:vAlign w:val="bottom"/>
          </w:tcPr>
          <w:p>
            <w:pPr>
              <w:spacing w:after="0"/>
              <w:rPr>
                <w:sz w:val="21"/>
                <w:szCs w:val="21"/>
                <w:color w:val="auto"/>
              </w:rPr>
            </w:pPr>
          </w:p>
        </w:tc>
      </w:tr>
      <w:tr>
        <w:trPr>
          <w:trHeight w:val="244"/>
        </w:trPr>
        <w:tc>
          <w:tcPr>
            <w:tcW w:w="5660" w:type="dxa"/>
            <w:vAlign w:val="bottom"/>
            <w:shd w:val="clear" w:color="auto" w:fill="EAF9E8"/>
          </w:tcPr>
          <w:p>
            <w:pPr>
              <w:ind w:left="160"/>
              <w:spacing w:after="0"/>
              <w:rPr>
                <w:sz w:val="20"/>
                <w:szCs w:val="20"/>
                <w:color w:val="auto"/>
              </w:rPr>
            </w:pPr>
            <w:r>
              <w:rPr>
                <w:rFonts w:ascii="Arial" w:cs="Arial" w:eastAsia="Arial" w:hAnsi="Arial"/>
                <w:sz w:val="18"/>
                <w:szCs w:val="18"/>
                <w:color w:val="auto"/>
              </w:rPr>
              <w:t>Late charges</w:t>
            </w:r>
          </w:p>
        </w:tc>
        <w:tc>
          <w:tcPr>
            <w:tcW w:w="240" w:type="dxa"/>
            <w:vAlign w:val="bottom"/>
            <w:shd w:val="clear" w:color="auto" w:fill="EAF9E8"/>
          </w:tcPr>
          <w:p>
            <w:pPr>
              <w:spacing w:after="0"/>
              <w:rPr>
                <w:sz w:val="21"/>
                <w:szCs w:val="21"/>
                <w:color w:val="auto"/>
              </w:rPr>
            </w:pP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5,360</w:t>
            </w:r>
          </w:p>
        </w:tc>
        <w:tc>
          <w:tcPr>
            <w:tcW w:w="340" w:type="dxa"/>
            <w:vAlign w:val="bottom"/>
            <w:shd w:val="clear" w:color="auto" w:fill="EAF9E8"/>
          </w:tcPr>
          <w:p>
            <w:pPr>
              <w:spacing w:after="0"/>
              <w:rPr>
                <w:sz w:val="21"/>
                <w:szCs w:val="21"/>
                <w:color w:val="auto"/>
              </w:rPr>
            </w:pPr>
          </w:p>
        </w:tc>
        <w:tc>
          <w:tcPr>
            <w:tcW w:w="360" w:type="dxa"/>
            <w:vAlign w:val="bottom"/>
            <w:shd w:val="clear" w:color="auto" w:fill="EAF9E8"/>
          </w:tcPr>
          <w:p>
            <w:pPr>
              <w:spacing w:after="0"/>
              <w:rPr>
                <w:sz w:val="21"/>
                <w:szCs w:val="21"/>
                <w:color w:val="auto"/>
              </w:rPr>
            </w:pPr>
          </w:p>
        </w:tc>
        <w:tc>
          <w:tcPr>
            <w:tcW w:w="7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11,462</w:t>
            </w:r>
          </w:p>
        </w:tc>
        <w:tc>
          <w:tcPr>
            <w:tcW w:w="340" w:type="dxa"/>
            <w:vAlign w:val="bottom"/>
            <w:shd w:val="clear" w:color="auto" w:fill="EAF9E8"/>
          </w:tcPr>
          <w:p>
            <w:pPr>
              <w:spacing w:after="0"/>
              <w:rPr>
                <w:sz w:val="21"/>
                <w:szCs w:val="21"/>
                <w:color w:val="auto"/>
              </w:rPr>
            </w:pPr>
          </w:p>
        </w:tc>
        <w:tc>
          <w:tcPr>
            <w:tcW w:w="240" w:type="dxa"/>
            <w:vAlign w:val="bottom"/>
            <w:shd w:val="clear" w:color="auto" w:fill="EAF9E8"/>
          </w:tcPr>
          <w:p>
            <w:pPr>
              <w:spacing w:after="0"/>
              <w:rPr>
                <w:sz w:val="21"/>
                <w:szCs w:val="21"/>
                <w:color w:val="auto"/>
              </w:rPr>
            </w:pPr>
          </w:p>
        </w:tc>
        <w:tc>
          <w:tcPr>
            <w:tcW w:w="9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21,439</w:t>
            </w:r>
          </w:p>
        </w:tc>
        <w:tc>
          <w:tcPr>
            <w:tcW w:w="340" w:type="dxa"/>
            <w:vAlign w:val="bottom"/>
            <w:shd w:val="clear" w:color="auto" w:fill="EAF9E8"/>
          </w:tcPr>
          <w:p>
            <w:pPr>
              <w:spacing w:after="0"/>
              <w:rPr>
                <w:sz w:val="21"/>
                <w:szCs w:val="21"/>
                <w:color w:val="auto"/>
              </w:rPr>
            </w:pPr>
          </w:p>
        </w:tc>
        <w:tc>
          <w:tcPr>
            <w:tcW w:w="360" w:type="dxa"/>
            <w:vAlign w:val="bottom"/>
            <w:shd w:val="clear" w:color="auto" w:fill="EAF9E8"/>
          </w:tcPr>
          <w:p>
            <w:pPr>
              <w:spacing w:after="0"/>
              <w:rPr>
                <w:sz w:val="21"/>
                <w:szCs w:val="21"/>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36,601</w:t>
            </w:r>
          </w:p>
        </w:tc>
        <w:tc>
          <w:tcPr>
            <w:tcW w:w="120" w:type="dxa"/>
            <w:vAlign w:val="bottom"/>
            <w:shd w:val="clear" w:color="auto" w:fill="EAF9E8"/>
          </w:tcPr>
          <w:p>
            <w:pPr>
              <w:spacing w:after="0"/>
              <w:rPr>
                <w:sz w:val="21"/>
                <w:szCs w:val="21"/>
                <w:color w:val="auto"/>
              </w:rPr>
            </w:pPr>
          </w:p>
        </w:tc>
      </w:tr>
      <w:tr>
        <w:trPr>
          <w:trHeight w:val="242"/>
        </w:trPr>
        <w:tc>
          <w:tcPr>
            <w:tcW w:w="5660" w:type="dxa"/>
            <w:vAlign w:val="bottom"/>
          </w:tcPr>
          <w:p>
            <w:pPr>
              <w:ind w:left="160"/>
              <w:spacing w:after="0"/>
              <w:rPr>
                <w:sz w:val="20"/>
                <w:szCs w:val="20"/>
                <w:color w:val="auto"/>
              </w:rPr>
            </w:pPr>
            <w:r>
              <w:rPr>
                <w:rFonts w:ascii="Arial" w:cs="Arial" w:eastAsia="Arial" w:hAnsi="Arial"/>
                <w:sz w:val="18"/>
                <w:szCs w:val="18"/>
                <w:color w:val="auto"/>
              </w:rPr>
              <w:t>Custodial accounts (float earnings)</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866</w:t>
            </w: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1,718</w:t>
            </w: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3,906</w:t>
            </w: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8,719</w:t>
            </w:r>
          </w:p>
        </w:tc>
        <w:tc>
          <w:tcPr>
            <w:tcW w:w="120" w:type="dxa"/>
            <w:vAlign w:val="bottom"/>
          </w:tcPr>
          <w:p>
            <w:pPr>
              <w:spacing w:after="0"/>
              <w:rPr>
                <w:sz w:val="21"/>
                <w:szCs w:val="21"/>
                <w:color w:val="auto"/>
              </w:rPr>
            </w:pPr>
          </w:p>
        </w:tc>
      </w:tr>
      <w:tr>
        <w:trPr>
          <w:trHeight w:val="244"/>
        </w:trPr>
        <w:tc>
          <w:tcPr>
            <w:tcW w:w="5660" w:type="dxa"/>
            <w:vAlign w:val="bottom"/>
            <w:shd w:val="clear" w:color="auto" w:fill="EAF9E8"/>
          </w:tcPr>
          <w:p>
            <w:pPr>
              <w:ind w:left="160"/>
              <w:spacing w:after="0"/>
              <w:rPr>
                <w:sz w:val="20"/>
                <w:szCs w:val="20"/>
                <w:color w:val="auto"/>
              </w:rPr>
            </w:pPr>
            <w:r>
              <w:rPr>
                <w:rFonts w:ascii="Arial" w:cs="Arial" w:eastAsia="Arial" w:hAnsi="Arial"/>
                <w:sz w:val="18"/>
                <w:szCs w:val="18"/>
                <w:color w:val="auto"/>
              </w:rPr>
              <w:t>Loan collection fees</w:t>
            </w:r>
          </w:p>
        </w:tc>
        <w:tc>
          <w:tcPr>
            <w:tcW w:w="240" w:type="dxa"/>
            <w:vAlign w:val="bottom"/>
            <w:shd w:val="clear" w:color="auto" w:fill="EAF9E8"/>
          </w:tcPr>
          <w:p>
            <w:pPr>
              <w:spacing w:after="0"/>
              <w:rPr>
                <w:sz w:val="21"/>
                <w:szCs w:val="21"/>
                <w:color w:val="auto"/>
              </w:rPr>
            </w:pP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1,802</w:t>
            </w:r>
          </w:p>
        </w:tc>
        <w:tc>
          <w:tcPr>
            <w:tcW w:w="340" w:type="dxa"/>
            <w:vAlign w:val="bottom"/>
            <w:shd w:val="clear" w:color="auto" w:fill="EAF9E8"/>
          </w:tcPr>
          <w:p>
            <w:pPr>
              <w:spacing w:after="0"/>
              <w:rPr>
                <w:sz w:val="21"/>
                <w:szCs w:val="21"/>
                <w:color w:val="auto"/>
              </w:rPr>
            </w:pPr>
          </w:p>
        </w:tc>
        <w:tc>
          <w:tcPr>
            <w:tcW w:w="360" w:type="dxa"/>
            <w:vAlign w:val="bottom"/>
            <w:shd w:val="clear" w:color="auto" w:fill="EAF9E8"/>
          </w:tcPr>
          <w:p>
            <w:pPr>
              <w:spacing w:after="0"/>
              <w:rPr>
                <w:sz w:val="21"/>
                <w:szCs w:val="21"/>
                <w:color w:val="auto"/>
              </w:rPr>
            </w:pPr>
          </w:p>
        </w:tc>
        <w:tc>
          <w:tcPr>
            <w:tcW w:w="7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2,389</w:t>
            </w:r>
          </w:p>
        </w:tc>
        <w:tc>
          <w:tcPr>
            <w:tcW w:w="340" w:type="dxa"/>
            <w:vAlign w:val="bottom"/>
            <w:shd w:val="clear" w:color="auto" w:fill="EAF9E8"/>
          </w:tcPr>
          <w:p>
            <w:pPr>
              <w:spacing w:after="0"/>
              <w:rPr>
                <w:sz w:val="21"/>
                <w:szCs w:val="21"/>
                <w:color w:val="auto"/>
              </w:rPr>
            </w:pPr>
          </w:p>
        </w:tc>
        <w:tc>
          <w:tcPr>
            <w:tcW w:w="240" w:type="dxa"/>
            <w:vAlign w:val="bottom"/>
            <w:shd w:val="clear" w:color="auto" w:fill="EAF9E8"/>
          </w:tcPr>
          <w:p>
            <w:pPr>
              <w:spacing w:after="0"/>
              <w:rPr>
                <w:sz w:val="21"/>
                <w:szCs w:val="21"/>
                <w:color w:val="auto"/>
              </w:rPr>
            </w:pPr>
          </w:p>
        </w:tc>
        <w:tc>
          <w:tcPr>
            <w:tcW w:w="9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5,663</w:t>
            </w:r>
          </w:p>
        </w:tc>
        <w:tc>
          <w:tcPr>
            <w:tcW w:w="340" w:type="dxa"/>
            <w:vAlign w:val="bottom"/>
            <w:shd w:val="clear" w:color="auto" w:fill="EAF9E8"/>
          </w:tcPr>
          <w:p>
            <w:pPr>
              <w:spacing w:after="0"/>
              <w:rPr>
                <w:sz w:val="21"/>
                <w:szCs w:val="21"/>
                <w:color w:val="auto"/>
              </w:rPr>
            </w:pPr>
          </w:p>
        </w:tc>
        <w:tc>
          <w:tcPr>
            <w:tcW w:w="360" w:type="dxa"/>
            <w:vAlign w:val="bottom"/>
            <w:shd w:val="clear" w:color="auto" w:fill="EAF9E8"/>
          </w:tcPr>
          <w:p>
            <w:pPr>
              <w:spacing w:after="0"/>
              <w:rPr>
                <w:sz w:val="21"/>
                <w:szCs w:val="21"/>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7,884</w:t>
            </w:r>
          </w:p>
        </w:tc>
        <w:tc>
          <w:tcPr>
            <w:tcW w:w="120" w:type="dxa"/>
            <w:vAlign w:val="bottom"/>
            <w:shd w:val="clear" w:color="auto" w:fill="EAF9E8"/>
          </w:tcPr>
          <w:p>
            <w:pPr>
              <w:spacing w:after="0"/>
              <w:rPr>
                <w:sz w:val="21"/>
                <w:szCs w:val="21"/>
                <w:color w:val="auto"/>
              </w:rPr>
            </w:pPr>
          </w:p>
        </w:tc>
      </w:tr>
      <w:tr>
        <w:trPr>
          <w:trHeight w:val="250"/>
        </w:trPr>
        <w:tc>
          <w:tcPr>
            <w:tcW w:w="5660" w:type="dxa"/>
            <w:vAlign w:val="bottom"/>
          </w:tcPr>
          <w:p>
            <w:pPr>
              <w:ind w:left="16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3,160</w:t>
            </w:r>
          </w:p>
        </w:tc>
        <w:tc>
          <w:tcPr>
            <w:tcW w:w="34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5,840</w:t>
            </w:r>
          </w:p>
        </w:tc>
        <w:tc>
          <w:tcPr>
            <w:tcW w:w="3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9,115</w:t>
            </w:r>
          </w:p>
        </w:tc>
        <w:tc>
          <w:tcPr>
            <w:tcW w:w="34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18,653</w:t>
            </w:r>
          </w:p>
        </w:tc>
        <w:tc>
          <w:tcPr>
            <w:tcW w:w="120" w:type="dxa"/>
            <w:vAlign w:val="bottom"/>
          </w:tcPr>
          <w:p>
            <w:pPr>
              <w:spacing w:after="0"/>
              <w:rPr>
                <w:sz w:val="21"/>
                <w:szCs w:val="21"/>
                <w:color w:val="auto"/>
              </w:rPr>
            </w:pPr>
          </w:p>
        </w:tc>
      </w:tr>
      <w:tr>
        <w:trPr>
          <w:trHeight w:val="243"/>
        </w:trPr>
        <w:tc>
          <w:tcPr>
            <w:tcW w:w="5660" w:type="dxa"/>
            <w:vAlign w:val="bottom"/>
            <w:shd w:val="clear" w:color="auto" w:fill="EAF9E8"/>
          </w:tcPr>
          <w:p>
            <w:pPr>
              <w:spacing w:after="0"/>
              <w:rPr>
                <w:sz w:val="21"/>
                <w:szCs w:val="21"/>
                <w:color w:val="auto"/>
              </w:rPr>
            </w:pPr>
          </w:p>
        </w:tc>
        <w:tc>
          <w:tcPr>
            <w:tcW w:w="240" w:type="dxa"/>
            <w:vAlign w:val="bottom"/>
            <w:shd w:val="clear" w:color="auto" w:fill="EAF9E8"/>
          </w:tcPr>
          <w:p>
            <w:pPr>
              <w:spacing w:after="0"/>
              <w:rPr>
                <w:sz w:val="21"/>
                <w:szCs w:val="21"/>
                <w:color w:val="auto"/>
              </w:rPr>
            </w:pP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52,505</w:t>
            </w:r>
          </w:p>
        </w:tc>
        <w:tc>
          <w:tcPr>
            <w:tcW w:w="340" w:type="dxa"/>
            <w:vAlign w:val="bottom"/>
            <w:shd w:val="clear" w:color="auto" w:fill="EAF9E8"/>
          </w:tcPr>
          <w:p>
            <w:pPr>
              <w:spacing w:after="0"/>
              <w:rPr>
                <w:sz w:val="21"/>
                <w:szCs w:val="21"/>
                <w:color w:val="auto"/>
              </w:rPr>
            </w:pPr>
          </w:p>
        </w:tc>
        <w:tc>
          <w:tcPr>
            <w:tcW w:w="360" w:type="dxa"/>
            <w:vAlign w:val="bottom"/>
            <w:shd w:val="clear" w:color="auto" w:fill="EAF9E8"/>
          </w:tcPr>
          <w:p>
            <w:pPr>
              <w:spacing w:after="0"/>
              <w:rPr>
                <w:sz w:val="21"/>
                <w:szCs w:val="21"/>
                <w:color w:val="auto"/>
              </w:rPr>
            </w:pPr>
          </w:p>
        </w:tc>
        <w:tc>
          <w:tcPr>
            <w:tcW w:w="7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75,956</w:t>
            </w:r>
          </w:p>
        </w:tc>
        <w:tc>
          <w:tcPr>
            <w:tcW w:w="340" w:type="dxa"/>
            <w:vAlign w:val="bottom"/>
            <w:shd w:val="clear" w:color="auto" w:fill="EAF9E8"/>
          </w:tcPr>
          <w:p>
            <w:pPr>
              <w:spacing w:after="0"/>
              <w:rPr>
                <w:sz w:val="21"/>
                <w:szCs w:val="21"/>
                <w:color w:val="auto"/>
              </w:rPr>
            </w:pPr>
          </w:p>
        </w:tc>
        <w:tc>
          <w:tcPr>
            <w:tcW w:w="240" w:type="dxa"/>
            <w:vAlign w:val="bottom"/>
            <w:shd w:val="clear" w:color="auto" w:fill="EAF9E8"/>
          </w:tcPr>
          <w:p>
            <w:pPr>
              <w:spacing w:after="0"/>
              <w:rPr>
                <w:sz w:val="21"/>
                <w:szCs w:val="21"/>
                <w:color w:val="auto"/>
              </w:rPr>
            </w:pPr>
          </w:p>
        </w:tc>
        <w:tc>
          <w:tcPr>
            <w:tcW w:w="9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169,678</w:t>
            </w:r>
          </w:p>
        </w:tc>
        <w:tc>
          <w:tcPr>
            <w:tcW w:w="340" w:type="dxa"/>
            <w:vAlign w:val="bottom"/>
            <w:shd w:val="clear" w:color="auto" w:fill="EAF9E8"/>
          </w:tcPr>
          <w:p>
            <w:pPr>
              <w:spacing w:after="0"/>
              <w:rPr>
                <w:sz w:val="21"/>
                <w:szCs w:val="21"/>
                <w:color w:val="auto"/>
              </w:rPr>
            </w:pPr>
          </w:p>
        </w:tc>
        <w:tc>
          <w:tcPr>
            <w:tcW w:w="360" w:type="dxa"/>
            <w:vAlign w:val="bottom"/>
            <w:shd w:val="clear" w:color="auto" w:fill="EAF9E8"/>
          </w:tcPr>
          <w:p>
            <w:pPr>
              <w:spacing w:after="0"/>
              <w:rPr>
                <w:sz w:val="21"/>
                <w:szCs w:val="21"/>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239,647</w:t>
            </w:r>
          </w:p>
        </w:tc>
        <w:tc>
          <w:tcPr>
            <w:tcW w:w="120" w:type="dxa"/>
            <w:vAlign w:val="bottom"/>
            <w:shd w:val="clear" w:color="auto" w:fill="EAF9E8"/>
          </w:tcPr>
          <w:p>
            <w:pPr>
              <w:spacing w:after="0"/>
              <w:rPr>
                <w:sz w:val="21"/>
                <w:szCs w:val="21"/>
                <w:color w:val="auto"/>
              </w:rPr>
            </w:pPr>
          </w:p>
        </w:tc>
      </w:tr>
      <w:tr>
        <w:trPr>
          <w:trHeight w:val="250"/>
        </w:trPr>
        <w:tc>
          <w:tcPr>
            <w:tcW w:w="5660" w:type="dxa"/>
            <w:vAlign w:val="bottom"/>
          </w:tcPr>
          <w:p>
            <w:pPr>
              <w:spacing w:after="0"/>
              <w:rPr>
                <w:sz w:val="20"/>
                <w:szCs w:val="20"/>
                <w:color w:val="auto"/>
              </w:rPr>
            </w:pPr>
            <w:r>
              <w:rPr>
                <w:rFonts w:ascii="Arial" w:cs="Arial" w:eastAsia="Arial" w:hAnsi="Arial"/>
                <w:sz w:val="18"/>
                <w:szCs w:val="18"/>
                <w:color w:val="auto"/>
              </w:rPr>
              <w:t>Commercial (US)</w:t>
            </w: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w:t>
            </w:r>
          </w:p>
        </w:tc>
        <w:tc>
          <w:tcPr>
            <w:tcW w:w="34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w:t>
            </w:r>
          </w:p>
        </w:tc>
        <w:tc>
          <w:tcPr>
            <w:tcW w:w="3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1,168</w:t>
            </w:r>
          </w:p>
        </w:tc>
        <w:tc>
          <w:tcPr>
            <w:tcW w:w="34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w:t>
            </w:r>
          </w:p>
        </w:tc>
        <w:tc>
          <w:tcPr>
            <w:tcW w:w="120" w:type="dxa"/>
            <w:vAlign w:val="bottom"/>
          </w:tcPr>
          <w:p>
            <w:pPr>
              <w:spacing w:after="0"/>
              <w:rPr>
                <w:sz w:val="21"/>
                <w:szCs w:val="21"/>
                <w:color w:val="auto"/>
              </w:rPr>
            </w:pPr>
          </w:p>
        </w:tc>
      </w:tr>
      <w:tr>
        <w:trPr>
          <w:trHeight w:val="243"/>
        </w:trPr>
        <w:tc>
          <w:tcPr>
            <w:tcW w:w="5660" w:type="dxa"/>
            <w:vAlign w:val="bottom"/>
            <w:shd w:val="clear" w:color="auto" w:fill="EAF9E8"/>
          </w:tcPr>
          <w:p>
            <w:pPr>
              <w:spacing w:after="0"/>
              <w:rPr>
                <w:sz w:val="21"/>
                <w:szCs w:val="21"/>
                <w:color w:val="auto"/>
              </w:rPr>
            </w:pPr>
          </w:p>
        </w:tc>
        <w:tc>
          <w:tcPr>
            <w:tcW w:w="240" w:type="dxa"/>
            <w:vAlign w:val="bottom"/>
            <w:shd w:val="clear" w:color="auto" w:fill="EAF9E8"/>
          </w:tcPr>
          <w:p>
            <w:pPr>
              <w:jc w:val="right"/>
              <w:ind w:right="5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52,968</w:t>
            </w:r>
          </w:p>
        </w:tc>
        <w:tc>
          <w:tcPr>
            <w:tcW w:w="70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w:t>
            </w:r>
          </w:p>
        </w:tc>
        <w:tc>
          <w:tcPr>
            <w:tcW w:w="7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76,112</w:t>
            </w:r>
          </w:p>
        </w:tc>
        <w:tc>
          <w:tcPr>
            <w:tcW w:w="58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170,846</w:t>
            </w:r>
          </w:p>
        </w:tc>
        <w:tc>
          <w:tcPr>
            <w:tcW w:w="70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w:t>
            </w:r>
          </w:p>
        </w:tc>
        <w:tc>
          <w:tcPr>
            <w:tcW w:w="8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240,041</w:t>
            </w:r>
          </w:p>
        </w:tc>
        <w:tc>
          <w:tcPr>
            <w:tcW w:w="120" w:type="dxa"/>
            <w:vAlign w:val="bottom"/>
            <w:shd w:val="clear" w:color="auto" w:fill="EAF9E8"/>
          </w:tcPr>
          <w:p>
            <w:pPr>
              <w:spacing w:after="0"/>
              <w:rPr>
                <w:sz w:val="21"/>
                <w:szCs w:val="21"/>
                <w:color w:val="auto"/>
              </w:rPr>
            </w:pPr>
          </w:p>
        </w:tc>
      </w:tr>
      <w:tr>
        <w:trPr>
          <w:trHeight w:val="20"/>
        </w:trPr>
        <w:tc>
          <w:tcPr>
            <w:tcW w:w="5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
        </w:trPr>
        <w:tc>
          <w:tcPr>
            <w:tcW w:w="5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0" w:firstLine="439"/>
        <w:spacing w:after="0" w:line="290" w:lineRule="auto"/>
        <w:rPr>
          <w:sz w:val="20"/>
          <w:szCs w:val="20"/>
          <w:color w:val="auto"/>
        </w:rPr>
      </w:pPr>
      <w:r>
        <w:rPr>
          <w:rFonts w:ascii="Arial" w:cs="Arial" w:eastAsia="Arial" w:hAnsi="Arial"/>
          <w:sz w:val="16"/>
          <w:szCs w:val="16"/>
          <w:color w:val="auto"/>
        </w:rPr>
        <w:t>Residential loan servicing and subservicing fees for the three and nine months ended September 2009 declined by 24% and 23% respectively as compared to the same periods of 2008. These declines are primarily due to a decline in the average balance of loans serviced and a decline in revenues associated with loan modifications in connection with the implementation of the HAMP. The average balance of loans serviced during the three and nine months ended September 2009 declined by 11% and 17% respectively as compared to the same periods of 2008 primarily because of a decline in portfolio acquisitions in 2008. The UPB of the servicing portfolio has declined from $42,449,031 at September 30, 2008 to $40,293,698 at September 30, 2009. We completed 7,003 loan modifications in the third quarter of 2009 compared to 19,263 loan modifications in the third quarter of 2008. Year to date, we completed 35,811 loan modifications in 2009 as compared to 47,705 in 2008.</w:t>
      </w:r>
    </w:p>
    <w:p>
      <w:pPr>
        <w:spacing w:after="0" w:line="172" w:lineRule="exact"/>
        <w:rPr>
          <w:sz w:val="20"/>
          <w:szCs w:val="20"/>
          <w:color w:val="auto"/>
        </w:rPr>
      </w:pPr>
    </w:p>
    <w:p>
      <w:pPr>
        <w:ind w:right="20" w:firstLine="436"/>
        <w:spacing w:after="0" w:line="289" w:lineRule="auto"/>
        <w:rPr>
          <w:sz w:val="20"/>
          <w:szCs w:val="20"/>
          <w:color w:val="auto"/>
        </w:rPr>
      </w:pPr>
      <w:r>
        <w:rPr>
          <w:rFonts w:ascii="Arial" w:cs="Arial" w:eastAsia="Arial" w:hAnsi="Arial"/>
          <w:sz w:val="16"/>
          <w:szCs w:val="16"/>
          <w:color w:val="auto"/>
        </w:rPr>
        <w:t>We collect servicing fees, generally expressed as a percent of the UPB, from the borrowers’ payments and from reimbursements from the securitization trusts. We recognize servicing fees as revenue when earned which is generally upon collection of borrower payments. Delinquencies affect the timing of servicing fee revenue recognition but not the ultimate collection of the fees because servicing fees generally have an even higher standing than advances which are satisfied before any interest or principal is paid by the securitization trust on the bonds. We estimate that during the third quarter of 2009 the balance of uncollected and unrecognized servicing fees related to delinquent borrower payments increased by $2,064 as compared to a decline of $2,698 during the third quarter of 2008. For the year to date periods, uncollected and unrecognized servicing fees related to delinquent borrower payments increased by $7,181 during 2009 as compared to a decline of $37 for 2008. As of September 30, 2009, we estimate that the balance of uncollected delinquent servicing fees that we had not yet recognized as revenue was $57,282 compared to $50,101 at December 31, 2008.</w:t>
      </w:r>
    </w:p>
    <w:p>
      <w:pPr>
        <w:sectPr>
          <w:pgSz w:w="11900" w:h="16838" w:orient="portrait"/>
          <w:cols w:equalWidth="0" w:num="1">
            <w:col w:w="11420"/>
          </w:cols>
          <w:pgMar w:left="240" w:top="131" w:right="239" w:bottom="1440" w:gutter="0" w:footer="0" w:header="0"/>
        </w:sectPr>
      </w:pP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51" w:name="page52"/>
    <w:bookmarkEnd w:id="51"/>
    <w:p>
      <w:pPr>
        <w:ind w:firstLine="436"/>
        <w:spacing w:after="0" w:line="255" w:lineRule="auto"/>
        <w:rPr>
          <w:sz w:val="20"/>
          <w:szCs w:val="20"/>
          <w:color w:val="auto"/>
        </w:rPr>
      </w:pPr>
      <w:r>
        <w:rPr>
          <w:rFonts w:ascii="Arial" w:cs="Arial" w:eastAsia="Arial" w:hAnsi="Arial"/>
          <w:sz w:val="18"/>
          <w:szCs w:val="18"/>
          <w:color w:val="auto"/>
        </w:rPr>
        <w:t>The decline in float earnings in the 2009 periods as compared to the same periods of 2008 reflects a decline in both the average custodial account balances and the yield. The decline in the average balance of these accounts is the result of a decline in the servicing portfolio and a reduction in collections related to loan payoffs. The annualized yield declined as short-term interest rates declined and banking fees increased for short-term interest-earning deposits. The underlying servicing agreements restrict the investment of float balances to certain types of instruments. We are responsible for any losses incurred on the investment of these funds.</w:t>
      </w:r>
    </w:p>
    <w:p>
      <w:pPr>
        <w:spacing w:after="0" w:line="197" w:lineRule="exact"/>
        <w:rPr>
          <w:sz w:val="20"/>
          <w:szCs w:val="20"/>
          <w:color w:val="auto"/>
        </w:rPr>
      </w:pPr>
    </w:p>
    <w:p>
      <w:pPr>
        <w:jc w:val="both"/>
        <w:ind w:right="260" w:firstLine="439"/>
        <w:spacing w:after="0" w:line="259" w:lineRule="auto"/>
        <w:rPr>
          <w:sz w:val="20"/>
          <w:szCs w:val="20"/>
          <w:color w:val="auto"/>
        </w:rPr>
      </w:pPr>
      <w:r>
        <w:rPr>
          <w:rFonts w:ascii="Arial" w:cs="Arial" w:eastAsia="Arial" w:hAnsi="Arial"/>
          <w:sz w:val="18"/>
          <w:szCs w:val="18"/>
          <w:color w:val="auto"/>
        </w:rPr>
        <w:t>Float earnings includes revenue generated from investments in permitted investments as well as revenues from our investment in auction rate securities. Our investment in auction rate securities is funded by the investment line. The following table summarizes information regarding float earnings for the periods ended September 30:</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6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8"/>
                <w:szCs w:val="18"/>
                <w:b w:val="1"/>
                <w:bCs w:val="1"/>
                <w:color w:val="auto"/>
              </w:rPr>
              <w:t>Three months</w:t>
            </w:r>
          </w:p>
        </w:tc>
        <w:tc>
          <w:tcPr>
            <w:tcW w:w="78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b w:val="1"/>
                <w:bCs w:val="1"/>
                <w:color w:val="auto"/>
              </w:rPr>
              <w:t>Nine months</w:t>
            </w:r>
          </w:p>
        </w:tc>
        <w:tc>
          <w:tcPr>
            <w:tcW w:w="8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50"/>
        </w:trPr>
        <w:tc>
          <w:tcPr>
            <w:tcW w:w="56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2009</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w w:val="89"/>
              </w:rPr>
              <w:t>2008</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2009</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w w:val="94"/>
              </w:rPr>
              <w:t>2008</w:t>
            </w:r>
          </w:p>
        </w:tc>
        <w:tc>
          <w:tcPr>
            <w:tcW w:w="160" w:type="dxa"/>
            <w:vAlign w:val="bottom"/>
          </w:tcPr>
          <w:p>
            <w:pPr>
              <w:spacing w:after="0"/>
              <w:rPr>
                <w:sz w:val="21"/>
                <w:szCs w:val="21"/>
                <w:color w:val="auto"/>
              </w:rPr>
            </w:pPr>
          </w:p>
        </w:tc>
      </w:tr>
      <w:tr>
        <w:trPr>
          <w:trHeight w:val="243"/>
        </w:trPr>
        <w:tc>
          <w:tcPr>
            <w:tcW w:w="5640" w:type="dxa"/>
            <w:vAlign w:val="bottom"/>
            <w:shd w:val="clear" w:color="auto" w:fill="EAF9E8"/>
          </w:tcPr>
          <w:p>
            <w:pPr>
              <w:spacing w:after="0"/>
              <w:rPr>
                <w:sz w:val="20"/>
                <w:szCs w:val="20"/>
                <w:color w:val="auto"/>
              </w:rPr>
            </w:pPr>
            <w:r>
              <w:rPr>
                <w:rFonts w:ascii="Arial" w:cs="Arial" w:eastAsia="Arial" w:hAnsi="Arial"/>
                <w:sz w:val="18"/>
                <w:szCs w:val="18"/>
                <w:color w:val="auto"/>
              </w:rPr>
              <w:t>Average custodial account balances</w:t>
            </w:r>
          </w:p>
        </w:tc>
        <w:tc>
          <w:tcPr>
            <w:tcW w:w="240" w:type="dxa"/>
            <w:vAlign w:val="bottom"/>
            <w:shd w:val="clear" w:color="auto" w:fill="EAF9E8"/>
          </w:tcPr>
          <w:p>
            <w:pPr>
              <w:jc w:val="right"/>
              <w:ind w:right="83"/>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385,900</w:t>
            </w:r>
          </w:p>
        </w:tc>
        <w:tc>
          <w:tcPr>
            <w:tcW w:w="240" w:type="dxa"/>
            <w:vAlign w:val="bottom"/>
            <w:shd w:val="clear" w:color="auto" w:fill="EAF9E8"/>
          </w:tcPr>
          <w:p>
            <w:pPr>
              <w:spacing w:after="0"/>
              <w:rPr>
                <w:sz w:val="21"/>
                <w:szCs w:val="21"/>
                <w:color w:val="auto"/>
              </w:rPr>
            </w:pPr>
          </w:p>
        </w:tc>
        <w:tc>
          <w:tcPr>
            <w:tcW w:w="48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w:t>
            </w:r>
          </w:p>
        </w:tc>
        <w:tc>
          <w:tcPr>
            <w:tcW w:w="7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371,600</w:t>
            </w:r>
          </w:p>
        </w:tc>
        <w:tc>
          <w:tcPr>
            <w:tcW w:w="240" w:type="dxa"/>
            <w:vAlign w:val="bottom"/>
            <w:shd w:val="clear" w:color="auto" w:fill="EAF9E8"/>
          </w:tcPr>
          <w:p>
            <w:pPr>
              <w:spacing w:after="0"/>
              <w:rPr>
                <w:sz w:val="21"/>
                <w:szCs w:val="21"/>
                <w:color w:val="auto"/>
              </w:rPr>
            </w:pPr>
          </w:p>
        </w:tc>
        <w:tc>
          <w:tcPr>
            <w:tcW w:w="34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395,000</w:t>
            </w:r>
          </w:p>
        </w:tc>
        <w:tc>
          <w:tcPr>
            <w:tcW w:w="240" w:type="dxa"/>
            <w:vAlign w:val="bottom"/>
            <w:shd w:val="clear" w:color="auto" w:fill="EAF9E8"/>
          </w:tcPr>
          <w:p>
            <w:pPr>
              <w:spacing w:after="0"/>
              <w:rPr>
                <w:sz w:val="21"/>
                <w:szCs w:val="21"/>
                <w:color w:val="auto"/>
              </w:rPr>
            </w:pPr>
          </w:p>
        </w:tc>
        <w:tc>
          <w:tcPr>
            <w:tcW w:w="46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w:t>
            </w:r>
          </w:p>
        </w:tc>
        <w:tc>
          <w:tcPr>
            <w:tcW w:w="8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403,500</w:t>
            </w:r>
          </w:p>
        </w:tc>
        <w:tc>
          <w:tcPr>
            <w:tcW w:w="160" w:type="dxa"/>
            <w:vAlign w:val="bottom"/>
            <w:shd w:val="clear" w:color="auto" w:fill="EAF9E8"/>
          </w:tcPr>
          <w:p>
            <w:pPr>
              <w:spacing w:after="0"/>
              <w:rPr>
                <w:sz w:val="21"/>
                <w:szCs w:val="21"/>
                <w:color w:val="auto"/>
              </w:rPr>
            </w:pPr>
          </w:p>
        </w:tc>
      </w:tr>
      <w:tr>
        <w:trPr>
          <w:trHeight w:val="242"/>
        </w:trPr>
        <w:tc>
          <w:tcPr>
            <w:tcW w:w="5640" w:type="dxa"/>
            <w:vAlign w:val="bottom"/>
          </w:tcPr>
          <w:p>
            <w:pPr>
              <w:spacing w:after="0"/>
              <w:rPr>
                <w:sz w:val="20"/>
                <w:szCs w:val="20"/>
                <w:color w:val="auto"/>
              </w:rPr>
            </w:pPr>
            <w:r>
              <w:rPr>
                <w:rFonts w:ascii="Arial" w:cs="Arial" w:eastAsia="Arial" w:hAnsi="Arial"/>
                <w:sz w:val="18"/>
                <w:szCs w:val="18"/>
                <w:color w:val="auto"/>
              </w:rPr>
              <w:t>Float earnings (1)</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866</w:t>
            </w:r>
          </w:p>
        </w:tc>
        <w:tc>
          <w:tcPr>
            <w:tcW w:w="240" w:type="dxa"/>
            <w:vAlign w:val="bottom"/>
          </w:tcPr>
          <w:p>
            <w:pPr>
              <w:spacing w:after="0"/>
              <w:rPr>
                <w:sz w:val="21"/>
                <w:szCs w:val="21"/>
                <w:color w:val="auto"/>
              </w:rPr>
            </w:pPr>
          </w:p>
        </w:tc>
        <w:tc>
          <w:tcPr>
            <w:tcW w:w="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1,718</w:t>
            </w:r>
          </w:p>
        </w:tc>
        <w:tc>
          <w:tcPr>
            <w:tcW w:w="240" w:type="dxa"/>
            <w:vAlign w:val="bottom"/>
          </w:tcPr>
          <w:p>
            <w:pPr>
              <w:spacing w:after="0"/>
              <w:rPr>
                <w:sz w:val="21"/>
                <w:szCs w:val="21"/>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3,906</w:t>
            </w:r>
          </w:p>
        </w:tc>
        <w:tc>
          <w:tcPr>
            <w:tcW w:w="240" w:type="dxa"/>
            <w:vAlign w:val="bottom"/>
          </w:tcPr>
          <w:p>
            <w:pPr>
              <w:spacing w:after="0"/>
              <w:rPr>
                <w:sz w:val="21"/>
                <w:szCs w:val="21"/>
                <w:color w:val="auto"/>
              </w:rPr>
            </w:pPr>
          </w:p>
        </w:tc>
        <w:tc>
          <w:tcPr>
            <w:tcW w:w="4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8,719</w:t>
            </w:r>
          </w:p>
        </w:tc>
        <w:tc>
          <w:tcPr>
            <w:tcW w:w="160" w:type="dxa"/>
            <w:vAlign w:val="bottom"/>
          </w:tcPr>
          <w:p>
            <w:pPr>
              <w:spacing w:after="0"/>
              <w:rPr>
                <w:sz w:val="21"/>
                <w:szCs w:val="21"/>
                <w:color w:val="auto"/>
              </w:rPr>
            </w:pPr>
          </w:p>
        </w:tc>
      </w:tr>
      <w:tr>
        <w:trPr>
          <w:trHeight w:val="244"/>
        </w:trPr>
        <w:tc>
          <w:tcPr>
            <w:tcW w:w="5640" w:type="dxa"/>
            <w:vAlign w:val="bottom"/>
            <w:shd w:val="clear" w:color="auto" w:fill="EAF9E8"/>
          </w:tcPr>
          <w:p>
            <w:pPr>
              <w:spacing w:after="0"/>
              <w:rPr>
                <w:sz w:val="20"/>
                <w:szCs w:val="20"/>
                <w:color w:val="auto"/>
              </w:rPr>
            </w:pPr>
            <w:r>
              <w:rPr>
                <w:rFonts w:ascii="Arial" w:cs="Arial" w:eastAsia="Arial" w:hAnsi="Arial"/>
                <w:sz w:val="18"/>
                <w:szCs w:val="18"/>
                <w:color w:val="auto"/>
              </w:rPr>
              <w:t>Annualized yield</w:t>
            </w:r>
          </w:p>
        </w:tc>
        <w:tc>
          <w:tcPr>
            <w:tcW w:w="240" w:type="dxa"/>
            <w:vAlign w:val="bottom"/>
            <w:shd w:val="clear" w:color="auto" w:fill="EAF9E8"/>
          </w:tcPr>
          <w:p>
            <w:pPr>
              <w:spacing w:after="0"/>
              <w:rPr>
                <w:sz w:val="21"/>
                <w:szCs w:val="21"/>
                <w:color w:val="auto"/>
              </w:rPr>
            </w:pPr>
          </w:p>
        </w:tc>
        <w:tc>
          <w:tcPr>
            <w:tcW w:w="114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0.90%</w:t>
            </w:r>
          </w:p>
        </w:tc>
        <w:tc>
          <w:tcPr>
            <w:tcW w:w="100" w:type="dxa"/>
            <w:vAlign w:val="bottom"/>
            <w:shd w:val="clear" w:color="auto" w:fill="EAF9E8"/>
          </w:tcPr>
          <w:p>
            <w:pPr>
              <w:spacing w:after="0"/>
              <w:rPr>
                <w:sz w:val="21"/>
                <w:szCs w:val="21"/>
                <w:color w:val="auto"/>
              </w:rPr>
            </w:pPr>
          </w:p>
        </w:tc>
        <w:tc>
          <w:tcPr>
            <w:tcW w:w="380" w:type="dxa"/>
            <w:vAlign w:val="bottom"/>
            <w:shd w:val="clear" w:color="auto" w:fill="EAF9E8"/>
          </w:tcPr>
          <w:p>
            <w:pPr>
              <w:spacing w:after="0"/>
              <w:rPr>
                <w:sz w:val="21"/>
                <w:szCs w:val="21"/>
                <w:color w:val="auto"/>
              </w:rPr>
            </w:pPr>
          </w:p>
        </w:tc>
        <w:tc>
          <w:tcPr>
            <w:tcW w:w="10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1.85%</w:t>
            </w:r>
          </w:p>
        </w:tc>
        <w:tc>
          <w:tcPr>
            <w:tcW w:w="100" w:type="dxa"/>
            <w:vAlign w:val="bottom"/>
            <w:shd w:val="clear" w:color="auto" w:fill="EAF9E8"/>
          </w:tcPr>
          <w:p>
            <w:pPr>
              <w:spacing w:after="0"/>
              <w:rPr>
                <w:sz w:val="21"/>
                <w:szCs w:val="21"/>
                <w:color w:val="auto"/>
              </w:rPr>
            </w:pPr>
          </w:p>
        </w:tc>
        <w:tc>
          <w:tcPr>
            <w:tcW w:w="240" w:type="dxa"/>
            <w:vAlign w:val="bottom"/>
            <w:shd w:val="clear" w:color="auto" w:fill="EAF9E8"/>
          </w:tcPr>
          <w:p>
            <w:pPr>
              <w:spacing w:after="0"/>
              <w:rPr>
                <w:sz w:val="21"/>
                <w:szCs w:val="21"/>
                <w:color w:val="auto"/>
              </w:rPr>
            </w:pPr>
          </w:p>
        </w:tc>
        <w:tc>
          <w:tcPr>
            <w:tcW w:w="11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1.32%</w:t>
            </w:r>
          </w:p>
        </w:tc>
        <w:tc>
          <w:tcPr>
            <w:tcW w:w="100" w:type="dxa"/>
            <w:vAlign w:val="bottom"/>
            <w:shd w:val="clear" w:color="auto" w:fill="EAF9E8"/>
          </w:tcPr>
          <w:p>
            <w:pPr>
              <w:spacing w:after="0"/>
              <w:rPr>
                <w:sz w:val="21"/>
                <w:szCs w:val="21"/>
                <w:color w:val="auto"/>
              </w:rPr>
            </w:pPr>
          </w:p>
        </w:tc>
        <w:tc>
          <w:tcPr>
            <w:tcW w:w="360" w:type="dxa"/>
            <w:vAlign w:val="bottom"/>
            <w:shd w:val="clear" w:color="auto" w:fill="EAF9E8"/>
          </w:tcPr>
          <w:p>
            <w:pPr>
              <w:spacing w:after="0"/>
              <w:rPr>
                <w:sz w:val="21"/>
                <w:szCs w:val="21"/>
                <w:color w:val="auto"/>
              </w:rPr>
            </w:pPr>
          </w:p>
        </w:tc>
        <w:tc>
          <w:tcPr>
            <w:tcW w:w="96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2.88%</w:t>
            </w:r>
          </w:p>
        </w:tc>
      </w:tr>
    </w:tbl>
    <w:p>
      <w:pPr>
        <w:spacing w:after="0" w:line="248" w:lineRule="exact"/>
        <w:rPr>
          <w:sz w:val="20"/>
          <w:szCs w:val="20"/>
          <w:color w:val="auto"/>
        </w:rPr>
      </w:pPr>
    </w:p>
    <w:p>
      <w:pPr>
        <w:ind w:left="580" w:right="80" w:hanging="572"/>
        <w:spacing w:after="0" w:line="332" w:lineRule="auto"/>
        <w:tabs>
          <w:tab w:leader="none" w:pos="5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For the third quarter of 2009 and 2008, float earnings included $921 and $1,834, respectively, of income from auction rate securities. For the year to date periods, income from auction rate securities included in float earnings was $3,855 and $8,485, respectively, for 2009 and 2008.</w:t>
      </w:r>
    </w:p>
    <w:p>
      <w:pPr>
        <w:spacing w:after="0" w:line="139" w:lineRule="exact"/>
        <w:rPr>
          <w:sz w:val="20"/>
          <w:szCs w:val="20"/>
          <w:color w:val="auto"/>
        </w:rPr>
      </w:pPr>
    </w:p>
    <w:p>
      <w:pPr>
        <w:ind w:right="140" w:firstLine="439"/>
        <w:spacing w:after="0" w:line="255" w:lineRule="auto"/>
        <w:rPr>
          <w:sz w:val="20"/>
          <w:szCs w:val="20"/>
          <w:color w:val="auto"/>
        </w:rPr>
      </w:pPr>
      <w:r>
        <w:rPr>
          <w:rFonts w:ascii="Arial" w:cs="Arial" w:eastAsia="Arial" w:hAnsi="Arial"/>
          <w:sz w:val="18"/>
          <w:szCs w:val="18"/>
          <w:i w:val="1"/>
          <w:iCs w:val="1"/>
          <w:color w:val="auto"/>
        </w:rPr>
        <w:t xml:space="preserve">Process Management Fees. </w:t>
      </w:r>
      <w:r>
        <w:rPr>
          <w:rFonts w:ascii="Arial" w:cs="Arial" w:eastAsia="Arial" w:hAnsi="Arial"/>
          <w:sz w:val="18"/>
          <w:szCs w:val="18"/>
          <w:color w:val="auto"/>
        </w:rPr>
        <w:t>Process management fees are primarily comprised of revenues associated with foreclosed residential real estate marketing</w:t>
      </w:r>
      <w:r>
        <w:rPr>
          <w:rFonts w:ascii="Arial" w:cs="Arial" w:eastAsia="Arial" w:hAnsi="Arial"/>
          <w:sz w:val="18"/>
          <w:szCs w:val="18"/>
          <w:i w:val="1"/>
          <w:iCs w:val="1"/>
          <w:color w:val="auto"/>
        </w:rPr>
        <w:t xml:space="preserve"> </w:t>
      </w:r>
      <w:r>
        <w:rPr>
          <w:rFonts w:ascii="Arial" w:cs="Arial" w:eastAsia="Arial" w:hAnsi="Arial"/>
          <w:sz w:val="18"/>
          <w:szCs w:val="18"/>
          <w:color w:val="auto"/>
        </w:rPr>
        <w:t>activities. These revenues were $9,092 and $9,468 for the third quarter of 2009 and 2008, respectively. Year to date, the revenues related to real estate marketing activities were $28,516 and $23,608 for 2009 and 2008, respectively. The year to date increase in 2009 was largely due to more effective marketing and pricing related to foreclosed residential real estate in the Servicing portfolio. The effect of the increase in rates was partly offset by declines in both the number of properties sold and the average price.</w:t>
      </w:r>
    </w:p>
    <w:p>
      <w:pPr>
        <w:spacing w:after="0" w:line="197" w:lineRule="exact"/>
        <w:rPr>
          <w:sz w:val="20"/>
          <w:szCs w:val="20"/>
          <w:color w:val="auto"/>
        </w:rPr>
      </w:pPr>
    </w:p>
    <w:p>
      <w:pPr>
        <w:ind w:right="260" w:firstLine="439"/>
        <w:spacing w:after="0" w:line="259" w:lineRule="auto"/>
        <w:rPr>
          <w:sz w:val="20"/>
          <w:szCs w:val="20"/>
          <w:color w:val="auto"/>
        </w:rPr>
      </w:pPr>
      <w:r>
        <w:rPr>
          <w:rFonts w:ascii="Arial" w:cs="Arial" w:eastAsia="Arial" w:hAnsi="Arial"/>
          <w:sz w:val="18"/>
          <w:szCs w:val="18"/>
          <w:i w:val="1"/>
          <w:iCs w:val="1"/>
          <w:color w:val="auto"/>
        </w:rPr>
        <w:t xml:space="preserve">Compensation and Benefits Expense. </w:t>
      </w:r>
      <w:r>
        <w:rPr>
          <w:rFonts w:ascii="Arial" w:cs="Arial" w:eastAsia="Arial" w:hAnsi="Arial"/>
          <w:sz w:val="18"/>
          <w:szCs w:val="18"/>
          <w:color w:val="auto"/>
        </w:rPr>
        <w:t>The decrease in compensation expense and benefits in the first nine months of 2009 as compared to the first nine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of 2008 is due to a 17% decline in the average number of employees as management responded to a 17% decrease in the average size of the residential servicing portfolio.</w:t>
      </w:r>
    </w:p>
    <w:p>
      <w:pPr>
        <w:spacing w:after="0" w:line="194" w:lineRule="exact"/>
        <w:rPr>
          <w:sz w:val="20"/>
          <w:szCs w:val="20"/>
          <w:color w:val="auto"/>
        </w:rPr>
      </w:pPr>
    </w:p>
    <w:p>
      <w:pPr>
        <w:ind w:right="240" w:firstLine="436"/>
        <w:spacing w:after="0" w:line="312" w:lineRule="auto"/>
        <w:rPr>
          <w:sz w:val="20"/>
          <w:szCs w:val="20"/>
          <w:color w:val="auto"/>
        </w:rPr>
      </w:pPr>
      <w:r>
        <w:rPr>
          <w:rFonts w:ascii="Arial" w:cs="Arial" w:eastAsia="Arial" w:hAnsi="Arial"/>
          <w:sz w:val="15"/>
          <w:szCs w:val="15"/>
          <w:i w:val="1"/>
          <w:iCs w:val="1"/>
          <w:color w:val="auto"/>
        </w:rPr>
        <w:t xml:space="preserve">Amortization of Servicing Rights. </w:t>
      </w:r>
      <w:r>
        <w:rPr>
          <w:rFonts w:ascii="Arial" w:cs="Arial" w:eastAsia="Arial" w:hAnsi="Arial"/>
          <w:sz w:val="15"/>
          <w:szCs w:val="15"/>
          <w:color w:val="auto"/>
        </w:rPr>
        <w:t>Amortization of MSRs declined by 33% and 38% during the three and nine months ended September 30, 2009 as</w:t>
      </w:r>
      <w:r>
        <w:rPr>
          <w:rFonts w:ascii="Arial" w:cs="Arial" w:eastAsia="Arial" w:hAnsi="Arial"/>
          <w:sz w:val="15"/>
          <w:szCs w:val="15"/>
          <w:i w:val="1"/>
          <w:iCs w:val="1"/>
          <w:color w:val="auto"/>
        </w:rPr>
        <w:t xml:space="preserve"> </w:t>
      </w:r>
      <w:r>
        <w:rPr>
          <w:rFonts w:ascii="Arial" w:cs="Arial" w:eastAsia="Arial" w:hAnsi="Arial"/>
          <w:sz w:val="15"/>
          <w:szCs w:val="15"/>
          <w:color w:val="auto"/>
        </w:rPr>
        <w:t>compared to the same periods of 2008. This decline occurred because of a reduction in the rate of amortization and the absence of significant acquisitions of MSRs during 2008 and 2009. We amortize mortgage servicing rights in proportion to and over the period of estimated net servicing income. Slower projected mortgage prepayment speeds reduced the rate of amortization because we expect to earn the servicing income over a longer period of time. Average projected prepayment speeds used to compute amortization expense were 19% and 20% for the third quarter and year to date periods of 2009, respectively. For 2008, the average projected prepayment speeds were 25% for both the third quarter and year to date periods. Average projected delinquency rates (past due 90 days or more) used to compute amortization expense were 26% and 25% for the 2009 periods as compared to 22% and 21% for the 2008 periods, respectively.</w:t>
      </w:r>
    </w:p>
    <w:p>
      <w:pPr>
        <w:spacing w:after="0" w:line="159" w:lineRule="exact"/>
        <w:rPr>
          <w:sz w:val="20"/>
          <w:szCs w:val="20"/>
          <w:color w:val="auto"/>
        </w:rPr>
      </w:pPr>
    </w:p>
    <w:p>
      <w:pPr>
        <w:jc w:val="both"/>
        <w:ind w:firstLine="439"/>
        <w:spacing w:after="0" w:line="259" w:lineRule="auto"/>
        <w:rPr>
          <w:sz w:val="20"/>
          <w:szCs w:val="20"/>
          <w:color w:val="auto"/>
        </w:rPr>
      </w:pPr>
      <w:r>
        <w:rPr>
          <w:rFonts w:ascii="Arial" w:cs="Arial" w:eastAsia="Arial" w:hAnsi="Arial"/>
          <w:sz w:val="18"/>
          <w:szCs w:val="18"/>
          <w:i w:val="1"/>
          <w:iCs w:val="1"/>
          <w:color w:val="auto"/>
        </w:rPr>
        <w:t xml:space="preserve">Servicing and Origination Expenses. </w:t>
      </w:r>
      <w:r>
        <w:rPr>
          <w:rFonts w:ascii="Arial" w:cs="Arial" w:eastAsia="Arial" w:hAnsi="Arial"/>
          <w:sz w:val="18"/>
          <w:szCs w:val="18"/>
          <w:color w:val="auto"/>
        </w:rPr>
        <w:t>Servicing and origination expense is comprised of compensating interest, satisfaction fees and other servicer expenses.</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Compensating interest on loan payoffs and satisfaction fees declined in both the 2009 periods as compared to the same periods of 2008 primarily as a result of the decline in the servicing portfolio and a decline in voluntary loan prepayments.</w:t>
      </w:r>
    </w:p>
    <w:p>
      <w:pPr>
        <w:spacing w:after="0" w:line="194" w:lineRule="exact"/>
        <w:rPr>
          <w:sz w:val="20"/>
          <w:szCs w:val="20"/>
          <w:color w:val="auto"/>
        </w:rPr>
      </w:pPr>
    </w:p>
    <w:p>
      <w:pPr>
        <w:ind w:right="80" w:firstLine="439"/>
        <w:spacing w:after="0" w:line="288" w:lineRule="auto"/>
        <w:rPr>
          <w:sz w:val="20"/>
          <w:szCs w:val="20"/>
          <w:color w:val="auto"/>
        </w:rPr>
      </w:pPr>
      <w:r>
        <w:rPr>
          <w:rFonts w:ascii="Arial" w:cs="Arial" w:eastAsia="Arial" w:hAnsi="Arial"/>
          <w:sz w:val="16"/>
          <w:szCs w:val="16"/>
          <w:i w:val="1"/>
          <w:iCs w:val="1"/>
          <w:color w:val="auto"/>
        </w:rPr>
        <w:t xml:space="preserve">Interest Expense. </w:t>
      </w:r>
      <w:r>
        <w:rPr>
          <w:rFonts w:ascii="Arial" w:cs="Arial" w:eastAsia="Arial" w:hAnsi="Arial"/>
          <w:sz w:val="16"/>
          <w:szCs w:val="16"/>
          <w:color w:val="auto"/>
        </w:rPr>
        <w:t>Total interest expense in the three and nine months ended September 2009 periods were lower than the 2008 periods by $1,557, or 9%,</w:t>
      </w:r>
      <w:r>
        <w:rPr>
          <w:rFonts w:ascii="Arial" w:cs="Arial" w:eastAsia="Arial" w:hAnsi="Arial"/>
          <w:sz w:val="16"/>
          <w:szCs w:val="16"/>
          <w:i w:val="1"/>
          <w:iCs w:val="1"/>
          <w:color w:val="auto"/>
        </w:rPr>
        <w:t xml:space="preserve"> </w:t>
      </w:r>
      <w:r>
        <w:rPr>
          <w:rFonts w:ascii="Arial" w:cs="Arial" w:eastAsia="Arial" w:hAnsi="Arial"/>
          <w:sz w:val="16"/>
          <w:szCs w:val="16"/>
          <w:color w:val="auto"/>
        </w:rPr>
        <w:t>and $11,912, or 20%, respectively, primarily because of the decline in match funded advances that was partly offset by an increase in effective interest rates. The average combined balance of advances and match funded advances decreased by 16% and 19% during the three and nine months ended September 2009 as compared to the same periods of 2008. Average borrowings of $684,161 were $354,904, or 34%, lower in the third quarter of 2009 than in 2008. Year to date, average borrowings of $805,120 were $359,414, or 31%, lower when compared to 2008. The effective average rate on these borrowings of 7.89% in the third quarter of 2009 was higher by 221 basis points, or 39%, as compared to the third quarter of 2008. For the nine months ended September 2009, the average rate of 6.67% increased by 68 basis points, or 11%, as compared to the same period of 2008. The majority of our credit facilities bear interest at rates that are adjusted regularly based on 1-Month LIBOR. During the third quarter of 2009, the average of 1-Month LIBOR was 0.27% as compared to 2.62% in the third quarter of 2008. The average of 1-Month LIBOR was 0.37% and 2.84% during the first nine months of 2009 and 2008, respectively.</w:t>
      </w:r>
    </w:p>
    <w:p>
      <w:pPr>
        <w:spacing w:after="0" w:line="17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Average rates have not declined in proportion to the decline in LIBOR principally because of the higher spread over LIBOR charged on the new match</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funded facilities added in 2008 and those renewed or added in 2009 and because of higher facility fees charged by the lenders. Interest expense includes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amortization of facility costs of $7,583 and $2,610 during the third quarter of 2009 and 2008, respectively. Year to date, amortization of facility costs were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$18,857 and $9,805 for 2009 and 2008, respectively. Amortization of facility costs in the first nine months of 2008 included the write-off of $2,000 in the first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quarter of deferred costs that related to a match funded facility that we decided not to expand or renew.</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Loans and Residuals</w:t>
      </w:r>
    </w:p>
    <w:p>
      <w:pPr>
        <w:spacing w:after="0" w:line="225" w:lineRule="exact"/>
        <w:rPr>
          <w:sz w:val="20"/>
          <w:szCs w:val="20"/>
          <w:color w:val="auto"/>
        </w:rPr>
      </w:pPr>
    </w:p>
    <w:p>
      <w:pPr>
        <w:jc w:val="both"/>
        <w:ind w:right="40" w:firstLine="436"/>
        <w:spacing w:after="0" w:line="339" w:lineRule="auto"/>
        <w:rPr>
          <w:sz w:val="20"/>
          <w:szCs w:val="20"/>
          <w:color w:val="auto"/>
        </w:rPr>
      </w:pPr>
      <w:r>
        <w:rPr>
          <w:rFonts w:ascii="Arial" w:cs="Arial" w:eastAsia="Arial" w:hAnsi="Arial"/>
          <w:sz w:val="15"/>
          <w:szCs w:val="15"/>
          <w:b w:val="1"/>
          <w:bCs w:val="1"/>
          <w:color w:val="auto"/>
        </w:rPr>
        <w:t xml:space="preserve">Three Months Ended September 2009 versus September 2008. </w:t>
      </w:r>
      <w:r>
        <w:rPr>
          <w:rFonts w:ascii="Arial" w:cs="Arial" w:eastAsia="Arial" w:hAnsi="Arial"/>
          <w:sz w:val="15"/>
          <w:szCs w:val="15"/>
          <w:color w:val="auto"/>
        </w:rPr>
        <w:t>The loss before income taxes for the third quarter of 2009 declined by $439 as compared</w:t>
      </w:r>
      <w:r>
        <w:rPr>
          <w:rFonts w:ascii="Arial" w:cs="Arial" w:eastAsia="Arial" w:hAnsi="Arial"/>
          <w:sz w:val="15"/>
          <w:szCs w:val="15"/>
          <w:b w:val="1"/>
          <w:bCs w:val="1"/>
          <w:color w:val="auto"/>
        </w:rPr>
        <w:t xml:space="preserve"> </w:t>
      </w:r>
      <w:r>
        <w:rPr>
          <w:rFonts w:ascii="Arial" w:cs="Arial" w:eastAsia="Arial" w:hAnsi="Arial"/>
          <w:sz w:val="15"/>
          <w:szCs w:val="15"/>
          <w:color w:val="auto"/>
        </w:rPr>
        <w:t>to the third quarter of 2008. This improvement is largely due to a $987 unrealized gain on subordinate and residual trading securities, a $1,585 improvement over the third quarter of 2008, partly offset by a $568 increase in losses on loans held for resale and a $470 decline in net interest income on loans and securities.</w:t>
      </w:r>
    </w:p>
    <w:p>
      <w:pPr>
        <w:sectPr>
          <w:pgSz w:w="11900" w:h="16838" w:orient="portrait"/>
          <w:cols w:equalWidth="0" w:num="1">
            <w:col w:w="11420"/>
          </w:cols>
          <w:pgMar w:left="240" w:top="131" w:right="239" w:bottom="1440" w:gutter="0" w:footer="0" w:header="0"/>
        </w:sectPr>
      </w:pP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52" w:name="page53"/>
    <w:bookmarkEnd w:id="52"/>
    <w:p>
      <w:pPr>
        <w:ind w:right="60" w:firstLine="439"/>
        <w:spacing w:after="0" w:line="258" w:lineRule="auto"/>
        <w:rPr>
          <w:sz w:val="20"/>
          <w:szCs w:val="20"/>
          <w:color w:val="auto"/>
        </w:rPr>
      </w:pPr>
      <w:r>
        <w:rPr>
          <w:rFonts w:ascii="Arial" w:cs="Arial" w:eastAsia="Arial" w:hAnsi="Arial"/>
          <w:sz w:val="18"/>
          <w:szCs w:val="18"/>
          <w:b w:val="1"/>
          <w:bCs w:val="1"/>
          <w:color w:val="auto"/>
        </w:rPr>
        <w:t xml:space="preserve">Nine Months Ended September 2009 versus September 2008. </w:t>
      </w:r>
      <w:r>
        <w:rPr>
          <w:rFonts w:ascii="Arial" w:cs="Arial" w:eastAsia="Arial" w:hAnsi="Arial"/>
          <w:sz w:val="18"/>
          <w:szCs w:val="18"/>
          <w:color w:val="auto"/>
        </w:rPr>
        <w:t>The year to date loss before income taxes for 2009 declined by $2,559 as compared to the</w:t>
      </w:r>
      <w:r>
        <w:rPr>
          <w:rFonts w:ascii="Arial" w:cs="Arial" w:eastAsia="Arial" w:hAnsi="Arial"/>
          <w:sz w:val="18"/>
          <w:szCs w:val="18"/>
          <w:b w:val="1"/>
          <w:bCs w:val="1"/>
          <w:color w:val="auto"/>
        </w:rPr>
        <w:t xml:space="preserve"> </w:t>
      </w:r>
      <w:r>
        <w:rPr>
          <w:rFonts w:ascii="Arial" w:cs="Arial" w:eastAsia="Arial" w:hAnsi="Arial"/>
          <w:sz w:val="18"/>
          <w:szCs w:val="18"/>
          <w:color w:val="auto"/>
        </w:rPr>
        <w:t>same period of 2008. Total net losses on loans held for resale and securities declined by $5,439 in 2009 which more than offset the $2,850 decline in net interest income on these assets. The decline in losses primarily reflects unrealized fair value gains on securities and lower loan charge-offs and valuation adjustments to reduce loans and real estate to fair value.</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340" w:type="dxa"/>
            <w:vAlign w:val="bottom"/>
            <w:gridSpan w:val="2"/>
          </w:tcPr>
          <w:p>
            <w:pPr>
              <w:spacing w:after="0"/>
              <w:rPr>
                <w:sz w:val="20"/>
                <w:szCs w:val="20"/>
                <w:color w:val="auto"/>
              </w:rPr>
            </w:pPr>
            <w:r>
              <w:rPr>
                <w:rFonts w:ascii="Arial" w:cs="Arial" w:eastAsia="Arial" w:hAnsi="Arial"/>
                <w:sz w:val="18"/>
                <w:szCs w:val="18"/>
                <w:color w:val="auto"/>
              </w:rPr>
              <w:t>Comparative selected balance sheet data:</w:t>
            </w: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452"/>
        </w:trPr>
        <w:tc>
          <w:tcPr>
            <w:tcW w:w="2900" w:type="dxa"/>
            <w:vAlign w:val="bottom"/>
            <w:tcBorders>
              <w:top w:val="single" w:sz="8" w:color="auto"/>
            </w:tcBorders>
          </w:tcPr>
          <w:p>
            <w:pPr>
              <w:spacing w:after="0"/>
              <w:rPr>
                <w:sz w:val="24"/>
                <w:szCs w:val="24"/>
                <w:color w:val="auto"/>
              </w:rPr>
            </w:pPr>
          </w:p>
        </w:tc>
        <w:tc>
          <w:tcPr>
            <w:tcW w:w="5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jc w:val="right"/>
              <w:ind w:right="92"/>
              <w:spacing w:after="0"/>
              <w:rPr>
                <w:sz w:val="20"/>
                <w:szCs w:val="20"/>
                <w:color w:val="auto"/>
              </w:rPr>
            </w:pPr>
            <w:r>
              <w:rPr>
                <w:rFonts w:ascii="Arial" w:cs="Arial" w:eastAsia="Arial" w:hAnsi="Arial"/>
                <w:sz w:val="18"/>
                <w:szCs w:val="18"/>
                <w:b w:val="1"/>
                <w:bCs w:val="1"/>
                <w:color w:val="auto"/>
                <w:w w:val="87"/>
              </w:rPr>
              <w:t>September 30,</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jc w:val="right"/>
              <w:ind w:right="52"/>
              <w:spacing w:after="0"/>
              <w:rPr>
                <w:sz w:val="20"/>
                <w:szCs w:val="20"/>
                <w:color w:val="auto"/>
              </w:rPr>
            </w:pPr>
            <w:r>
              <w:rPr>
                <w:rFonts w:ascii="Arial" w:cs="Arial" w:eastAsia="Arial" w:hAnsi="Arial"/>
                <w:sz w:val="18"/>
                <w:szCs w:val="18"/>
                <w:b w:val="1"/>
                <w:bCs w:val="1"/>
                <w:color w:val="auto"/>
                <w:w w:val="88"/>
              </w:rPr>
              <w:t>December 31,</w:t>
            </w:r>
          </w:p>
        </w:tc>
        <w:tc>
          <w:tcPr>
            <w:tcW w:w="120" w:type="dxa"/>
            <w:vAlign w:val="bottom"/>
          </w:tcPr>
          <w:p>
            <w:pPr>
              <w:spacing w:after="0"/>
              <w:rPr>
                <w:sz w:val="24"/>
                <w:szCs w:val="24"/>
                <w:color w:val="auto"/>
              </w:rPr>
            </w:pPr>
          </w:p>
        </w:tc>
      </w:tr>
      <w:tr>
        <w:trPr>
          <w:trHeight w:val="237"/>
        </w:trPr>
        <w:tc>
          <w:tcPr>
            <w:tcW w:w="290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52"/>
              <w:spacing w:after="0"/>
              <w:rPr>
                <w:sz w:val="20"/>
                <w:szCs w:val="20"/>
                <w:color w:val="auto"/>
              </w:rPr>
            </w:pPr>
            <w:r>
              <w:rPr>
                <w:rFonts w:ascii="Arial" w:cs="Arial" w:eastAsia="Arial" w:hAnsi="Arial"/>
                <w:sz w:val="18"/>
                <w:szCs w:val="18"/>
                <w:b w:val="1"/>
                <w:bCs w:val="1"/>
                <w:color w:val="auto"/>
              </w:rPr>
              <w:t>2009</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b w:val="1"/>
                <w:bCs w:val="1"/>
                <w:color w:val="auto"/>
              </w:rPr>
              <w:t>2008</w:t>
            </w:r>
          </w:p>
        </w:tc>
        <w:tc>
          <w:tcPr>
            <w:tcW w:w="120" w:type="dxa"/>
            <w:vAlign w:val="bottom"/>
          </w:tcPr>
          <w:p>
            <w:pPr>
              <w:spacing w:after="0"/>
              <w:rPr>
                <w:sz w:val="20"/>
                <w:szCs w:val="20"/>
                <w:color w:val="auto"/>
              </w:rPr>
            </w:pPr>
          </w:p>
        </w:tc>
      </w:tr>
      <w:tr>
        <w:trPr>
          <w:trHeight w:val="243"/>
        </w:trPr>
        <w:tc>
          <w:tcPr>
            <w:tcW w:w="834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Subordinate and residual trading securities</w:t>
            </w:r>
          </w:p>
        </w:tc>
        <w:tc>
          <w:tcPr>
            <w:tcW w:w="14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4,327</w:t>
            </w:r>
          </w:p>
        </w:tc>
        <w:tc>
          <w:tcPr>
            <w:tcW w:w="34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4,204</w:t>
            </w:r>
          </w:p>
        </w:tc>
        <w:tc>
          <w:tcPr>
            <w:tcW w:w="120" w:type="dxa"/>
            <w:vAlign w:val="bottom"/>
            <w:shd w:val="clear" w:color="auto" w:fill="EAF9E8"/>
          </w:tcPr>
          <w:p>
            <w:pPr>
              <w:spacing w:after="0"/>
              <w:rPr>
                <w:sz w:val="21"/>
                <w:szCs w:val="21"/>
                <w:color w:val="auto"/>
              </w:rPr>
            </w:pPr>
          </w:p>
        </w:tc>
      </w:tr>
      <w:tr>
        <w:trPr>
          <w:trHeight w:val="242"/>
        </w:trPr>
        <w:tc>
          <w:tcPr>
            <w:tcW w:w="8340" w:type="dxa"/>
            <w:vAlign w:val="bottom"/>
            <w:gridSpan w:val="2"/>
          </w:tcPr>
          <w:p>
            <w:pPr>
              <w:spacing w:after="0"/>
              <w:rPr>
                <w:sz w:val="20"/>
                <w:szCs w:val="20"/>
                <w:color w:val="auto"/>
              </w:rPr>
            </w:pPr>
            <w:r>
              <w:rPr>
                <w:rFonts w:ascii="Arial" w:cs="Arial" w:eastAsia="Arial" w:hAnsi="Arial"/>
                <w:sz w:val="18"/>
                <w:szCs w:val="18"/>
                <w:color w:val="auto"/>
              </w:rPr>
              <w:t>Loans held for resale</w:t>
            </w: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36,618</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49,918</w:t>
            </w:r>
          </w:p>
        </w:tc>
        <w:tc>
          <w:tcPr>
            <w:tcW w:w="120" w:type="dxa"/>
            <w:vAlign w:val="bottom"/>
          </w:tcPr>
          <w:p>
            <w:pPr>
              <w:spacing w:after="0"/>
              <w:rPr>
                <w:sz w:val="21"/>
                <w:szCs w:val="21"/>
                <w:color w:val="auto"/>
              </w:rPr>
            </w:pPr>
          </w:p>
        </w:tc>
      </w:tr>
      <w:tr>
        <w:trPr>
          <w:trHeight w:val="244"/>
        </w:trPr>
        <w:tc>
          <w:tcPr>
            <w:tcW w:w="834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Advances on loans held for resale</w:t>
            </w:r>
          </w:p>
        </w:tc>
        <w:tc>
          <w:tcPr>
            <w:tcW w:w="140" w:type="dxa"/>
            <w:vAlign w:val="bottom"/>
            <w:shd w:val="clear" w:color="auto" w:fill="EAF9E8"/>
          </w:tcPr>
          <w:p>
            <w:pPr>
              <w:spacing w:after="0"/>
              <w:rPr>
                <w:sz w:val="21"/>
                <w:szCs w:val="21"/>
                <w:color w:val="auto"/>
              </w:rPr>
            </w:pPr>
          </w:p>
        </w:tc>
        <w:tc>
          <w:tcPr>
            <w:tcW w:w="12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4,432</w:t>
            </w:r>
          </w:p>
        </w:tc>
        <w:tc>
          <w:tcPr>
            <w:tcW w:w="22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12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4,867</w:t>
            </w:r>
          </w:p>
        </w:tc>
        <w:tc>
          <w:tcPr>
            <w:tcW w:w="120" w:type="dxa"/>
            <w:vAlign w:val="bottom"/>
            <w:shd w:val="clear" w:color="auto" w:fill="EAF9E8"/>
          </w:tcPr>
          <w:p>
            <w:pPr>
              <w:spacing w:after="0"/>
              <w:rPr>
                <w:sz w:val="21"/>
                <w:szCs w:val="21"/>
                <w:color w:val="auto"/>
              </w:rPr>
            </w:pPr>
          </w:p>
        </w:tc>
      </w:tr>
      <w:tr>
        <w:trPr>
          <w:trHeight w:val="242"/>
        </w:trPr>
        <w:tc>
          <w:tcPr>
            <w:tcW w:w="8340" w:type="dxa"/>
            <w:vAlign w:val="bottom"/>
            <w:gridSpan w:val="2"/>
          </w:tcPr>
          <w:p>
            <w:pPr>
              <w:spacing w:after="0"/>
              <w:rPr>
                <w:sz w:val="20"/>
                <w:szCs w:val="20"/>
                <w:color w:val="auto"/>
              </w:rPr>
            </w:pPr>
            <w:r>
              <w:rPr>
                <w:rFonts w:ascii="Arial" w:cs="Arial" w:eastAsia="Arial" w:hAnsi="Arial"/>
                <w:sz w:val="18"/>
                <w:szCs w:val="18"/>
                <w:color w:val="auto"/>
              </w:rPr>
              <w:t>Real estate</w:t>
            </w: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5,462</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4,682</w:t>
            </w:r>
          </w:p>
        </w:tc>
        <w:tc>
          <w:tcPr>
            <w:tcW w:w="120" w:type="dxa"/>
            <w:vAlign w:val="bottom"/>
          </w:tcPr>
          <w:p>
            <w:pPr>
              <w:spacing w:after="0"/>
              <w:rPr>
                <w:sz w:val="21"/>
                <w:szCs w:val="21"/>
                <w:color w:val="auto"/>
              </w:rPr>
            </w:pPr>
          </w:p>
        </w:tc>
      </w:tr>
      <w:tr>
        <w:trPr>
          <w:trHeight w:val="244"/>
        </w:trPr>
        <w:tc>
          <w:tcPr>
            <w:tcW w:w="834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EAF9E8"/>
          </w:tcPr>
          <w:p>
            <w:pPr>
              <w:spacing w:after="0"/>
              <w:rPr>
                <w:sz w:val="21"/>
                <w:szCs w:val="21"/>
                <w:color w:val="auto"/>
              </w:rPr>
            </w:pPr>
          </w:p>
        </w:tc>
        <w:tc>
          <w:tcPr>
            <w:tcW w:w="12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2,352</w:t>
            </w:r>
          </w:p>
        </w:tc>
        <w:tc>
          <w:tcPr>
            <w:tcW w:w="22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12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3,646</w:t>
            </w:r>
          </w:p>
        </w:tc>
        <w:tc>
          <w:tcPr>
            <w:tcW w:w="120" w:type="dxa"/>
            <w:vAlign w:val="bottom"/>
            <w:shd w:val="clear" w:color="auto" w:fill="EAF9E8"/>
          </w:tcPr>
          <w:p>
            <w:pPr>
              <w:spacing w:after="0"/>
              <w:rPr>
                <w:sz w:val="21"/>
                <w:szCs w:val="21"/>
                <w:color w:val="auto"/>
              </w:rPr>
            </w:pPr>
          </w:p>
        </w:tc>
      </w:tr>
      <w:tr>
        <w:trPr>
          <w:trHeight w:val="20"/>
        </w:trPr>
        <w:tc>
          <w:tcPr>
            <w:tcW w:w="290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7"/>
        </w:trPr>
        <w:tc>
          <w:tcPr>
            <w:tcW w:w="8340" w:type="dxa"/>
            <w:vAlign w:val="bottom"/>
            <w:gridSpan w:val="2"/>
          </w:tcPr>
          <w:p>
            <w:pPr>
              <w:ind w:left="160"/>
              <w:spacing w:after="0"/>
              <w:rPr>
                <w:sz w:val="20"/>
                <w:szCs w:val="20"/>
                <w:color w:val="auto"/>
              </w:rPr>
            </w:pPr>
            <w:r>
              <w:rPr>
                <w:rFonts w:ascii="Arial" w:cs="Arial" w:eastAsia="Arial" w:hAnsi="Arial"/>
                <w:sz w:val="18"/>
                <w:szCs w:val="18"/>
                <w:color w:val="auto"/>
              </w:rPr>
              <w:t>Total assets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53,191</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67,317</w:t>
            </w:r>
          </w:p>
        </w:tc>
        <w:tc>
          <w:tcPr>
            <w:tcW w:w="120" w:type="dxa"/>
            <w:vAlign w:val="bottom"/>
          </w:tcPr>
          <w:p>
            <w:pPr>
              <w:spacing w:after="0"/>
              <w:rPr>
                <w:sz w:val="20"/>
                <w:szCs w:val="20"/>
                <w:color w:val="auto"/>
              </w:rPr>
            </w:pPr>
          </w:p>
        </w:tc>
      </w:tr>
      <w:tr>
        <w:trPr>
          <w:trHeight w:val="20"/>
        </w:trPr>
        <w:tc>
          <w:tcPr>
            <w:tcW w:w="290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0"/>
        </w:trPr>
        <w:tc>
          <w:tcPr>
            <w:tcW w:w="290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43"/>
        </w:trPr>
        <w:tc>
          <w:tcPr>
            <w:tcW w:w="834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Lines of credit and other secured borrowings</w:t>
            </w:r>
          </w:p>
        </w:tc>
        <w:tc>
          <w:tcPr>
            <w:tcW w:w="140" w:type="dxa"/>
            <w:vAlign w:val="bottom"/>
            <w:shd w:val="clear" w:color="auto" w:fill="EAF9E8"/>
          </w:tcPr>
          <w:p>
            <w:pPr>
              <w:spacing w:after="0"/>
              <w:rPr>
                <w:sz w:val="21"/>
                <w:szCs w:val="21"/>
                <w:color w:val="auto"/>
              </w:rPr>
            </w:pPr>
          </w:p>
        </w:tc>
        <w:tc>
          <w:tcPr>
            <w:tcW w:w="12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12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17,760</w:t>
            </w:r>
          </w:p>
        </w:tc>
        <w:tc>
          <w:tcPr>
            <w:tcW w:w="120" w:type="dxa"/>
            <w:vAlign w:val="bottom"/>
            <w:shd w:val="clear" w:color="auto" w:fill="EAF9E8"/>
          </w:tcPr>
          <w:p>
            <w:pPr>
              <w:spacing w:after="0"/>
              <w:rPr>
                <w:sz w:val="21"/>
                <w:szCs w:val="21"/>
                <w:color w:val="auto"/>
              </w:rPr>
            </w:pPr>
          </w:p>
        </w:tc>
      </w:tr>
      <w:tr>
        <w:trPr>
          <w:trHeight w:val="250"/>
        </w:trPr>
        <w:tc>
          <w:tcPr>
            <w:tcW w:w="8340" w:type="dxa"/>
            <w:vAlign w:val="bottom"/>
            <w:gridSpan w:val="2"/>
          </w:tcPr>
          <w:p>
            <w:pPr>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1,206</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1,409</w:t>
            </w:r>
          </w:p>
        </w:tc>
        <w:tc>
          <w:tcPr>
            <w:tcW w:w="120" w:type="dxa"/>
            <w:vAlign w:val="bottom"/>
          </w:tcPr>
          <w:p>
            <w:pPr>
              <w:spacing w:after="0"/>
              <w:rPr>
                <w:sz w:val="21"/>
                <w:szCs w:val="21"/>
                <w:color w:val="auto"/>
              </w:rPr>
            </w:pPr>
          </w:p>
        </w:tc>
      </w:tr>
      <w:tr>
        <w:trPr>
          <w:trHeight w:val="243"/>
        </w:trPr>
        <w:tc>
          <w:tcPr>
            <w:tcW w:w="834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Total liabilities</w:t>
            </w:r>
          </w:p>
        </w:tc>
        <w:tc>
          <w:tcPr>
            <w:tcW w:w="14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1,206</w:t>
            </w:r>
          </w:p>
        </w:tc>
        <w:tc>
          <w:tcPr>
            <w:tcW w:w="34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19,169</w:t>
            </w:r>
          </w:p>
        </w:tc>
        <w:tc>
          <w:tcPr>
            <w:tcW w:w="120" w:type="dxa"/>
            <w:vAlign w:val="bottom"/>
            <w:shd w:val="clear" w:color="auto" w:fill="EAF9E8"/>
          </w:tcPr>
          <w:p>
            <w:pPr>
              <w:spacing w:after="0"/>
              <w:rPr>
                <w:sz w:val="21"/>
                <w:szCs w:val="21"/>
                <w:color w:val="auto"/>
              </w:rPr>
            </w:pPr>
          </w:p>
        </w:tc>
      </w:tr>
      <w:tr>
        <w:trPr>
          <w:trHeight w:val="20"/>
        </w:trPr>
        <w:tc>
          <w:tcPr>
            <w:tcW w:w="290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
        </w:trPr>
        <w:tc>
          <w:tcPr>
            <w:tcW w:w="290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8" w:lineRule="exact"/>
        <w:rPr>
          <w:sz w:val="20"/>
          <w:szCs w:val="20"/>
          <w:color w:val="auto"/>
        </w:rPr>
      </w:pPr>
    </w:p>
    <w:p>
      <w:pPr>
        <w:ind w:right="40" w:firstLine="439"/>
        <w:spacing w:after="0" w:line="306" w:lineRule="auto"/>
        <w:rPr>
          <w:sz w:val="20"/>
          <w:szCs w:val="20"/>
          <w:color w:val="auto"/>
        </w:rPr>
      </w:pPr>
      <w:r>
        <w:rPr>
          <w:rFonts w:ascii="Arial" w:cs="Arial" w:eastAsia="Arial" w:hAnsi="Arial"/>
          <w:sz w:val="16"/>
          <w:szCs w:val="16"/>
          <w:i w:val="1"/>
          <w:iCs w:val="1"/>
          <w:color w:val="auto"/>
        </w:rPr>
        <w:t>Subordinate and Residual Trading Securities</w:t>
      </w:r>
      <w:r>
        <w:rPr>
          <w:rFonts w:ascii="Arial" w:cs="Arial" w:eastAsia="Arial" w:hAnsi="Arial"/>
          <w:sz w:val="16"/>
          <w:szCs w:val="16"/>
          <w:color w:val="auto"/>
        </w:rPr>
        <w:t>. Income from subordinate and residual trading securities is a combination of the net change in the value of</w:t>
      </w:r>
      <w:r>
        <w:rPr>
          <w:rFonts w:ascii="Arial" w:cs="Arial" w:eastAsia="Arial" w:hAnsi="Arial"/>
          <w:sz w:val="16"/>
          <w:szCs w:val="16"/>
          <w:i w:val="1"/>
          <w:iCs w:val="1"/>
          <w:color w:val="auto"/>
        </w:rPr>
        <w:t xml:space="preserve"> </w:t>
      </w:r>
      <w:r>
        <w:rPr>
          <w:rFonts w:ascii="Arial" w:cs="Arial" w:eastAsia="Arial" w:hAnsi="Arial"/>
          <w:sz w:val="16"/>
          <w:szCs w:val="16"/>
          <w:color w:val="auto"/>
        </w:rPr>
        <w:t>securities reflected as a fair value gain or loss and the interest income recognized on cash flows received by us. During the first nine months of 2009, we recorded a net unrealized fair value gain of $124 on subordinate and residual trading securities and recognized $1,793 of interest income.</w:t>
      </w:r>
    </w:p>
    <w:p>
      <w:pPr>
        <w:spacing w:after="0" w:line="161" w:lineRule="exact"/>
        <w:rPr>
          <w:sz w:val="20"/>
          <w:szCs w:val="20"/>
          <w:color w:val="auto"/>
        </w:rPr>
      </w:pPr>
    </w:p>
    <w:p>
      <w:pPr>
        <w:ind w:right="140" w:firstLine="439"/>
        <w:spacing w:after="0" w:line="298" w:lineRule="auto"/>
        <w:rPr>
          <w:sz w:val="20"/>
          <w:szCs w:val="20"/>
          <w:color w:val="auto"/>
        </w:rPr>
      </w:pPr>
      <w:r>
        <w:rPr>
          <w:rFonts w:ascii="Arial" w:cs="Arial" w:eastAsia="Arial" w:hAnsi="Arial"/>
          <w:sz w:val="16"/>
          <w:szCs w:val="16"/>
          <w:color w:val="auto"/>
        </w:rPr>
        <w:t>Our subordinate and residual securities are not actively traded, and therefore, market quotations are not available. We estimate fair value using an industry accepted discounted cash flow model calibrated for trading activity wherever possible. We estimate expected future cash flows using our best estimate of key assumptions that market participants would use such as discount rate, delinquency rates, cumulative loss rates and prepayment speeds associated with the loans underlying mortgage backed securities. Our loss assumptions range between 19% and 28%.</w:t>
      </w:r>
    </w:p>
    <w:p>
      <w:pPr>
        <w:spacing w:after="0" w:line="167" w:lineRule="exact"/>
        <w:rPr>
          <w:sz w:val="20"/>
          <w:szCs w:val="20"/>
          <w:color w:val="auto"/>
        </w:rPr>
      </w:pPr>
    </w:p>
    <w:p>
      <w:pPr>
        <w:ind w:right="60" w:firstLine="439"/>
        <w:spacing w:after="0" w:line="268" w:lineRule="auto"/>
        <w:rPr>
          <w:sz w:val="20"/>
          <w:szCs w:val="20"/>
          <w:color w:val="auto"/>
        </w:rPr>
      </w:pPr>
      <w:r>
        <w:rPr>
          <w:rFonts w:ascii="Arial" w:cs="Arial" w:eastAsia="Arial" w:hAnsi="Arial"/>
          <w:sz w:val="18"/>
          <w:szCs w:val="18"/>
          <w:color w:val="auto"/>
        </w:rPr>
        <w:t>Subordinate and residual securities do not have a contractual maturity but are paid down over time as cash distributions are received. The weighted average remaining life of these securities was 2.1 years at September 30, 2009.</w:t>
      </w:r>
    </w:p>
    <w:p>
      <w:pPr>
        <w:spacing w:after="0" w:line="186" w:lineRule="exact"/>
        <w:rPr>
          <w:sz w:val="20"/>
          <w:szCs w:val="20"/>
          <w:color w:val="auto"/>
        </w:rPr>
      </w:pPr>
    </w:p>
    <w:p>
      <w:pPr>
        <w:ind w:right="80" w:firstLine="439"/>
        <w:spacing w:after="0" w:line="294" w:lineRule="auto"/>
        <w:rPr>
          <w:sz w:val="20"/>
          <w:szCs w:val="20"/>
          <w:color w:val="auto"/>
        </w:rPr>
      </w:pPr>
      <w:r>
        <w:rPr>
          <w:rFonts w:ascii="Arial" w:cs="Arial" w:eastAsia="Arial" w:hAnsi="Arial"/>
          <w:sz w:val="16"/>
          <w:szCs w:val="16"/>
          <w:i w:val="1"/>
          <w:iCs w:val="1"/>
          <w:color w:val="auto"/>
        </w:rPr>
        <w:t>Loans Held for Resale</w:t>
      </w:r>
      <w:r>
        <w:rPr>
          <w:rFonts w:ascii="Arial" w:cs="Arial" w:eastAsia="Arial" w:hAnsi="Arial"/>
          <w:sz w:val="16"/>
          <w:szCs w:val="16"/>
          <w:color w:val="auto"/>
        </w:rPr>
        <w:t>. Loans held for resale represent single-family residential loans originated or acquired that we do not intend to hold until maturity.</w:t>
      </w:r>
      <w:r>
        <w:rPr>
          <w:rFonts w:ascii="Arial" w:cs="Arial" w:eastAsia="Arial" w:hAnsi="Arial"/>
          <w:sz w:val="16"/>
          <w:szCs w:val="16"/>
          <w:i w:val="1"/>
          <w:iCs w:val="1"/>
          <w:color w:val="auto"/>
        </w:rPr>
        <w:t xml:space="preserve"> </w:t>
      </w:r>
      <w:r>
        <w:rPr>
          <w:rFonts w:ascii="Arial" w:cs="Arial" w:eastAsia="Arial" w:hAnsi="Arial"/>
          <w:sz w:val="16"/>
          <w:szCs w:val="16"/>
          <w:color w:val="auto"/>
        </w:rPr>
        <w:t>The balances at September 30, 2009 and December 31, 2008 are net of fair value allowances of $16,468 and $17,491, respectively. Loans held for resale at September 30, 2009 and December 31, 2008 include non-performing loans with a carrying value of $16,394 and $19,193, respectively. The $13,300 decline in carrying value during the first nine months of 2009 is due to payoffs, foreclosures and charge-offs. There were no loan sales during the first nine months of 2009. When we foreclose on the collateral, we transfer the loans to real estate upon receipt of title to the property and market the property for sale.</w:t>
      </w:r>
    </w:p>
    <w:p>
      <w:pPr>
        <w:spacing w:after="0" w:line="170" w:lineRule="exact"/>
        <w:rPr>
          <w:sz w:val="20"/>
          <w:szCs w:val="20"/>
          <w:color w:val="auto"/>
        </w:rPr>
      </w:pPr>
    </w:p>
    <w:p>
      <w:pPr>
        <w:ind w:right="160" w:firstLine="439"/>
        <w:spacing w:after="0" w:line="259" w:lineRule="auto"/>
        <w:rPr>
          <w:sz w:val="20"/>
          <w:szCs w:val="20"/>
          <w:color w:val="auto"/>
        </w:rPr>
      </w:pPr>
      <w:r>
        <w:rPr>
          <w:rFonts w:ascii="Arial" w:cs="Arial" w:eastAsia="Arial" w:hAnsi="Arial"/>
          <w:sz w:val="18"/>
          <w:szCs w:val="18"/>
          <w:i w:val="1"/>
          <w:iCs w:val="1"/>
          <w:color w:val="auto"/>
        </w:rPr>
        <w:t xml:space="preserve">Real Estate. </w:t>
      </w:r>
      <w:r>
        <w:rPr>
          <w:rFonts w:ascii="Arial" w:cs="Arial" w:eastAsia="Arial" w:hAnsi="Arial"/>
          <w:sz w:val="18"/>
          <w:szCs w:val="18"/>
          <w:color w:val="auto"/>
        </w:rPr>
        <w:t>Real estate is comprised of properties that we acquire by foreclosure on loans held for resale. These properties are held for sale and are net of</w:t>
      </w:r>
      <w:r>
        <w:rPr>
          <w:rFonts w:ascii="Arial" w:cs="Arial" w:eastAsia="Arial" w:hAnsi="Arial"/>
          <w:sz w:val="18"/>
          <w:szCs w:val="18"/>
          <w:i w:val="1"/>
          <w:iCs w:val="1"/>
          <w:color w:val="auto"/>
        </w:rPr>
        <w:t xml:space="preserve"> </w:t>
      </w:r>
      <w:r>
        <w:rPr>
          <w:rFonts w:ascii="Arial" w:cs="Arial" w:eastAsia="Arial" w:hAnsi="Arial"/>
          <w:sz w:val="18"/>
          <w:szCs w:val="18"/>
          <w:color w:val="auto"/>
        </w:rPr>
        <w:t>fair value allowances of $4,899 and $4,748 at September 30, 2009 and December 31, 2008, respectively. During the first nine months of 2009, transfers from loans held for resale more than offset sales of real estate.</w:t>
      </w:r>
    </w:p>
    <w:p>
      <w:pPr>
        <w:spacing w:after="0" w:line="194" w:lineRule="exact"/>
        <w:rPr>
          <w:sz w:val="20"/>
          <w:szCs w:val="20"/>
          <w:color w:val="auto"/>
        </w:rPr>
      </w:pPr>
    </w:p>
    <w:p>
      <w:pPr>
        <w:ind w:right="180" w:firstLine="439"/>
        <w:spacing w:after="0" w:line="291" w:lineRule="auto"/>
        <w:rPr>
          <w:sz w:val="20"/>
          <w:szCs w:val="20"/>
          <w:color w:val="auto"/>
        </w:rPr>
      </w:pPr>
      <w:r>
        <w:rPr>
          <w:rFonts w:ascii="Arial" w:cs="Arial" w:eastAsia="Arial" w:hAnsi="Arial"/>
          <w:sz w:val="16"/>
          <w:szCs w:val="16"/>
          <w:i w:val="1"/>
          <w:iCs w:val="1"/>
          <w:color w:val="auto"/>
        </w:rPr>
        <w:t xml:space="preserve">Lines of Credit and Other Secured Borrowings. </w:t>
      </w:r>
      <w:r>
        <w:rPr>
          <w:rFonts w:ascii="Arial" w:cs="Arial" w:eastAsia="Arial" w:hAnsi="Arial"/>
          <w:sz w:val="16"/>
          <w:szCs w:val="16"/>
          <w:color w:val="auto"/>
        </w:rPr>
        <w:t>Through July 2008, borrowings under lines of credit and other secured borrowing consisted principally of</w:t>
      </w:r>
      <w:r>
        <w:rPr>
          <w:rFonts w:ascii="Arial" w:cs="Arial" w:eastAsia="Arial" w:hAnsi="Arial"/>
          <w:sz w:val="16"/>
          <w:szCs w:val="16"/>
          <w:i w:val="1"/>
          <w:iCs w:val="1"/>
          <w:color w:val="auto"/>
        </w:rPr>
        <w:t xml:space="preserve"> </w:t>
      </w:r>
      <w:r>
        <w:rPr>
          <w:rFonts w:ascii="Arial" w:cs="Arial" w:eastAsia="Arial" w:hAnsi="Arial"/>
          <w:sz w:val="16"/>
          <w:szCs w:val="16"/>
          <w:color w:val="auto"/>
        </w:rPr>
        <w:t>amounts borrowed under repurchase agreements collateralized by loans held for resale. In August 2008, we used the proceeds from the sale of $23,200 of Class A-1 notes, net of a discount of $928, to repay the balance of repurchase agreements outstanding at that time. The $17,760 decline in borrowings during the first nine months of 2009 results both from borrower payments on the loans that serve as collateral for the notes and our repayment in September 2009 of the remainder of the Class A-1 notes that had been sold to third parties. See Note 14 to our Interim Consolidated Financial Statements for additional information on the terms and balances of our lines of credit and other secured borrowings.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auto"/>
        </w:rPr>
        <w:t>Comparative selected operations data for the three and nine months ended September 30 is as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40" w:type="dxa"/>
            <w:vAlign w:val="bottom"/>
            <w:gridSpan w:val="5"/>
          </w:tcPr>
          <w:p>
            <w:pPr>
              <w:jc w:val="right"/>
              <w:ind w:right="1020"/>
              <w:spacing w:after="0"/>
              <w:rPr>
                <w:sz w:val="20"/>
                <w:szCs w:val="20"/>
                <w:color w:val="auto"/>
              </w:rPr>
            </w:pPr>
            <w:r>
              <w:rPr>
                <w:rFonts w:ascii="Arial" w:cs="Arial" w:eastAsia="Arial" w:hAnsi="Arial"/>
                <w:sz w:val="18"/>
                <w:szCs w:val="18"/>
                <w:b w:val="1"/>
                <w:bCs w:val="1"/>
                <w:color w:val="auto"/>
              </w:rPr>
              <w:t>Three months</w:t>
            </w:r>
          </w:p>
        </w:tc>
        <w:tc>
          <w:tcPr>
            <w:tcW w:w="220" w:type="dxa"/>
            <w:vAlign w:val="bottom"/>
          </w:tcPr>
          <w:p>
            <w:pPr>
              <w:spacing w:after="0"/>
              <w:rPr>
                <w:sz w:val="20"/>
                <w:szCs w:val="20"/>
                <w:color w:val="auto"/>
              </w:rPr>
            </w:pPr>
          </w:p>
        </w:tc>
        <w:tc>
          <w:tcPr>
            <w:tcW w:w="146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rPr>
              <w:t>Nine months</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6180" w:type="dxa"/>
            <w:vAlign w:val="bottom"/>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2009</w:t>
            </w:r>
          </w:p>
        </w:tc>
        <w:tc>
          <w:tcPr>
            <w:tcW w:w="360" w:type="dxa"/>
            <w:vAlign w:val="bottom"/>
            <w:tcBorders>
              <w:top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2008</w:t>
            </w:r>
          </w:p>
        </w:tc>
        <w:tc>
          <w:tcPr>
            <w:tcW w:w="320" w:type="dxa"/>
            <w:vAlign w:val="bottom"/>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2009</w:t>
            </w:r>
          </w:p>
        </w:tc>
        <w:tc>
          <w:tcPr>
            <w:tcW w:w="20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w w:val="84"/>
              </w:rPr>
              <w:t>2008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80" w:type="dxa"/>
            <w:vAlign w:val="bottom"/>
            <w:shd w:val="clear" w:color="auto" w:fill="EAF9E8"/>
          </w:tcPr>
          <w:p>
            <w:pPr>
              <w:spacing w:after="0"/>
              <w:rPr>
                <w:sz w:val="20"/>
                <w:szCs w:val="20"/>
                <w:color w:val="auto"/>
              </w:rPr>
            </w:pPr>
            <w:r>
              <w:rPr>
                <w:rFonts w:ascii="Arial" w:cs="Arial" w:eastAsia="Arial" w:hAnsi="Arial"/>
                <w:sz w:val="18"/>
                <w:szCs w:val="18"/>
                <w:color w:val="auto"/>
              </w:rPr>
              <w:t>Revenue</w:t>
            </w:r>
          </w:p>
        </w:tc>
        <w:tc>
          <w:tcPr>
            <w:tcW w:w="220" w:type="dxa"/>
            <w:vAlign w:val="bottom"/>
            <w:shd w:val="clear" w:color="auto" w:fill="EAF9E8"/>
          </w:tcPr>
          <w:p>
            <w:pPr>
              <w:jc w:val="right"/>
              <w:ind w:right="63"/>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EAF9E8"/>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EAF9E8"/>
          </w:tcPr>
          <w:p>
            <w:pPr>
              <w:jc w:val="right"/>
              <w:ind w:right="43"/>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shd w:val="clear" w:color="auto" w:fill="EAF9E8"/>
          </w:tcPr>
          <w:p>
            <w:pPr>
              <w:jc w:val="right"/>
              <w:ind w:right="32"/>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6180" w:type="dxa"/>
            <w:vAlign w:val="bottom"/>
          </w:tcPr>
          <w:p>
            <w:pPr>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891</w:t>
            </w: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812</w:t>
            </w: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2,202</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2,280</w:t>
            </w: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6180" w:type="dxa"/>
            <w:vAlign w:val="bottom"/>
            <w:shd w:val="clear" w:color="auto" w:fill="EAF9E8"/>
          </w:tcPr>
          <w:p>
            <w:pPr>
              <w:spacing w:after="0"/>
              <w:rPr>
                <w:sz w:val="20"/>
                <w:szCs w:val="20"/>
                <w:color w:val="auto"/>
              </w:rPr>
            </w:pPr>
            <w:r>
              <w:rPr>
                <w:rFonts w:ascii="Arial" w:cs="Arial" w:eastAsia="Arial" w:hAnsi="Arial"/>
                <w:sz w:val="18"/>
                <w:szCs w:val="18"/>
                <w:color w:val="auto"/>
              </w:rPr>
              <w:t>Loss from operations</w:t>
            </w:r>
          </w:p>
        </w:tc>
        <w:tc>
          <w:tcPr>
            <w:tcW w:w="220" w:type="dxa"/>
            <w:vAlign w:val="bottom"/>
            <w:shd w:val="clear" w:color="auto" w:fill="EAF9E8"/>
          </w:tcPr>
          <w:p>
            <w:pPr>
              <w:spacing w:after="0"/>
              <w:rPr>
                <w:sz w:val="21"/>
                <w:szCs w:val="21"/>
                <w:color w:val="auto"/>
              </w:rPr>
            </w:pPr>
          </w:p>
        </w:tc>
        <w:tc>
          <w:tcPr>
            <w:tcW w:w="1180" w:type="dxa"/>
            <w:vAlign w:val="bottom"/>
            <w:gridSpan w:val="2"/>
            <w:shd w:val="clear" w:color="auto" w:fill="EAF9E8"/>
          </w:tcPr>
          <w:p>
            <w:pPr>
              <w:jc w:val="right"/>
              <w:ind w:right="300"/>
              <w:spacing w:after="0"/>
              <w:rPr>
                <w:sz w:val="20"/>
                <w:szCs w:val="20"/>
                <w:color w:val="auto"/>
              </w:rPr>
            </w:pPr>
            <w:r>
              <w:rPr>
                <w:rFonts w:ascii="Arial" w:cs="Arial" w:eastAsia="Arial" w:hAnsi="Arial"/>
                <w:sz w:val="18"/>
                <w:szCs w:val="18"/>
                <w:color w:val="auto"/>
              </w:rPr>
              <w:t>(891)</w:t>
            </w:r>
          </w:p>
        </w:tc>
        <w:tc>
          <w:tcPr>
            <w:tcW w:w="200" w:type="dxa"/>
            <w:vAlign w:val="bottom"/>
            <w:shd w:val="clear" w:color="auto" w:fill="EAF9E8"/>
          </w:tcPr>
          <w:p>
            <w:pPr>
              <w:spacing w:after="0"/>
              <w:rPr>
                <w:sz w:val="21"/>
                <w:szCs w:val="21"/>
                <w:color w:val="auto"/>
              </w:rPr>
            </w:pPr>
          </w:p>
        </w:tc>
        <w:tc>
          <w:tcPr>
            <w:tcW w:w="116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(812)</w:t>
            </w:r>
          </w:p>
        </w:tc>
        <w:tc>
          <w:tcPr>
            <w:tcW w:w="220" w:type="dxa"/>
            <w:vAlign w:val="bottom"/>
            <w:shd w:val="clear" w:color="auto" w:fill="EAF9E8"/>
          </w:tcPr>
          <w:p>
            <w:pPr>
              <w:spacing w:after="0"/>
              <w:rPr>
                <w:sz w:val="21"/>
                <w:szCs w:val="21"/>
                <w:color w:val="auto"/>
              </w:rPr>
            </w:pPr>
          </w:p>
        </w:tc>
        <w:tc>
          <w:tcPr>
            <w:tcW w:w="100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(2,202)</w:t>
            </w:r>
          </w:p>
        </w:tc>
        <w:tc>
          <w:tcPr>
            <w:tcW w:w="140" w:type="dxa"/>
            <w:vAlign w:val="bottom"/>
            <w:shd w:val="clear" w:color="auto" w:fill="EAF9E8"/>
          </w:tcPr>
          <w:p>
            <w:pPr>
              <w:spacing w:after="0"/>
              <w:rPr>
                <w:sz w:val="21"/>
                <w:szCs w:val="21"/>
                <w:color w:val="auto"/>
              </w:rPr>
            </w:pPr>
          </w:p>
        </w:tc>
        <w:tc>
          <w:tcPr>
            <w:tcW w:w="320" w:type="dxa"/>
            <w:vAlign w:val="bottom"/>
            <w:shd w:val="clear" w:color="auto" w:fill="EAF9E8"/>
          </w:tcPr>
          <w:p>
            <w:pPr>
              <w:spacing w:after="0"/>
              <w:rPr>
                <w:sz w:val="21"/>
                <w:szCs w:val="21"/>
                <w:color w:val="auto"/>
              </w:rPr>
            </w:pPr>
          </w:p>
        </w:tc>
        <w:tc>
          <w:tcPr>
            <w:tcW w:w="80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(2,280)</w:t>
            </w:r>
          </w:p>
        </w:tc>
        <w:tc>
          <w:tcPr>
            <w:tcW w:w="0" w:type="dxa"/>
            <w:vAlign w:val="bottom"/>
          </w:tcPr>
          <w:p>
            <w:pPr>
              <w:spacing w:after="0"/>
              <w:rPr>
                <w:sz w:val="1"/>
                <w:szCs w:val="1"/>
                <w:color w:val="auto"/>
              </w:rPr>
            </w:pPr>
          </w:p>
        </w:tc>
      </w:tr>
      <w:tr>
        <w:trPr>
          <w:trHeight w:val="20"/>
        </w:trPr>
        <w:tc>
          <w:tcPr>
            <w:tcW w:w="6180" w:type="dxa"/>
            <w:vAlign w:val="bottom"/>
            <w:vMerge w:val="restart"/>
          </w:tcPr>
          <w:p>
            <w:pPr>
              <w:spacing w:after="0"/>
              <w:rPr>
                <w:sz w:val="20"/>
                <w:szCs w:val="20"/>
                <w:color w:val="auto"/>
              </w:rPr>
            </w:pPr>
            <w:r>
              <w:rPr>
                <w:rFonts w:ascii="Arial" w:cs="Arial" w:eastAsia="Arial" w:hAnsi="Arial"/>
                <w:sz w:val="18"/>
                <w:szCs w:val="18"/>
                <w:color w:val="auto"/>
              </w:rPr>
              <w:t>Other income (expense):</w:t>
            </w: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618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61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Interest income:</w:t>
            </w:r>
          </w:p>
        </w:tc>
        <w:tc>
          <w:tcPr>
            <w:tcW w:w="220" w:type="dxa"/>
            <w:vAlign w:val="bottom"/>
            <w:shd w:val="clear" w:color="auto" w:fill="EAF9E8"/>
          </w:tcPr>
          <w:p>
            <w:pPr>
              <w:spacing w:after="0"/>
              <w:rPr>
                <w:sz w:val="21"/>
                <w:szCs w:val="21"/>
                <w:color w:val="auto"/>
              </w:rPr>
            </w:pPr>
          </w:p>
        </w:tc>
        <w:tc>
          <w:tcPr>
            <w:tcW w:w="820" w:type="dxa"/>
            <w:vAlign w:val="bottom"/>
            <w:shd w:val="clear" w:color="auto" w:fill="EAF9E8"/>
          </w:tcPr>
          <w:p>
            <w:pPr>
              <w:spacing w:after="0"/>
              <w:rPr>
                <w:sz w:val="21"/>
                <w:szCs w:val="21"/>
                <w:color w:val="auto"/>
              </w:rPr>
            </w:pPr>
          </w:p>
        </w:tc>
        <w:tc>
          <w:tcPr>
            <w:tcW w:w="360" w:type="dxa"/>
            <w:vAlign w:val="bottom"/>
            <w:shd w:val="clear" w:color="auto" w:fill="EAF9E8"/>
          </w:tcPr>
          <w:p>
            <w:pPr>
              <w:spacing w:after="0"/>
              <w:rPr>
                <w:sz w:val="21"/>
                <w:szCs w:val="21"/>
                <w:color w:val="auto"/>
              </w:rPr>
            </w:pPr>
          </w:p>
        </w:tc>
        <w:tc>
          <w:tcPr>
            <w:tcW w:w="200" w:type="dxa"/>
            <w:vAlign w:val="bottom"/>
            <w:shd w:val="clear" w:color="auto" w:fill="EAF9E8"/>
          </w:tcPr>
          <w:p>
            <w:pPr>
              <w:spacing w:after="0"/>
              <w:rPr>
                <w:sz w:val="21"/>
                <w:szCs w:val="21"/>
                <w:color w:val="auto"/>
              </w:rPr>
            </w:pPr>
          </w:p>
        </w:tc>
        <w:tc>
          <w:tcPr>
            <w:tcW w:w="840" w:type="dxa"/>
            <w:vAlign w:val="bottom"/>
            <w:shd w:val="clear" w:color="auto" w:fill="EAF9E8"/>
          </w:tcPr>
          <w:p>
            <w:pPr>
              <w:spacing w:after="0"/>
              <w:rPr>
                <w:sz w:val="21"/>
                <w:szCs w:val="21"/>
                <w:color w:val="auto"/>
              </w:rPr>
            </w:pPr>
          </w:p>
        </w:tc>
        <w:tc>
          <w:tcPr>
            <w:tcW w:w="320" w:type="dxa"/>
            <w:vAlign w:val="bottom"/>
            <w:shd w:val="clear" w:color="auto" w:fill="EAF9E8"/>
          </w:tcPr>
          <w:p>
            <w:pPr>
              <w:spacing w:after="0"/>
              <w:rPr>
                <w:sz w:val="21"/>
                <w:szCs w:val="21"/>
                <w:color w:val="auto"/>
              </w:rPr>
            </w:pPr>
          </w:p>
        </w:tc>
        <w:tc>
          <w:tcPr>
            <w:tcW w:w="220" w:type="dxa"/>
            <w:vAlign w:val="bottom"/>
            <w:shd w:val="clear" w:color="auto" w:fill="EAF9E8"/>
          </w:tcPr>
          <w:p>
            <w:pPr>
              <w:spacing w:after="0"/>
              <w:rPr>
                <w:sz w:val="21"/>
                <w:szCs w:val="21"/>
                <w:color w:val="auto"/>
              </w:rPr>
            </w:pPr>
          </w:p>
        </w:tc>
        <w:tc>
          <w:tcPr>
            <w:tcW w:w="800" w:type="dxa"/>
            <w:vAlign w:val="bottom"/>
            <w:shd w:val="clear" w:color="auto" w:fill="EAF9E8"/>
          </w:tcPr>
          <w:p>
            <w:pPr>
              <w:spacing w:after="0"/>
              <w:rPr>
                <w:sz w:val="21"/>
                <w:szCs w:val="21"/>
                <w:color w:val="auto"/>
              </w:rPr>
            </w:pPr>
          </w:p>
        </w:tc>
        <w:tc>
          <w:tcPr>
            <w:tcW w:w="20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320" w:type="dxa"/>
            <w:vAlign w:val="bottom"/>
            <w:shd w:val="clear" w:color="auto" w:fill="EAF9E8"/>
          </w:tcPr>
          <w:p>
            <w:pPr>
              <w:spacing w:after="0"/>
              <w:rPr>
                <w:sz w:val="21"/>
                <w:szCs w:val="21"/>
                <w:color w:val="auto"/>
              </w:rPr>
            </w:pPr>
          </w:p>
        </w:tc>
        <w:tc>
          <w:tcPr>
            <w:tcW w:w="70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6180" w:type="dxa"/>
            <w:vAlign w:val="bottom"/>
          </w:tcPr>
          <w:p>
            <w:pPr>
              <w:ind w:left="320"/>
              <w:spacing w:after="0"/>
              <w:rPr>
                <w:sz w:val="20"/>
                <w:szCs w:val="20"/>
                <w:color w:val="auto"/>
              </w:rPr>
            </w:pPr>
            <w:r>
              <w:rPr>
                <w:rFonts w:ascii="Arial" w:cs="Arial" w:eastAsia="Arial" w:hAnsi="Arial"/>
                <w:sz w:val="18"/>
                <w:szCs w:val="18"/>
                <w:color w:val="auto"/>
              </w:rPr>
              <w:t>Subordinate and residual trading securities</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406</w:t>
            </w: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575</w:t>
            </w: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1,793</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2,742</w:t>
            </w:r>
          </w:p>
        </w:tc>
        <w:tc>
          <w:tcPr>
            <w:tcW w:w="0" w:type="dxa"/>
            <w:vAlign w:val="bottom"/>
          </w:tcPr>
          <w:p>
            <w:pPr>
              <w:spacing w:after="0"/>
              <w:rPr>
                <w:sz w:val="1"/>
                <w:szCs w:val="1"/>
                <w:color w:val="auto"/>
              </w:rPr>
            </w:pPr>
          </w:p>
        </w:tc>
      </w:tr>
      <w:tr>
        <w:trPr>
          <w:trHeight w:val="244"/>
        </w:trPr>
        <w:tc>
          <w:tcPr>
            <w:tcW w:w="6180" w:type="dxa"/>
            <w:vAlign w:val="bottom"/>
            <w:shd w:val="clear" w:color="auto" w:fill="EAF9E8"/>
          </w:tcPr>
          <w:p>
            <w:pPr>
              <w:ind w:left="320"/>
              <w:spacing w:after="0"/>
              <w:rPr>
                <w:sz w:val="20"/>
                <w:szCs w:val="20"/>
                <w:color w:val="auto"/>
              </w:rPr>
            </w:pPr>
            <w:r>
              <w:rPr>
                <w:rFonts w:ascii="Arial" w:cs="Arial" w:eastAsia="Arial" w:hAnsi="Arial"/>
                <w:sz w:val="18"/>
                <w:szCs w:val="18"/>
                <w:color w:val="auto"/>
              </w:rPr>
              <w:t>Loans held for resale</w:t>
            </w:r>
          </w:p>
        </w:tc>
        <w:tc>
          <w:tcPr>
            <w:tcW w:w="220" w:type="dxa"/>
            <w:vAlign w:val="bottom"/>
            <w:shd w:val="clear" w:color="auto" w:fill="EAF9E8"/>
          </w:tcPr>
          <w:p>
            <w:pPr>
              <w:spacing w:after="0"/>
              <w:rPr>
                <w:sz w:val="21"/>
                <w:szCs w:val="21"/>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971</w:t>
            </w:r>
          </w:p>
        </w:tc>
        <w:tc>
          <w:tcPr>
            <w:tcW w:w="360" w:type="dxa"/>
            <w:vAlign w:val="bottom"/>
            <w:shd w:val="clear" w:color="auto" w:fill="EAF9E8"/>
          </w:tcPr>
          <w:p>
            <w:pPr>
              <w:spacing w:after="0"/>
              <w:rPr>
                <w:sz w:val="21"/>
                <w:szCs w:val="21"/>
                <w:color w:val="auto"/>
              </w:rPr>
            </w:pPr>
          </w:p>
        </w:tc>
        <w:tc>
          <w:tcPr>
            <w:tcW w:w="200" w:type="dxa"/>
            <w:vAlign w:val="bottom"/>
            <w:shd w:val="clear" w:color="auto" w:fill="EAF9E8"/>
          </w:tcPr>
          <w:p>
            <w:pPr>
              <w:spacing w:after="0"/>
              <w:rPr>
                <w:sz w:val="21"/>
                <w:szCs w:val="21"/>
                <w:color w:val="auto"/>
              </w:rPr>
            </w:pPr>
          </w:p>
        </w:tc>
        <w:tc>
          <w:tcPr>
            <w:tcW w:w="8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1,769</w:t>
            </w:r>
          </w:p>
        </w:tc>
        <w:tc>
          <w:tcPr>
            <w:tcW w:w="320" w:type="dxa"/>
            <w:vAlign w:val="bottom"/>
            <w:shd w:val="clear" w:color="auto" w:fill="EAF9E8"/>
          </w:tcPr>
          <w:p>
            <w:pPr>
              <w:spacing w:after="0"/>
              <w:rPr>
                <w:sz w:val="21"/>
                <w:szCs w:val="21"/>
                <w:color w:val="auto"/>
              </w:rPr>
            </w:pPr>
          </w:p>
        </w:tc>
        <w:tc>
          <w:tcPr>
            <w:tcW w:w="220" w:type="dxa"/>
            <w:vAlign w:val="bottom"/>
            <w:shd w:val="clear" w:color="auto" w:fill="EAF9E8"/>
          </w:tcPr>
          <w:p>
            <w:pPr>
              <w:spacing w:after="0"/>
              <w:rPr>
                <w:sz w:val="21"/>
                <w:szCs w:val="21"/>
                <w:color w:val="auto"/>
              </w:rPr>
            </w:pPr>
          </w:p>
        </w:tc>
        <w:tc>
          <w:tcPr>
            <w:tcW w:w="100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3,460</w:t>
            </w:r>
          </w:p>
        </w:tc>
        <w:tc>
          <w:tcPr>
            <w:tcW w:w="140" w:type="dxa"/>
            <w:vAlign w:val="bottom"/>
            <w:shd w:val="clear" w:color="auto" w:fill="EAF9E8"/>
          </w:tcPr>
          <w:p>
            <w:pPr>
              <w:spacing w:after="0"/>
              <w:rPr>
                <w:sz w:val="21"/>
                <w:szCs w:val="21"/>
                <w:color w:val="auto"/>
              </w:rPr>
            </w:pPr>
          </w:p>
        </w:tc>
        <w:tc>
          <w:tcPr>
            <w:tcW w:w="320" w:type="dxa"/>
            <w:vAlign w:val="bottom"/>
            <w:shd w:val="clear" w:color="auto" w:fill="EAF9E8"/>
          </w:tcPr>
          <w:p>
            <w:pPr>
              <w:spacing w:after="0"/>
              <w:rPr>
                <w:sz w:val="21"/>
                <w:szCs w:val="21"/>
                <w:color w:val="auto"/>
              </w:rPr>
            </w:pPr>
          </w:p>
        </w:tc>
        <w:tc>
          <w:tcPr>
            <w:tcW w:w="8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5,989</w:t>
            </w: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6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1,377</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2,344</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5,253</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8,731</w:t>
            </w:r>
          </w:p>
        </w:tc>
        <w:tc>
          <w:tcPr>
            <w:tcW w:w="0" w:type="dxa"/>
            <w:vAlign w:val="bottom"/>
          </w:tcPr>
          <w:p>
            <w:pPr>
              <w:spacing w:after="0"/>
              <w:rPr>
                <w:sz w:val="1"/>
                <w:szCs w:val="1"/>
                <w:color w:val="auto"/>
              </w:rPr>
            </w:pPr>
          </w:p>
        </w:tc>
      </w:tr>
      <w:tr>
        <w:trPr>
          <w:trHeight w:val="244"/>
        </w:trPr>
        <w:tc>
          <w:tcPr>
            <w:tcW w:w="61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EAF9E8"/>
          </w:tcPr>
          <w:p>
            <w:pPr>
              <w:spacing w:after="0"/>
              <w:rPr>
                <w:sz w:val="21"/>
                <w:szCs w:val="21"/>
                <w:color w:val="auto"/>
              </w:rPr>
            </w:pPr>
          </w:p>
        </w:tc>
        <w:tc>
          <w:tcPr>
            <w:tcW w:w="1180" w:type="dxa"/>
            <w:vAlign w:val="bottom"/>
            <w:gridSpan w:val="2"/>
            <w:shd w:val="clear" w:color="auto" w:fill="EAF9E8"/>
          </w:tcPr>
          <w:p>
            <w:pPr>
              <w:jc w:val="right"/>
              <w:ind w:right="300"/>
              <w:spacing w:after="0"/>
              <w:rPr>
                <w:sz w:val="20"/>
                <w:szCs w:val="20"/>
                <w:color w:val="auto"/>
              </w:rPr>
            </w:pPr>
            <w:r>
              <w:rPr>
                <w:rFonts w:ascii="Arial" w:cs="Arial" w:eastAsia="Arial" w:hAnsi="Arial"/>
                <w:sz w:val="18"/>
                <w:szCs w:val="18"/>
                <w:color w:val="auto"/>
              </w:rPr>
              <w:t>(288)</w:t>
            </w:r>
          </w:p>
        </w:tc>
        <w:tc>
          <w:tcPr>
            <w:tcW w:w="200" w:type="dxa"/>
            <w:vAlign w:val="bottom"/>
            <w:shd w:val="clear" w:color="auto" w:fill="EAF9E8"/>
          </w:tcPr>
          <w:p>
            <w:pPr>
              <w:spacing w:after="0"/>
              <w:rPr>
                <w:sz w:val="21"/>
                <w:szCs w:val="21"/>
                <w:color w:val="auto"/>
              </w:rPr>
            </w:pPr>
          </w:p>
        </w:tc>
        <w:tc>
          <w:tcPr>
            <w:tcW w:w="116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(785)</w:t>
            </w:r>
          </w:p>
        </w:tc>
        <w:tc>
          <w:tcPr>
            <w:tcW w:w="220" w:type="dxa"/>
            <w:vAlign w:val="bottom"/>
            <w:shd w:val="clear" w:color="auto" w:fill="EAF9E8"/>
          </w:tcPr>
          <w:p>
            <w:pPr>
              <w:spacing w:after="0"/>
              <w:rPr>
                <w:sz w:val="21"/>
                <w:szCs w:val="21"/>
                <w:color w:val="auto"/>
              </w:rPr>
            </w:pPr>
          </w:p>
        </w:tc>
        <w:tc>
          <w:tcPr>
            <w:tcW w:w="100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(1,437)</w:t>
            </w:r>
          </w:p>
        </w:tc>
        <w:tc>
          <w:tcPr>
            <w:tcW w:w="140" w:type="dxa"/>
            <w:vAlign w:val="bottom"/>
            <w:shd w:val="clear" w:color="auto" w:fill="EAF9E8"/>
          </w:tcPr>
          <w:p>
            <w:pPr>
              <w:spacing w:after="0"/>
              <w:rPr>
                <w:sz w:val="21"/>
                <w:szCs w:val="21"/>
                <w:color w:val="auto"/>
              </w:rPr>
            </w:pPr>
          </w:p>
        </w:tc>
        <w:tc>
          <w:tcPr>
            <w:tcW w:w="320" w:type="dxa"/>
            <w:vAlign w:val="bottom"/>
            <w:shd w:val="clear" w:color="auto" w:fill="EAF9E8"/>
          </w:tcPr>
          <w:p>
            <w:pPr>
              <w:spacing w:after="0"/>
              <w:rPr>
                <w:sz w:val="21"/>
                <w:szCs w:val="21"/>
                <w:color w:val="auto"/>
              </w:rPr>
            </w:pPr>
          </w:p>
        </w:tc>
        <w:tc>
          <w:tcPr>
            <w:tcW w:w="80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(2,065)</w:t>
            </w:r>
          </w:p>
        </w:tc>
        <w:tc>
          <w:tcPr>
            <w:tcW w:w="0" w:type="dxa"/>
            <w:vAlign w:val="bottom"/>
          </w:tcPr>
          <w:p>
            <w:pPr>
              <w:spacing w:after="0"/>
              <w:rPr>
                <w:sz w:val="1"/>
                <w:szCs w:val="1"/>
                <w:color w:val="auto"/>
              </w:rPr>
            </w:pPr>
          </w:p>
        </w:tc>
      </w:tr>
      <w:tr>
        <w:trPr>
          <w:trHeight w:val="242"/>
        </w:trPr>
        <w:tc>
          <w:tcPr>
            <w:tcW w:w="6180" w:type="dxa"/>
            <w:vAlign w:val="bottom"/>
          </w:tcPr>
          <w:p>
            <w:pPr>
              <w:ind w:left="160"/>
              <w:spacing w:after="0"/>
              <w:rPr>
                <w:sz w:val="20"/>
                <w:szCs w:val="20"/>
                <w:color w:val="auto"/>
              </w:rPr>
            </w:pPr>
            <w:r>
              <w:rPr>
                <w:rFonts w:ascii="Arial" w:cs="Arial" w:eastAsia="Arial" w:hAnsi="Arial"/>
                <w:sz w:val="18"/>
                <w:szCs w:val="18"/>
                <w:color w:val="auto"/>
              </w:rPr>
              <w:t>Unrealized gains (losses) on subordinate and residual trading securities</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987</w:t>
            </w: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(598)</w:t>
            </w:r>
          </w:p>
        </w:tc>
        <w:tc>
          <w:tcPr>
            <w:tcW w:w="22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124</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(2,986)</w:t>
            </w:r>
          </w:p>
        </w:tc>
        <w:tc>
          <w:tcPr>
            <w:tcW w:w="0" w:type="dxa"/>
            <w:vAlign w:val="bottom"/>
          </w:tcPr>
          <w:p>
            <w:pPr>
              <w:spacing w:after="0"/>
              <w:rPr>
                <w:sz w:val="1"/>
                <w:szCs w:val="1"/>
                <w:color w:val="auto"/>
              </w:rPr>
            </w:pPr>
          </w:p>
        </w:tc>
      </w:tr>
      <w:tr>
        <w:trPr>
          <w:trHeight w:val="244"/>
        </w:trPr>
        <w:tc>
          <w:tcPr>
            <w:tcW w:w="61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Loss on loans held for resale, net</w:t>
            </w:r>
          </w:p>
        </w:tc>
        <w:tc>
          <w:tcPr>
            <w:tcW w:w="220" w:type="dxa"/>
            <w:vAlign w:val="bottom"/>
            <w:shd w:val="clear" w:color="auto" w:fill="EAF9E8"/>
          </w:tcPr>
          <w:p>
            <w:pPr>
              <w:spacing w:after="0"/>
              <w:rPr>
                <w:sz w:val="21"/>
                <w:szCs w:val="21"/>
                <w:color w:val="auto"/>
              </w:rPr>
            </w:pPr>
          </w:p>
        </w:tc>
        <w:tc>
          <w:tcPr>
            <w:tcW w:w="1180" w:type="dxa"/>
            <w:vAlign w:val="bottom"/>
            <w:gridSpan w:val="2"/>
            <w:shd w:val="clear" w:color="auto" w:fill="EAF9E8"/>
          </w:tcPr>
          <w:p>
            <w:pPr>
              <w:jc w:val="right"/>
              <w:ind w:right="300"/>
              <w:spacing w:after="0"/>
              <w:rPr>
                <w:sz w:val="20"/>
                <w:szCs w:val="20"/>
                <w:color w:val="auto"/>
              </w:rPr>
            </w:pPr>
            <w:r>
              <w:rPr>
                <w:rFonts w:ascii="Arial" w:cs="Arial" w:eastAsia="Arial" w:hAnsi="Arial"/>
                <w:sz w:val="18"/>
                <w:szCs w:val="18"/>
                <w:color w:val="auto"/>
              </w:rPr>
              <w:t>(1,242)</w:t>
            </w:r>
          </w:p>
        </w:tc>
        <w:tc>
          <w:tcPr>
            <w:tcW w:w="200" w:type="dxa"/>
            <w:vAlign w:val="bottom"/>
            <w:shd w:val="clear" w:color="auto" w:fill="EAF9E8"/>
          </w:tcPr>
          <w:p>
            <w:pPr>
              <w:spacing w:after="0"/>
              <w:rPr>
                <w:sz w:val="21"/>
                <w:szCs w:val="21"/>
                <w:color w:val="auto"/>
              </w:rPr>
            </w:pPr>
          </w:p>
        </w:tc>
        <w:tc>
          <w:tcPr>
            <w:tcW w:w="116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(674)</w:t>
            </w:r>
          </w:p>
        </w:tc>
        <w:tc>
          <w:tcPr>
            <w:tcW w:w="220" w:type="dxa"/>
            <w:vAlign w:val="bottom"/>
            <w:shd w:val="clear" w:color="auto" w:fill="EAF9E8"/>
          </w:tcPr>
          <w:p>
            <w:pPr>
              <w:spacing w:after="0"/>
              <w:rPr>
                <w:sz w:val="21"/>
                <w:szCs w:val="21"/>
                <w:color w:val="auto"/>
              </w:rPr>
            </w:pPr>
          </w:p>
        </w:tc>
        <w:tc>
          <w:tcPr>
            <w:tcW w:w="100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(8,783)</w:t>
            </w:r>
          </w:p>
        </w:tc>
        <w:tc>
          <w:tcPr>
            <w:tcW w:w="140" w:type="dxa"/>
            <w:vAlign w:val="bottom"/>
            <w:shd w:val="clear" w:color="auto" w:fill="EAF9E8"/>
          </w:tcPr>
          <w:p>
            <w:pPr>
              <w:spacing w:after="0"/>
              <w:rPr>
                <w:sz w:val="21"/>
                <w:szCs w:val="21"/>
                <w:color w:val="auto"/>
              </w:rPr>
            </w:pPr>
          </w:p>
        </w:tc>
        <w:tc>
          <w:tcPr>
            <w:tcW w:w="320" w:type="dxa"/>
            <w:vAlign w:val="bottom"/>
            <w:shd w:val="clear" w:color="auto" w:fill="EAF9E8"/>
          </w:tcPr>
          <w:p>
            <w:pPr>
              <w:spacing w:after="0"/>
              <w:rPr>
                <w:sz w:val="21"/>
                <w:szCs w:val="21"/>
                <w:color w:val="auto"/>
              </w:rPr>
            </w:pPr>
          </w:p>
        </w:tc>
        <w:tc>
          <w:tcPr>
            <w:tcW w:w="80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(11,112)</w:t>
            </w:r>
          </w:p>
        </w:tc>
        <w:tc>
          <w:tcPr>
            <w:tcW w:w="0" w:type="dxa"/>
            <w:vAlign w:val="bottom"/>
          </w:tcPr>
          <w:p>
            <w:pPr>
              <w:spacing w:after="0"/>
              <w:rPr>
                <w:sz w:val="1"/>
                <w:szCs w:val="1"/>
                <w:color w:val="auto"/>
              </w:rPr>
            </w:pPr>
          </w:p>
        </w:tc>
      </w:tr>
      <w:tr>
        <w:trPr>
          <w:trHeight w:val="249"/>
        </w:trPr>
        <w:tc>
          <w:tcPr>
            <w:tcW w:w="6180" w:type="dxa"/>
            <w:vAlign w:val="bottom"/>
          </w:tcPr>
          <w:p>
            <w:pPr>
              <w:ind w:left="160"/>
              <w:spacing w:after="0"/>
              <w:rPr>
                <w:sz w:val="20"/>
                <w:szCs w:val="20"/>
                <w:color w:val="auto"/>
              </w:rPr>
            </w:pPr>
            <w:r>
              <w:rPr>
                <w:rFonts w:ascii="Arial" w:cs="Arial" w:eastAsia="Arial" w:hAnsi="Arial"/>
                <w:sz w:val="18"/>
                <w:szCs w:val="18"/>
                <w:color w:val="auto"/>
              </w:rPr>
              <w:t>Other, net</w:t>
            </w:r>
          </w:p>
        </w:tc>
        <w:tc>
          <w:tcPr>
            <w:tcW w:w="220" w:type="dxa"/>
            <w:vAlign w:val="bottom"/>
          </w:tcPr>
          <w:p>
            <w:pPr>
              <w:spacing w:after="0"/>
              <w:rPr>
                <w:sz w:val="21"/>
                <w:szCs w:val="21"/>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(25)</w:t>
            </w: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w:t>
            </w: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6180" w:type="dxa"/>
            <w:vAlign w:val="bottom"/>
            <w:shd w:val="clear" w:color="auto" w:fill="EAF9E8"/>
          </w:tcPr>
          <w:p>
            <w:pPr>
              <w:ind w:left="320"/>
              <w:spacing w:after="0"/>
              <w:rPr>
                <w:sz w:val="20"/>
                <w:szCs w:val="20"/>
                <w:color w:val="auto"/>
              </w:rPr>
            </w:pPr>
            <w:r>
              <w:rPr>
                <w:rFonts w:ascii="Arial" w:cs="Arial" w:eastAsia="Arial" w:hAnsi="Arial"/>
                <w:sz w:val="18"/>
                <w:szCs w:val="18"/>
                <w:color w:val="auto"/>
              </w:rPr>
              <w:t>Total other expense, net</w:t>
            </w:r>
          </w:p>
        </w:tc>
        <w:tc>
          <w:tcPr>
            <w:tcW w:w="220" w:type="dxa"/>
            <w:vAlign w:val="bottom"/>
            <w:shd w:val="clear" w:color="auto" w:fill="EAF9E8"/>
          </w:tcPr>
          <w:p>
            <w:pPr>
              <w:spacing w:after="0"/>
              <w:rPr>
                <w:sz w:val="21"/>
                <w:szCs w:val="21"/>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809</w:t>
            </w:r>
          </w:p>
        </w:tc>
        <w:tc>
          <w:tcPr>
            <w:tcW w:w="360" w:type="dxa"/>
            <w:vAlign w:val="bottom"/>
            <w:shd w:val="clear" w:color="auto" w:fill="EAF9E8"/>
          </w:tcPr>
          <w:p>
            <w:pPr>
              <w:spacing w:after="0"/>
              <w:rPr>
                <w:sz w:val="21"/>
                <w:szCs w:val="21"/>
                <w:color w:val="auto"/>
              </w:rPr>
            </w:pPr>
          </w:p>
        </w:tc>
        <w:tc>
          <w:tcPr>
            <w:tcW w:w="200" w:type="dxa"/>
            <w:vAlign w:val="bottom"/>
            <w:shd w:val="clear" w:color="auto" w:fill="EAF9E8"/>
          </w:tcPr>
          <w:p>
            <w:pPr>
              <w:spacing w:after="0"/>
              <w:rPr>
                <w:sz w:val="21"/>
                <w:szCs w:val="21"/>
                <w:color w:val="auto"/>
              </w:rPr>
            </w:pPr>
          </w:p>
        </w:tc>
        <w:tc>
          <w:tcPr>
            <w:tcW w:w="8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291</w:t>
            </w:r>
          </w:p>
        </w:tc>
        <w:tc>
          <w:tcPr>
            <w:tcW w:w="320" w:type="dxa"/>
            <w:vAlign w:val="bottom"/>
            <w:shd w:val="clear" w:color="auto" w:fill="EAF9E8"/>
          </w:tcPr>
          <w:p>
            <w:pPr>
              <w:spacing w:after="0"/>
              <w:rPr>
                <w:sz w:val="21"/>
                <w:szCs w:val="21"/>
                <w:color w:val="auto"/>
              </w:rPr>
            </w:pPr>
          </w:p>
        </w:tc>
        <w:tc>
          <w:tcPr>
            <w:tcW w:w="220" w:type="dxa"/>
            <w:vAlign w:val="bottom"/>
            <w:shd w:val="clear" w:color="auto" w:fill="EAF9E8"/>
          </w:tcPr>
          <w:p>
            <w:pPr>
              <w:spacing w:after="0"/>
              <w:rPr>
                <w:sz w:val="21"/>
                <w:szCs w:val="21"/>
                <w:color w:val="auto"/>
              </w:rPr>
            </w:pPr>
          </w:p>
        </w:tc>
        <w:tc>
          <w:tcPr>
            <w:tcW w:w="100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(4,861)</w:t>
            </w:r>
          </w:p>
        </w:tc>
        <w:tc>
          <w:tcPr>
            <w:tcW w:w="140" w:type="dxa"/>
            <w:vAlign w:val="bottom"/>
            <w:shd w:val="clear" w:color="auto" w:fill="EAF9E8"/>
          </w:tcPr>
          <w:p>
            <w:pPr>
              <w:spacing w:after="0"/>
              <w:rPr>
                <w:sz w:val="21"/>
                <w:szCs w:val="21"/>
                <w:color w:val="auto"/>
              </w:rPr>
            </w:pPr>
          </w:p>
        </w:tc>
        <w:tc>
          <w:tcPr>
            <w:tcW w:w="320" w:type="dxa"/>
            <w:vAlign w:val="bottom"/>
            <w:shd w:val="clear" w:color="auto" w:fill="EAF9E8"/>
          </w:tcPr>
          <w:p>
            <w:pPr>
              <w:spacing w:after="0"/>
              <w:rPr>
                <w:sz w:val="21"/>
                <w:szCs w:val="21"/>
                <w:color w:val="auto"/>
              </w:rPr>
            </w:pPr>
          </w:p>
        </w:tc>
        <w:tc>
          <w:tcPr>
            <w:tcW w:w="80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(7,342)</w:t>
            </w: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18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(82)</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(521)</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(7,063)</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(9,622)</w:t>
            </w: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80" w:firstLine="439"/>
        <w:spacing w:after="0" w:line="294" w:lineRule="auto"/>
        <w:rPr>
          <w:sz w:val="20"/>
          <w:szCs w:val="20"/>
          <w:color w:val="auto"/>
        </w:rPr>
      </w:pPr>
      <w:r>
        <w:rPr>
          <w:rFonts w:ascii="Arial" w:cs="Arial" w:eastAsia="Arial" w:hAnsi="Arial"/>
          <w:sz w:val="16"/>
          <w:szCs w:val="16"/>
          <w:i w:val="1"/>
          <w:iCs w:val="1"/>
          <w:color w:val="auto"/>
        </w:rPr>
        <w:t xml:space="preserve">Interest Income. </w:t>
      </w:r>
      <w:r>
        <w:rPr>
          <w:rFonts w:ascii="Arial" w:cs="Arial" w:eastAsia="Arial" w:hAnsi="Arial"/>
          <w:sz w:val="16"/>
          <w:szCs w:val="16"/>
          <w:color w:val="auto"/>
        </w:rPr>
        <w:t>Interest income on loans held for resale for the three and nine months ended September 2009 declined by 45% and 42%, respectively, as</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the same periods of 2008 due to a reduction in the average balance of the loans, an increase in the percentage of loans that are nonperforming and a decline in interest rates. The average balance of loans held for resale declined by 31% and 30% in the three and nine months ended September 2009, respectively. Interest income on subordinate and residual trading securities has increased in the 2009 periods as compared to 2008. Cash flows from the remaining subordinate and residual securities are higher in 2009 because of a decrease in defaults and unrecoverable losses on the underlying mortgage loans.</w:t>
      </w:r>
    </w:p>
    <w:p>
      <w:pPr>
        <w:spacing w:after="0" w:line="170" w:lineRule="exact"/>
        <w:rPr>
          <w:sz w:val="20"/>
          <w:szCs w:val="20"/>
          <w:color w:val="auto"/>
        </w:rPr>
      </w:pPr>
    </w:p>
    <w:p>
      <w:pPr>
        <w:ind w:right="60" w:firstLine="439"/>
        <w:spacing w:after="0" w:line="291" w:lineRule="auto"/>
        <w:rPr>
          <w:sz w:val="20"/>
          <w:szCs w:val="20"/>
          <w:color w:val="auto"/>
        </w:rPr>
      </w:pPr>
      <w:r>
        <w:rPr>
          <w:rFonts w:ascii="Arial" w:cs="Arial" w:eastAsia="Arial" w:hAnsi="Arial"/>
          <w:sz w:val="16"/>
          <w:szCs w:val="16"/>
          <w:i w:val="1"/>
          <w:iCs w:val="1"/>
          <w:color w:val="auto"/>
        </w:rPr>
        <w:t xml:space="preserve">Loss on Loans Held for Resale, Net. </w:t>
      </w:r>
      <w:r>
        <w:rPr>
          <w:rFonts w:ascii="Arial" w:cs="Arial" w:eastAsia="Arial" w:hAnsi="Arial"/>
          <w:sz w:val="16"/>
          <w:szCs w:val="16"/>
          <w:color w:val="auto"/>
        </w:rPr>
        <w:t>Loss on loans held for resale is primarily comprised of valuation adjustments, charge-offs and losses on loans and real</w:t>
      </w:r>
      <w:r>
        <w:rPr>
          <w:rFonts w:ascii="Arial" w:cs="Arial" w:eastAsia="Arial" w:hAnsi="Arial"/>
          <w:sz w:val="16"/>
          <w:szCs w:val="16"/>
          <w:i w:val="1"/>
          <w:iCs w:val="1"/>
          <w:color w:val="auto"/>
        </w:rPr>
        <w:t xml:space="preserve"> </w:t>
      </w:r>
      <w:r>
        <w:rPr>
          <w:rFonts w:ascii="Arial" w:cs="Arial" w:eastAsia="Arial" w:hAnsi="Arial"/>
          <w:sz w:val="16"/>
          <w:szCs w:val="16"/>
          <w:color w:val="auto"/>
        </w:rPr>
        <w:t>estate. For the third quarter of 2009 and 2008, combined valuation adjustments, charge-offs and losses on loans and real estate were $1,242 and $674, respectively. Year to date, these combined amounts were $8,783 and $11,232 for 2009 and 2008, respectively. Valuation losses represent charges that we recorded to reduce loans held for resale and real estate to their fair values. In addition to these valuation adjustments, we have recorded charge-offs on resolved loans. In 2009, the UPB of nonperforming loans as a percentage of total UPB has increased from 48% at December 31, 2008 to 56% at September 30, 2009. At September 30, 2008, the UPB of nonperforming loans as a percentage of total UPB was 38%.</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Management Vehicles</w:t>
      </w:r>
    </w:p>
    <w:p>
      <w:pPr>
        <w:spacing w:after="0" w:line="225" w:lineRule="exact"/>
        <w:rPr>
          <w:sz w:val="20"/>
          <w:szCs w:val="20"/>
          <w:color w:val="auto"/>
        </w:rPr>
      </w:pPr>
    </w:p>
    <w:p>
      <w:pPr>
        <w:ind w:right="80" w:firstLine="436"/>
        <w:spacing w:after="0" w:line="301" w:lineRule="auto"/>
        <w:rPr>
          <w:sz w:val="20"/>
          <w:szCs w:val="20"/>
          <w:color w:val="auto"/>
        </w:rPr>
      </w:pPr>
      <w:r>
        <w:rPr>
          <w:rFonts w:ascii="Arial" w:cs="Arial" w:eastAsia="Arial" w:hAnsi="Arial"/>
          <w:sz w:val="16"/>
          <w:szCs w:val="16"/>
          <w:b w:val="1"/>
          <w:bCs w:val="1"/>
          <w:color w:val="auto"/>
        </w:rPr>
        <w:t xml:space="preserve">Three Months Ended September 2009 versus September 2008. </w:t>
      </w:r>
      <w:r>
        <w:rPr>
          <w:rFonts w:ascii="Arial" w:cs="Arial" w:eastAsia="Arial" w:hAnsi="Arial"/>
          <w:sz w:val="16"/>
          <w:szCs w:val="16"/>
          <w:color w:val="auto"/>
        </w:rPr>
        <w:t>The loss before income taxes for the third quarter of 2009 was $1,686 lower than 2008.</w:t>
      </w:r>
      <w:r>
        <w:rPr>
          <w:rFonts w:ascii="Arial" w:cs="Arial" w:eastAsia="Arial" w:hAnsi="Arial"/>
          <w:sz w:val="16"/>
          <w:szCs w:val="16"/>
          <w:b w:val="1"/>
          <w:bCs w:val="1"/>
          <w:color w:val="auto"/>
        </w:rPr>
        <w:t xml:space="preserve"> </w:t>
      </w:r>
      <w:r>
        <w:rPr>
          <w:rFonts w:ascii="Arial" w:cs="Arial" w:eastAsia="Arial" w:hAnsi="Arial"/>
          <w:sz w:val="16"/>
          <w:szCs w:val="16"/>
          <w:color w:val="auto"/>
        </w:rPr>
        <w:t>This improvement was primarily attributable to a decline in our share of the losses incurred by OSI and by ONL and affiliates which more than offset a decline in management fee revenue. Losses incurred by these entities in 2009 and 2008 largely resulted from charges to reduce loans, real estate and residual securities to their fair values which were lower in the third quarter of 2009 as compared to 2008.</w:t>
      </w:r>
    </w:p>
    <w:p>
      <w:pPr>
        <w:spacing w:after="0" w:line="157" w:lineRule="exact"/>
        <w:rPr>
          <w:sz w:val="20"/>
          <w:szCs w:val="20"/>
          <w:color w:val="auto"/>
        </w:rPr>
      </w:pPr>
    </w:p>
    <w:p>
      <w:pPr>
        <w:ind w:right="40" w:firstLine="439"/>
        <w:spacing w:after="0" w:line="310" w:lineRule="auto"/>
        <w:rPr>
          <w:sz w:val="20"/>
          <w:szCs w:val="20"/>
          <w:color w:val="auto"/>
        </w:rPr>
      </w:pPr>
      <w:r>
        <w:rPr>
          <w:rFonts w:ascii="Arial" w:cs="Arial" w:eastAsia="Arial" w:hAnsi="Arial"/>
          <w:sz w:val="16"/>
          <w:szCs w:val="16"/>
          <w:b w:val="1"/>
          <w:bCs w:val="1"/>
          <w:color w:val="auto"/>
        </w:rPr>
        <w:t xml:space="preserve">Nine Months Ended September 2009 versus September 2008. </w:t>
      </w:r>
      <w:r>
        <w:rPr>
          <w:rFonts w:ascii="Arial" w:cs="Arial" w:eastAsia="Arial" w:hAnsi="Arial"/>
          <w:sz w:val="16"/>
          <w:szCs w:val="16"/>
          <w:color w:val="auto"/>
        </w:rPr>
        <w:t>The year to date loss before income taxes for 2009 was $2,479 lower than the same period</w:t>
      </w:r>
      <w:r>
        <w:rPr>
          <w:rFonts w:ascii="Arial" w:cs="Arial" w:eastAsia="Arial" w:hAnsi="Arial"/>
          <w:sz w:val="16"/>
          <w:szCs w:val="16"/>
          <w:b w:val="1"/>
          <w:bCs w:val="1"/>
          <w:color w:val="auto"/>
        </w:rPr>
        <w:t xml:space="preserve"> </w:t>
      </w:r>
      <w:r>
        <w:rPr>
          <w:rFonts w:ascii="Arial" w:cs="Arial" w:eastAsia="Arial" w:hAnsi="Arial"/>
          <w:sz w:val="16"/>
          <w:szCs w:val="16"/>
          <w:color w:val="auto"/>
        </w:rPr>
        <w:t>of 2008. A decline in our share of the losses incurred by OSI and by ONL and affiliates more than offset the decline in management fee revenue. These losses largely resulted from charges to reduce loans, real estate and residual securities to their fair values which were lower in 2009 as compared to 2008.</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60" w:type="dxa"/>
            <w:vAlign w:val="bottom"/>
            <w:gridSpan w:val="2"/>
          </w:tcPr>
          <w:p>
            <w:pPr>
              <w:spacing w:after="0"/>
              <w:rPr>
                <w:sz w:val="20"/>
                <w:szCs w:val="20"/>
                <w:color w:val="auto"/>
              </w:rPr>
            </w:pPr>
            <w:r>
              <w:rPr>
                <w:rFonts w:ascii="Arial" w:cs="Arial" w:eastAsia="Arial" w:hAnsi="Arial"/>
                <w:sz w:val="18"/>
                <w:szCs w:val="18"/>
                <w:color w:val="auto"/>
              </w:rPr>
              <w:t>Comparative selected balance sheet data:</w:t>
            </w:r>
          </w:p>
        </w:tc>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2"/>
        </w:trPr>
        <w:tc>
          <w:tcPr>
            <w:tcW w:w="2900" w:type="dxa"/>
            <w:vAlign w:val="bottom"/>
            <w:tcBorders>
              <w:top w:val="single" w:sz="8" w:color="auto"/>
            </w:tcBorders>
          </w:tcPr>
          <w:p>
            <w:pPr>
              <w:spacing w:after="0"/>
              <w:rPr>
                <w:sz w:val="24"/>
                <w:szCs w:val="24"/>
                <w:color w:val="auto"/>
              </w:rPr>
            </w:pPr>
          </w:p>
        </w:tc>
        <w:tc>
          <w:tcPr>
            <w:tcW w:w="136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jc w:val="right"/>
              <w:ind w:right="72"/>
              <w:spacing w:after="0"/>
              <w:rPr>
                <w:sz w:val="20"/>
                <w:szCs w:val="20"/>
                <w:color w:val="auto"/>
              </w:rPr>
            </w:pPr>
            <w:r>
              <w:rPr>
                <w:rFonts w:ascii="Arial" w:cs="Arial" w:eastAsia="Arial" w:hAnsi="Arial"/>
                <w:sz w:val="18"/>
                <w:szCs w:val="18"/>
                <w:b w:val="1"/>
                <w:bCs w:val="1"/>
                <w:color w:val="auto"/>
                <w:w w:val="89"/>
              </w:rPr>
              <w:t>September 30,</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jc w:val="right"/>
              <w:ind w:right="112"/>
              <w:spacing w:after="0"/>
              <w:rPr>
                <w:sz w:val="20"/>
                <w:szCs w:val="20"/>
                <w:color w:val="auto"/>
              </w:rPr>
            </w:pPr>
            <w:r>
              <w:rPr>
                <w:rFonts w:ascii="Arial" w:cs="Arial" w:eastAsia="Arial" w:hAnsi="Arial"/>
                <w:sz w:val="18"/>
                <w:szCs w:val="18"/>
                <w:b w:val="1"/>
                <w:bCs w:val="1"/>
                <w:color w:val="auto"/>
                <w:w w:val="90"/>
              </w:rPr>
              <w:t>December 31,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9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b w:val="1"/>
                <w:bCs w:val="1"/>
                <w:color w:val="auto"/>
              </w:rPr>
              <w:t>2009</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52"/>
              <w:spacing w:after="0"/>
              <w:rPr>
                <w:sz w:val="20"/>
                <w:szCs w:val="20"/>
                <w:color w:val="auto"/>
              </w:rPr>
            </w:pPr>
            <w:r>
              <w:rPr>
                <w:rFonts w:ascii="Arial" w:cs="Arial" w:eastAsia="Arial" w:hAnsi="Arial"/>
                <w:sz w:val="18"/>
                <w:szCs w:val="18"/>
                <w:b w:val="1"/>
                <w:bCs w:val="1"/>
                <w:color w:val="auto"/>
              </w:rPr>
              <w:t>2008</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26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Investment in unconsolidated entities</w:t>
            </w:r>
          </w:p>
        </w:tc>
        <w:tc>
          <w:tcPr>
            <w:tcW w:w="400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1280" w:type="dxa"/>
            <w:vAlign w:val="bottom"/>
            <w:shd w:val="clear" w:color="auto" w:fill="EAF9E8"/>
          </w:tcPr>
          <w:p>
            <w:pPr>
              <w:spacing w:after="0"/>
              <w:rPr>
                <w:sz w:val="21"/>
                <w:szCs w:val="21"/>
                <w:color w:val="auto"/>
              </w:rPr>
            </w:pPr>
          </w:p>
        </w:tc>
        <w:tc>
          <w:tcPr>
            <w:tcW w:w="22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128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4260" w:type="dxa"/>
            <w:vAlign w:val="bottom"/>
            <w:gridSpan w:val="2"/>
          </w:tcPr>
          <w:p>
            <w:pPr>
              <w:ind w:left="160"/>
              <w:spacing w:after="0"/>
              <w:rPr>
                <w:sz w:val="20"/>
                <w:szCs w:val="20"/>
                <w:color w:val="auto"/>
              </w:rPr>
            </w:pPr>
            <w:r>
              <w:rPr>
                <w:rFonts w:ascii="Arial" w:cs="Arial" w:eastAsia="Arial" w:hAnsi="Arial"/>
                <w:sz w:val="18"/>
                <w:szCs w:val="18"/>
                <w:color w:val="auto"/>
              </w:rPr>
              <w:t>OSI</w:t>
            </w:r>
          </w:p>
        </w:tc>
        <w:tc>
          <w:tcPr>
            <w:tcW w:w="41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10,140</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15,410</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26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ONL and affiliates</w:t>
            </w:r>
          </w:p>
        </w:tc>
        <w:tc>
          <w:tcPr>
            <w:tcW w:w="400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12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8,545</w:t>
            </w:r>
          </w:p>
        </w:tc>
        <w:tc>
          <w:tcPr>
            <w:tcW w:w="22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12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10,174</w:t>
            </w:r>
          </w:p>
        </w:tc>
        <w:tc>
          <w:tcPr>
            <w:tcW w:w="120" w:type="dxa"/>
            <w:vAlign w:val="bottom"/>
            <w:shd w:val="clear" w:color="auto" w:fill="EAF9E8"/>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9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18,685</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25,584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426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Other</w:t>
            </w:r>
          </w:p>
        </w:tc>
        <w:tc>
          <w:tcPr>
            <w:tcW w:w="400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12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368</w:t>
            </w:r>
          </w:p>
        </w:tc>
        <w:tc>
          <w:tcPr>
            <w:tcW w:w="22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12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1,171</w:t>
            </w:r>
          </w:p>
        </w:tc>
        <w:tc>
          <w:tcPr>
            <w:tcW w:w="120" w:type="dxa"/>
            <w:vAlign w:val="bottom"/>
            <w:shd w:val="clear" w:color="auto" w:fill="EAF9E8"/>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260" w:type="dxa"/>
            <w:vAlign w:val="bottom"/>
            <w:gridSpan w:val="2"/>
          </w:tcPr>
          <w:p>
            <w:pPr>
              <w:ind w:left="320"/>
              <w:spacing w:after="0"/>
              <w:rPr>
                <w:sz w:val="20"/>
                <w:szCs w:val="20"/>
                <w:color w:val="auto"/>
              </w:rPr>
            </w:pPr>
            <w:r>
              <w:rPr>
                <w:rFonts w:ascii="Arial" w:cs="Arial" w:eastAsia="Arial" w:hAnsi="Arial"/>
                <w:sz w:val="18"/>
                <w:szCs w:val="18"/>
                <w:color w:val="auto"/>
              </w:rPr>
              <w:t>Total assets</w:t>
            </w:r>
          </w:p>
        </w:tc>
        <w:tc>
          <w:tcPr>
            <w:tcW w:w="41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19,053</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26,755</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00" w:type="dxa"/>
            <w:vAlign w:val="bottom"/>
            <w:vMerge w:val="restart"/>
          </w:tcPr>
          <w:p>
            <w:pPr>
              <w:jc w:val="right"/>
              <w:ind w:right="2372"/>
              <w:spacing w:after="0"/>
              <w:rPr>
                <w:sz w:val="20"/>
                <w:szCs w:val="20"/>
                <w:color w:val="auto"/>
              </w:rPr>
            </w:pPr>
            <w:r>
              <w:rPr>
                <w:rFonts w:ascii="Arial" w:cs="Arial" w:eastAsia="Arial" w:hAnsi="Arial"/>
                <w:sz w:val="18"/>
                <w:szCs w:val="18"/>
                <w:color w:val="auto"/>
              </w:rPr>
              <w:t>51</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29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90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40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2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2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31" w:right="21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auto"/>
        </w:rPr>
        <w:t>Comparative selected operations data for the periods ended September 30 is as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40" w:type="dxa"/>
            <w:vAlign w:val="bottom"/>
            <w:gridSpan w:val="5"/>
          </w:tcPr>
          <w:p>
            <w:pPr>
              <w:jc w:val="right"/>
              <w:ind w:right="1020"/>
              <w:spacing w:after="0"/>
              <w:rPr>
                <w:sz w:val="20"/>
                <w:szCs w:val="20"/>
                <w:color w:val="auto"/>
              </w:rPr>
            </w:pPr>
            <w:r>
              <w:rPr>
                <w:rFonts w:ascii="Arial" w:cs="Arial" w:eastAsia="Arial" w:hAnsi="Arial"/>
                <w:sz w:val="18"/>
                <w:szCs w:val="18"/>
                <w:b w:val="1"/>
                <w:bCs w:val="1"/>
                <w:color w:val="auto"/>
              </w:rPr>
              <w:t>Three months</w:t>
            </w:r>
          </w:p>
        </w:tc>
        <w:tc>
          <w:tcPr>
            <w:tcW w:w="220" w:type="dxa"/>
            <w:vAlign w:val="bottom"/>
          </w:tcPr>
          <w:p>
            <w:pPr>
              <w:spacing w:after="0"/>
              <w:rPr>
                <w:sz w:val="20"/>
                <w:szCs w:val="20"/>
                <w:color w:val="auto"/>
              </w:rPr>
            </w:pPr>
          </w:p>
        </w:tc>
        <w:tc>
          <w:tcPr>
            <w:tcW w:w="146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rPr>
              <w:t>Nine months</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0"/>
        </w:trPr>
        <w:tc>
          <w:tcPr>
            <w:tcW w:w="6180" w:type="dxa"/>
            <w:vAlign w:val="bottom"/>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2009</w:t>
            </w:r>
          </w:p>
        </w:tc>
        <w:tc>
          <w:tcPr>
            <w:tcW w:w="360" w:type="dxa"/>
            <w:vAlign w:val="bottom"/>
            <w:tcBorders>
              <w:top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2008</w:t>
            </w:r>
          </w:p>
        </w:tc>
        <w:tc>
          <w:tcPr>
            <w:tcW w:w="320" w:type="dxa"/>
            <w:vAlign w:val="bottom"/>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2009</w:t>
            </w:r>
          </w:p>
        </w:tc>
        <w:tc>
          <w:tcPr>
            <w:tcW w:w="20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w w:val="84"/>
              </w:rPr>
              <w:t>2008</w:t>
            </w:r>
          </w:p>
        </w:tc>
        <w:tc>
          <w:tcPr>
            <w:tcW w:w="100" w:type="dxa"/>
            <w:vAlign w:val="bottom"/>
          </w:tcPr>
          <w:p>
            <w:pPr>
              <w:spacing w:after="0"/>
              <w:rPr>
                <w:sz w:val="21"/>
                <w:szCs w:val="21"/>
                <w:color w:val="auto"/>
              </w:rPr>
            </w:pPr>
          </w:p>
        </w:tc>
      </w:tr>
      <w:tr>
        <w:trPr>
          <w:trHeight w:val="243"/>
        </w:trPr>
        <w:tc>
          <w:tcPr>
            <w:tcW w:w="6180" w:type="dxa"/>
            <w:vAlign w:val="bottom"/>
            <w:shd w:val="clear" w:color="auto" w:fill="EAF9E8"/>
          </w:tcPr>
          <w:p>
            <w:pPr>
              <w:spacing w:after="0"/>
              <w:rPr>
                <w:sz w:val="20"/>
                <w:szCs w:val="20"/>
                <w:color w:val="auto"/>
              </w:rPr>
            </w:pPr>
            <w:r>
              <w:rPr>
                <w:rFonts w:ascii="Arial" w:cs="Arial" w:eastAsia="Arial" w:hAnsi="Arial"/>
                <w:sz w:val="18"/>
                <w:szCs w:val="18"/>
                <w:color w:val="auto"/>
              </w:rPr>
              <w:t>Revenue (management fees)</w:t>
            </w:r>
          </w:p>
        </w:tc>
        <w:tc>
          <w:tcPr>
            <w:tcW w:w="220" w:type="dxa"/>
            <w:vAlign w:val="bottom"/>
            <w:shd w:val="clear" w:color="auto" w:fill="EAF9E8"/>
          </w:tcPr>
          <w:p>
            <w:pPr>
              <w:jc w:val="right"/>
              <w:ind w:right="63"/>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432</w:t>
            </w:r>
          </w:p>
        </w:tc>
        <w:tc>
          <w:tcPr>
            <w:tcW w:w="360" w:type="dxa"/>
            <w:vAlign w:val="bottom"/>
            <w:shd w:val="clear" w:color="auto" w:fill="EAF9E8"/>
          </w:tcPr>
          <w:p>
            <w:pPr>
              <w:spacing w:after="0"/>
              <w:rPr>
                <w:sz w:val="21"/>
                <w:szCs w:val="21"/>
                <w:color w:val="auto"/>
              </w:rPr>
            </w:pPr>
          </w:p>
        </w:tc>
        <w:tc>
          <w:tcPr>
            <w:tcW w:w="200" w:type="dxa"/>
            <w:vAlign w:val="bottom"/>
            <w:shd w:val="clear" w:color="auto" w:fill="EAF9E8"/>
          </w:tcPr>
          <w:p>
            <w:pPr>
              <w:jc w:val="right"/>
              <w:ind w:right="43"/>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819</w:t>
            </w:r>
          </w:p>
        </w:tc>
        <w:tc>
          <w:tcPr>
            <w:tcW w:w="320" w:type="dxa"/>
            <w:vAlign w:val="bottom"/>
            <w:shd w:val="clear" w:color="auto" w:fill="EAF9E8"/>
          </w:tcPr>
          <w:p>
            <w:pPr>
              <w:spacing w:after="0"/>
              <w:rPr>
                <w:sz w:val="21"/>
                <w:szCs w:val="21"/>
                <w:color w:val="auto"/>
              </w:rPr>
            </w:pPr>
          </w:p>
        </w:tc>
        <w:tc>
          <w:tcPr>
            <w:tcW w:w="220" w:type="dxa"/>
            <w:vAlign w:val="bottom"/>
            <w:shd w:val="clear" w:color="auto" w:fill="EAF9E8"/>
          </w:tcPr>
          <w:p>
            <w:pPr>
              <w:jc w:val="right"/>
              <w:ind w:right="32"/>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1,429</w:t>
            </w:r>
          </w:p>
        </w:tc>
        <w:tc>
          <w:tcPr>
            <w:tcW w:w="46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2,997</w:t>
            </w:r>
          </w:p>
        </w:tc>
      </w:tr>
      <w:tr>
        <w:trPr>
          <w:trHeight w:val="249"/>
        </w:trPr>
        <w:tc>
          <w:tcPr>
            <w:tcW w:w="6180" w:type="dxa"/>
            <w:vAlign w:val="bottom"/>
          </w:tcPr>
          <w:p>
            <w:pPr>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753</w:t>
            </w: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885</w:t>
            </w: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2,530</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2,501</w:t>
            </w:r>
          </w:p>
        </w:tc>
      </w:tr>
      <w:tr>
        <w:trPr>
          <w:trHeight w:val="21"/>
        </w:trPr>
        <w:tc>
          <w:tcPr>
            <w:tcW w:w="6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3"/>
        </w:trPr>
        <w:tc>
          <w:tcPr>
            <w:tcW w:w="6180" w:type="dxa"/>
            <w:vAlign w:val="bottom"/>
            <w:shd w:val="clear" w:color="auto" w:fill="EAF9E8"/>
          </w:tcPr>
          <w:p>
            <w:pPr>
              <w:spacing w:after="0"/>
              <w:rPr>
                <w:sz w:val="20"/>
                <w:szCs w:val="20"/>
                <w:color w:val="auto"/>
              </w:rPr>
            </w:pPr>
            <w:r>
              <w:rPr>
                <w:rFonts w:ascii="Arial" w:cs="Arial" w:eastAsia="Arial" w:hAnsi="Arial"/>
                <w:sz w:val="18"/>
                <w:szCs w:val="18"/>
                <w:color w:val="auto"/>
              </w:rPr>
              <w:t>Income (loss) from operations</w:t>
            </w:r>
          </w:p>
        </w:tc>
        <w:tc>
          <w:tcPr>
            <w:tcW w:w="220" w:type="dxa"/>
            <w:vAlign w:val="bottom"/>
            <w:shd w:val="clear" w:color="auto" w:fill="EAF9E8"/>
          </w:tcPr>
          <w:p>
            <w:pPr>
              <w:spacing w:after="0"/>
              <w:rPr>
                <w:sz w:val="21"/>
                <w:szCs w:val="21"/>
                <w:color w:val="auto"/>
              </w:rPr>
            </w:pPr>
          </w:p>
        </w:tc>
        <w:tc>
          <w:tcPr>
            <w:tcW w:w="1180" w:type="dxa"/>
            <w:vAlign w:val="bottom"/>
            <w:gridSpan w:val="2"/>
            <w:shd w:val="clear" w:color="auto" w:fill="EAF9E8"/>
          </w:tcPr>
          <w:p>
            <w:pPr>
              <w:jc w:val="right"/>
              <w:ind w:right="300"/>
              <w:spacing w:after="0"/>
              <w:rPr>
                <w:sz w:val="20"/>
                <w:szCs w:val="20"/>
                <w:color w:val="auto"/>
              </w:rPr>
            </w:pPr>
            <w:r>
              <w:rPr>
                <w:rFonts w:ascii="Arial" w:cs="Arial" w:eastAsia="Arial" w:hAnsi="Arial"/>
                <w:sz w:val="18"/>
                <w:szCs w:val="18"/>
                <w:color w:val="auto"/>
              </w:rPr>
              <w:t>(321)</w:t>
            </w:r>
          </w:p>
        </w:tc>
        <w:tc>
          <w:tcPr>
            <w:tcW w:w="200" w:type="dxa"/>
            <w:vAlign w:val="bottom"/>
            <w:shd w:val="clear" w:color="auto" w:fill="EAF9E8"/>
          </w:tcPr>
          <w:p>
            <w:pPr>
              <w:spacing w:after="0"/>
              <w:rPr>
                <w:sz w:val="21"/>
                <w:szCs w:val="21"/>
                <w:color w:val="auto"/>
              </w:rPr>
            </w:pPr>
          </w:p>
        </w:tc>
        <w:tc>
          <w:tcPr>
            <w:tcW w:w="116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(66)</w:t>
            </w:r>
          </w:p>
        </w:tc>
        <w:tc>
          <w:tcPr>
            <w:tcW w:w="220" w:type="dxa"/>
            <w:vAlign w:val="bottom"/>
            <w:shd w:val="clear" w:color="auto" w:fill="EAF9E8"/>
          </w:tcPr>
          <w:p>
            <w:pPr>
              <w:spacing w:after="0"/>
              <w:rPr>
                <w:sz w:val="21"/>
                <w:szCs w:val="21"/>
                <w:color w:val="auto"/>
              </w:rPr>
            </w:pPr>
          </w:p>
        </w:tc>
        <w:tc>
          <w:tcPr>
            <w:tcW w:w="100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(1,101)</w:t>
            </w:r>
          </w:p>
        </w:tc>
        <w:tc>
          <w:tcPr>
            <w:tcW w:w="140" w:type="dxa"/>
            <w:vAlign w:val="bottom"/>
            <w:shd w:val="clear" w:color="auto" w:fill="EAF9E8"/>
          </w:tcPr>
          <w:p>
            <w:pPr>
              <w:spacing w:after="0"/>
              <w:rPr>
                <w:sz w:val="21"/>
                <w:szCs w:val="21"/>
                <w:color w:val="auto"/>
              </w:rPr>
            </w:pPr>
          </w:p>
        </w:tc>
        <w:tc>
          <w:tcPr>
            <w:tcW w:w="320" w:type="dxa"/>
            <w:vAlign w:val="bottom"/>
            <w:shd w:val="clear" w:color="auto" w:fill="EAF9E8"/>
          </w:tcPr>
          <w:p>
            <w:pPr>
              <w:spacing w:after="0"/>
              <w:rPr>
                <w:sz w:val="21"/>
                <w:szCs w:val="21"/>
                <w:color w:val="auto"/>
              </w:rPr>
            </w:pPr>
          </w:p>
        </w:tc>
        <w:tc>
          <w:tcPr>
            <w:tcW w:w="8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496</w:t>
            </w:r>
          </w:p>
        </w:tc>
      </w:tr>
      <w:tr>
        <w:trPr>
          <w:trHeight w:val="242"/>
        </w:trPr>
        <w:tc>
          <w:tcPr>
            <w:tcW w:w="6180" w:type="dxa"/>
            <w:vAlign w:val="bottom"/>
          </w:tcPr>
          <w:p>
            <w:pPr>
              <w:spacing w:after="0"/>
              <w:rPr>
                <w:sz w:val="20"/>
                <w:szCs w:val="20"/>
                <w:color w:val="auto"/>
              </w:rPr>
            </w:pPr>
            <w:r>
              <w:rPr>
                <w:rFonts w:ascii="Arial" w:cs="Arial" w:eastAsia="Arial" w:hAnsi="Arial"/>
                <w:sz w:val="18"/>
                <w:szCs w:val="18"/>
                <w:color w:val="auto"/>
              </w:rPr>
              <w:t>Other income (expense):</w:t>
            </w: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4"/>
        </w:trPr>
        <w:tc>
          <w:tcPr>
            <w:tcW w:w="61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Equity in losses of unconsolidated entities</w:t>
            </w:r>
          </w:p>
        </w:tc>
        <w:tc>
          <w:tcPr>
            <w:tcW w:w="220" w:type="dxa"/>
            <w:vAlign w:val="bottom"/>
            <w:shd w:val="clear" w:color="auto" w:fill="EAF9E8"/>
          </w:tcPr>
          <w:p>
            <w:pPr>
              <w:spacing w:after="0"/>
              <w:rPr>
                <w:sz w:val="21"/>
                <w:szCs w:val="21"/>
                <w:color w:val="auto"/>
              </w:rPr>
            </w:pPr>
          </w:p>
        </w:tc>
        <w:tc>
          <w:tcPr>
            <w:tcW w:w="820" w:type="dxa"/>
            <w:vAlign w:val="bottom"/>
            <w:shd w:val="clear" w:color="auto" w:fill="EAF9E8"/>
          </w:tcPr>
          <w:p>
            <w:pPr>
              <w:spacing w:after="0"/>
              <w:rPr>
                <w:sz w:val="21"/>
                <w:szCs w:val="21"/>
                <w:color w:val="auto"/>
              </w:rPr>
            </w:pPr>
          </w:p>
        </w:tc>
        <w:tc>
          <w:tcPr>
            <w:tcW w:w="360" w:type="dxa"/>
            <w:vAlign w:val="bottom"/>
            <w:shd w:val="clear" w:color="auto" w:fill="EAF9E8"/>
          </w:tcPr>
          <w:p>
            <w:pPr>
              <w:spacing w:after="0"/>
              <w:rPr>
                <w:sz w:val="21"/>
                <w:szCs w:val="21"/>
                <w:color w:val="auto"/>
              </w:rPr>
            </w:pPr>
          </w:p>
        </w:tc>
        <w:tc>
          <w:tcPr>
            <w:tcW w:w="200" w:type="dxa"/>
            <w:vAlign w:val="bottom"/>
            <w:shd w:val="clear" w:color="auto" w:fill="EAF9E8"/>
          </w:tcPr>
          <w:p>
            <w:pPr>
              <w:spacing w:after="0"/>
              <w:rPr>
                <w:sz w:val="21"/>
                <w:szCs w:val="21"/>
                <w:color w:val="auto"/>
              </w:rPr>
            </w:pPr>
          </w:p>
        </w:tc>
        <w:tc>
          <w:tcPr>
            <w:tcW w:w="840" w:type="dxa"/>
            <w:vAlign w:val="bottom"/>
            <w:shd w:val="clear" w:color="auto" w:fill="EAF9E8"/>
          </w:tcPr>
          <w:p>
            <w:pPr>
              <w:spacing w:after="0"/>
              <w:rPr>
                <w:sz w:val="21"/>
                <w:szCs w:val="21"/>
                <w:color w:val="auto"/>
              </w:rPr>
            </w:pPr>
          </w:p>
        </w:tc>
        <w:tc>
          <w:tcPr>
            <w:tcW w:w="320" w:type="dxa"/>
            <w:vAlign w:val="bottom"/>
            <w:shd w:val="clear" w:color="auto" w:fill="EAF9E8"/>
          </w:tcPr>
          <w:p>
            <w:pPr>
              <w:spacing w:after="0"/>
              <w:rPr>
                <w:sz w:val="21"/>
                <w:szCs w:val="21"/>
                <w:color w:val="auto"/>
              </w:rPr>
            </w:pPr>
          </w:p>
        </w:tc>
        <w:tc>
          <w:tcPr>
            <w:tcW w:w="220" w:type="dxa"/>
            <w:vAlign w:val="bottom"/>
            <w:shd w:val="clear" w:color="auto" w:fill="EAF9E8"/>
          </w:tcPr>
          <w:p>
            <w:pPr>
              <w:spacing w:after="0"/>
              <w:rPr>
                <w:sz w:val="21"/>
                <w:szCs w:val="21"/>
                <w:color w:val="auto"/>
              </w:rPr>
            </w:pPr>
          </w:p>
        </w:tc>
        <w:tc>
          <w:tcPr>
            <w:tcW w:w="800" w:type="dxa"/>
            <w:vAlign w:val="bottom"/>
            <w:shd w:val="clear" w:color="auto" w:fill="EAF9E8"/>
          </w:tcPr>
          <w:p>
            <w:pPr>
              <w:spacing w:after="0"/>
              <w:rPr>
                <w:sz w:val="21"/>
                <w:szCs w:val="21"/>
                <w:color w:val="auto"/>
              </w:rPr>
            </w:pPr>
          </w:p>
        </w:tc>
        <w:tc>
          <w:tcPr>
            <w:tcW w:w="20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320" w:type="dxa"/>
            <w:vAlign w:val="bottom"/>
            <w:shd w:val="clear" w:color="auto" w:fill="EAF9E8"/>
          </w:tcPr>
          <w:p>
            <w:pPr>
              <w:spacing w:after="0"/>
              <w:rPr>
                <w:sz w:val="21"/>
                <w:szCs w:val="21"/>
                <w:color w:val="auto"/>
              </w:rPr>
            </w:pPr>
          </w:p>
        </w:tc>
        <w:tc>
          <w:tcPr>
            <w:tcW w:w="70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r>
      <w:tr>
        <w:trPr>
          <w:trHeight w:val="242"/>
        </w:trPr>
        <w:tc>
          <w:tcPr>
            <w:tcW w:w="6180" w:type="dxa"/>
            <w:vAlign w:val="bottom"/>
          </w:tcPr>
          <w:p>
            <w:pPr>
              <w:ind w:left="320"/>
              <w:spacing w:after="0"/>
              <w:rPr>
                <w:sz w:val="20"/>
                <w:szCs w:val="20"/>
                <w:color w:val="auto"/>
              </w:rPr>
            </w:pPr>
            <w:r>
              <w:rPr>
                <w:rFonts w:ascii="Arial" w:cs="Arial" w:eastAsia="Arial" w:hAnsi="Arial"/>
                <w:sz w:val="18"/>
                <w:szCs w:val="18"/>
                <w:color w:val="auto"/>
              </w:rPr>
              <w:t>OSI</w:t>
            </w:r>
          </w:p>
        </w:tc>
        <w:tc>
          <w:tcPr>
            <w:tcW w:w="220" w:type="dxa"/>
            <w:vAlign w:val="bottom"/>
          </w:tcPr>
          <w:p>
            <w:pPr>
              <w:spacing w:after="0"/>
              <w:rPr>
                <w:sz w:val="21"/>
                <w:szCs w:val="21"/>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(1,164)</w:t>
            </w:r>
          </w:p>
        </w:tc>
        <w:tc>
          <w:tcPr>
            <w:tcW w:w="200" w:type="dxa"/>
            <w:vAlign w:val="bottom"/>
          </w:tcPr>
          <w:p>
            <w:pPr>
              <w:spacing w:after="0"/>
              <w:rPr>
                <w:sz w:val="21"/>
                <w:szCs w:val="21"/>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(2,111)</w:t>
            </w:r>
          </w:p>
        </w:tc>
        <w:tc>
          <w:tcPr>
            <w:tcW w:w="220" w:type="dxa"/>
            <w:vAlign w:val="bottom"/>
          </w:tcPr>
          <w:p>
            <w:pPr>
              <w:spacing w:after="0"/>
              <w:rPr>
                <w:sz w:val="21"/>
                <w:szCs w:val="21"/>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(1,270)</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(4,202)</w:t>
            </w:r>
          </w:p>
        </w:tc>
      </w:tr>
      <w:tr>
        <w:trPr>
          <w:trHeight w:val="244"/>
        </w:trPr>
        <w:tc>
          <w:tcPr>
            <w:tcW w:w="6180" w:type="dxa"/>
            <w:vAlign w:val="bottom"/>
            <w:shd w:val="clear" w:color="auto" w:fill="EAF9E8"/>
          </w:tcPr>
          <w:p>
            <w:pPr>
              <w:ind w:left="320"/>
              <w:spacing w:after="0"/>
              <w:rPr>
                <w:sz w:val="20"/>
                <w:szCs w:val="20"/>
                <w:color w:val="auto"/>
              </w:rPr>
            </w:pPr>
            <w:r>
              <w:rPr>
                <w:rFonts w:ascii="Arial" w:cs="Arial" w:eastAsia="Arial" w:hAnsi="Arial"/>
                <w:sz w:val="18"/>
                <w:szCs w:val="18"/>
                <w:color w:val="auto"/>
              </w:rPr>
              <w:t>ONL and affiliates</w:t>
            </w:r>
          </w:p>
        </w:tc>
        <w:tc>
          <w:tcPr>
            <w:tcW w:w="220" w:type="dxa"/>
            <w:vAlign w:val="bottom"/>
            <w:shd w:val="clear" w:color="auto" w:fill="EAF9E8"/>
          </w:tcPr>
          <w:p>
            <w:pPr>
              <w:spacing w:after="0"/>
              <w:rPr>
                <w:sz w:val="21"/>
                <w:szCs w:val="21"/>
                <w:color w:val="auto"/>
              </w:rPr>
            </w:pPr>
          </w:p>
        </w:tc>
        <w:tc>
          <w:tcPr>
            <w:tcW w:w="1180" w:type="dxa"/>
            <w:vAlign w:val="bottom"/>
            <w:gridSpan w:val="2"/>
            <w:shd w:val="clear" w:color="auto" w:fill="EAF9E8"/>
          </w:tcPr>
          <w:p>
            <w:pPr>
              <w:jc w:val="right"/>
              <w:ind w:right="300"/>
              <w:spacing w:after="0"/>
              <w:rPr>
                <w:sz w:val="20"/>
                <w:szCs w:val="20"/>
                <w:color w:val="auto"/>
              </w:rPr>
            </w:pPr>
            <w:r>
              <w:rPr>
                <w:rFonts w:ascii="Arial" w:cs="Arial" w:eastAsia="Arial" w:hAnsi="Arial"/>
                <w:sz w:val="18"/>
                <w:szCs w:val="18"/>
                <w:color w:val="auto"/>
              </w:rPr>
              <w:t>(153)</w:t>
            </w:r>
          </w:p>
        </w:tc>
        <w:tc>
          <w:tcPr>
            <w:tcW w:w="200" w:type="dxa"/>
            <w:vAlign w:val="bottom"/>
            <w:shd w:val="clear" w:color="auto" w:fill="EAF9E8"/>
          </w:tcPr>
          <w:p>
            <w:pPr>
              <w:spacing w:after="0"/>
              <w:rPr>
                <w:sz w:val="21"/>
                <w:szCs w:val="21"/>
                <w:color w:val="auto"/>
              </w:rPr>
            </w:pPr>
          </w:p>
        </w:tc>
        <w:tc>
          <w:tcPr>
            <w:tcW w:w="116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(1,215)</w:t>
            </w:r>
          </w:p>
        </w:tc>
        <w:tc>
          <w:tcPr>
            <w:tcW w:w="220" w:type="dxa"/>
            <w:vAlign w:val="bottom"/>
            <w:shd w:val="clear" w:color="auto" w:fill="EAF9E8"/>
          </w:tcPr>
          <w:p>
            <w:pPr>
              <w:spacing w:after="0"/>
              <w:rPr>
                <w:sz w:val="21"/>
                <w:szCs w:val="21"/>
                <w:color w:val="auto"/>
              </w:rPr>
            </w:pPr>
          </w:p>
        </w:tc>
        <w:tc>
          <w:tcPr>
            <w:tcW w:w="100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(1,196)</w:t>
            </w:r>
          </w:p>
        </w:tc>
        <w:tc>
          <w:tcPr>
            <w:tcW w:w="140" w:type="dxa"/>
            <w:vAlign w:val="bottom"/>
            <w:shd w:val="clear" w:color="auto" w:fill="EAF9E8"/>
          </w:tcPr>
          <w:p>
            <w:pPr>
              <w:spacing w:after="0"/>
              <w:rPr>
                <w:sz w:val="21"/>
                <w:szCs w:val="21"/>
                <w:color w:val="auto"/>
              </w:rPr>
            </w:pPr>
          </w:p>
        </w:tc>
        <w:tc>
          <w:tcPr>
            <w:tcW w:w="320" w:type="dxa"/>
            <w:vAlign w:val="bottom"/>
            <w:shd w:val="clear" w:color="auto" w:fill="EAF9E8"/>
          </w:tcPr>
          <w:p>
            <w:pPr>
              <w:spacing w:after="0"/>
              <w:rPr>
                <w:sz w:val="21"/>
                <w:szCs w:val="21"/>
                <w:color w:val="auto"/>
              </w:rPr>
            </w:pPr>
          </w:p>
        </w:tc>
        <w:tc>
          <w:tcPr>
            <w:tcW w:w="80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(2,144)</w:t>
            </w:r>
          </w:p>
        </w:tc>
      </w:tr>
      <w:tr>
        <w:trPr>
          <w:trHeight w:val="20"/>
        </w:trPr>
        <w:tc>
          <w:tcPr>
            <w:tcW w:w="6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6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(1,317)</w:t>
            </w:r>
          </w:p>
        </w:tc>
        <w:tc>
          <w:tcPr>
            <w:tcW w:w="200" w:type="dxa"/>
            <w:vAlign w:val="bottom"/>
          </w:tcPr>
          <w:p>
            <w:pPr>
              <w:spacing w:after="0"/>
              <w:rPr>
                <w:sz w:val="19"/>
                <w:szCs w:val="19"/>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(3,326)</w:t>
            </w:r>
          </w:p>
        </w:tc>
        <w:tc>
          <w:tcPr>
            <w:tcW w:w="22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(2,466)</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(6,346)</w:t>
            </w:r>
          </w:p>
        </w:tc>
      </w:tr>
      <w:tr>
        <w:trPr>
          <w:trHeight w:val="244"/>
        </w:trPr>
        <w:tc>
          <w:tcPr>
            <w:tcW w:w="61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Other, net</w:t>
            </w:r>
          </w:p>
        </w:tc>
        <w:tc>
          <w:tcPr>
            <w:tcW w:w="220" w:type="dxa"/>
            <w:vAlign w:val="bottom"/>
            <w:shd w:val="clear" w:color="auto" w:fill="EAF9E8"/>
          </w:tcPr>
          <w:p>
            <w:pPr>
              <w:spacing w:after="0"/>
              <w:rPr>
                <w:sz w:val="21"/>
                <w:szCs w:val="21"/>
                <w:color w:val="auto"/>
              </w:rPr>
            </w:pPr>
          </w:p>
        </w:tc>
        <w:tc>
          <w:tcPr>
            <w:tcW w:w="1180" w:type="dxa"/>
            <w:vAlign w:val="bottom"/>
            <w:gridSpan w:val="2"/>
            <w:shd w:val="clear" w:color="auto" w:fill="EAF9E8"/>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EAF9E8"/>
          </w:tcPr>
          <w:p>
            <w:pPr>
              <w:spacing w:after="0"/>
              <w:rPr>
                <w:sz w:val="21"/>
                <w:szCs w:val="21"/>
                <w:color w:val="auto"/>
              </w:rPr>
            </w:pPr>
          </w:p>
        </w:tc>
        <w:tc>
          <w:tcPr>
            <w:tcW w:w="8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68</w:t>
            </w:r>
          </w:p>
        </w:tc>
        <w:tc>
          <w:tcPr>
            <w:tcW w:w="320" w:type="dxa"/>
            <w:vAlign w:val="bottom"/>
            <w:shd w:val="clear" w:color="auto" w:fill="EAF9E8"/>
          </w:tcPr>
          <w:p>
            <w:pPr>
              <w:spacing w:after="0"/>
              <w:rPr>
                <w:sz w:val="21"/>
                <w:szCs w:val="21"/>
                <w:color w:val="auto"/>
              </w:rPr>
            </w:pPr>
          </w:p>
        </w:tc>
        <w:tc>
          <w:tcPr>
            <w:tcW w:w="220" w:type="dxa"/>
            <w:vAlign w:val="bottom"/>
            <w:shd w:val="clear" w:color="auto" w:fill="EAF9E8"/>
          </w:tcPr>
          <w:p>
            <w:pPr>
              <w:spacing w:after="0"/>
              <w:rPr>
                <w:sz w:val="21"/>
                <w:szCs w:val="21"/>
                <w:color w:val="auto"/>
              </w:rPr>
            </w:pPr>
          </w:p>
        </w:tc>
        <w:tc>
          <w:tcPr>
            <w:tcW w:w="100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EAF9E8"/>
          </w:tcPr>
          <w:p>
            <w:pPr>
              <w:spacing w:after="0"/>
              <w:rPr>
                <w:sz w:val="21"/>
                <w:szCs w:val="21"/>
                <w:color w:val="auto"/>
              </w:rPr>
            </w:pPr>
          </w:p>
        </w:tc>
        <w:tc>
          <w:tcPr>
            <w:tcW w:w="320" w:type="dxa"/>
            <w:vAlign w:val="bottom"/>
            <w:shd w:val="clear" w:color="auto" w:fill="EAF9E8"/>
          </w:tcPr>
          <w:p>
            <w:pPr>
              <w:spacing w:after="0"/>
              <w:rPr>
                <w:sz w:val="21"/>
                <w:szCs w:val="21"/>
                <w:color w:val="auto"/>
              </w:rPr>
            </w:pPr>
          </w:p>
        </w:tc>
        <w:tc>
          <w:tcPr>
            <w:tcW w:w="80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(196)</w:t>
            </w:r>
          </w:p>
        </w:tc>
      </w:tr>
      <w:tr>
        <w:trPr>
          <w:trHeight w:val="20"/>
        </w:trPr>
        <w:tc>
          <w:tcPr>
            <w:tcW w:w="6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6180" w:type="dxa"/>
            <w:vAlign w:val="bottom"/>
          </w:tcPr>
          <w:p>
            <w:pPr>
              <w:ind w:left="320"/>
              <w:spacing w:after="0"/>
              <w:rPr>
                <w:sz w:val="20"/>
                <w:szCs w:val="20"/>
                <w:color w:val="auto"/>
              </w:rPr>
            </w:pPr>
            <w:r>
              <w:rPr>
                <w:rFonts w:ascii="Arial" w:cs="Arial" w:eastAsia="Arial" w:hAnsi="Arial"/>
                <w:sz w:val="18"/>
                <w:szCs w:val="18"/>
                <w:color w:val="auto"/>
              </w:rPr>
              <w:t>Other expense, net</w:t>
            </w:r>
          </w:p>
        </w:tc>
        <w:tc>
          <w:tcPr>
            <w:tcW w:w="220" w:type="dxa"/>
            <w:vAlign w:val="bottom"/>
          </w:tcPr>
          <w:p>
            <w:pPr>
              <w:spacing w:after="0"/>
              <w:rPr>
                <w:sz w:val="20"/>
                <w:szCs w:val="20"/>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(1,317)</w:t>
            </w:r>
          </w:p>
        </w:tc>
        <w:tc>
          <w:tcPr>
            <w:tcW w:w="200" w:type="dxa"/>
            <w:vAlign w:val="bottom"/>
          </w:tcPr>
          <w:p>
            <w:pPr>
              <w:spacing w:after="0"/>
              <w:rPr>
                <w:sz w:val="20"/>
                <w:szCs w:val="20"/>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(3,258)</w:t>
            </w:r>
          </w:p>
        </w:tc>
        <w:tc>
          <w:tcPr>
            <w:tcW w:w="22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(2,466)</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(6,542)</w:t>
            </w:r>
          </w:p>
        </w:tc>
      </w:tr>
      <w:tr>
        <w:trPr>
          <w:trHeight w:val="21"/>
        </w:trPr>
        <w:tc>
          <w:tcPr>
            <w:tcW w:w="6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3"/>
        </w:trPr>
        <w:tc>
          <w:tcPr>
            <w:tcW w:w="6180" w:type="dxa"/>
            <w:vAlign w:val="bottom"/>
            <w:shd w:val="clear" w:color="auto" w:fill="EAF9E8"/>
          </w:tcPr>
          <w:p>
            <w:pPr>
              <w:spacing w:after="0"/>
              <w:rPr>
                <w:sz w:val="20"/>
                <w:szCs w:val="20"/>
                <w:color w:val="auto"/>
              </w:rPr>
            </w:pPr>
            <w:r>
              <w:rPr>
                <w:rFonts w:ascii="Arial" w:cs="Arial" w:eastAsia="Arial" w:hAnsi="Arial"/>
                <w:sz w:val="18"/>
                <w:szCs w:val="18"/>
                <w:color w:val="auto"/>
              </w:rPr>
              <w:t>Loss before income taxes</w:t>
            </w:r>
          </w:p>
        </w:tc>
        <w:tc>
          <w:tcPr>
            <w:tcW w:w="220" w:type="dxa"/>
            <w:vAlign w:val="bottom"/>
            <w:shd w:val="clear" w:color="auto" w:fill="EAF9E8"/>
          </w:tcPr>
          <w:p>
            <w:pPr>
              <w:jc w:val="right"/>
              <w:ind w:right="63"/>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EAF9E8"/>
          </w:tcPr>
          <w:p>
            <w:pPr>
              <w:jc w:val="right"/>
              <w:ind w:right="300"/>
              <w:spacing w:after="0"/>
              <w:rPr>
                <w:sz w:val="20"/>
                <w:szCs w:val="20"/>
                <w:color w:val="auto"/>
              </w:rPr>
            </w:pPr>
            <w:r>
              <w:rPr>
                <w:rFonts w:ascii="Arial" w:cs="Arial" w:eastAsia="Arial" w:hAnsi="Arial"/>
                <w:sz w:val="18"/>
                <w:szCs w:val="18"/>
                <w:color w:val="auto"/>
              </w:rPr>
              <w:t>(1,638)</w:t>
            </w:r>
          </w:p>
        </w:tc>
        <w:tc>
          <w:tcPr>
            <w:tcW w:w="200" w:type="dxa"/>
            <w:vAlign w:val="bottom"/>
            <w:shd w:val="clear" w:color="auto" w:fill="EAF9E8"/>
          </w:tcPr>
          <w:p>
            <w:pPr>
              <w:jc w:val="right"/>
              <w:ind w:right="43"/>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(3,324)</w:t>
            </w:r>
          </w:p>
        </w:tc>
        <w:tc>
          <w:tcPr>
            <w:tcW w:w="220" w:type="dxa"/>
            <w:vAlign w:val="bottom"/>
            <w:shd w:val="clear" w:color="auto" w:fill="EAF9E8"/>
          </w:tcPr>
          <w:p>
            <w:pPr>
              <w:jc w:val="right"/>
              <w:ind w:right="32"/>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(3,567)</w:t>
            </w:r>
          </w:p>
        </w:tc>
        <w:tc>
          <w:tcPr>
            <w:tcW w:w="46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(6,046)</w:t>
            </w:r>
          </w:p>
        </w:tc>
      </w:tr>
      <w:tr>
        <w:trPr>
          <w:trHeight w:val="20"/>
        </w:trPr>
        <w:tc>
          <w:tcPr>
            <w:tcW w:w="6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
        </w:trPr>
        <w:tc>
          <w:tcPr>
            <w:tcW w:w="6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8" w:lineRule="exact"/>
        <w:rPr>
          <w:sz w:val="20"/>
          <w:szCs w:val="20"/>
          <w:color w:val="auto"/>
        </w:rPr>
      </w:pPr>
    </w:p>
    <w:p>
      <w:pPr>
        <w:ind w:right="120" w:firstLine="439"/>
        <w:spacing w:after="0" w:line="298" w:lineRule="auto"/>
        <w:rPr>
          <w:sz w:val="20"/>
          <w:szCs w:val="20"/>
          <w:color w:val="auto"/>
        </w:rPr>
      </w:pPr>
      <w:r>
        <w:rPr>
          <w:rFonts w:ascii="Arial" w:cs="Arial" w:eastAsia="Arial" w:hAnsi="Arial"/>
          <w:sz w:val="16"/>
          <w:szCs w:val="16"/>
          <w:i w:val="1"/>
          <w:iCs w:val="1"/>
          <w:color w:val="auto"/>
        </w:rPr>
        <w:t xml:space="preserve">Investment in Unconsolidated Entities. </w:t>
      </w:r>
      <w:r>
        <w:rPr>
          <w:rFonts w:ascii="Arial" w:cs="Arial" w:eastAsia="Arial" w:hAnsi="Arial"/>
          <w:sz w:val="16"/>
          <w:szCs w:val="16"/>
          <w:color w:val="auto"/>
        </w:rPr>
        <w:t>We account for our 25% interest in OSI and our approximately 25% interest in ONL and its affiliates using the</w:t>
      </w:r>
      <w:r>
        <w:rPr>
          <w:rFonts w:ascii="Arial" w:cs="Arial" w:eastAsia="Arial" w:hAnsi="Arial"/>
          <w:sz w:val="16"/>
          <w:szCs w:val="16"/>
          <w:i w:val="1"/>
          <w:iCs w:val="1"/>
          <w:color w:val="auto"/>
        </w:rPr>
        <w:t xml:space="preserve"> </w:t>
      </w:r>
      <w:r>
        <w:rPr>
          <w:rFonts w:ascii="Arial" w:cs="Arial" w:eastAsia="Arial" w:hAnsi="Arial"/>
          <w:sz w:val="16"/>
          <w:szCs w:val="16"/>
          <w:color w:val="auto"/>
        </w:rPr>
        <w:t>equity method of accounting. During the first nine months of 2009, we received distributions totaling $4,496. We did not make any investments in OSI during 2009 because our commitment to invest additional capital has expired. We invested $62 in ONL and its affiliates during the first nine months of 2009 and have a remaining commitment as of September 30, 2009 to invest up to an additional $33,840. The commitment expires in September 2010.</w:t>
      </w:r>
    </w:p>
    <w:p>
      <w:pPr>
        <w:spacing w:after="0" w:line="167" w:lineRule="exact"/>
        <w:rPr>
          <w:sz w:val="20"/>
          <w:szCs w:val="20"/>
          <w:color w:val="auto"/>
        </w:rPr>
      </w:pPr>
    </w:p>
    <w:p>
      <w:pPr>
        <w:ind w:right="60" w:firstLine="439"/>
        <w:spacing w:after="0" w:line="256" w:lineRule="auto"/>
        <w:rPr>
          <w:sz w:val="20"/>
          <w:szCs w:val="20"/>
          <w:color w:val="auto"/>
        </w:rPr>
      </w:pPr>
      <w:r>
        <w:rPr>
          <w:rFonts w:ascii="Arial" w:cs="Arial" w:eastAsia="Arial" w:hAnsi="Arial"/>
          <w:sz w:val="18"/>
          <w:szCs w:val="18"/>
          <w:i w:val="1"/>
          <w:iCs w:val="1"/>
          <w:color w:val="auto"/>
        </w:rPr>
        <w:t xml:space="preserve">Equity in earnings of unconsolidated entities. </w:t>
      </w:r>
      <w:r>
        <w:rPr>
          <w:rFonts w:ascii="Arial" w:cs="Arial" w:eastAsia="Arial" w:hAnsi="Arial"/>
          <w:sz w:val="18"/>
          <w:szCs w:val="18"/>
          <w:color w:val="auto"/>
        </w:rPr>
        <w:t>The losses incurred by OSI in the 2009 periods primarily reflect unrealized losses on residual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Unrealized losses on the residual securities have declined significantly in 2009, offset in part by a decline in interest income on the securities. The losses incurred by OSI in the 2008 periods primarily reflect unrealized losses on residual securities and the write-off of loan facility fees, offset in part by unrealized gains on OSI’s investment in derivative financial instruments.</w:t>
      </w:r>
    </w:p>
    <w:p>
      <w:pPr>
        <w:spacing w:after="0" w:line="197" w:lineRule="exact"/>
        <w:rPr>
          <w:sz w:val="20"/>
          <w:szCs w:val="20"/>
          <w:color w:val="auto"/>
        </w:rPr>
      </w:pPr>
    </w:p>
    <w:p>
      <w:pPr>
        <w:ind w:right="100" w:firstLine="436"/>
        <w:spacing w:after="0" w:line="259" w:lineRule="auto"/>
        <w:rPr>
          <w:sz w:val="20"/>
          <w:szCs w:val="20"/>
          <w:color w:val="auto"/>
        </w:rPr>
      </w:pPr>
      <w:r>
        <w:rPr>
          <w:rFonts w:ascii="Arial" w:cs="Arial" w:eastAsia="Arial" w:hAnsi="Arial"/>
          <w:sz w:val="18"/>
          <w:szCs w:val="18"/>
          <w:color w:val="auto"/>
        </w:rPr>
        <w:t>The results of ONL and its affiliates in the 2009 and 2008 periods include charges to reduce loans and real estate to fair value, which declined significantly in the third quarter of 2009 as compared to 2008. For the year to date, declines in these charges and a reduction in operating expenses in 2009 have been significantly offset by declines in interest income on the loans.</w:t>
      </w:r>
    </w:p>
    <w:p>
      <w:pPr>
        <w:spacing w:after="0" w:line="194" w:lineRule="exact"/>
        <w:rPr>
          <w:sz w:val="20"/>
          <w:szCs w:val="20"/>
          <w:color w:val="auto"/>
        </w:rPr>
      </w:pPr>
    </w:p>
    <w:p>
      <w:pPr>
        <w:jc w:val="both"/>
        <w:ind w:right="40" w:firstLine="439"/>
        <w:spacing w:after="0" w:line="259" w:lineRule="auto"/>
        <w:rPr>
          <w:sz w:val="20"/>
          <w:szCs w:val="20"/>
          <w:color w:val="auto"/>
        </w:rPr>
      </w:pPr>
      <w:r>
        <w:rPr>
          <w:rFonts w:ascii="Arial" w:cs="Arial" w:eastAsia="Arial" w:hAnsi="Arial"/>
          <w:sz w:val="18"/>
          <w:szCs w:val="18"/>
          <w:color w:val="auto"/>
        </w:rPr>
        <w:t>Reported results for these unconsolidated entities include the approximately 25% share of loan servicing and management expenses that are charged to OSI and ONL by the Servicing segment and eliminated in consolidation. See Note 11 to the Interim Consolidated Financial Statements for additional details regarding our investment in these entities.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Mortgage Services, Financial Services and Technology Products</w:t>
      </w:r>
    </w:p>
    <w:p>
      <w:pPr>
        <w:spacing w:after="0" w:line="231" w:lineRule="exact"/>
        <w:rPr>
          <w:sz w:val="20"/>
          <w:szCs w:val="20"/>
          <w:color w:val="auto"/>
        </w:rPr>
      </w:pPr>
    </w:p>
    <w:p>
      <w:pPr>
        <w:ind w:firstLine="439"/>
        <w:spacing w:after="0" w:line="298" w:lineRule="auto"/>
        <w:rPr>
          <w:sz w:val="20"/>
          <w:szCs w:val="20"/>
          <w:color w:val="auto"/>
        </w:rPr>
      </w:pPr>
      <w:r>
        <w:rPr>
          <w:rFonts w:ascii="Arial" w:cs="Arial" w:eastAsia="Arial" w:hAnsi="Arial"/>
          <w:sz w:val="16"/>
          <w:szCs w:val="16"/>
          <w:color w:val="auto"/>
        </w:rPr>
        <w:t>Mortgage Services, Financial Services and Technology Products were separated as of August 10, 2009 as part of the Separation of the Ocwen Solutions line of business, except for GSS and BMS which remain at Ocwen. These partial quarter results of Ocwen Solutions may not be indicative of results for the full quarter and were ahead of the previous quarter’s results for the same period excluding the one time charged mentioned previously. As a separate, publicly-traded company, Altisource Portfolio Solutions S.A. (NASDAQ:ASPS) will file a Form 10-Q with the Securities and Exchange Commission.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Items and Other</w:t>
      </w:r>
    </w:p>
    <w:p>
      <w:pPr>
        <w:spacing w:after="0" w:line="225" w:lineRule="exact"/>
        <w:rPr>
          <w:sz w:val="20"/>
          <w:szCs w:val="20"/>
          <w:color w:val="auto"/>
        </w:rPr>
      </w:pPr>
    </w:p>
    <w:p>
      <w:pPr>
        <w:ind w:right="240" w:firstLine="436"/>
        <w:spacing w:after="0" w:line="310" w:lineRule="auto"/>
        <w:rPr>
          <w:sz w:val="20"/>
          <w:szCs w:val="20"/>
          <w:color w:val="auto"/>
        </w:rPr>
      </w:pPr>
      <w:r>
        <w:rPr>
          <w:rFonts w:ascii="Arial" w:cs="Arial" w:eastAsia="Arial" w:hAnsi="Arial"/>
          <w:sz w:val="16"/>
          <w:szCs w:val="16"/>
          <w:b w:val="1"/>
          <w:bCs w:val="1"/>
          <w:color w:val="auto"/>
        </w:rPr>
        <w:t xml:space="preserve">Three Months Ended September 2009 versus September 2008. </w:t>
      </w:r>
      <w:r>
        <w:rPr>
          <w:rFonts w:ascii="Arial" w:cs="Arial" w:eastAsia="Arial" w:hAnsi="Arial"/>
          <w:sz w:val="16"/>
          <w:szCs w:val="16"/>
          <w:color w:val="auto"/>
        </w:rPr>
        <w:t>Income before income taxes of $4,282 for the third quarter of 2009 represents an</w:t>
      </w:r>
      <w:r>
        <w:rPr>
          <w:rFonts w:ascii="Arial" w:cs="Arial" w:eastAsia="Arial" w:hAnsi="Arial"/>
          <w:sz w:val="16"/>
          <w:szCs w:val="16"/>
          <w:b w:val="1"/>
          <w:bCs w:val="1"/>
          <w:color w:val="auto"/>
        </w:rPr>
        <w:t xml:space="preserve"> </w:t>
      </w:r>
      <w:r>
        <w:rPr>
          <w:rFonts w:ascii="Arial" w:cs="Arial" w:eastAsia="Arial" w:hAnsi="Arial"/>
          <w:sz w:val="16"/>
          <w:szCs w:val="16"/>
          <w:color w:val="auto"/>
        </w:rPr>
        <w:t>improvement of $6,998 over the loss of $2,716 incurred in the third quarter of 2008. Results for the third quarter of 2009 include $7,314 of unrealized gains on auction rate securities. We did not recognize any unrealized gains or losses on auction rate securities in the third quarter of 2008.</w:t>
      </w:r>
    </w:p>
    <w:p>
      <w:pPr>
        <w:spacing w:after="0" w:line="151"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 xml:space="preserve">Nine Months Ended September 2009 versus September 2008. </w:t>
      </w:r>
      <w:r>
        <w:rPr>
          <w:rFonts w:ascii="Arial" w:cs="Arial" w:eastAsia="Arial" w:hAnsi="Arial"/>
          <w:sz w:val="16"/>
          <w:szCs w:val="16"/>
          <w:color w:val="auto"/>
        </w:rPr>
        <w:t>Year to date income before income taxes was $3,880 for 2009 as compared to a loss of</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$36,045 for the same period of 2008. Gains on trading securities were $13,222 for the first nine months of 2009 as compared to losses of $19,380 for the first nine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months of 2008. Year to date operating expenses in 2008 include $9,532 of expenses incurred in the first quarter in connection with the terminated “going</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private” transaction. Professional services expense for the nine months ended September 2009 includes $3,501 related to expenses incurred in connection with the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Separation.</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07"/>
        </w:trPr>
        <w:tc>
          <w:tcPr>
            <w:tcW w:w="8020" w:type="dxa"/>
            <w:vAlign w:val="bottom"/>
            <w:gridSpan w:val="2"/>
          </w:tcPr>
          <w:p>
            <w:pPr>
              <w:spacing w:after="0"/>
              <w:rPr>
                <w:sz w:val="20"/>
                <w:szCs w:val="20"/>
                <w:color w:val="auto"/>
              </w:rPr>
            </w:pPr>
            <w:r>
              <w:rPr>
                <w:rFonts w:ascii="Arial" w:cs="Arial" w:eastAsia="Arial" w:hAnsi="Arial"/>
                <w:sz w:val="18"/>
                <w:szCs w:val="18"/>
                <w:color w:val="auto"/>
              </w:rPr>
              <w:t>Comparative selected balance sheet data:</w:t>
            </w: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52"/>
        </w:trPr>
        <w:tc>
          <w:tcPr>
            <w:tcW w:w="2900" w:type="dxa"/>
            <w:vAlign w:val="bottom"/>
            <w:tcBorders>
              <w:top w:val="single" w:sz="8" w:color="auto"/>
            </w:tcBorders>
          </w:tcPr>
          <w:p>
            <w:pPr>
              <w:spacing w:after="0"/>
              <w:rPr>
                <w:sz w:val="24"/>
                <w:szCs w:val="24"/>
                <w:color w:val="auto"/>
              </w:rPr>
            </w:pPr>
          </w:p>
        </w:tc>
        <w:tc>
          <w:tcPr>
            <w:tcW w:w="5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jc w:val="right"/>
              <w:ind w:right="112"/>
              <w:spacing w:after="0"/>
              <w:rPr>
                <w:sz w:val="20"/>
                <w:szCs w:val="20"/>
                <w:color w:val="auto"/>
              </w:rPr>
            </w:pPr>
            <w:r>
              <w:rPr>
                <w:rFonts w:ascii="Arial" w:cs="Arial" w:eastAsia="Arial" w:hAnsi="Arial"/>
                <w:sz w:val="18"/>
                <w:szCs w:val="18"/>
                <w:b w:val="1"/>
                <w:bCs w:val="1"/>
                <w:color w:val="auto"/>
                <w:w w:val="90"/>
              </w:rPr>
              <w:t>September 30,</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w:t>
            </w:r>
          </w:p>
        </w:tc>
      </w:tr>
      <w:tr>
        <w:trPr>
          <w:trHeight w:val="237"/>
        </w:trPr>
        <w:tc>
          <w:tcPr>
            <w:tcW w:w="290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2"/>
              <w:spacing w:after="0"/>
              <w:rPr>
                <w:sz w:val="20"/>
                <w:szCs w:val="20"/>
                <w:color w:val="auto"/>
              </w:rPr>
            </w:pPr>
            <w:r>
              <w:rPr>
                <w:rFonts w:ascii="Arial" w:cs="Arial" w:eastAsia="Arial" w:hAnsi="Arial"/>
                <w:sz w:val="18"/>
                <w:szCs w:val="18"/>
                <w:b w:val="1"/>
                <w:bCs w:val="1"/>
                <w:color w:val="auto"/>
              </w:rPr>
              <w:t>2009</w:t>
            </w:r>
          </w:p>
        </w:tc>
        <w:tc>
          <w:tcPr>
            <w:tcW w:w="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2"/>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20"/>
                <w:szCs w:val="20"/>
                <w:color w:val="auto"/>
              </w:rPr>
            </w:pPr>
          </w:p>
        </w:tc>
      </w:tr>
      <w:tr>
        <w:trPr>
          <w:trHeight w:val="243"/>
        </w:trPr>
        <w:tc>
          <w:tcPr>
            <w:tcW w:w="802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Cash</w:t>
            </w:r>
          </w:p>
        </w:tc>
        <w:tc>
          <w:tcPr>
            <w:tcW w:w="14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195,464</w:t>
            </w:r>
          </w:p>
        </w:tc>
        <w:tc>
          <w:tcPr>
            <w:tcW w:w="50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197,874</w:t>
            </w:r>
          </w:p>
        </w:tc>
      </w:tr>
      <w:tr>
        <w:trPr>
          <w:trHeight w:val="242"/>
        </w:trPr>
        <w:tc>
          <w:tcPr>
            <w:tcW w:w="8020" w:type="dxa"/>
            <w:vAlign w:val="bottom"/>
            <w:gridSpan w:val="2"/>
          </w:tcPr>
          <w:p>
            <w:pPr>
              <w:spacing w:after="0"/>
              <w:rPr>
                <w:sz w:val="20"/>
                <w:szCs w:val="20"/>
                <w:color w:val="auto"/>
              </w:rPr>
            </w:pPr>
            <w:r>
              <w:rPr>
                <w:rFonts w:ascii="Arial" w:cs="Arial" w:eastAsia="Arial" w:hAnsi="Arial"/>
                <w:sz w:val="18"/>
                <w:szCs w:val="18"/>
                <w:color w:val="auto"/>
              </w:rPr>
              <w:t>Trading securities, at fair value:</w:t>
            </w: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4"/>
        </w:trPr>
        <w:tc>
          <w:tcPr>
            <w:tcW w:w="802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Auction rate</w:t>
            </w:r>
          </w:p>
        </w:tc>
        <w:tc>
          <w:tcPr>
            <w:tcW w:w="140" w:type="dxa"/>
            <w:vAlign w:val="bottom"/>
            <w:shd w:val="clear" w:color="auto" w:fill="EAF9E8"/>
          </w:tcPr>
          <w:p>
            <w:pPr>
              <w:spacing w:after="0"/>
              <w:rPr>
                <w:sz w:val="21"/>
                <w:szCs w:val="21"/>
                <w:color w:val="auto"/>
              </w:rPr>
            </w:pPr>
          </w:p>
        </w:tc>
        <w:tc>
          <w:tcPr>
            <w:tcW w:w="13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250,099</w:t>
            </w:r>
          </w:p>
        </w:tc>
        <w:tc>
          <w:tcPr>
            <w:tcW w:w="34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4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239,301</w:t>
            </w:r>
          </w:p>
        </w:tc>
      </w:tr>
      <w:tr>
        <w:trPr>
          <w:trHeight w:val="242"/>
        </w:trPr>
        <w:tc>
          <w:tcPr>
            <w:tcW w:w="8020" w:type="dxa"/>
            <w:vAlign w:val="bottom"/>
            <w:gridSpan w:val="2"/>
          </w:tcPr>
          <w:p>
            <w:pPr>
              <w:ind w:left="160"/>
              <w:spacing w:after="0"/>
              <w:rPr>
                <w:sz w:val="20"/>
                <w:szCs w:val="20"/>
                <w:color w:val="auto"/>
              </w:rPr>
            </w:pPr>
            <w:r>
              <w:rPr>
                <w:rFonts w:ascii="Arial" w:cs="Arial" w:eastAsia="Arial" w:hAnsi="Arial"/>
                <w:sz w:val="18"/>
                <w:szCs w:val="18"/>
                <w:color w:val="auto"/>
              </w:rPr>
              <w:t>Subordinates and residuals</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90</w:t>
            </w: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165</w:t>
            </w:r>
          </w:p>
        </w:tc>
      </w:tr>
      <w:tr>
        <w:trPr>
          <w:trHeight w:val="244"/>
        </w:trPr>
        <w:tc>
          <w:tcPr>
            <w:tcW w:w="802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Income taxes receivable</w:t>
            </w:r>
          </w:p>
        </w:tc>
        <w:tc>
          <w:tcPr>
            <w:tcW w:w="140" w:type="dxa"/>
            <w:vAlign w:val="bottom"/>
            <w:shd w:val="clear" w:color="auto" w:fill="EAF9E8"/>
          </w:tcPr>
          <w:p>
            <w:pPr>
              <w:spacing w:after="0"/>
              <w:rPr>
                <w:sz w:val="21"/>
                <w:szCs w:val="21"/>
                <w:color w:val="auto"/>
              </w:rPr>
            </w:pPr>
          </w:p>
        </w:tc>
        <w:tc>
          <w:tcPr>
            <w:tcW w:w="13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4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5,386</w:t>
            </w:r>
          </w:p>
        </w:tc>
      </w:tr>
      <w:tr>
        <w:trPr>
          <w:trHeight w:val="242"/>
        </w:trPr>
        <w:tc>
          <w:tcPr>
            <w:tcW w:w="8020" w:type="dxa"/>
            <w:vAlign w:val="bottom"/>
            <w:gridSpan w:val="2"/>
          </w:tcPr>
          <w:p>
            <w:pPr>
              <w:spacing w:after="0"/>
              <w:rPr>
                <w:sz w:val="20"/>
                <w:szCs w:val="20"/>
                <w:color w:val="auto"/>
              </w:rPr>
            </w:pPr>
            <w:r>
              <w:rPr>
                <w:rFonts w:ascii="Arial" w:cs="Arial" w:eastAsia="Arial" w:hAnsi="Arial"/>
                <w:sz w:val="18"/>
                <w:szCs w:val="18"/>
                <w:color w:val="auto"/>
              </w:rPr>
              <w:t>Receivables</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11,555</w:t>
            </w: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17,372</w:t>
            </w:r>
          </w:p>
        </w:tc>
      </w:tr>
      <w:tr>
        <w:trPr>
          <w:trHeight w:val="244"/>
        </w:trPr>
        <w:tc>
          <w:tcPr>
            <w:tcW w:w="802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Deferred tax assets, net</w:t>
            </w:r>
          </w:p>
        </w:tc>
        <w:tc>
          <w:tcPr>
            <w:tcW w:w="140" w:type="dxa"/>
            <w:vAlign w:val="bottom"/>
            <w:shd w:val="clear" w:color="auto" w:fill="EAF9E8"/>
          </w:tcPr>
          <w:p>
            <w:pPr>
              <w:spacing w:after="0"/>
              <w:rPr>
                <w:sz w:val="21"/>
                <w:szCs w:val="21"/>
                <w:color w:val="auto"/>
              </w:rPr>
            </w:pPr>
          </w:p>
        </w:tc>
        <w:tc>
          <w:tcPr>
            <w:tcW w:w="13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129,116</w:t>
            </w:r>
          </w:p>
        </w:tc>
        <w:tc>
          <w:tcPr>
            <w:tcW w:w="34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4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175,145</w:t>
            </w:r>
          </w:p>
        </w:tc>
      </w:tr>
      <w:tr>
        <w:trPr>
          <w:trHeight w:val="242"/>
        </w:trPr>
        <w:tc>
          <w:tcPr>
            <w:tcW w:w="8020" w:type="dxa"/>
            <w:vAlign w:val="bottom"/>
            <w:gridSpan w:val="2"/>
          </w:tcPr>
          <w:p>
            <w:pPr>
              <w:spacing w:after="0"/>
              <w:rPr>
                <w:sz w:val="20"/>
                <w:szCs w:val="20"/>
                <w:color w:val="auto"/>
              </w:rPr>
            </w:pPr>
            <w:r>
              <w:rPr>
                <w:rFonts w:ascii="Arial" w:cs="Arial" w:eastAsia="Arial" w:hAnsi="Arial"/>
                <w:sz w:val="18"/>
                <w:szCs w:val="18"/>
                <w:color w:val="auto"/>
              </w:rPr>
              <w:t>Premises and equipment, net</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3,862</w:t>
            </w: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3,415</w:t>
            </w:r>
          </w:p>
        </w:tc>
      </w:tr>
      <w:tr>
        <w:trPr>
          <w:trHeight w:val="244"/>
        </w:trPr>
        <w:tc>
          <w:tcPr>
            <w:tcW w:w="802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Interest earning collateral deposits</w:t>
            </w:r>
          </w:p>
        </w:tc>
        <w:tc>
          <w:tcPr>
            <w:tcW w:w="140" w:type="dxa"/>
            <w:vAlign w:val="bottom"/>
            <w:shd w:val="clear" w:color="auto" w:fill="EAF9E8"/>
          </w:tcPr>
          <w:p>
            <w:pPr>
              <w:spacing w:after="0"/>
              <w:rPr>
                <w:sz w:val="21"/>
                <w:szCs w:val="21"/>
                <w:color w:val="auto"/>
              </w:rPr>
            </w:pPr>
          </w:p>
        </w:tc>
        <w:tc>
          <w:tcPr>
            <w:tcW w:w="13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5,765</w:t>
            </w:r>
          </w:p>
        </w:tc>
        <w:tc>
          <w:tcPr>
            <w:tcW w:w="34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4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9,684</w:t>
            </w:r>
          </w:p>
        </w:tc>
      </w:tr>
      <w:tr>
        <w:trPr>
          <w:trHeight w:val="250"/>
        </w:trPr>
        <w:tc>
          <w:tcPr>
            <w:tcW w:w="8020" w:type="dxa"/>
            <w:vAlign w:val="bottom"/>
            <w:gridSpan w:val="2"/>
          </w:tcPr>
          <w:p>
            <w:pPr>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9,184</w:t>
            </w:r>
          </w:p>
        </w:tc>
        <w:tc>
          <w:tcPr>
            <w:tcW w:w="3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7,129</w:t>
            </w:r>
          </w:p>
        </w:tc>
        <w:tc>
          <w:tcPr>
            <w:tcW w:w="100" w:type="dxa"/>
            <w:vAlign w:val="bottom"/>
          </w:tcPr>
          <w:p>
            <w:pPr>
              <w:spacing w:after="0"/>
              <w:rPr>
                <w:sz w:val="21"/>
                <w:szCs w:val="21"/>
                <w:color w:val="auto"/>
              </w:rPr>
            </w:pPr>
          </w:p>
        </w:tc>
      </w:tr>
      <w:tr>
        <w:trPr>
          <w:trHeight w:val="243"/>
        </w:trPr>
        <w:tc>
          <w:tcPr>
            <w:tcW w:w="8020" w:type="dxa"/>
            <w:vAlign w:val="bottom"/>
            <w:gridSpan w:val="2"/>
            <w:shd w:val="clear" w:color="auto" w:fill="EAF9E8"/>
          </w:tcPr>
          <w:p>
            <w:pPr>
              <w:ind w:left="320"/>
              <w:spacing w:after="0"/>
              <w:rPr>
                <w:sz w:val="20"/>
                <w:szCs w:val="20"/>
                <w:color w:val="auto"/>
              </w:rPr>
            </w:pPr>
            <w:r>
              <w:rPr>
                <w:rFonts w:ascii="Arial" w:cs="Arial" w:eastAsia="Arial" w:hAnsi="Arial"/>
                <w:sz w:val="18"/>
                <w:szCs w:val="18"/>
                <w:color w:val="auto"/>
              </w:rPr>
              <w:t>Total assets</w:t>
            </w:r>
          </w:p>
        </w:tc>
        <w:tc>
          <w:tcPr>
            <w:tcW w:w="14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605,135</w:t>
            </w:r>
          </w:p>
        </w:tc>
        <w:tc>
          <w:tcPr>
            <w:tcW w:w="50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655,471</w:t>
            </w:r>
          </w:p>
        </w:tc>
      </w:tr>
      <w:tr>
        <w:trPr>
          <w:trHeight w:val="20"/>
        </w:trPr>
        <w:tc>
          <w:tcPr>
            <w:tcW w:w="290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
        </w:trPr>
        <w:tc>
          <w:tcPr>
            <w:tcW w:w="290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9"/>
        </w:trPr>
        <w:tc>
          <w:tcPr>
            <w:tcW w:w="8020" w:type="dxa"/>
            <w:vAlign w:val="bottom"/>
            <w:gridSpan w:val="2"/>
          </w:tcPr>
          <w:p>
            <w:pPr>
              <w:spacing w:after="0"/>
              <w:rPr>
                <w:sz w:val="20"/>
                <w:szCs w:val="20"/>
                <w:color w:val="auto"/>
              </w:rPr>
            </w:pPr>
            <w:r>
              <w:rPr>
                <w:rFonts w:ascii="Arial" w:cs="Arial" w:eastAsia="Arial" w:hAnsi="Arial"/>
                <w:sz w:val="18"/>
                <w:szCs w:val="18"/>
                <w:color w:val="auto"/>
              </w:rPr>
              <w:t>Investment line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167,168</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200,719</w:t>
            </w:r>
          </w:p>
        </w:tc>
      </w:tr>
      <w:tr>
        <w:trPr>
          <w:trHeight w:val="244"/>
        </w:trPr>
        <w:tc>
          <w:tcPr>
            <w:tcW w:w="802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Debt securities</w:t>
            </w:r>
          </w:p>
        </w:tc>
        <w:tc>
          <w:tcPr>
            <w:tcW w:w="140" w:type="dxa"/>
            <w:vAlign w:val="bottom"/>
            <w:shd w:val="clear" w:color="auto" w:fill="EAF9E8"/>
          </w:tcPr>
          <w:p>
            <w:pPr>
              <w:spacing w:after="0"/>
              <w:rPr>
                <w:sz w:val="21"/>
                <w:szCs w:val="21"/>
                <w:color w:val="auto"/>
              </w:rPr>
            </w:pPr>
          </w:p>
        </w:tc>
        <w:tc>
          <w:tcPr>
            <w:tcW w:w="13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109,814</w:t>
            </w:r>
          </w:p>
        </w:tc>
        <w:tc>
          <w:tcPr>
            <w:tcW w:w="34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4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133,367</w:t>
            </w:r>
          </w:p>
        </w:tc>
      </w:tr>
      <w:tr>
        <w:trPr>
          <w:trHeight w:val="242"/>
        </w:trPr>
        <w:tc>
          <w:tcPr>
            <w:tcW w:w="8020" w:type="dxa"/>
            <w:vAlign w:val="bottom"/>
            <w:gridSpan w:val="2"/>
          </w:tcPr>
          <w:p>
            <w:pPr>
              <w:spacing w:after="0"/>
              <w:rPr>
                <w:sz w:val="20"/>
                <w:szCs w:val="20"/>
                <w:color w:val="auto"/>
              </w:rPr>
            </w:pPr>
            <w:r>
              <w:rPr>
                <w:rFonts w:ascii="Arial" w:cs="Arial" w:eastAsia="Arial" w:hAnsi="Arial"/>
                <w:sz w:val="18"/>
                <w:szCs w:val="18"/>
                <w:color w:val="auto"/>
              </w:rPr>
              <w:t>Income taxes payable</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18,940</w:t>
            </w: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44"/>
        </w:trPr>
        <w:tc>
          <w:tcPr>
            <w:tcW w:w="802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EAF9E8"/>
          </w:tcPr>
          <w:p>
            <w:pPr>
              <w:spacing w:after="0"/>
              <w:rPr>
                <w:sz w:val="21"/>
                <w:szCs w:val="21"/>
                <w:color w:val="auto"/>
              </w:rPr>
            </w:pPr>
          </w:p>
        </w:tc>
        <w:tc>
          <w:tcPr>
            <w:tcW w:w="13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39,798</w:t>
            </w:r>
          </w:p>
        </w:tc>
        <w:tc>
          <w:tcPr>
            <w:tcW w:w="34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4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41,514</w:t>
            </w:r>
          </w:p>
        </w:tc>
      </w:tr>
      <w:tr>
        <w:trPr>
          <w:trHeight w:val="20"/>
        </w:trPr>
        <w:tc>
          <w:tcPr>
            <w:tcW w:w="290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8020" w:type="dxa"/>
            <w:vAlign w:val="bottom"/>
            <w:gridSpan w:val="2"/>
          </w:tcPr>
          <w:p>
            <w:pPr>
              <w:ind w:left="320"/>
              <w:spacing w:after="0"/>
              <w:rPr>
                <w:sz w:val="20"/>
                <w:szCs w:val="20"/>
                <w:color w:val="auto"/>
              </w:rPr>
            </w:pPr>
            <w:r>
              <w:rPr>
                <w:rFonts w:ascii="Arial" w:cs="Arial" w:eastAsia="Arial" w:hAnsi="Arial"/>
                <w:sz w:val="18"/>
                <w:szCs w:val="18"/>
                <w:color w:val="auto"/>
              </w:rPr>
              <w:t>Total liabilities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335,720</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375,600</w:t>
            </w:r>
          </w:p>
        </w:tc>
      </w:tr>
      <w:tr>
        <w:trPr>
          <w:trHeight w:val="20"/>
        </w:trPr>
        <w:tc>
          <w:tcPr>
            <w:tcW w:w="290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8" w:lineRule="exact"/>
        <w:rPr>
          <w:sz w:val="20"/>
          <w:szCs w:val="20"/>
          <w:color w:val="auto"/>
        </w:rPr>
      </w:pPr>
    </w:p>
    <w:p>
      <w:pPr>
        <w:ind w:right="160" w:firstLine="439"/>
        <w:spacing w:after="0" w:line="289" w:lineRule="auto"/>
        <w:rPr>
          <w:sz w:val="20"/>
          <w:szCs w:val="20"/>
          <w:color w:val="auto"/>
        </w:rPr>
      </w:pPr>
      <w:r>
        <w:rPr>
          <w:rFonts w:ascii="Arial" w:cs="Arial" w:eastAsia="Arial" w:hAnsi="Arial"/>
          <w:sz w:val="16"/>
          <w:szCs w:val="16"/>
          <w:i w:val="1"/>
          <w:iCs w:val="1"/>
          <w:color w:val="auto"/>
        </w:rPr>
        <w:t xml:space="preserve">Trading Securities. </w:t>
      </w:r>
      <w:r>
        <w:rPr>
          <w:rFonts w:ascii="Arial" w:cs="Arial" w:eastAsia="Arial" w:hAnsi="Arial"/>
          <w:sz w:val="16"/>
          <w:szCs w:val="16"/>
          <w:color w:val="auto"/>
        </w:rPr>
        <w:t>Because of failed auctions, we have been unable to liquidate the auction rate securities that we invested in during the first quarter of</w:t>
      </w:r>
      <w:r>
        <w:rPr>
          <w:rFonts w:ascii="Arial" w:cs="Arial" w:eastAsia="Arial" w:hAnsi="Arial"/>
          <w:sz w:val="16"/>
          <w:szCs w:val="16"/>
          <w:i w:val="1"/>
          <w:iCs w:val="1"/>
          <w:color w:val="auto"/>
        </w:rPr>
        <w:t xml:space="preserve"> </w:t>
      </w:r>
      <w:r>
        <w:rPr>
          <w:rFonts w:ascii="Arial" w:cs="Arial" w:eastAsia="Arial" w:hAnsi="Arial"/>
          <w:sz w:val="16"/>
          <w:szCs w:val="16"/>
          <w:color w:val="auto"/>
        </w:rPr>
        <w:t>2008. These securities are collateralized by student loans originated under the Federal Family Education Loan Program. The loans are guaranteed to pay at least 97% of the UPB in the event of default. Our determination of the estimated fair value, which included our consideration of the strong credit quality of the underlying collateral and the securities we hold, limited market activity (including sales of our own holdings), creditworthiness of the issuers, estimated holding period and general auction rate securities market conditions, required the significant use of unobservable inputs. When liquidity returns to the auction rate securities market, we expect to sell our securities. Additionally, we continue to aggressively pursue litigation and arbitration actions against certain investment banks. We believe the probability of a near-term liquidity solution for certain tranches representing approximately $70,350 face value of auction rate securities increased in the third quarter of 2009.</w:t>
      </w:r>
    </w:p>
    <w:p>
      <w:pPr>
        <w:spacing w:after="0" w:line="172" w:lineRule="exact"/>
        <w:rPr>
          <w:sz w:val="20"/>
          <w:szCs w:val="20"/>
          <w:color w:val="auto"/>
        </w:rPr>
      </w:pPr>
    </w:p>
    <w:p>
      <w:pPr>
        <w:ind w:right="60" w:firstLine="436"/>
        <w:spacing w:after="0" w:line="268" w:lineRule="auto"/>
        <w:rPr>
          <w:sz w:val="20"/>
          <w:szCs w:val="20"/>
          <w:color w:val="auto"/>
        </w:rPr>
      </w:pPr>
      <w:r>
        <w:rPr>
          <w:rFonts w:ascii="Arial" w:cs="Arial" w:eastAsia="Arial" w:hAnsi="Arial"/>
          <w:sz w:val="18"/>
          <w:szCs w:val="18"/>
          <w:color w:val="auto"/>
        </w:rPr>
        <w:t>The $10,798 increase in auction rate securities during the first nine months of 2009 is due to unrealized gains of $13,298, partially offset by redemptions of $2,500 at par value.</w:t>
      </w:r>
    </w:p>
    <w:p>
      <w:pPr>
        <w:spacing w:after="0" w:line="186" w:lineRule="exact"/>
        <w:rPr>
          <w:sz w:val="20"/>
          <w:szCs w:val="20"/>
          <w:color w:val="auto"/>
        </w:rPr>
      </w:pPr>
    </w:p>
    <w:p>
      <w:pPr>
        <w:ind w:right="120" w:firstLine="439"/>
        <w:spacing w:after="0" w:line="254" w:lineRule="auto"/>
        <w:rPr>
          <w:sz w:val="20"/>
          <w:szCs w:val="20"/>
          <w:color w:val="auto"/>
        </w:rPr>
      </w:pPr>
      <w:r>
        <w:rPr>
          <w:rFonts w:ascii="Arial" w:cs="Arial" w:eastAsia="Arial" w:hAnsi="Arial"/>
          <w:sz w:val="18"/>
          <w:szCs w:val="18"/>
          <w:color w:val="auto"/>
        </w:rPr>
        <w:t>In October 2009, Ocwen entered into a liquidity option related to $92,850 principal of auction rate securities. Under the terms of this agreement, we have the right to sell specific securities for cash. We also have the right to repurchase the same following the initial sale at the same price. When the first option is exercised, we expect to record the arrangement as a borrowing secured by contractually specified auction rate securities. We will continue to report these auction rate securities as pledged securities at fair value on the balance sheet until maturity of the liquidity option in 3 years or such time as the underlying auction rate securities are sold. Once exercised, we will no longer receive cash interest income on the pledged securities nor will we pay cash interest on the secured borrowing.</w:t>
      </w:r>
    </w:p>
    <w:p>
      <w:pPr>
        <w:spacing w:after="0" w:line="198" w:lineRule="exact"/>
        <w:rPr>
          <w:sz w:val="20"/>
          <w:szCs w:val="20"/>
          <w:color w:val="auto"/>
        </w:rPr>
      </w:pPr>
    </w:p>
    <w:p>
      <w:pPr>
        <w:ind w:right="140" w:firstLine="439"/>
        <w:spacing w:after="0" w:line="268" w:lineRule="auto"/>
        <w:rPr>
          <w:sz w:val="20"/>
          <w:szCs w:val="20"/>
          <w:color w:val="auto"/>
        </w:rPr>
      </w:pPr>
      <w:r>
        <w:rPr>
          <w:rFonts w:ascii="Arial" w:cs="Arial" w:eastAsia="Arial" w:hAnsi="Arial"/>
          <w:sz w:val="18"/>
          <w:szCs w:val="18"/>
          <w:i w:val="1"/>
          <w:iCs w:val="1"/>
          <w:color w:val="auto"/>
        </w:rPr>
        <w:t xml:space="preserve">Deferred Tax Assets, Net. </w:t>
      </w:r>
      <w:r>
        <w:rPr>
          <w:rFonts w:ascii="Arial" w:cs="Arial" w:eastAsia="Arial" w:hAnsi="Arial"/>
          <w:sz w:val="18"/>
          <w:szCs w:val="18"/>
          <w:color w:val="auto"/>
        </w:rPr>
        <w:t>Net deferred tax assets decreased by $46,029 during the first nine months of 2009 primarily due to the realization of tax benefits</w:t>
      </w:r>
      <w:r>
        <w:rPr>
          <w:rFonts w:ascii="Arial" w:cs="Arial" w:eastAsia="Arial" w:hAnsi="Arial"/>
          <w:sz w:val="18"/>
          <w:szCs w:val="18"/>
          <w:i w:val="1"/>
          <w:iCs w:val="1"/>
          <w:color w:val="auto"/>
        </w:rPr>
        <w:t xml:space="preserve"> </w:t>
      </w:r>
      <w:r>
        <w:rPr>
          <w:rFonts w:ascii="Arial" w:cs="Arial" w:eastAsia="Arial" w:hAnsi="Arial"/>
          <w:sz w:val="18"/>
          <w:szCs w:val="18"/>
          <w:color w:val="auto"/>
        </w:rPr>
        <w:t>associated with the sale of MSRs and the Separation.</w:t>
      </w:r>
    </w:p>
    <w:p>
      <w:pPr>
        <w:spacing w:after="0" w:line="186" w:lineRule="exact"/>
        <w:rPr>
          <w:sz w:val="20"/>
          <w:szCs w:val="20"/>
          <w:color w:val="auto"/>
        </w:rPr>
      </w:pPr>
    </w:p>
    <w:p>
      <w:pPr>
        <w:ind w:right="40" w:firstLine="439"/>
        <w:spacing w:after="0" w:line="255" w:lineRule="auto"/>
        <w:rPr>
          <w:sz w:val="20"/>
          <w:szCs w:val="20"/>
          <w:color w:val="auto"/>
        </w:rPr>
      </w:pPr>
      <w:r>
        <w:rPr>
          <w:rFonts w:ascii="Arial" w:cs="Arial" w:eastAsia="Arial" w:hAnsi="Arial"/>
          <w:sz w:val="18"/>
          <w:szCs w:val="18"/>
          <w:i w:val="1"/>
          <w:iCs w:val="1"/>
          <w:color w:val="auto"/>
        </w:rPr>
        <w:t xml:space="preserve">Investment Line. </w:t>
      </w:r>
      <w:r>
        <w:rPr>
          <w:rFonts w:ascii="Arial" w:cs="Arial" w:eastAsia="Arial" w:hAnsi="Arial"/>
          <w:sz w:val="18"/>
          <w:szCs w:val="18"/>
          <w:color w:val="auto"/>
        </w:rPr>
        <w:t>We executed an amendment to the investment line in July 2008 that created a term note maturing on June 30, 2009. The note is secured by</w:t>
      </w:r>
      <w:r>
        <w:rPr>
          <w:rFonts w:ascii="Arial" w:cs="Arial" w:eastAsia="Arial" w:hAnsi="Arial"/>
          <w:sz w:val="18"/>
          <w:szCs w:val="18"/>
          <w:i w:val="1"/>
          <w:iCs w:val="1"/>
          <w:color w:val="auto"/>
        </w:rPr>
        <w:t xml:space="preserve"> </w:t>
      </w:r>
      <w:r>
        <w:rPr>
          <w:rFonts w:ascii="Arial" w:cs="Arial" w:eastAsia="Arial" w:hAnsi="Arial"/>
          <w:sz w:val="18"/>
          <w:szCs w:val="18"/>
          <w:color w:val="auto"/>
        </w:rPr>
        <w:t>our investment in auction rate securities. Under the term note, we receive the interest on the auction rate securities while the proceeds from the redemption or sale of auction rate securities are applied to the outstanding balance. On April 30, 2009, we renewed the term note through June 2010. This agreement was renewed under terms substantially similar to the previous agreement except that payments are $3,000 per month in place of the previous quarterly reductions in the advance rate.</w:t>
      </w:r>
    </w:p>
    <w:p>
      <w:pPr>
        <w:spacing w:after="0" w:line="197" w:lineRule="exact"/>
        <w:rPr>
          <w:sz w:val="20"/>
          <w:szCs w:val="20"/>
          <w:color w:val="auto"/>
        </w:rPr>
      </w:pPr>
    </w:p>
    <w:p>
      <w:pPr>
        <w:ind w:right="260" w:firstLine="439"/>
        <w:spacing w:after="0" w:line="268" w:lineRule="auto"/>
        <w:rPr>
          <w:sz w:val="20"/>
          <w:szCs w:val="20"/>
          <w:color w:val="auto"/>
        </w:rPr>
      </w:pPr>
      <w:r>
        <w:rPr>
          <w:rFonts w:ascii="Arial" w:cs="Arial" w:eastAsia="Arial" w:hAnsi="Arial"/>
          <w:sz w:val="18"/>
          <w:szCs w:val="18"/>
          <w:color w:val="auto"/>
        </w:rPr>
        <w:t>During the nine months ended September 2009, we made principal payments totaling $33,551 which reduced the investment line term note obligation to $167,168.</w:t>
      </w:r>
    </w:p>
    <w:p>
      <w:pPr>
        <w:spacing w:after="0" w:line="186" w:lineRule="exact"/>
        <w:rPr>
          <w:sz w:val="20"/>
          <w:szCs w:val="20"/>
          <w:color w:val="auto"/>
        </w:rPr>
      </w:pPr>
    </w:p>
    <w:p>
      <w:pPr>
        <w:ind w:right="80" w:firstLine="439"/>
        <w:spacing w:after="0" w:line="291" w:lineRule="auto"/>
        <w:rPr>
          <w:sz w:val="20"/>
          <w:szCs w:val="20"/>
          <w:color w:val="auto"/>
        </w:rPr>
      </w:pPr>
      <w:r>
        <w:rPr>
          <w:rFonts w:ascii="Arial" w:cs="Arial" w:eastAsia="Arial" w:hAnsi="Arial"/>
          <w:sz w:val="16"/>
          <w:szCs w:val="16"/>
          <w:i w:val="1"/>
          <w:iCs w:val="1"/>
          <w:color w:val="auto"/>
        </w:rPr>
        <w:t xml:space="preserve">Debt Securities. </w:t>
      </w:r>
      <w:r>
        <w:rPr>
          <w:rFonts w:ascii="Arial" w:cs="Arial" w:eastAsia="Arial" w:hAnsi="Arial"/>
          <w:sz w:val="16"/>
          <w:szCs w:val="16"/>
          <w:color w:val="auto"/>
        </w:rPr>
        <w:t>Debt securities declined by $23,553 during the first nine months of 2009 primarily because we repurchased $25,910 of our 3.25%</w:t>
      </w:r>
      <w:r>
        <w:rPr>
          <w:rFonts w:ascii="Arial" w:cs="Arial" w:eastAsia="Arial" w:hAnsi="Arial"/>
          <w:sz w:val="16"/>
          <w:szCs w:val="16"/>
          <w:i w:val="1"/>
          <w:iCs w:val="1"/>
          <w:color w:val="auto"/>
        </w:rPr>
        <w:t xml:space="preserve"> </w:t>
      </w:r>
      <w:r>
        <w:rPr>
          <w:rFonts w:ascii="Arial" w:cs="Arial" w:eastAsia="Arial" w:hAnsi="Arial"/>
          <w:sz w:val="16"/>
          <w:szCs w:val="16"/>
          <w:color w:val="auto"/>
        </w:rPr>
        <w:t>Convertible Notes in the open market in February 2009 which generated a gain of $534, net of the write-off of unamortized issuance costs. As a result of our adoption of FSP No. APB 14-1, we recognized a discount on the Convertible Notes that we amortized to interest expense over a five-year period to August 1, 2009. The outstanding principal balance at December 31, 2008 of $82,355 is reported net of the unamortized debt discount of $2,367. The outstanding balance of the 10.875% Capital Trust Securities of $53,379 is unchanged from December 31, 2008. See Note 17 to the Interim Consolidated Financial Statements for additional details regarding the Convertible Notes and Capital Trust Securities.</w:t>
      </w:r>
    </w:p>
    <w:p>
      <w:pPr>
        <w:spacing w:after="0" w:line="174" w:lineRule="exact"/>
        <w:rPr>
          <w:sz w:val="20"/>
          <w:szCs w:val="20"/>
          <w:color w:val="auto"/>
        </w:rPr>
      </w:pPr>
    </w:p>
    <w:p>
      <w:pPr>
        <w:ind w:right="420" w:firstLine="439"/>
        <w:spacing w:after="0" w:line="332" w:lineRule="auto"/>
        <w:rPr>
          <w:sz w:val="20"/>
          <w:szCs w:val="20"/>
          <w:color w:val="auto"/>
        </w:rPr>
      </w:pPr>
      <w:r>
        <w:rPr>
          <w:rFonts w:ascii="Arial" w:cs="Arial" w:eastAsia="Arial" w:hAnsi="Arial"/>
          <w:sz w:val="16"/>
          <w:szCs w:val="16"/>
          <w:i w:val="1"/>
          <w:iCs w:val="1"/>
          <w:color w:val="auto"/>
        </w:rPr>
        <w:t xml:space="preserve">Income Taxes Payable. </w:t>
      </w:r>
      <w:r>
        <w:rPr>
          <w:rFonts w:ascii="Arial" w:cs="Arial" w:eastAsia="Arial" w:hAnsi="Arial"/>
          <w:sz w:val="16"/>
          <w:szCs w:val="16"/>
          <w:color w:val="auto"/>
        </w:rPr>
        <w:t>Net income taxes payable of $18,940 at September 30, 2009 includes a cash tax liability of $26,371 recognized pursuant to the</w:t>
      </w:r>
      <w:r>
        <w:rPr>
          <w:rFonts w:ascii="Arial" w:cs="Arial" w:eastAsia="Arial" w:hAnsi="Arial"/>
          <w:sz w:val="16"/>
          <w:szCs w:val="16"/>
          <w:i w:val="1"/>
          <w:iCs w:val="1"/>
          <w:color w:val="auto"/>
        </w:rPr>
        <w:t xml:space="preserve"> </w:t>
      </w:r>
      <w:r>
        <w:rPr>
          <w:rFonts w:ascii="Arial" w:cs="Arial" w:eastAsia="Arial" w:hAnsi="Arial"/>
          <w:sz w:val="16"/>
          <w:szCs w:val="16"/>
          <w:color w:val="auto"/>
        </w:rPr>
        <w:t>Separation and related transactions. At December 31, 2008, we reported a net income tax receivable of $5,386.</w:t>
      </w:r>
    </w:p>
    <w:p>
      <w:pPr>
        <w:sectPr>
          <w:pgSz w:w="11900" w:h="16838" w:orient="portrait"/>
          <w:cols w:equalWidth="0" w:num="1">
            <w:col w:w="11420"/>
          </w:cols>
          <w:pgMar w:left="240" w:top="108" w:right="239" w:bottom="1440" w:gutter="0" w:footer="0" w:header="0"/>
        </w:sectPr>
      </w:pP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type w:val="continuous"/>
        </w:sectPr>
      </w:pPr>
    </w:p>
    <w:bookmarkStart w:id="56" w:name="page57"/>
    <w:bookmarkEnd w:id="56"/>
    <w:p>
      <w:pPr>
        <w:ind w:right="320" w:firstLine="439"/>
        <w:spacing w:after="0" w:line="268" w:lineRule="auto"/>
        <w:rPr>
          <w:sz w:val="20"/>
          <w:szCs w:val="20"/>
          <w:color w:val="auto"/>
        </w:rPr>
      </w:pPr>
      <w:r>
        <w:rPr>
          <w:rFonts w:ascii="Arial" w:cs="Arial" w:eastAsia="Arial" w:hAnsi="Arial"/>
          <w:sz w:val="18"/>
          <w:szCs w:val="18"/>
          <w:i w:val="1"/>
          <w:iCs w:val="1"/>
          <w:color w:val="auto"/>
        </w:rPr>
        <w:t xml:space="preserve">Other Liabilities. </w:t>
      </w:r>
      <w:r>
        <w:rPr>
          <w:rFonts w:ascii="Arial" w:cs="Arial" w:eastAsia="Arial" w:hAnsi="Arial"/>
          <w:sz w:val="18"/>
          <w:szCs w:val="18"/>
          <w:color w:val="auto"/>
        </w:rPr>
        <w:t>Other liabilities include accruals for incentive compensation awards, audit fees, legal matters, unrecognized tax items, other operating</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and interest on debt securities. Other liabilities also include customer deposits held by BOK.</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Comparative selected operations data for the periods ended September 30 is as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40" w:type="dxa"/>
            <w:vAlign w:val="bottom"/>
            <w:gridSpan w:val="5"/>
          </w:tcPr>
          <w:p>
            <w:pPr>
              <w:jc w:val="right"/>
              <w:ind w:right="1020"/>
              <w:spacing w:after="0"/>
              <w:rPr>
                <w:sz w:val="20"/>
                <w:szCs w:val="20"/>
                <w:color w:val="auto"/>
              </w:rPr>
            </w:pPr>
            <w:r>
              <w:rPr>
                <w:rFonts w:ascii="Arial" w:cs="Arial" w:eastAsia="Arial" w:hAnsi="Arial"/>
                <w:sz w:val="18"/>
                <w:szCs w:val="18"/>
                <w:b w:val="1"/>
                <w:bCs w:val="1"/>
                <w:color w:val="auto"/>
              </w:rPr>
              <w:t>Three months</w:t>
            </w:r>
          </w:p>
        </w:tc>
        <w:tc>
          <w:tcPr>
            <w:tcW w:w="220" w:type="dxa"/>
            <w:vAlign w:val="bottom"/>
          </w:tcPr>
          <w:p>
            <w:pPr>
              <w:spacing w:after="0"/>
              <w:rPr>
                <w:sz w:val="20"/>
                <w:szCs w:val="20"/>
                <w:color w:val="auto"/>
              </w:rPr>
            </w:pPr>
          </w:p>
        </w:tc>
        <w:tc>
          <w:tcPr>
            <w:tcW w:w="146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rPr>
              <w:t>Nine months</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6180" w:type="dxa"/>
            <w:vAlign w:val="bottom"/>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2009</w:t>
            </w:r>
          </w:p>
        </w:tc>
        <w:tc>
          <w:tcPr>
            <w:tcW w:w="360" w:type="dxa"/>
            <w:vAlign w:val="bottom"/>
            <w:tcBorders>
              <w:top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2008</w:t>
            </w:r>
          </w:p>
        </w:tc>
        <w:tc>
          <w:tcPr>
            <w:tcW w:w="320" w:type="dxa"/>
            <w:vAlign w:val="bottom"/>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2009</w:t>
            </w:r>
          </w:p>
        </w:tc>
        <w:tc>
          <w:tcPr>
            <w:tcW w:w="20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w w:val="84"/>
              </w:rPr>
              <w:t>2008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80" w:type="dxa"/>
            <w:vAlign w:val="bottom"/>
            <w:shd w:val="clear" w:color="auto" w:fill="EAF9E8"/>
          </w:tcPr>
          <w:p>
            <w:pPr>
              <w:spacing w:after="0"/>
              <w:rPr>
                <w:sz w:val="20"/>
                <w:szCs w:val="20"/>
                <w:color w:val="auto"/>
              </w:rPr>
            </w:pPr>
            <w:r>
              <w:rPr>
                <w:rFonts w:ascii="Arial" w:cs="Arial" w:eastAsia="Arial" w:hAnsi="Arial"/>
                <w:sz w:val="18"/>
                <w:szCs w:val="18"/>
                <w:color w:val="auto"/>
              </w:rPr>
              <w:t>Revenue</w:t>
            </w:r>
          </w:p>
        </w:tc>
        <w:tc>
          <w:tcPr>
            <w:tcW w:w="220" w:type="dxa"/>
            <w:vAlign w:val="bottom"/>
            <w:shd w:val="clear" w:color="auto" w:fill="EAF9E8"/>
          </w:tcPr>
          <w:p>
            <w:pPr>
              <w:jc w:val="right"/>
              <w:ind w:right="63"/>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319</w:t>
            </w:r>
          </w:p>
        </w:tc>
        <w:tc>
          <w:tcPr>
            <w:tcW w:w="360" w:type="dxa"/>
            <w:vAlign w:val="bottom"/>
            <w:shd w:val="clear" w:color="auto" w:fill="EAF9E8"/>
          </w:tcPr>
          <w:p>
            <w:pPr>
              <w:spacing w:after="0"/>
              <w:rPr>
                <w:sz w:val="21"/>
                <w:szCs w:val="21"/>
                <w:color w:val="auto"/>
              </w:rPr>
            </w:pPr>
          </w:p>
        </w:tc>
        <w:tc>
          <w:tcPr>
            <w:tcW w:w="200" w:type="dxa"/>
            <w:vAlign w:val="bottom"/>
            <w:shd w:val="clear" w:color="auto" w:fill="EAF9E8"/>
          </w:tcPr>
          <w:p>
            <w:pPr>
              <w:jc w:val="right"/>
              <w:ind w:right="43"/>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12</w:t>
            </w:r>
          </w:p>
        </w:tc>
        <w:tc>
          <w:tcPr>
            <w:tcW w:w="320" w:type="dxa"/>
            <w:vAlign w:val="bottom"/>
            <w:shd w:val="clear" w:color="auto" w:fill="EAF9E8"/>
          </w:tcPr>
          <w:p>
            <w:pPr>
              <w:spacing w:after="0"/>
              <w:rPr>
                <w:sz w:val="21"/>
                <w:szCs w:val="21"/>
                <w:color w:val="auto"/>
              </w:rPr>
            </w:pPr>
          </w:p>
        </w:tc>
        <w:tc>
          <w:tcPr>
            <w:tcW w:w="220" w:type="dxa"/>
            <w:vAlign w:val="bottom"/>
            <w:shd w:val="clear" w:color="auto" w:fill="EAF9E8"/>
          </w:tcPr>
          <w:p>
            <w:pPr>
              <w:jc w:val="right"/>
              <w:ind w:right="32"/>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681</w:t>
            </w:r>
          </w:p>
        </w:tc>
        <w:tc>
          <w:tcPr>
            <w:tcW w:w="46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49"/>
        </w:trPr>
        <w:tc>
          <w:tcPr>
            <w:tcW w:w="6180" w:type="dxa"/>
            <w:vAlign w:val="bottom"/>
          </w:tcPr>
          <w:p>
            <w:pPr>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3,555</w:t>
            </w: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2,225</w:t>
            </w: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11,367</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14,206</w:t>
            </w: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6180" w:type="dxa"/>
            <w:vAlign w:val="bottom"/>
            <w:shd w:val="clear" w:color="auto" w:fill="EAF9E8"/>
          </w:tcPr>
          <w:p>
            <w:pPr>
              <w:spacing w:after="0"/>
              <w:rPr>
                <w:sz w:val="20"/>
                <w:szCs w:val="20"/>
                <w:color w:val="auto"/>
              </w:rPr>
            </w:pPr>
            <w:r>
              <w:rPr>
                <w:rFonts w:ascii="Arial" w:cs="Arial" w:eastAsia="Arial" w:hAnsi="Arial"/>
                <w:sz w:val="18"/>
                <w:szCs w:val="18"/>
                <w:color w:val="auto"/>
              </w:rPr>
              <w:t>Loss from operations</w:t>
            </w:r>
          </w:p>
        </w:tc>
        <w:tc>
          <w:tcPr>
            <w:tcW w:w="220" w:type="dxa"/>
            <w:vAlign w:val="bottom"/>
            <w:shd w:val="clear" w:color="auto" w:fill="EAF9E8"/>
          </w:tcPr>
          <w:p>
            <w:pPr>
              <w:spacing w:after="0"/>
              <w:rPr>
                <w:sz w:val="21"/>
                <w:szCs w:val="21"/>
                <w:color w:val="auto"/>
              </w:rPr>
            </w:pPr>
          </w:p>
        </w:tc>
        <w:tc>
          <w:tcPr>
            <w:tcW w:w="1180" w:type="dxa"/>
            <w:vAlign w:val="bottom"/>
            <w:gridSpan w:val="2"/>
            <w:shd w:val="clear" w:color="auto" w:fill="EAF9E8"/>
          </w:tcPr>
          <w:p>
            <w:pPr>
              <w:jc w:val="right"/>
              <w:ind w:right="300"/>
              <w:spacing w:after="0"/>
              <w:rPr>
                <w:sz w:val="20"/>
                <w:szCs w:val="20"/>
                <w:color w:val="auto"/>
              </w:rPr>
            </w:pPr>
            <w:r>
              <w:rPr>
                <w:rFonts w:ascii="Arial" w:cs="Arial" w:eastAsia="Arial" w:hAnsi="Arial"/>
                <w:sz w:val="18"/>
                <w:szCs w:val="18"/>
                <w:color w:val="auto"/>
              </w:rPr>
              <w:t>(3,236)</w:t>
            </w:r>
          </w:p>
        </w:tc>
        <w:tc>
          <w:tcPr>
            <w:tcW w:w="200" w:type="dxa"/>
            <w:vAlign w:val="bottom"/>
            <w:shd w:val="clear" w:color="auto" w:fill="EAF9E8"/>
          </w:tcPr>
          <w:p>
            <w:pPr>
              <w:spacing w:after="0"/>
              <w:rPr>
                <w:sz w:val="21"/>
                <w:szCs w:val="21"/>
                <w:color w:val="auto"/>
              </w:rPr>
            </w:pPr>
          </w:p>
        </w:tc>
        <w:tc>
          <w:tcPr>
            <w:tcW w:w="116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(2,213)</w:t>
            </w:r>
          </w:p>
        </w:tc>
        <w:tc>
          <w:tcPr>
            <w:tcW w:w="220" w:type="dxa"/>
            <w:vAlign w:val="bottom"/>
            <w:shd w:val="clear" w:color="auto" w:fill="EAF9E8"/>
          </w:tcPr>
          <w:p>
            <w:pPr>
              <w:spacing w:after="0"/>
              <w:rPr>
                <w:sz w:val="21"/>
                <w:szCs w:val="21"/>
                <w:color w:val="auto"/>
              </w:rPr>
            </w:pPr>
          </w:p>
        </w:tc>
        <w:tc>
          <w:tcPr>
            <w:tcW w:w="100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(10,686)</w:t>
            </w:r>
          </w:p>
        </w:tc>
        <w:tc>
          <w:tcPr>
            <w:tcW w:w="140" w:type="dxa"/>
            <w:vAlign w:val="bottom"/>
            <w:shd w:val="clear" w:color="auto" w:fill="EAF9E8"/>
          </w:tcPr>
          <w:p>
            <w:pPr>
              <w:spacing w:after="0"/>
              <w:rPr>
                <w:sz w:val="21"/>
                <w:szCs w:val="21"/>
                <w:color w:val="auto"/>
              </w:rPr>
            </w:pPr>
          </w:p>
        </w:tc>
        <w:tc>
          <w:tcPr>
            <w:tcW w:w="320" w:type="dxa"/>
            <w:vAlign w:val="bottom"/>
            <w:shd w:val="clear" w:color="auto" w:fill="EAF9E8"/>
          </w:tcPr>
          <w:p>
            <w:pPr>
              <w:spacing w:after="0"/>
              <w:rPr>
                <w:sz w:val="21"/>
                <w:szCs w:val="21"/>
                <w:color w:val="auto"/>
              </w:rPr>
            </w:pPr>
          </w:p>
        </w:tc>
        <w:tc>
          <w:tcPr>
            <w:tcW w:w="80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(14,052)</w:t>
            </w:r>
          </w:p>
        </w:tc>
        <w:tc>
          <w:tcPr>
            <w:tcW w:w="0" w:type="dxa"/>
            <w:vAlign w:val="bottom"/>
          </w:tcPr>
          <w:p>
            <w:pPr>
              <w:spacing w:after="0"/>
              <w:rPr>
                <w:sz w:val="1"/>
                <w:szCs w:val="1"/>
                <w:color w:val="auto"/>
              </w:rPr>
            </w:pPr>
          </w:p>
        </w:tc>
      </w:tr>
      <w:tr>
        <w:trPr>
          <w:trHeight w:val="20"/>
        </w:trPr>
        <w:tc>
          <w:tcPr>
            <w:tcW w:w="6180" w:type="dxa"/>
            <w:vAlign w:val="bottom"/>
            <w:vMerge w:val="restart"/>
          </w:tcPr>
          <w:p>
            <w:pPr>
              <w:spacing w:after="0"/>
              <w:rPr>
                <w:sz w:val="20"/>
                <w:szCs w:val="20"/>
                <w:color w:val="auto"/>
              </w:rPr>
            </w:pPr>
            <w:r>
              <w:rPr>
                <w:rFonts w:ascii="Arial" w:cs="Arial" w:eastAsia="Arial" w:hAnsi="Arial"/>
                <w:sz w:val="18"/>
                <w:szCs w:val="18"/>
                <w:color w:val="auto"/>
              </w:rPr>
              <w:t>Other income (expense):</w:t>
            </w: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2"/>
        </w:trPr>
        <w:tc>
          <w:tcPr>
            <w:tcW w:w="61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61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Gain (loss) on trading securities</w:t>
            </w:r>
          </w:p>
        </w:tc>
        <w:tc>
          <w:tcPr>
            <w:tcW w:w="220" w:type="dxa"/>
            <w:vAlign w:val="bottom"/>
            <w:shd w:val="clear" w:color="auto" w:fill="EAF9E8"/>
          </w:tcPr>
          <w:p>
            <w:pPr>
              <w:spacing w:after="0"/>
              <w:rPr>
                <w:sz w:val="21"/>
                <w:szCs w:val="21"/>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7,304</w:t>
            </w:r>
          </w:p>
        </w:tc>
        <w:tc>
          <w:tcPr>
            <w:tcW w:w="360" w:type="dxa"/>
            <w:vAlign w:val="bottom"/>
            <w:shd w:val="clear" w:color="auto" w:fill="EAF9E8"/>
          </w:tcPr>
          <w:p>
            <w:pPr>
              <w:spacing w:after="0"/>
              <w:rPr>
                <w:sz w:val="21"/>
                <w:szCs w:val="21"/>
                <w:color w:val="auto"/>
              </w:rPr>
            </w:pPr>
          </w:p>
        </w:tc>
        <w:tc>
          <w:tcPr>
            <w:tcW w:w="200" w:type="dxa"/>
            <w:vAlign w:val="bottom"/>
            <w:shd w:val="clear" w:color="auto" w:fill="EAF9E8"/>
          </w:tcPr>
          <w:p>
            <w:pPr>
              <w:spacing w:after="0"/>
              <w:rPr>
                <w:sz w:val="21"/>
                <w:szCs w:val="21"/>
                <w:color w:val="auto"/>
              </w:rPr>
            </w:pPr>
          </w:p>
        </w:tc>
        <w:tc>
          <w:tcPr>
            <w:tcW w:w="116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(23)</w:t>
            </w:r>
          </w:p>
        </w:tc>
        <w:tc>
          <w:tcPr>
            <w:tcW w:w="220" w:type="dxa"/>
            <w:vAlign w:val="bottom"/>
            <w:shd w:val="clear" w:color="auto" w:fill="EAF9E8"/>
          </w:tcPr>
          <w:p>
            <w:pPr>
              <w:spacing w:after="0"/>
              <w:rPr>
                <w:sz w:val="21"/>
                <w:szCs w:val="21"/>
                <w:color w:val="auto"/>
              </w:rPr>
            </w:pPr>
          </w:p>
        </w:tc>
        <w:tc>
          <w:tcPr>
            <w:tcW w:w="100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13,222</w:t>
            </w:r>
          </w:p>
        </w:tc>
        <w:tc>
          <w:tcPr>
            <w:tcW w:w="140" w:type="dxa"/>
            <w:vAlign w:val="bottom"/>
            <w:shd w:val="clear" w:color="auto" w:fill="EAF9E8"/>
          </w:tcPr>
          <w:p>
            <w:pPr>
              <w:spacing w:after="0"/>
              <w:rPr>
                <w:sz w:val="21"/>
                <w:szCs w:val="21"/>
                <w:color w:val="auto"/>
              </w:rPr>
            </w:pPr>
          </w:p>
        </w:tc>
        <w:tc>
          <w:tcPr>
            <w:tcW w:w="320" w:type="dxa"/>
            <w:vAlign w:val="bottom"/>
            <w:shd w:val="clear" w:color="auto" w:fill="EAF9E8"/>
          </w:tcPr>
          <w:p>
            <w:pPr>
              <w:spacing w:after="0"/>
              <w:rPr>
                <w:sz w:val="21"/>
                <w:szCs w:val="21"/>
                <w:color w:val="auto"/>
              </w:rPr>
            </w:pPr>
          </w:p>
        </w:tc>
        <w:tc>
          <w:tcPr>
            <w:tcW w:w="80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(19,380)</w:t>
            </w:r>
          </w:p>
        </w:tc>
        <w:tc>
          <w:tcPr>
            <w:tcW w:w="0" w:type="dxa"/>
            <w:vAlign w:val="bottom"/>
          </w:tcPr>
          <w:p>
            <w:pPr>
              <w:spacing w:after="0"/>
              <w:rPr>
                <w:sz w:val="1"/>
                <w:szCs w:val="1"/>
                <w:color w:val="auto"/>
              </w:rPr>
            </w:pPr>
          </w:p>
        </w:tc>
      </w:tr>
      <w:tr>
        <w:trPr>
          <w:trHeight w:val="242"/>
        </w:trPr>
        <w:tc>
          <w:tcPr>
            <w:tcW w:w="6180" w:type="dxa"/>
            <w:vAlign w:val="bottom"/>
          </w:tcPr>
          <w:p>
            <w:pPr>
              <w:ind w:left="160"/>
              <w:spacing w:after="0"/>
              <w:rPr>
                <w:sz w:val="20"/>
                <w:szCs w:val="20"/>
                <w:color w:val="auto"/>
              </w:rPr>
            </w:pPr>
            <w:r>
              <w:rPr>
                <w:rFonts w:ascii="Arial" w:cs="Arial" w:eastAsia="Arial" w:hAnsi="Arial"/>
                <w:sz w:val="18"/>
                <w:szCs w:val="18"/>
                <w:color w:val="auto"/>
              </w:rPr>
              <w:t>Gain (loss) on debt redemption</w:t>
            </w:r>
          </w:p>
        </w:tc>
        <w:tc>
          <w:tcPr>
            <w:tcW w:w="220" w:type="dxa"/>
            <w:vAlign w:val="bottom"/>
          </w:tcPr>
          <w:p>
            <w:pPr>
              <w:spacing w:after="0"/>
              <w:rPr>
                <w:sz w:val="21"/>
                <w:szCs w:val="21"/>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534</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44"/>
        </w:trPr>
        <w:tc>
          <w:tcPr>
            <w:tcW w:w="61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Other, net</w:t>
            </w:r>
          </w:p>
        </w:tc>
        <w:tc>
          <w:tcPr>
            <w:tcW w:w="220" w:type="dxa"/>
            <w:vAlign w:val="bottom"/>
            <w:shd w:val="clear" w:color="auto" w:fill="EAF9E8"/>
          </w:tcPr>
          <w:p>
            <w:pPr>
              <w:spacing w:after="0"/>
              <w:rPr>
                <w:sz w:val="21"/>
                <w:szCs w:val="21"/>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214</w:t>
            </w:r>
          </w:p>
        </w:tc>
        <w:tc>
          <w:tcPr>
            <w:tcW w:w="360" w:type="dxa"/>
            <w:vAlign w:val="bottom"/>
            <w:shd w:val="clear" w:color="auto" w:fill="EAF9E8"/>
          </w:tcPr>
          <w:p>
            <w:pPr>
              <w:spacing w:after="0"/>
              <w:rPr>
                <w:sz w:val="21"/>
                <w:szCs w:val="21"/>
                <w:color w:val="auto"/>
              </w:rPr>
            </w:pPr>
          </w:p>
        </w:tc>
        <w:tc>
          <w:tcPr>
            <w:tcW w:w="200" w:type="dxa"/>
            <w:vAlign w:val="bottom"/>
            <w:shd w:val="clear" w:color="auto" w:fill="EAF9E8"/>
          </w:tcPr>
          <w:p>
            <w:pPr>
              <w:spacing w:after="0"/>
              <w:rPr>
                <w:sz w:val="21"/>
                <w:szCs w:val="21"/>
                <w:color w:val="auto"/>
              </w:rPr>
            </w:pPr>
          </w:p>
        </w:tc>
        <w:tc>
          <w:tcPr>
            <w:tcW w:w="116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(480)</w:t>
            </w:r>
          </w:p>
        </w:tc>
        <w:tc>
          <w:tcPr>
            <w:tcW w:w="220" w:type="dxa"/>
            <w:vAlign w:val="bottom"/>
            <w:shd w:val="clear" w:color="auto" w:fill="EAF9E8"/>
          </w:tcPr>
          <w:p>
            <w:pPr>
              <w:spacing w:after="0"/>
              <w:rPr>
                <w:sz w:val="21"/>
                <w:szCs w:val="21"/>
                <w:color w:val="auto"/>
              </w:rPr>
            </w:pPr>
          </w:p>
        </w:tc>
        <w:tc>
          <w:tcPr>
            <w:tcW w:w="100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810</w:t>
            </w:r>
          </w:p>
        </w:tc>
        <w:tc>
          <w:tcPr>
            <w:tcW w:w="140" w:type="dxa"/>
            <w:vAlign w:val="bottom"/>
            <w:shd w:val="clear" w:color="auto" w:fill="EAF9E8"/>
          </w:tcPr>
          <w:p>
            <w:pPr>
              <w:spacing w:after="0"/>
              <w:rPr>
                <w:sz w:val="21"/>
                <w:szCs w:val="21"/>
                <w:color w:val="auto"/>
              </w:rPr>
            </w:pPr>
          </w:p>
        </w:tc>
        <w:tc>
          <w:tcPr>
            <w:tcW w:w="320" w:type="dxa"/>
            <w:vAlign w:val="bottom"/>
            <w:shd w:val="clear" w:color="auto" w:fill="EAF9E8"/>
          </w:tcPr>
          <w:p>
            <w:pPr>
              <w:spacing w:after="0"/>
              <w:rPr>
                <w:sz w:val="21"/>
                <w:szCs w:val="21"/>
                <w:color w:val="auto"/>
              </w:rPr>
            </w:pPr>
          </w:p>
        </w:tc>
        <w:tc>
          <w:tcPr>
            <w:tcW w:w="80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(2,527)</w:t>
            </w: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180" w:type="dxa"/>
            <w:vAlign w:val="bottom"/>
          </w:tcPr>
          <w:p>
            <w:pPr>
              <w:ind w:left="320"/>
              <w:spacing w:after="0"/>
              <w:rPr>
                <w:sz w:val="20"/>
                <w:szCs w:val="20"/>
                <w:color w:val="auto"/>
              </w:rPr>
            </w:pPr>
            <w:r>
              <w:rPr>
                <w:rFonts w:ascii="Arial" w:cs="Arial" w:eastAsia="Arial" w:hAnsi="Arial"/>
                <w:sz w:val="18"/>
                <w:szCs w:val="18"/>
                <w:color w:val="auto"/>
              </w:rPr>
              <w:t>Other income (expense)</w:t>
            </w: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7,518</w:t>
            </w: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(503)</w:t>
            </w:r>
          </w:p>
        </w:tc>
        <w:tc>
          <w:tcPr>
            <w:tcW w:w="22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14,566</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(21,993)</w:t>
            </w: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6180" w:type="dxa"/>
            <w:vAlign w:val="bottom"/>
            <w:shd w:val="clear" w:color="auto" w:fill="EAF9E8"/>
          </w:tcPr>
          <w:p>
            <w:pPr>
              <w:spacing w:after="0"/>
              <w:rPr>
                <w:sz w:val="20"/>
                <w:szCs w:val="20"/>
                <w:color w:val="auto"/>
              </w:rPr>
            </w:pPr>
            <w:r>
              <w:rPr>
                <w:rFonts w:ascii="Arial" w:cs="Arial" w:eastAsia="Arial" w:hAnsi="Arial"/>
                <w:sz w:val="18"/>
                <w:szCs w:val="18"/>
                <w:color w:val="auto"/>
              </w:rPr>
              <w:t>Income (loss) before income taxes</w:t>
            </w:r>
          </w:p>
        </w:tc>
        <w:tc>
          <w:tcPr>
            <w:tcW w:w="220" w:type="dxa"/>
            <w:vAlign w:val="bottom"/>
            <w:shd w:val="clear" w:color="auto" w:fill="EAF9E8"/>
          </w:tcPr>
          <w:p>
            <w:pPr>
              <w:jc w:val="right"/>
              <w:ind w:right="63"/>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4,282</w:t>
            </w:r>
          </w:p>
        </w:tc>
        <w:tc>
          <w:tcPr>
            <w:tcW w:w="360" w:type="dxa"/>
            <w:vAlign w:val="bottom"/>
            <w:shd w:val="clear" w:color="auto" w:fill="EAF9E8"/>
          </w:tcPr>
          <w:p>
            <w:pPr>
              <w:spacing w:after="0"/>
              <w:rPr>
                <w:sz w:val="21"/>
                <w:szCs w:val="21"/>
                <w:color w:val="auto"/>
              </w:rPr>
            </w:pPr>
          </w:p>
        </w:tc>
        <w:tc>
          <w:tcPr>
            <w:tcW w:w="200" w:type="dxa"/>
            <w:vAlign w:val="bottom"/>
            <w:shd w:val="clear" w:color="auto" w:fill="EAF9E8"/>
          </w:tcPr>
          <w:p>
            <w:pPr>
              <w:jc w:val="right"/>
              <w:ind w:right="43"/>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(2,716)</w:t>
            </w:r>
          </w:p>
        </w:tc>
        <w:tc>
          <w:tcPr>
            <w:tcW w:w="220" w:type="dxa"/>
            <w:vAlign w:val="bottom"/>
            <w:shd w:val="clear" w:color="auto" w:fill="EAF9E8"/>
          </w:tcPr>
          <w:p>
            <w:pPr>
              <w:jc w:val="right"/>
              <w:ind w:right="32"/>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3,880</w:t>
            </w:r>
          </w:p>
        </w:tc>
        <w:tc>
          <w:tcPr>
            <w:tcW w:w="46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(36,045)</w:t>
            </w: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40"/>
        <w:spacing w:after="0"/>
        <w:rPr>
          <w:sz w:val="20"/>
          <w:szCs w:val="20"/>
          <w:color w:val="auto"/>
        </w:rPr>
      </w:pPr>
      <w:r>
        <w:rPr>
          <w:rFonts w:ascii="Arial" w:cs="Arial" w:eastAsia="Arial" w:hAnsi="Arial"/>
          <w:sz w:val="16"/>
          <w:szCs w:val="16"/>
          <w:i w:val="1"/>
          <w:iCs w:val="1"/>
          <w:color w:val="auto"/>
        </w:rPr>
        <w:t xml:space="preserve">Operating Expenses. </w:t>
      </w:r>
      <w:r>
        <w:rPr>
          <w:rFonts w:ascii="Arial" w:cs="Arial" w:eastAsia="Arial" w:hAnsi="Arial"/>
          <w:sz w:val="16"/>
          <w:szCs w:val="16"/>
          <w:color w:val="auto"/>
        </w:rPr>
        <w:t>The $2,839 decline in operating expenses for the first nine months of 2009 as compared to 2008 is largely due to a $2,933 decline in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professional services. In the first nine months of 2008, we recognized $9,532 of due diligence and other costs related to the “going private” transaction which was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initiated in January 2008 and which the parties mutually terminated in March 2008. In the first nine months of 2009, legal fees and settlements increased by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$3,457 and we recorded $3,501 of costs related to the Separation including $520 during the third quarter. Operating expenses are net of overhead allocations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other segments.</w:t>
      </w:r>
    </w:p>
    <w:p>
      <w:pPr>
        <w:spacing w:after="0" w:line="219" w:lineRule="exact"/>
        <w:rPr>
          <w:sz w:val="20"/>
          <w:szCs w:val="20"/>
          <w:color w:val="auto"/>
        </w:rPr>
      </w:pPr>
    </w:p>
    <w:p>
      <w:pPr>
        <w:ind w:left="440"/>
        <w:spacing w:after="0"/>
        <w:rPr>
          <w:sz w:val="20"/>
          <w:szCs w:val="20"/>
          <w:color w:val="auto"/>
        </w:rPr>
      </w:pPr>
      <w:r>
        <w:rPr>
          <w:rFonts w:ascii="Arial" w:cs="Arial" w:eastAsia="Arial" w:hAnsi="Arial"/>
          <w:sz w:val="16"/>
          <w:szCs w:val="16"/>
          <w:i w:val="1"/>
          <w:iCs w:val="1"/>
          <w:color w:val="auto"/>
        </w:rPr>
        <w:t xml:space="preserve">Gain (loss) on Trading Securities. </w:t>
      </w:r>
      <w:r>
        <w:rPr>
          <w:rFonts w:ascii="Arial" w:cs="Arial" w:eastAsia="Arial" w:hAnsi="Arial"/>
          <w:sz w:val="16"/>
          <w:szCs w:val="16"/>
          <w:color w:val="auto"/>
        </w:rPr>
        <w:t>The gain (loss) on trading securities for the periods ended September 30 was comprised of the following:</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3"/>
          </w:tcPr>
          <w:p>
            <w:pPr>
              <w:jc w:val="right"/>
              <w:ind w:right="320"/>
              <w:spacing w:after="0"/>
              <w:rPr>
                <w:sz w:val="20"/>
                <w:szCs w:val="20"/>
                <w:color w:val="auto"/>
              </w:rPr>
            </w:pPr>
            <w:r>
              <w:rPr>
                <w:rFonts w:ascii="Arial" w:cs="Arial" w:eastAsia="Arial" w:hAnsi="Arial"/>
                <w:sz w:val="18"/>
                <w:szCs w:val="18"/>
                <w:b w:val="1"/>
                <w:bCs w:val="1"/>
                <w:color w:val="auto"/>
              </w:rPr>
              <w:t>Three months</w:t>
            </w:r>
          </w:p>
        </w:tc>
        <w:tc>
          <w:tcPr>
            <w:tcW w:w="30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8"/>
                <w:szCs w:val="18"/>
                <w:b w:val="1"/>
                <w:bCs w:val="1"/>
                <w:color w:val="auto"/>
              </w:rPr>
              <w:t>Nine months</w:t>
            </w:r>
          </w:p>
        </w:tc>
        <w:tc>
          <w:tcPr>
            <w:tcW w:w="7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50"/>
        </w:trPr>
        <w:tc>
          <w:tcPr>
            <w:tcW w:w="61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2009</w:t>
            </w:r>
          </w:p>
        </w:tc>
        <w:tc>
          <w:tcPr>
            <w:tcW w:w="360" w:type="dxa"/>
            <w:vAlign w:val="bottom"/>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2008</w:t>
            </w:r>
          </w:p>
        </w:tc>
        <w:tc>
          <w:tcPr>
            <w:tcW w:w="30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2009</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w w:val="84"/>
              </w:rPr>
              <w:t>2008</w:t>
            </w:r>
          </w:p>
        </w:tc>
        <w:tc>
          <w:tcPr>
            <w:tcW w:w="100" w:type="dxa"/>
            <w:vAlign w:val="bottom"/>
          </w:tcPr>
          <w:p>
            <w:pPr>
              <w:spacing w:after="0"/>
              <w:rPr>
                <w:sz w:val="21"/>
                <w:szCs w:val="21"/>
                <w:color w:val="auto"/>
              </w:rPr>
            </w:pPr>
          </w:p>
        </w:tc>
      </w:tr>
      <w:tr>
        <w:trPr>
          <w:trHeight w:val="243"/>
        </w:trPr>
        <w:tc>
          <w:tcPr>
            <w:tcW w:w="6180" w:type="dxa"/>
            <w:vAlign w:val="bottom"/>
            <w:shd w:val="clear" w:color="auto" w:fill="EAF9E8"/>
          </w:tcPr>
          <w:p>
            <w:pPr>
              <w:spacing w:after="0"/>
              <w:rPr>
                <w:sz w:val="20"/>
                <w:szCs w:val="20"/>
                <w:color w:val="auto"/>
              </w:rPr>
            </w:pPr>
            <w:r>
              <w:rPr>
                <w:rFonts w:ascii="Arial" w:cs="Arial" w:eastAsia="Arial" w:hAnsi="Arial"/>
                <w:sz w:val="18"/>
                <w:szCs w:val="18"/>
                <w:color w:val="auto"/>
              </w:rPr>
              <w:t>Realized losses:</w:t>
            </w:r>
          </w:p>
        </w:tc>
        <w:tc>
          <w:tcPr>
            <w:tcW w:w="220" w:type="dxa"/>
            <w:vAlign w:val="bottom"/>
            <w:shd w:val="clear" w:color="auto" w:fill="EAF9E8"/>
          </w:tcPr>
          <w:p>
            <w:pPr>
              <w:spacing w:after="0"/>
              <w:rPr>
                <w:sz w:val="21"/>
                <w:szCs w:val="21"/>
                <w:color w:val="auto"/>
              </w:rPr>
            </w:pPr>
          </w:p>
        </w:tc>
        <w:tc>
          <w:tcPr>
            <w:tcW w:w="820" w:type="dxa"/>
            <w:vAlign w:val="bottom"/>
            <w:shd w:val="clear" w:color="auto" w:fill="EAF9E8"/>
          </w:tcPr>
          <w:p>
            <w:pPr>
              <w:spacing w:after="0"/>
              <w:rPr>
                <w:sz w:val="21"/>
                <w:szCs w:val="21"/>
                <w:color w:val="auto"/>
              </w:rPr>
            </w:pPr>
          </w:p>
        </w:tc>
        <w:tc>
          <w:tcPr>
            <w:tcW w:w="360" w:type="dxa"/>
            <w:vAlign w:val="bottom"/>
            <w:shd w:val="clear" w:color="auto" w:fill="EAF9E8"/>
          </w:tcPr>
          <w:p>
            <w:pPr>
              <w:spacing w:after="0"/>
              <w:rPr>
                <w:sz w:val="21"/>
                <w:szCs w:val="21"/>
                <w:color w:val="auto"/>
              </w:rPr>
            </w:pPr>
          </w:p>
        </w:tc>
        <w:tc>
          <w:tcPr>
            <w:tcW w:w="740" w:type="dxa"/>
            <w:vAlign w:val="bottom"/>
            <w:shd w:val="clear" w:color="auto" w:fill="EAF9E8"/>
          </w:tcPr>
          <w:p>
            <w:pPr>
              <w:spacing w:after="0"/>
              <w:rPr>
                <w:sz w:val="21"/>
                <w:szCs w:val="21"/>
                <w:color w:val="auto"/>
              </w:rPr>
            </w:pPr>
          </w:p>
        </w:tc>
        <w:tc>
          <w:tcPr>
            <w:tcW w:w="300" w:type="dxa"/>
            <w:vAlign w:val="bottom"/>
            <w:shd w:val="clear" w:color="auto" w:fill="EAF9E8"/>
          </w:tcPr>
          <w:p>
            <w:pPr>
              <w:spacing w:after="0"/>
              <w:rPr>
                <w:sz w:val="21"/>
                <w:szCs w:val="21"/>
                <w:color w:val="auto"/>
              </w:rPr>
            </w:pPr>
          </w:p>
        </w:tc>
        <w:tc>
          <w:tcPr>
            <w:tcW w:w="320" w:type="dxa"/>
            <w:vAlign w:val="bottom"/>
            <w:shd w:val="clear" w:color="auto" w:fill="EAF9E8"/>
          </w:tcPr>
          <w:p>
            <w:pPr>
              <w:spacing w:after="0"/>
              <w:rPr>
                <w:sz w:val="21"/>
                <w:szCs w:val="21"/>
                <w:color w:val="auto"/>
              </w:rPr>
            </w:pPr>
          </w:p>
        </w:tc>
        <w:tc>
          <w:tcPr>
            <w:tcW w:w="220" w:type="dxa"/>
            <w:vAlign w:val="bottom"/>
            <w:shd w:val="clear" w:color="auto" w:fill="EAF9E8"/>
          </w:tcPr>
          <w:p>
            <w:pPr>
              <w:spacing w:after="0"/>
              <w:rPr>
                <w:sz w:val="21"/>
                <w:szCs w:val="21"/>
                <w:color w:val="auto"/>
              </w:rPr>
            </w:pPr>
          </w:p>
        </w:tc>
        <w:tc>
          <w:tcPr>
            <w:tcW w:w="800" w:type="dxa"/>
            <w:vAlign w:val="bottom"/>
            <w:shd w:val="clear" w:color="auto" w:fill="EAF9E8"/>
          </w:tcPr>
          <w:p>
            <w:pPr>
              <w:spacing w:after="0"/>
              <w:rPr>
                <w:sz w:val="21"/>
                <w:szCs w:val="21"/>
                <w:color w:val="auto"/>
              </w:rPr>
            </w:pPr>
          </w:p>
        </w:tc>
        <w:tc>
          <w:tcPr>
            <w:tcW w:w="20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320" w:type="dxa"/>
            <w:vAlign w:val="bottom"/>
            <w:shd w:val="clear" w:color="auto" w:fill="EAF9E8"/>
          </w:tcPr>
          <w:p>
            <w:pPr>
              <w:spacing w:after="0"/>
              <w:rPr>
                <w:sz w:val="21"/>
                <w:szCs w:val="21"/>
                <w:color w:val="auto"/>
              </w:rPr>
            </w:pPr>
          </w:p>
        </w:tc>
        <w:tc>
          <w:tcPr>
            <w:tcW w:w="70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r>
      <w:tr>
        <w:trPr>
          <w:trHeight w:val="242"/>
        </w:trPr>
        <w:tc>
          <w:tcPr>
            <w:tcW w:w="6180" w:type="dxa"/>
            <w:vAlign w:val="bottom"/>
          </w:tcPr>
          <w:p>
            <w:pPr>
              <w:ind w:left="160"/>
              <w:spacing w:after="0"/>
              <w:rPr>
                <w:sz w:val="20"/>
                <w:szCs w:val="20"/>
                <w:color w:val="auto"/>
              </w:rPr>
            </w:pPr>
            <w:r>
              <w:rPr>
                <w:rFonts w:ascii="Arial" w:cs="Arial" w:eastAsia="Arial" w:hAnsi="Arial"/>
                <w:sz w:val="18"/>
                <w:szCs w:val="18"/>
                <w:color w:val="auto"/>
              </w:rPr>
              <w:t>Auction rate</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580"/>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(662)</w:t>
            </w:r>
          </w:p>
        </w:tc>
      </w:tr>
      <w:tr>
        <w:trPr>
          <w:trHeight w:val="244"/>
        </w:trPr>
        <w:tc>
          <w:tcPr>
            <w:tcW w:w="61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CMOs</w:t>
            </w:r>
          </w:p>
        </w:tc>
        <w:tc>
          <w:tcPr>
            <w:tcW w:w="220" w:type="dxa"/>
            <w:vAlign w:val="bottom"/>
            <w:shd w:val="clear" w:color="auto" w:fill="EAF9E8"/>
          </w:tcPr>
          <w:p>
            <w:pPr>
              <w:spacing w:after="0"/>
              <w:rPr>
                <w:sz w:val="21"/>
                <w:szCs w:val="21"/>
                <w:color w:val="auto"/>
              </w:rPr>
            </w:pPr>
          </w:p>
        </w:tc>
        <w:tc>
          <w:tcPr>
            <w:tcW w:w="1180" w:type="dxa"/>
            <w:vAlign w:val="bottom"/>
            <w:gridSpan w:val="2"/>
            <w:shd w:val="clear" w:color="auto" w:fill="EAF9E8"/>
          </w:tcPr>
          <w:p>
            <w:pPr>
              <w:jc w:val="right"/>
              <w:ind w:right="360"/>
              <w:spacing w:after="0"/>
              <w:rPr>
                <w:sz w:val="20"/>
                <w:szCs w:val="20"/>
                <w:color w:val="auto"/>
              </w:rPr>
            </w:pPr>
            <w:r>
              <w:rPr>
                <w:rFonts w:ascii="Arial" w:cs="Arial" w:eastAsia="Arial" w:hAnsi="Arial"/>
                <w:sz w:val="18"/>
                <w:szCs w:val="18"/>
                <w:color w:val="auto"/>
              </w:rPr>
              <w:t>—</w:t>
            </w:r>
          </w:p>
        </w:tc>
        <w:tc>
          <w:tcPr>
            <w:tcW w:w="740" w:type="dxa"/>
            <w:vAlign w:val="bottom"/>
            <w:shd w:val="clear" w:color="auto" w:fill="EAF9E8"/>
          </w:tcPr>
          <w:p>
            <w:pPr>
              <w:spacing w:after="0"/>
              <w:rPr>
                <w:sz w:val="21"/>
                <w:szCs w:val="21"/>
                <w:color w:val="auto"/>
              </w:rPr>
            </w:pPr>
          </w:p>
        </w:tc>
        <w:tc>
          <w:tcPr>
            <w:tcW w:w="62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shd w:val="clear" w:color="auto" w:fill="EAF9E8"/>
          </w:tcPr>
          <w:p>
            <w:pPr>
              <w:spacing w:after="0"/>
              <w:rPr>
                <w:sz w:val="21"/>
                <w:szCs w:val="21"/>
                <w:color w:val="auto"/>
              </w:rPr>
            </w:pPr>
          </w:p>
        </w:tc>
        <w:tc>
          <w:tcPr>
            <w:tcW w:w="100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EAF9E8"/>
          </w:tcPr>
          <w:p>
            <w:pPr>
              <w:spacing w:after="0"/>
              <w:rPr>
                <w:sz w:val="21"/>
                <w:szCs w:val="21"/>
                <w:color w:val="auto"/>
              </w:rPr>
            </w:pPr>
          </w:p>
        </w:tc>
        <w:tc>
          <w:tcPr>
            <w:tcW w:w="320" w:type="dxa"/>
            <w:vAlign w:val="bottom"/>
            <w:shd w:val="clear" w:color="auto" w:fill="EAF9E8"/>
          </w:tcPr>
          <w:p>
            <w:pPr>
              <w:spacing w:after="0"/>
              <w:rPr>
                <w:sz w:val="21"/>
                <w:szCs w:val="21"/>
                <w:color w:val="auto"/>
              </w:rPr>
            </w:pPr>
          </w:p>
        </w:tc>
        <w:tc>
          <w:tcPr>
            <w:tcW w:w="80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(1,034)</w:t>
            </w:r>
          </w:p>
        </w:tc>
      </w:tr>
      <w:tr>
        <w:trPr>
          <w:trHeight w:val="20"/>
        </w:trPr>
        <w:tc>
          <w:tcPr>
            <w:tcW w:w="6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6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20"/>
                <w:szCs w:val="20"/>
                <w:color w:val="auto"/>
              </w:rPr>
            </w:pPr>
          </w:p>
        </w:tc>
        <w:tc>
          <w:tcPr>
            <w:tcW w:w="6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(1,696)</w:t>
            </w:r>
          </w:p>
        </w:tc>
      </w:tr>
      <w:tr>
        <w:trPr>
          <w:trHeight w:val="243"/>
        </w:trPr>
        <w:tc>
          <w:tcPr>
            <w:tcW w:w="6180" w:type="dxa"/>
            <w:vAlign w:val="bottom"/>
            <w:shd w:val="clear" w:color="auto" w:fill="EAF9E8"/>
          </w:tcPr>
          <w:p>
            <w:pPr>
              <w:spacing w:after="0"/>
              <w:rPr>
                <w:sz w:val="20"/>
                <w:szCs w:val="20"/>
                <w:color w:val="auto"/>
              </w:rPr>
            </w:pPr>
            <w:r>
              <w:rPr>
                <w:rFonts w:ascii="Arial" w:cs="Arial" w:eastAsia="Arial" w:hAnsi="Arial"/>
                <w:sz w:val="18"/>
                <w:szCs w:val="18"/>
                <w:color w:val="auto"/>
              </w:rPr>
              <w:t>Unrealized gains (losses):</w:t>
            </w:r>
          </w:p>
        </w:tc>
        <w:tc>
          <w:tcPr>
            <w:tcW w:w="220" w:type="dxa"/>
            <w:vAlign w:val="bottom"/>
            <w:tcBorders>
              <w:top w:val="single" w:sz="8" w:color="auto"/>
            </w:tcBorders>
            <w:shd w:val="clear" w:color="auto" w:fill="EAF9E8"/>
          </w:tcPr>
          <w:p>
            <w:pPr>
              <w:spacing w:after="0"/>
              <w:rPr>
                <w:sz w:val="21"/>
                <w:szCs w:val="21"/>
                <w:color w:val="auto"/>
              </w:rPr>
            </w:pPr>
          </w:p>
        </w:tc>
        <w:tc>
          <w:tcPr>
            <w:tcW w:w="820" w:type="dxa"/>
            <w:vAlign w:val="bottom"/>
            <w:tcBorders>
              <w:top w:val="single" w:sz="8" w:color="auto"/>
            </w:tcBorders>
            <w:shd w:val="clear" w:color="auto" w:fill="EAF9E8"/>
          </w:tcPr>
          <w:p>
            <w:pPr>
              <w:spacing w:after="0"/>
              <w:rPr>
                <w:sz w:val="21"/>
                <w:szCs w:val="21"/>
                <w:color w:val="auto"/>
              </w:rPr>
            </w:pPr>
          </w:p>
        </w:tc>
        <w:tc>
          <w:tcPr>
            <w:tcW w:w="360" w:type="dxa"/>
            <w:vAlign w:val="bottom"/>
            <w:shd w:val="clear" w:color="auto" w:fill="EAF9E8"/>
          </w:tcPr>
          <w:p>
            <w:pPr>
              <w:spacing w:after="0"/>
              <w:rPr>
                <w:sz w:val="21"/>
                <w:szCs w:val="21"/>
                <w:color w:val="auto"/>
              </w:rPr>
            </w:pPr>
          </w:p>
        </w:tc>
        <w:tc>
          <w:tcPr>
            <w:tcW w:w="740" w:type="dxa"/>
            <w:vAlign w:val="bottom"/>
            <w:tcBorders>
              <w:top w:val="single" w:sz="8" w:color="auto"/>
            </w:tcBorders>
            <w:shd w:val="clear" w:color="auto" w:fill="EAF9E8"/>
          </w:tcPr>
          <w:p>
            <w:pPr>
              <w:spacing w:after="0"/>
              <w:rPr>
                <w:sz w:val="21"/>
                <w:szCs w:val="21"/>
                <w:color w:val="auto"/>
              </w:rPr>
            </w:pPr>
          </w:p>
        </w:tc>
        <w:tc>
          <w:tcPr>
            <w:tcW w:w="300" w:type="dxa"/>
            <w:vAlign w:val="bottom"/>
            <w:tcBorders>
              <w:top w:val="single" w:sz="8" w:color="auto"/>
            </w:tcBorders>
            <w:shd w:val="clear" w:color="auto" w:fill="EAF9E8"/>
          </w:tcPr>
          <w:p>
            <w:pPr>
              <w:spacing w:after="0"/>
              <w:rPr>
                <w:sz w:val="21"/>
                <w:szCs w:val="21"/>
                <w:color w:val="auto"/>
              </w:rPr>
            </w:pPr>
          </w:p>
        </w:tc>
        <w:tc>
          <w:tcPr>
            <w:tcW w:w="320" w:type="dxa"/>
            <w:vAlign w:val="bottom"/>
            <w:shd w:val="clear" w:color="auto" w:fill="EAF9E8"/>
          </w:tcPr>
          <w:p>
            <w:pPr>
              <w:spacing w:after="0"/>
              <w:rPr>
                <w:sz w:val="21"/>
                <w:szCs w:val="21"/>
                <w:color w:val="auto"/>
              </w:rPr>
            </w:pPr>
          </w:p>
        </w:tc>
        <w:tc>
          <w:tcPr>
            <w:tcW w:w="220" w:type="dxa"/>
            <w:vAlign w:val="bottom"/>
            <w:tcBorders>
              <w:top w:val="single" w:sz="8" w:color="auto"/>
            </w:tcBorders>
            <w:shd w:val="clear" w:color="auto" w:fill="EAF9E8"/>
          </w:tcPr>
          <w:p>
            <w:pPr>
              <w:spacing w:after="0"/>
              <w:rPr>
                <w:sz w:val="21"/>
                <w:szCs w:val="21"/>
                <w:color w:val="auto"/>
              </w:rPr>
            </w:pPr>
          </w:p>
        </w:tc>
        <w:tc>
          <w:tcPr>
            <w:tcW w:w="800" w:type="dxa"/>
            <w:vAlign w:val="bottom"/>
            <w:tcBorders>
              <w:top w:val="single" w:sz="8" w:color="auto"/>
            </w:tcBorders>
            <w:shd w:val="clear" w:color="auto" w:fill="EAF9E8"/>
          </w:tcPr>
          <w:p>
            <w:pPr>
              <w:spacing w:after="0"/>
              <w:rPr>
                <w:sz w:val="21"/>
                <w:szCs w:val="21"/>
                <w:color w:val="auto"/>
              </w:rPr>
            </w:pPr>
          </w:p>
        </w:tc>
        <w:tc>
          <w:tcPr>
            <w:tcW w:w="20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320" w:type="dxa"/>
            <w:vAlign w:val="bottom"/>
            <w:tcBorders>
              <w:top w:val="single" w:sz="8" w:color="auto"/>
            </w:tcBorders>
            <w:shd w:val="clear" w:color="auto" w:fill="EAF9E8"/>
          </w:tcPr>
          <w:p>
            <w:pPr>
              <w:spacing w:after="0"/>
              <w:rPr>
                <w:sz w:val="21"/>
                <w:szCs w:val="21"/>
                <w:color w:val="auto"/>
              </w:rPr>
            </w:pPr>
          </w:p>
        </w:tc>
        <w:tc>
          <w:tcPr>
            <w:tcW w:w="700" w:type="dxa"/>
            <w:vAlign w:val="bottom"/>
            <w:tcBorders>
              <w:top w:val="single" w:sz="8" w:color="auto"/>
            </w:tcBorders>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r>
      <w:tr>
        <w:trPr>
          <w:trHeight w:val="242"/>
        </w:trPr>
        <w:tc>
          <w:tcPr>
            <w:tcW w:w="6180" w:type="dxa"/>
            <w:vAlign w:val="bottom"/>
          </w:tcPr>
          <w:p>
            <w:pPr>
              <w:ind w:left="160"/>
              <w:spacing w:after="0"/>
              <w:rPr>
                <w:sz w:val="20"/>
                <w:szCs w:val="20"/>
                <w:color w:val="auto"/>
              </w:rPr>
            </w:pPr>
            <w:r>
              <w:rPr>
                <w:rFonts w:ascii="Arial" w:cs="Arial" w:eastAsia="Arial" w:hAnsi="Arial"/>
                <w:sz w:val="18"/>
                <w:szCs w:val="18"/>
                <w:color w:val="auto"/>
              </w:rPr>
              <w:t>Auction rate</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7,314</w:t>
            </w:r>
          </w:p>
        </w:tc>
        <w:tc>
          <w:tcPr>
            <w:tcW w:w="3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13,298</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(15,707)</w:t>
            </w:r>
          </w:p>
        </w:tc>
      </w:tr>
      <w:tr>
        <w:trPr>
          <w:trHeight w:val="244"/>
        </w:trPr>
        <w:tc>
          <w:tcPr>
            <w:tcW w:w="61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CMOs</w:t>
            </w:r>
          </w:p>
        </w:tc>
        <w:tc>
          <w:tcPr>
            <w:tcW w:w="220" w:type="dxa"/>
            <w:vAlign w:val="bottom"/>
            <w:shd w:val="clear" w:color="auto" w:fill="EAF9E8"/>
          </w:tcPr>
          <w:p>
            <w:pPr>
              <w:spacing w:after="0"/>
              <w:rPr>
                <w:sz w:val="21"/>
                <w:szCs w:val="21"/>
                <w:color w:val="auto"/>
              </w:rPr>
            </w:pPr>
          </w:p>
        </w:tc>
        <w:tc>
          <w:tcPr>
            <w:tcW w:w="1180" w:type="dxa"/>
            <w:vAlign w:val="bottom"/>
            <w:gridSpan w:val="2"/>
            <w:shd w:val="clear" w:color="auto" w:fill="EAF9E8"/>
          </w:tcPr>
          <w:p>
            <w:pPr>
              <w:jc w:val="right"/>
              <w:ind w:right="360"/>
              <w:spacing w:after="0"/>
              <w:rPr>
                <w:sz w:val="20"/>
                <w:szCs w:val="20"/>
                <w:color w:val="auto"/>
              </w:rPr>
            </w:pPr>
            <w:r>
              <w:rPr>
                <w:rFonts w:ascii="Arial" w:cs="Arial" w:eastAsia="Arial" w:hAnsi="Arial"/>
                <w:sz w:val="18"/>
                <w:szCs w:val="18"/>
                <w:color w:val="auto"/>
              </w:rPr>
              <w:t>—</w:t>
            </w:r>
          </w:p>
        </w:tc>
        <w:tc>
          <w:tcPr>
            <w:tcW w:w="740" w:type="dxa"/>
            <w:vAlign w:val="bottom"/>
            <w:shd w:val="clear" w:color="auto" w:fill="EAF9E8"/>
          </w:tcPr>
          <w:p>
            <w:pPr>
              <w:spacing w:after="0"/>
              <w:rPr>
                <w:sz w:val="21"/>
                <w:szCs w:val="21"/>
                <w:color w:val="auto"/>
              </w:rPr>
            </w:pPr>
          </w:p>
        </w:tc>
        <w:tc>
          <w:tcPr>
            <w:tcW w:w="62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shd w:val="clear" w:color="auto" w:fill="EAF9E8"/>
          </w:tcPr>
          <w:p>
            <w:pPr>
              <w:spacing w:after="0"/>
              <w:rPr>
                <w:sz w:val="21"/>
                <w:szCs w:val="21"/>
                <w:color w:val="auto"/>
              </w:rPr>
            </w:pPr>
          </w:p>
        </w:tc>
        <w:tc>
          <w:tcPr>
            <w:tcW w:w="100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EAF9E8"/>
          </w:tcPr>
          <w:p>
            <w:pPr>
              <w:spacing w:after="0"/>
              <w:rPr>
                <w:sz w:val="21"/>
                <w:szCs w:val="21"/>
                <w:color w:val="auto"/>
              </w:rPr>
            </w:pPr>
          </w:p>
        </w:tc>
        <w:tc>
          <w:tcPr>
            <w:tcW w:w="320" w:type="dxa"/>
            <w:vAlign w:val="bottom"/>
            <w:shd w:val="clear" w:color="auto" w:fill="EAF9E8"/>
          </w:tcPr>
          <w:p>
            <w:pPr>
              <w:spacing w:after="0"/>
              <w:rPr>
                <w:sz w:val="21"/>
                <w:szCs w:val="21"/>
                <w:color w:val="auto"/>
              </w:rPr>
            </w:pPr>
          </w:p>
        </w:tc>
        <w:tc>
          <w:tcPr>
            <w:tcW w:w="80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(1,813)</w:t>
            </w:r>
          </w:p>
        </w:tc>
      </w:tr>
      <w:tr>
        <w:trPr>
          <w:trHeight w:val="242"/>
        </w:trPr>
        <w:tc>
          <w:tcPr>
            <w:tcW w:w="6180" w:type="dxa"/>
            <w:vAlign w:val="bottom"/>
          </w:tcPr>
          <w:p>
            <w:pPr>
              <w:ind w:left="160"/>
              <w:spacing w:after="0"/>
              <w:rPr>
                <w:sz w:val="20"/>
                <w:szCs w:val="20"/>
                <w:color w:val="auto"/>
              </w:rPr>
            </w:pPr>
            <w:r>
              <w:rPr>
                <w:rFonts w:ascii="Arial" w:cs="Arial" w:eastAsia="Arial" w:hAnsi="Arial"/>
                <w:sz w:val="18"/>
                <w:szCs w:val="18"/>
                <w:color w:val="auto"/>
              </w:rPr>
              <w:t>Subordinates and residuals</w:t>
            </w:r>
          </w:p>
        </w:tc>
        <w:tc>
          <w:tcPr>
            <w:tcW w:w="220" w:type="dxa"/>
            <w:vAlign w:val="bottom"/>
          </w:tcPr>
          <w:p>
            <w:pPr>
              <w:spacing w:after="0"/>
              <w:rPr>
                <w:sz w:val="21"/>
                <w:szCs w:val="21"/>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(10)</w:t>
            </w:r>
          </w:p>
        </w:tc>
        <w:tc>
          <w:tcPr>
            <w:tcW w:w="740" w:type="dxa"/>
            <w:vAlign w:val="bottom"/>
          </w:tcPr>
          <w:p>
            <w:pPr>
              <w:spacing w:after="0"/>
              <w:rPr>
                <w:sz w:val="21"/>
                <w:szCs w:val="21"/>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(23)</w:t>
            </w:r>
          </w:p>
        </w:tc>
        <w:tc>
          <w:tcPr>
            <w:tcW w:w="220" w:type="dxa"/>
            <w:vAlign w:val="bottom"/>
          </w:tcPr>
          <w:p>
            <w:pPr>
              <w:spacing w:after="0"/>
              <w:rPr>
                <w:sz w:val="21"/>
                <w:szCs w:val="21"/>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(76)</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(161)</w:t>
            </w:r>
          </w:p>
        </w:tc>
      </w:tr>
      <w:tr>
        <w:trPr>
          <w:trHeight w:val="244"/>
        </w:trPr>
        <w:tc>
          <w:tcPr>
            <w:tcW w:w="61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EAF9E8"/>
          </w:tcPr>
          <w:p>
            <w:pPr>
              <w:spacing w:after="0"/>
              <w:rPr>
                <w:sz w:val="21"/>
                <w:szCs w:val="21"/>
                <w:color w:val="auto"/>
              </w:rPr>
            </w:pPr>
          </w:p>
        </w:tc>
        <w:tc>
          <w:tcPr>
            <w:tcW w:w="1180" w:type="dxa"/>
            <w:vAlign w:val="bottom"/>
            <w:gridSpan w:val="2"/>
            <w:shd w:val="clear" w:color="auto" w:fill="EAF9E8"/>
          </w:tcPr>
          <w:p>
            <w:pPr>
              <w:jc w:val="right"/>
              <w:ind w:right="360"/>
              <w:spacing w:after="0"/>
              <w:rPr>
                <w:sz w:val="20"/>
                <w:szCs w:val="20"/>
                <w:color w:val="auto"/>
              </w:rPr>
            </w:pPr>
            <w:r>
              <w:rPr>
                <w:rFonts w:ascii="Arial" w:cs="Arial" w:eastAsia="Arial" w:hAnsi="Arial"/>
                <w:sz w:val="18"/>
                <w:szCs w:val="18"/>
                <w:color w:val="auto"/>
              </w:rPr>
              <w:t>—</w:t>
            </w:r>
          </w:p>
        </w:tc>
        <w:tc>
          <w:tcPr>
            <w:tcW w:w="740" w:type="dxa"/>
            <w:vAlign w:val="bottom"/>
            <w:shd w:val="clear" w:color="auto" w:fill="EAF9E8"/>
          </w:tcPr>
          <w:p>
            <w:pPr>
              <w:spacing w:after="0"/>
              <w:rPr>
                <w:sz w:val="21"/>
                <w:szCs w:val="21"/>
                <w:color w:val="auto"/>
              </w:rPr>
            </w:pPr>
          </w:p>
        </w:tc>
        <w:tc>
          <w:tcPr>
            <w:tcW w:w="300" w:type="dxa"/>
            <w:vAlign w:val="bottom"/>
            <w:shd w:val="clear" w:color="auto" w:fill="EAF9E8"/>
          </w:tcPr>
          <w:p>
            <w:pPr>
              <w:spacing w:after="0"/>
              <w:rPr>
                <w:sz w:val="21"/>
                <w:szCs w:val="21"/>
                <w:color w:val="auto"/>
              </w:rPr>
            </w:pPr>
          </w:p>
        </w:tc>
        <w:tc>
          <w:tcPr>
            <w:tcW w:w="320" w:type="dxa"/>
            <w:vAlign w:val="bottom"/>
            <w:shd w:val="clear" w:color="auto" w:fill="EAF9E8"/>
          </w:tcPr>
          <w:p>
            <w:pPr>
              <w:spacing w:after="0"/>
              <w:rPr>
                <w:sz w:val="21"/>
                <w:szCs w:val="21"/>
                <w:color w:val="auto"/>
              </w:rPr>
            </w:pPr>
          </w:p>
        </w:tc>
        <w:tc>
          <w:tcPr>
            <w:tcW w:w="220" w:type="dxa"/>
            <w:vAlign w:val="bottom"/>
            <w:shd w:val="clear" w:color="auto" w:fill="EAF9E8"/>
          </w:tcPr>
          <w:p>
            <w:pPr>
              <w:spacing w:after="0"/>
              <w:rPr>
                <w:sz w:val="21"/>
                <w:szCs w:val="21"/>
                <w:color w:val="auto"/>
              </w:rPr>
            </w:pPr>
          </w:p>
        </w:tc>
        <w:tc>
          <w:tcPr>
            <w:tcW w:w="100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EAF9E8"/>
          </w:tcPr>
          <w:p>
            <w:pPr>
              <w:spacing w:after="0"/>
              <w:rPr>
                <w:sz w:val="21"/>
                <w:szCs w:val="21"/>
                <w:color w:val="auto"/>
              </w:rPr>
            </w:pPr>
          </w:p>
        </w:tc>
        <w:tc>
          <w:tcPr>
            <w:tcW w:w="320" w:type="dxa"/>
            <w:vAlign w:val="bottom"/>
            <w:shd w:val="clear" w:color="auto" w:fill="EAF9E8"/>
          </w:tcPr>
          <w:p>
            <w:pPr>
              <w:spacing w:after="0"/>
              <w:rPr>
                <w:sz w:val="21"/>
                <w:szCs w:val="21"/>
                <w:color w:val="auto"/>
              </w:rPr>
            </w:pPr>
          </w:p>
        </w:tc>
        <w:tc>
          <w:tcPr>
            <w:tcW w:w="80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(3)</w:t>
            </w:r>
          </w:p>
        </w:tc>
      </w:tr>
      <w:tr>
        <w:trPr>
          <w:trHeight w:val="20"/>
        </w:trPr>
        <w:tc>
          <w:tcPr>
            <w:tcW w:w="6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6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7,304</w:t>
            </w: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(23)</w:t>
            </w:r>
          </w:p>
        </w:tc>
        <w:tc>
          <w:tcPr>
            <w:tcW w:w="22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13,222</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(17,684)</w:t>
            </w:r>
          </w:p>
        </w:tc>
      </w:tr>
      <w:tr>
        <w:trPr>
          <w:trHeight w:val="21"/>
        </w:trPr>
        <w:tc>
          <w:tcPr>
            <w:tcW w:w="6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3"/>
        </w:trPr>
        <w:tc>
          <w:tcPr>
            <w:tcW w:w="6180" w:type="dxa"/>
            <w:vAlign w:val="bottom"/>
            <w:shd w:val="clear" w:color="auto" w:fill="EAF9E8"/>
          </w:tcPr>
          <w:p>
            <w:pPr>
              <w:spacing w:after="0"/>
              <w:rPr>
                <w:sz w:val="21"/>
                <w:szCs w:val="21"/>
                <w:color w:val="auto"/>
              </w:rPr>
            </w:pPr>
          </w:p>
        </w:tc>
        <w:tc>
          <w:tcPr>
            <w:tcW w:w="220" w:type="dxa"/>
            <w:vAlign w:val="bottom"/>
            <w:shd w:val="clear" w:color="auto" w:fill="EAF9E8"/>
          </w:tcPr>
          <w:p>
            <w:pPr>
              <w:jc w:val="right"/>
              <w:ind w:right="63"/>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7,304</w:t>
            </w:r>
          </w:p>
        </w:tc>
        <w:tc>
          <w:tcPr>
            <w:tcW w:w="360" w:type="dxa"/>
            <w:vAlign w:val="bottom"/>
            <w:shd w:val="clear" w:color="auto" w:fill="EAF9E8"/>
          </w:tcPr>
          <w:p>
            <w:pPr>
              <w:spacing w:after="0"/>
              <w:rPr>
                <w:sz w:val="21"/>
                <w:szCs w:val="21"/>
                <w:color w:val="auto"/>
              </w:rPr>
            </w:pPr>
          </w:p>
        </w:tc>
        <w:tc>
          <w:tcPr>
            <w:tcW w:w="740" w:type="dxa"/>
            <w:vAlign w:val="bottom"/>
            <w:shd w:val="clear" w:color="auto" w:fill="EAF9E8"/>
          </w:tcPr>
          <w:p>
            <w:pPr>
              <w:jc w:val="right"/>
              <w:ind w:right="580"/>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w w:val="99"/>
              </w:rPr>
              <w:t>(23)</w:t>
            </w:r>
          </w:p>
        </w:tc>
        <w:tc>
          <w:tcPr>
            <w:tcW w:w="220" w:type="dxa"/>
            <w:vAlign w:val="bottom"/>
            <w:shd w:val="clear" w:color="auto" w:fill="EAF9E8"/>
          </w:tcPr>
          <w:p>
            <w:pPr>
              <w:jc w:val="right"/>
              <w:ind w:right="32"/>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13,222</w:t>
            </w:r>
          </w:p>
        </w:tc>
        <w:tc>
          <w:tcPr>
            <w:tcW w:w="46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(19,380)</w:t>
            </w:r>
          </w:p>
        </w:tc>
      </w:tr>
      <w:tr>
        <w:trPr>
          <w:trHeight w:val="20"/>
        </w:trPr>
        <w:tc>
          <w:tcPr>
            <w:tcW w:w="6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
        </w:trPr>
        <w:tc>
          <w:tcPr>
            <w:tcW w:w="6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1" w:lineRule="exact"/>
        <w:rPr>
          <w:sz w:val="20"/>
          <w:szCs w:val="20"/>
          <w:color w:val="auto"/>
        </w:rPr>
      </w:pPr>
    </w:p>
    <w:p>
      <w:pPr>
        <w:ind w:right="620" w:firstLine="436"/>
        <w:spacing w:after="0" w:line="268" w:lineRule="auto"/>
        <w:rPr>
          <w:sz w:val="20"/>
          <w:szCs w:val="20"/>
          <w:color w:val="auto"/>
        </w:rPr>
      </w:pPr>
      <w:r>
        <w:rPr>
          <w:rFonts w:ascii="Arial" w:cs="Arial" w:eastAsia="Arial" w:hAnsi="Arial"/>
          <w:sz w:val="18"/>
          <w:szCs w:val="18"/>
          <w:color w:val="auto"/>
        </w:rPr>
        <w:t>The unrealized gains of $7,314 and $13,298 for the three and nine months ended 2009, respectively, were principally based on improvements in the underlying collateral markets and liquidity solution discussions with respect to auction rate securities.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w:t>
      </w:r>
    </w:p>
    <w:p>
      <w:pPr>
        <w:spacing w:after="0" w:line="231" w:lineRule="exact"/>
        <w:rPr>
          <w:sz w:val="20"/>
          <w:szCs w:val="20"/>
          <w:color w:val="auto"/>
        </w:rPr>
      </w:pPr>
    </w:p>
    <w:p>
      <w:pPr>
        <w:ind w:right="40" w:firstLine="436"/>
        <w:spacing w:after="0" w:line="254" w:lineRule="auto"/>
        <w:rPr>
          <w:sz w:val="20"/>
          <w:szCs w:val="20"/>
          <w:color w:val="auto"/>
        </w:rPr>
      </w:pPr>
      <w:r>
        <w:rPr>
          <w:rFonts w:ascii="Arial" w:cs="Arial" w:eastAsia="Arial" w:hAnsi="Arial"/>
          <w:sz w:val="18"/>
          <w:szCs w:val="18"/>
          <w:color w:val="auto"/>
        </w:rPr>
        <w:t>Total equity amounted to $857,460 at September 30, 2009 as compared to $609,641 at December 31, 2008. This increase of $247,819 was primarily due to net proceeds of $274,980 from the public offering of 32,200,000 shares of common stock in August and proceeds of $60,187 from the private placement of 5,471,500 shares of common stock in April. The exercise of stock options and the compensation related to employee share-based awards also contributed to the increase in equity in 2009. Offsetting these increases were the distribution of $71,448 of net assets in connection with the Separation, the repurchase of 1,000,000 shares of common stock for $11,000 and a net loss of $9,092. See Note 2 and Note 19 to the Interim Consolidated Financial Statements for additional information regarding these transactions.</w:t>
      </w:r>
    </w:p>
    <w:p>
      <w:pPr>
        <w:spacing w:after="0" w:line="19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Information regarding purchases of our common stock during the nine months ended September 30, 2009 is as follows: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6"/>
              </w:rPr>
              <w:t>Average</w:t>
            </w:r>
          </w:p>
        </w:tc>
        <w:tc>
          <w:tcPr>
            <w:tcW w:w="2780" w:type="dxa"/>
            <w:vAlign w:val="bottom"/>
          </w:tcPr>
          <w:p>
            <w:pPr>
              <w:jc w:val="center"/>
              <w:spacing w:after="0"/>
              <w:rPr>
                <w:sz w:val="20"/>
                <w:szCs w:val="20"/>
                <w:color w:val="auto"/>
              </w:rPr>
            </w:pPr>
            <w:r>
              <w:rPr>
                <w:rFonts w:ascii="Arial" w:cs="Arial" w:eastAsia="Arial" w:hAnsi="Arial"/>
                <w:sz w:val="14"/>
                <w:szCs w:val="14"/>
                <w:b w:val="1"/>
                <w:bCs w:val="1"/>
                <w:color w:val="auto"/>
                <w:w w:val="86"/>
              </w:rPr>
              <w:t>Total number of shares</w:t>
            </w:r>
          </w:p>
        </w:tc>
        <w:tc>
          <w:tcPr>
            <w:tcW w:w="220" w:type="dxa"/>
            <w:vAlign w:val="bottom"/>
          </w:tcPr>
          <w:p>
            <w:pPr>
              <w:spacing w:after="0"/>
              <w:rPr>
                <w:sz w:val="14"/>
                <w:szCs w:val="14"/>
                <w:color w:val="auto"/>
              </w:rPr>
            </w:pPr>
          </w:p>
        </w:tc>
        <w:tc>
          <w:tcPr>
            <w:tcW w:w="3180" w:type="dxa"/>
            <w:vAlign w:val="bottom"/>
          </w:tcPr>
          <w:p>
            <w:pPr>
              <w:jc w:val="center"/>
              <w:spacing w:after="0"/>
              <w:rPr>
                <w:sz w:val="20"/>
                <w:szCs w:val="20"/>
                <w:color w:val="auto"/>
              </w:rPr>
            </w:pPr>
            <w:r>
              <w:rPr>
                <w:rFonts w:ascii="Arial" w:cs="Arial" w:eastAsia="Arial" w:hAnsi="Arial"/>
                <w:sz w:val="14"/>
                <w:szCs w:val="14"/>
                <w:b w:val="1"/>
                <w:bCs w:val="1"/>
                <w:color w:val="auto"/>
                <w:w w:val="88"/>
              </w:rPr>
              <w:t>Maximum number of shares that</w:t>
            </w:r>
          </w:p>
        </w:tc>
      </w:tr>
      <w:tr>
        <w:trPr>
          <w:trHeight w:val="149"/>
        </w:trPr>
        <w:tc>
          <w:tcPr>
            <w:tcW w:w="1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Share Price</w:t>
            </w:r>
          </w:p>
        </w:tc>
        <w:tc>
          <w:tcPr>
            <w:tcW w:w="2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purchased as part of publicly</w:t>
            </w:r>
          </w:p>
        </w:tc>
        <w:tc>
          <w:tcPr>
            <w:tcW w:w="220" w:type="dxa"/>
            <w:vAlign w:val="bottom"/>
          </w:tcPr>
          <w:p>
            <w:pPr>
              <w:spacing w:after="0"/>
              <w:rPr>
                <w:sz w:val="12"/>
                <w:szCs w:val="12"/>
                <w:color w:val="auto"/>
              </w:rPr>
            </w:pPr>
          </w:p>
        </w:tc>
        <w:tc>
          <w:tcPr>
            <w:tcW w:w="3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may yet be purchased under the</w:t>
            </w:r>
          </w:p>
        </w:tc>
      </w:tr>
      <w:tr>
        <w:trPr>
          <w:trHeight w:val="175"/>
        </w:trPr>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Period</w:t>
            </w:r>
          </w:p>
        </w:tc>
        <w:tc>
          <w:tcPr>
            <w:tcW w:w="240" w:type="dxa"/>
            <w:vAlign w:val="bottom"/>
          </w:tcPr>
          <w:p>
            <w:pPr>
              <w:spacing w:after="0"/>
              <w:rPr>
                <w:sz w:val="15"/>
                <w:szCs w:val="15"/>
                <w:color w:val="auto"/>
              </w:rPr>
            </w:pPr>
          </w:p>
        </w:tc>
        <w:tc>
          <w:tcPr>
            <w:tcW w:w="166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Number of shares</w:t>
            </w: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w w:val="90"/>
              </w:rPr>
              <w:t>paid</w:t>
            </w:r>
          </w:p>
        </w:tc>
        <w:tc>
          <w:tcPr>
            <w:tcW w:w="220" w:type="dxa"/>
            <w:vAlign w:val="bottom"/>
          </w:tcPr>
          <w:p>
            <w:pPr>
              <w:spacing w:after="0"/>
              <w:rPr>
                <w:sz w:val="15"/>
                <w:szCs w:val="15"/>
                <w:color w:val="auto"/>
              </w:rPr>
            </w:pPr>
          </w:p>
        </w:tc>
        <w:tc>
          <w:tcPr>
            <w:tcW w:w="2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announced plans</w:t>
            </w:r>
          </w:p>
        </w:tc>
        <w:tc>
          <w:tcPr>
            <w:tcW w:w="220" w:type="dxa"/>
            <w:vAlign w:val="bottom"/>
          </w:tcPr>
          <w:p>
            <w:pPr>
              <w:spacing w:after="0"/>
              <w:rPr>
                <w:sz w:val="15"/>
                <w:szCs w:val="15"/>
                <w:color w:val="auto"/>
              </w:rPr>
            </w:pPr>
          </w:p>
        </w:tc>
        <w:tc>
          <w:tcPr>
            <w:tcW w:w="3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plans</w:t>
            </w:r>
          </w:p>
        </w:tc>
      </w:tr>
      <w:tr>
        <w:trPr>
          <w:trHeight w:val="250"/>
        </w:trPr>
        <w:tc>
          <w:tcPr>
            <w:tcW w:w="1560" w:type="dxa"/>
            <w:vAlign w:val="bottom"/>
          </w:tcPr>
          <w:p>
            <w:pPr>
              <w:jc w:val="center"/>
              <w:spacing w:after="0"/>
              <w:rPr>
                <w:sz w:val="20"/>
                <w:szCs w:val="20"/>
                <w:color w:val="auto"/>
              </w:rPr>
            </w:pPr>
            <w:r>
              <w:rPr>
                <w:rFonts w:ascii="Arial" w:cs="Arial" w:eastAsia="Arial" w:hAnsi="Arial"/>
                <w:sz w:val="14"/>
                <w:szCs w:val="14"/>
                <w:color w:val="auto"/>
                <w:w w:val="95"/>
              </w:rPr>
              <w:t>April 1 – April 30</w:t>
            </w:r>
          </w:p>
        </w:tc>
        <w:tc>
          <w:tcPr>
            <w:tcW w:w="2140" w:type="dxa"/>
            <w:vAlign w:val="bottom"/>
            <w:gridSpan w:val="3"/>
          </w:tcPr>
          <w:p>
            <w:pPr>
              <w:jc w:val="right"/>
              <w:ind w:right="240"/>
              <w:spacing w:after="0"/>
              <w:rPr>
                <w:sz w:val="20"/>
                <w:szCs w:val="20"/>
                <w:color w:val="auto"/>
              </w:rPr>
            </w:pPr>
            <w:r>
              <w:rPr>
                <w:rFonts w:ascii="Arial" w:cs="Arial" w:eastAsia="Arial" w:hAnsi="Arial"/>
                <w:sz w:val="14"/>
                <w:szCs w:val="14"/>
                <w:color w:val="auto"/>
              </w:rPr>
              <w:t>1,000,000</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11.00</w:t>
            </w:r>
          </w:p>
        </w:tc>
        <w:tc>
          <w:tcPr>
            <w:tcW w:w="2780" w:type="dxa"/>
            <w:vAlign w:val="bottom"/>
          </w:tcPr>
          <w:p>
            <w:pPr>
              <w:ind w:left="2640"/>
              <w:spacing w:after="0"/>
              <w:rPr>
                <w:sz w:val="20"/>
                <w:szCs w:val="20"/>
                <w:color w:val="auto"/>
              </w:rPr>
            </w:pPr>
            <w:r>
              <w:rPr>
                <w:rFonts w:ascii="Arial" w:cs="Arial" w:eastAsia="Arial" w:hAnsi="Arial"/>
                <w:sz w:val="14"/>
                <w:szCs w:val="14"/>
                <w:color w:val="auto"/>
                <w:w w:val="85"/>
              </w:rPr>
              <w:t>—</w:t>
            </w:r>
          </w:p>
        </w:tc>
        <w:tc>
          <w:tcPr>
            <w:tcW w:w="3400" w:type="dxa"/>
            <w:vAlign w:val="bottom"/>
            <w:gridSpan w:val="2"/>
          </w:tcPr>
          <w:p>
            <w:pPr>
              <w:jc w:val="right"/>
              <w:spacing w:after="0"/>
              <w:rPr>
                <w:sz w:val="20"/>
                <w:szCs w:val="20"/>
                <w:color w:val="auto"/>
              </w:rPr>
            </w:pPr>
            <w:r>
              <w:rPr>
                <w:rFonts w:ascii="Arial" w:cs="Arial" w:eastAsia="Arial" w:hAnsi="Arial"/>
                <w:sz w:val="14"/>
                <w:szCs w:val="14"/>
                <w:color w:val="auto"/>
              </w:rPr>
              <w:t>5,668,900</w:t>
            </w:r>
          </w:p>
        </w:tc>
      </w:tr>
    </w:tbl>
    <w:p>
      <w:pPr>
        <w:spacing w:after="0" w:line="195" w:lineRule="exact"/>
        <w:rPr>
          <w:sz w:val="20"/>
          <w:szCs w:val="20"/>
          <w:color w:val="auto"/>
        </w:rPr>
      </w:pPr>
    </w:p>
    <w:p>
      <w:pPr>
        <w:ind w:right="280" w:firstLine="439"/>
        <w:spacing w:after="0" w:line="268" w:lineRule="auto"/>
        <w:rPr>
          <w:sz w:val="20"/>
          <w:szCs w:val="20"/>
          <w:color w:val="auto"/>
        </w:rPr>
      </w:pPr>
      <w:r>
        <w:rPr>
          <w:rFonts w:ascii="Arial" w:cs="Arial" w:eastAsia="Arial" w:hAnsi="Arial"/>
          <w:sz w:val="18"/>
          <w:szCs w:val="18"/>
          <w:color w:val="auto"/>
        </w:rPr>
        <w:t>Our ability to repurchase shares of our common stock is restricted under the terms of the Guaranty that we entered into with the OTS in connection with debanking.</w:t>
      </w:r>
    </w:p>
    <w:p>
      <w:pPr>
        <w:sectPr>
          <w:pgSz w:w="11900" w:h="16838" w:orient="portrait"/>
          <w:cols w:equalWidth="0" w:num="1">
            <w:col w:w="11420"/>
          </w:cols>
          <w:pgMar w:left="240" w:top="131" w:right="239" w:bottom="1440" w:gutter="0" w:footer="0" w:header="0"/>
        </w:sectPr>
      </w:pP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57" w:name="page58"/>
    <w:bookmarkEnd w:id="57"/>
    <w:p>
      <w:pPr>
        <w:ind w:right="140" w:firstLine="439"/>
        <w:spacing w:after="0" w:line="306" w:lineRule="auto"/>
        <w:rPr>
          <w:sz w:val="20"/>
          <w:szCs w:val="20"/>
          <w:color w:val="auto"/>
        </w:rPr>
      </w:pPr>
      <w:r>
        <w:rPr>
          <w:rFonts w:ascii="Arial" w:cs="Arial" w:eastAsia="Arial" w:hAnsi="Arial"/>
          <w:sz w:val="16"/>
          <w:szCs w:val="16"/>
          <w:color w:val="auto"/>
        </w:rPr>
        <w:t>Non-controlling interest of $262 and $406 at September 30, 2009 and December 31, 2008, respectively, primarily represented the 30% investment in GSS held by ML IBK Positions, Inc. With our adoption on January 1, 2009 of the new accounting guidance related to non-controlling interests, we reclassified non-controlling interest from a separate classification in our consolidated balance sheets to classification as a component of equity.</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231" w:lineRule="exact"/>
        <w:rPr>
          <w:sz w:val="20"/>
          <w:szCs w:val="20"/>
          <w:color w:val="auto"/>
        </w:rPr>
      </w:pPr>
    </w:p>
    <w:p>
      <w:pPr>
        <w:ind w:right="140" w:firstLine="439"/>
        <w:spacing w:after="0" w:line="294" w:lineRule="auto"/>
        <w:rPr>
          <w:sz w:val="20"/>
          <w:szCs w:val="20"/>
          <w:color w:val="auto"/>
        </w:rPr>
      </w:pPr>
      <w:r>
        <w:rPr>
          <w:rFonts w:ascii="Arial" w:cs="Arial" w:eastAsia="Arial" w:hAnsi="Arial"/>
          <w:sz w:val="16"/>
          <w:szCs w:val="16"/>
          <w:color w:val="auto"/>
        </w:rPr>
        <w:t>Income tax expense for the third quarter of 2009 was $65,294, compared to $8,330 for 2008. In the third quarter of 2009, we incurred income tax expense of $50,631 in connection with the Separation of which $24,260 was comprised of deferred tax expense. For the first nine months of 2009 and 2008, income tax expense was $82,803 and $11,693 respectively. Income tax expense for prior periods reflects the impact of the change in accounting for the Convertible Notes due to the adoption of FSP APB 14-1 (Codified within FASB Accounting Standards Codification (ASC) 810). See Note 1 to the financial statements for additional details relating to the impact of the adoption of this new accounting pronouncement.</w:t>
      </w:r>
    </w:p>
    <w:p>
      <w:pPr>
        <w:spacing w:after="0" w:line="170" w:lineRule="exact"/>
        <w:rPr>
          <w:sz w:val="20"/>
          <w:szCs w:val="20"/>
          <w:color w:val="auto"/>
        </w:rPr>
      </w:pPr>
    </w:p>
    <w:p>
      <w:pPr>
        <w:ind w:firstLine="439"/>
        <w:spacing w:after="0" w:line="291" w:lineRule="auto"/>
        <w:rPr>
          <w:sz w:val="20"/>
          <w:szCs w:val="20"/>
          <w:color w:val="auto"/>
        </w:rPr>
      </w:pPr>
      <w:r>
        <w:rPr>
          <w:rFonts w:ascii="Arial" w:cs="Arial" w:eastAsia="Arial" w:hAnsi="Arial"/>
          <w:sz w:val="16"/>
          <w:szCs w:val="16"/>
          <w:color w:val="auto"/>
        </w:rPr>
        <w:t>Our effective tax rate for the first nine months of 2009, excluding the Separation, was 43.3% as compared to 34.2% for the first nine months of 2008. As of September 30, 2009, our projected annual effective tax rate is 34.7%, excluding the impact of the Separation. Income tax expense on income before income taxes differs from amounts that would be computed by applying the Federal corporate income tax rate of 35% primarily because of the effect of foreign taxes, foreign income with an indefinite deferral from U.S. taxation, losses from consolidated VIEs, state taxes and low-income housing tax credits. The effective tax rate for the first nine months of 2008 was increased by approximately 1.1% due to additional expenses associated with the expiration of certain vested stock options while there was no impact on the rate for the same period in 2009.</w:t>
      </w:r>
    </w:p>
    <w:p>
      <w:pPr>
        <w:spacing w:after="0" w:line="174" w:lineRule="exact"/>
        <w:rPr>
          <w:sz w:val="20"/>
          <w:szCs w:val="20"/>
          <w:color w:val="auto"/>
        </w:rPr>
      </w:pPr>
    </w:p>
    <w:p>
      <w:pPr>
        <w:ind w:right="480" w:firstLine="439"/>
        <w:spacing w:after="0" w:line="268" w:lineRule="auto"/>
        <w:rPr>
          <w:sz w:val="20"/>
          <w:szCs w:val="20"/>
          <w:color w:val="auto"/>
        </w:rPr>
      </w:pPr>
      <w:r>
        <w:rPr>
          <w:rFonts w:ascii="Arial" w:cs="Arial" w:eastAsia="Arial" w:hAnsi="Arial"/>
          <w:sz w:val="18"/>
          <w:szCs w:val="18"/>
          <w:color w:val="auto"/>
        </w:rPr>
        <w:t>Our effective tax rate for the first nine months of 2009 and 2008 includes a benefit of approximately 1.2% and 0.7%, respectively associated with the recognition of certain foreign deferred tax assets.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ind w:firstLine="439"/>
        <w:spacing w:after="0" w:line="306" w:lineRule="auto"/>
        <w:rPr>
          <w:sz w:val="20"/>
          <w:szCs w:val="20"/>
          <w:color w:val="auto"/>
        </w:rPr>
      </w:pPr>
      <w:r>
        <w:rPr>
          <w:rFonts w:ascii="Arial" w:cs="Arial" w:eastAsia="Arial" w:hAnsi="Arial"/>
          <w:sz w:val="16"/>
          <w:szCs w:val="16"/>
          <w:color w:val="auto"/>
        </w:rPr>
        <w:t>Our cash position remains strong with a balance of $195,854 at September 30, 2009, of which $195,312 is unrestricted. Our total cash balance decreased by $5,171, or 3% during the first nine months of 2009 due to the third quarter implementation of our strategy to reduce interest expense by using our cash reserves and proceeds from our equity offering to reduce advance finance borrowings. We also distributed $20,028 of cash in connection with the Separation.</w:t>
      </w:r>
    </w:p>
    <w:p>
      <w:pPr>
        <w:spacing w:after="0" w:line="161" w:lineRule="exact"/>
        <w:rPr>
          <w:sz w:val="20"/>
          <w:szCs w:val="20"/>
          <w:color w:val="auto"/>
        </w:rPr>
      </w:pPr>
    </w:p>
    <w:p>
      <w:pPr>
        <w:ind w:right="320" w:firstLine="439"/>
        <w:spacing w:after="0" w:line="259" w:lineRule="auto"/>
        <w:rPr>
          <w:sz w:val="20"/>
          <w:szCs w:val="20"/>
          <w:color w:val="auto"/>
        </w:rPr>
      </w:pPr>
      <w:r>
        <w:rPr>
          <w:rFonts w:ascii="Arial" w:cs="Arial" w:eastAsia="Arial" w:hAnsi="Arial"/>
          <w:sz w:val="18"/>
          <w:szCs w:val="18"/>
          <w:color w:val="auto"/>
        </w:rPr>
        <w:t>In a private placement transaction that closed on April 3, 2009, we sold 5,471,500 shares of common stock at a price of $11.00 per share for $60,187 in proceeds. On the same date, we also purchased 1,000,000 shares of common stock from our Chairman of the Board at a price of $11.00 per share. These transactions generated net cash of $49,187.</w:t>
      </w:r>
    </w:p>
    <w:p>
      <w:pPr>
        <w:spacing w:after="0" w:line="194" w:lineRule="exact"/>
        <w:rPr>
          <w:sz w:val="20"/>
          <w:szCs w:val="20"/>
          <w:color w:val="auto"/>
        </w:rPr>
      </w:pPr>
    </w:p>
    <w:p>
      <w:pPr>
        <w:ind w:right="200" w:firstLine="439"/>
        <w:spacing w:after="0" w:line="259" w:lineRule="auto"/>
        <w:rPr>
          <w:sz w:val="20"/>
          <w:szCs w:val="20"/>
          <w:color w:val="auto"/>
        </w:rPr>
      </w:pPr>
      <w:r>
        <w:rPr>
          <w:rFonts w:ascii="Arial" w:cs="Arial" w:eastAsia="Arial" w:hAnsi="Arial"/>
          <w:sz w:val="18"/>
          <w:szCs w:val="18"/>
          <w:color w:val="auto"/>
        </w:rPr>
        <w:t>On August 18, 2009, we completed the public offering of 32,200,000 shares of common stock, which includes 4,200,000 shares of common stock purchased by the underwriters pursuant to the full exercise of the over-allotment option granted under the underwriting agreement. We received net proceeds of $274,980 from the offering after deducting underwriting discounts and other offering costs.</w:t>
      </w:r>
    </w:p>
    <w:p>
      <w:pPr>
        <w:spacing w:after="0" w:line="1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During the first nine months of 2009, we purchased servicing rights for $10,241. We also reduced our outstanding liabilities by:</w:t>
      </w:r>
    </w:p>
    <w:p>
      <w:pPr>
        <w:spacing w:after="0" w:line="239" w:lineRule="exact"/>
        <w:rPr>
          <w:sz w:val="20"/>
          <w:szCs w:val="20"/>
          <w:color w:val="auto"/>
        </w:rPr>
      </w:pPr>
    </w:p>
    <w:p>
      <w:pPr>
        <w:ind w:left="1160" w:hanging="571"/>
        <w:spacing w:after="0"/>
        <w:tabs>
          <w:tab w:leader="none" w:pos="11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Purchasing for $24,612 convertible notes with a face value of $25,920, reducing the face value of notes outstanding to $56,435;</w:t>
      </w:r>
    </w:p>
    <w:p>
      <w:pPr>
        <w:spacing w:after="0" w:line="279" w:lineRule="exact"/>
        <w:rPr>
          <w:rFonts w:ascii="Arial" w:cs="Arial" w:eastAsia="Arial" w:hAnsi="Arial"/>
          <w:sz w:val="18"/>
          <w:szCs w:val="18"/>
          <w:color w:val="auto"/>
        </w:rPr>
      </w:pPr>
    </w:p>
    <w:p>
      <w:pPr>
        <w:ind w:left="1160" w:right="440" w:hanging="571"/>
        <w:spacing w:after="0" w:line="268" w:lineRule="auto"/>
        <w:tabs>
          <w:tab w:leader="none" w:pos="11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Repaying $97,987 on our MSR financing facility inclusive of monthly amortization payments approximating $7,000 and a final payment of $41,994 in August;</w:t>
      </w:r>
    </w:p>
    <w:p>
      <w:pPr>
        <w:spacing w:after="0" w:line="212" w:lineRule="exact"/>
        <w:rPr>
          <w:rFonts w:ascii="Arial" w:cs="Arial" w:eastAsia="Arial" w:hAnsi="Arial"/>
          <w:sz w:val="18"/>
          <w:szCs w:val="18"/>
          <w:color w:val="auto"/>
        </w:rPr>
      </w:pPr>
    </w:p>
    <w:p>
      <w:pPr>
        <w:ind w:left="1160" w:right="60" w:hanging="571"/>
        <w:spacing w:after="0" w:line="268" w:lineRule="auto"/>
        <w:tabs>
          <w:tab w:leader="none" w:pos="11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Repaying $33,551 on our auction rate securities investment line due primarily to monthly amortization payments of $3,000, reducing the balance outstanding to $167,168 and;</w:t>
      </w:r>
    </w:p>
    <w:p>
      <w:pPr>
        <w:spacing w:after="0" w:line="212" w:lineRule="exact"/>
        <w:rPr>
          <w:rFonts w:ascii="Arial" w:cs="Arial" w:eastAsia="Arial" w:hAnsi="Arial"/>
          <w:sz w:val="18"/>
          <w:szCs w:val="18"/>
          <w:color w:val="auto"/>
        </w:rPr>
      </w:pPr>
    </w:p>
    <w:p>
      <w:pPr>
        <w:ind w:left="580" w:right="20" w:firstLine="9"/>
        <w:spacing w:after="0" w:line="563" w:lineRule="auto"/>
        <w:tabs>
          <w:tab w:leader="none" w:pos="1147"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Repaying $18,154 on our Class A-1 notes, representing financing of our loans held for resale, including a final payment of $11,315 in September. Despite a credit environment that remains challenged, during the first nine months of 2009 we have:</w:t>
      </w:r>
    </w:p>
    <w:p>
      <w:pPr>
        <w:spacing w:after="0" w:line="1" w:lineRule="exact"/>
        <w:rPr>
          <w:rFonts w:ascii="Arial" w:cs="Arial" w:eastAsia="Arial" w:hAnsi="Arial"/>
          <w:sz w:val="18"/>
          <w:szCs w:val="18"/>
          <w:color w:val="auto"/>
        </w:rPr>
      </w:pPr>
    </w:p>
    <w:p>
      <w:pPr>
        <w:ind w:left="1160" w:hanging="571"/>
        <w:spacing w:after="0"/>
        <w:tabs>
          <w:tab w:leader="none" w:pos="11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Renewed a $200,000 advance note in January;</w:t>
      </w:r>
    </w:p>
    <w:p>
      <w:pPr>
        <w:spacing w:after="0" w:line="279" w:lineRule="exact"/>
        <w:rPr>
          <w:rFonts w:ascii="Arial" w:cs="Arial" w:eastAsia="Arial" w:hAnsi="Arial"/>
          <w:sz w:val="18"/>
          <w:szCs w:val="18"/>
          <w:color w:val="auto"/>
        </w:rPr>
      </w:pPr>
    </w:p>
    <w:p>
      <w:pPr>
        <w:ind w:left="1160" w:hanging="571"/>
        <w:spacing w:after="0"/>
        <w:tabs>
          <w:tab w:leader="none" w:pos="11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Obtained $67,000 in new term advance financing in March;</w:t>
      </w:r>
    </w:p>
    <w:p>
      <w:pPr>
        <w:spacing w:after="0" w:line="279" w:lineRule="exact"/>
        <w:rPr>
          <w:rFonts w:ascii="Arial" w:cs="Arial" w:eastAsia="Arial" w:hAnsi="Arial"/>
          <w:sz w:val="18"/>
          <w:szCs w:val="18"/>
          <w:color w:val="auto"/>
        </w:rPr>
      </w:pPr>
    </w:p>
    <w:p>
      <w:pPr>
        <w:ind w:left="1160" w:hanging="571"/>
        <w:spacing w:after="0"/>
        <w:tabs>
          <w:tab w:leader="none" w:pos="11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Renewed our investment line in support of the auction rate securities through June 30, 2010 in April; and</w:t>
      </w:r>
    </w:p>
    <w:p>
      <w:pPr>
        <w:spacing w:after="0" w:line="279" w:lineRule="exact"/>
        <w:rPr>
          <w:rFonts w:ascii="Arial" w:cs="Arial" w:eastAsia="Arial" w:hAnsi="Arial"/>
          <w:sz w:val="18"/>
          <w:szCs w:val="18"/>
          <w:color w:val="auto"/>
        </w:rPr>
      </w:pPr>
    </w:p>
    <w:p>
      <w:pPr>
        <w:ind w:left="1160" w:hanging="571"/>
        <w:spacing w:after="0"/>
        <w:tabs>
          <w:tab w:leader="none" w:pos="11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Increased the maximum borrowing capacity of a $300,000 advance financing facility to $500,000 in May.</w:t>
      </w:r>
    </w:p>
    <w:p>
      <w:pPr>
        <w:spacing w:after="0" w:line="252" w:lineRule="exact"/>
        <w:rPr>
          <w:sz w:val="20"/>
          <w:szCs w:val="20"/>
          <w:color w:val="auto"/>
        </w:rPr>
      </w:pPr>
    </w:p>
    <w:p>
      <w:pPr>
        <w:ind w:right="60" w:firstLine="439"/>
        <w:spacing w:after="0" w:line="290" w:lineRule="auto"/>
        <w:rPr>
          <w:sz w:val="20"/>
          <w:szCs w:val="20"/>
          <w:color w:val="auto"/>
        </w:rPr>
      </w:pPr>
      <w:r>
        <w:rPr>
          <w:rFonts w:ascii="Arial" w:cs="Arial" w:eastAsia="Arial" w:hAnsi="Arial"/>
          <w:sz w:val="16"/>
          <w:szCs w:val="16"/>
          <w:color w:val="auto"/>
        </w:rPr>
        <w:t>By renewing and increasing advance facility notes before they entered their amortization period, we increased maximum borrowing capacity for match funded advances from $1,215,000 at December 31, 2008 to $1,250,000 at September 30, 2009. Combined with a reduction in advances and match funded advances of $191,836, we increased our unused advance borrowing capacity from $257,893 at December 31, 2008 to $720,221 at September 30, 2009. We believe that our prospects for advance financing have improved due to the inclusion of servicer advances in TALF which was announced by the Federal Reserve Bank of New York in February. TALF allows lenders to invest a relatively small amount of equity while borrowing the remainder from the Federal Reserve Bank at a modest spread over LIBOR, with a note term of up to three years for servicer advances. We are working on a TALF offering to replace the $165,000 term advance note that we repaid on August 11, 2009. The term advance note would have entered its amortization period in December 2009.</w:t>
      </w:r>
    </w:p>
    <w:p>
      <w:pPr>
        <w:sectPr>
          <w:pgSz w:w="11900" w:h="16838" w:orient="portrait"/>
          <w:cols w:equalWidth="0" w:num="1">
            <w:col w:w="11400"/>
          </w:cols>
          <w:pgMar w:left="240" w:top="131" w:right="259" w:bottom="1440" w:gutter="0" w:footer="0" w:header="0"/>
        </w:sectPr>
      </w:pP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type w:val="continuous"/>
        </w:sectPr>
      </w:pPr>
    </w:p>
    <w:bookmarkStart w:id="58" w:name="page59"/>
    <w:bookmarkEnd w:id="58"/>
    <w:p>
      <w:pPr>
        <w:ind w:right="220" w:firstLine="439"/>
        <w:spacing w:after="0" w:line="298" w:lineRule="auto"/>
        <w:rPr>
          <w:sz w:val="20"/>
          <w:szCs w:val="20"/>
          <w:color w:val="auto"/>
        </w:rPr>
      </w:pPr>
      <w:r>
        <w:rPr>
          <w:rFonts w:ascii="Arial" w:cs="Arial" w:eastAsia="Arial" w:hAnsi="Arial"/>
          <w:sz w:val="16"/>
          <w:szCs w:val="16"/>
          <w:color w:val="auto"/>
        </w:rPr>
        <w:t>Plans to improve liquidity further in 2009 include continued reductions in advances and the sale of non-core assets. Although we cannot guarantee successful execution, management believes that these plans are sufficient to meet our liquidity requirements for the next twelve months. We are currently in compliance and expect to remain in compliance with all financial covenants. However, if our efforts to maintain liquidity are not successful, or if unanticipated market factors emerge, the result could have a material adverse impact upon our business, results of operations and financial position.</w:t>
      </w:r>
    </w:p>
    <w:p>
      <w:pPr>
        <w:spacing w:after="0" w:line="16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primary sources of funds for liquidity are:</w:t>
      </w:r>
    </w:p>
    <w:p>
      <w:pPr>
        <w:spacing w:after="0" w:line="239" w:lineRule="exact"/>
        <w:rPr>
          <w:sz w:val="20"/>
          <w:szCs w:val="20"/>
          <w:color w:val="auto"/>
        </w:rPr>
      </w:pPr>
    </w:p>
    <w:p>
      <w:pPr>
        <w:ind w:left="1500" w:hanging="574"/>
        <w:spacing w:after="0"/>
        <w:tabs>
          <w:tab w:leader="none" w:pos="15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Match funded liabilities</w:t>
      </w:r>
    </w:p>
    <w:p>
      <w:pPr>
        <w:spacing w:after="0" w:line="279" w:lineRule="exact"/>
        <w:rPr>
          <w:rFonts w:ascii="Arial" w:cs="Arial" w:eastAsia="Arial" w:hAnsi="Arial"/>
          <w:sz w:val="18"/>
          <w:szCs w:val="18"/>
          <w:color w:val="auto"/>
        </w:rPr>
      </w:pPr>
    </w:p>
    <w:p>
      <w:pPr>
        <w:ind w:left="1500" w:hanging="574"/>
        <w:spacing w:after="0"/>
        <w:tabs>
          <w:tab w:leader="none" w:pos="15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Lines of credit and other secured borrowings</w:t>
      </w:r>
    </w:p>
    <w:p>
      <w:pPr>
        <w:spacing w:after="0" w:line="279" w:lineRule="exact"/>
        <w:rPr>
          <w:rFonts w:ascii="Arial" w:cs="Arial" w:eastAsia="Arial" w:hAnsi="Arial"/>
          <w:sz w:val="18"/>
          <w:szCs w:val="18"/>
          <w:color w:val="auto"/>
        </w:rPr>
      </w:pPr>
    </w:p>
    <w:p>
      <w:pPr>
        <w:ind w:left="1500" w:hanging="574"/>
        <w:spacing w:after="0"/>
        <w:tabs>
          <w:tab w:leader="none" w:pos="15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Servicing fees, including float earnings</w:t>
      </w:r>
    </w:p>
    <w:p>
      <w:pPr>
        <w:spacing w:after="0" w:line="279" w:lineRule="exact"/>
        <w:rPr>
          <w:rFonts w:ascii="Arial" w:cs="Arial" w:eastAsia="Arial" w:hAnsi="Arial"/>
          <w:sz w:val="18"/>
          <w:szCs w:val="18"/>
          <w:color w:val="auto"/>
        </w:rPr>
      </w:pPr>
    </w:p>
    <w:p>
      <w:pPr>
        <w:ind w:left="1500" w:hanging="574"/>
        <w:spacing w:after="0"/>
        <w:tabs>
          <w:tab w:leader="none" w:pos="15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Payments received on loans held for resale</w:t>
      </w:r>
    </w:p>
    <w:p>
      <w:pPr>
        <w:spacing w:after="0" w:line="279" w:lineRule="exact"/>
        <w:rPr>
          <w:rFonts w:ascii="Arial" w:cs="Arial" w:eastAsia="Arial" w:hAnsi="Arial"/>
          <w:sz w:val="18"/>
          <w:szCs w:val="18"/>
          <w:color w:val="auto"/>
        </w:rPr>
      </w:pPr>
    </w:p>
    <w:p>
      <w:pPr>
        <w:ind w:left="1500" w:hanging="574"/>
        <w:spacing w:after="0"/>
        <w:tabs>
          <w:tab w:leader="none" w:pos="15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Payments received on trading securities</w:t>
      </w:r>
    </w:p>
    <w:p>
      <w:pPr>
        <w:spacing w:after="0" w:line="279" w:lineRule="exact"/>
        <w:rPr>
          <w:rFonts w:ascii="Arial" w:cs="Arial" w:eastAsia="Arial" w:hAnsi="Arial"/>
          <w:sz w:val="18"/>
          <w:szCs w:val="18"/>
          <w:color w:val="auto"/>
        </w:rPr>
      </w:pPr>
    </w:p>
    <w:p>
      <w:pPr>
        <w:ind w:left="1500" w:hanging="574"/>
        <w:spacing w:after="0"/>
        <w:tabs>
          <w:tab w:leader="none" w:pos="15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Debt securities</w:t>
      </w:r>
    </w:p>
    <w:p>
      <w:pPr>
        <w:spacing w:after="0" w:line="252" w:lineRule="exact"/>
        <w:rPr>
          <w:sz w:val="20"/>
          <w:szCs w:val="20"/>
          <w:color w:val="auto"/>
        </w:rPr>
      </w:pPr>
    </w:p>
    <w:p>
      <w:pPr>
        <w:jc w:val="both"/>
        <w:ind w:right="200" w:firstLine="439"/>
        <w:spacing w:after="0" w:line="259" w:lineRule="auto"/>
        <w:rPr>
          <w:sz w:val="20"/>
          <w:szCs w:val="20"/>
          <w:color w:val="auto"/>
        </w:rPr>
      </w:pPr>
      <w:r>
        <w:rPr>
          <w:rFonts w:ascii="Arial" w:cs="Arial" w:eastAsia="Arial" w:hAnsi="Arial"/>
          <w:sz w:val="18"/>
          <w:szCs w:val="18"/>
          <w:color w:val="auto"/>
        </w:rPr>
        <w:t>Our primary uses of funds are the funding of servicing advances, the payment of interest and operating expenses, the purchase of servicing rights and the repayment of borrowings. We closely monitor our liquidity position and ongoing funding requirements, and we invest available funds in short-term investment grade securities.</w:t>
      </w:r>
    </w:p>
    <w:p>
      <w:pPr>
        <w:spacing w:after="0" w:line="194" w:lineRule="exact"/>
        <w:rPr>
          <w:sz w:val="20"/>
          <w:szCs w:val="20"/>
          <w:color w:val="auto"/>
        </w:rPr>
      </w:pPr>
    </w:p>
    <w:p>
      <w:pPr>
        <w:ind w:right="20" w:firstLine="439"/>
        <w:spacing w:after="0" w:line="290" w:lineRule="auto"/>
        <w:rPr>
          <w:sz w:val="20"/>
          <w:szCs w:val="20"/>
          <w:color w:val="auto"/>
        </w:rPr>
      </w:pPr>
      <w:r>
        <w:rPr>
          <w:rFonts w:ascii="Arial" w:cs="Arial" w:eastAsia="Arial" w:hAnsi="Arial"/>
          <w:sz w:val="16"/>
          <w:szCs w:val="16"/>
          <w:color w:val="auto"/>
        </w:rPr>
        <w:t>Our servicing agreements impose on us various rights and obligations that affect our liquidity. Among the most significant of these obligations is the requirement that we advance our own funds to meet contractual principal and interest payments for certain investors and to pay taxes, insurance, foreclosure costs and various other items that are required to preserve the assets being serviced. Delinquency rates and prepayment speed affect the size of servicing advance balances. The number of delinquent loans comprised 18.5% of the total number of loans serviced at both September 30, 2009 and June 30, 2009. This compares to 19.0% at December 31, 2008. The UPB of delinquent loans as a percentage of total UPB serviced declined during the third quarter from 27.4% at June 30, 2009 to 26.9% at September 30, 2009. This compares to 24.3% at December 31, 2008. Prepayment speeds averaged 20% and 21% for the three and nine month 2009 reporting periods, respectively. This compares to 26% and 25% for the three and nine month 2008 reporting periods, respectively.</w:t>
      </w:r>
    </w:p>
    <w:p>
      <w:pPr>
        <w:spacing w:after="0" w:line="172" w:lineRule="exact"/>
        <w:rPr>
          <w:sz w:val="20"/>
          <w:szCs w:val="20"/>
          <w:color w:val="auto"/>
        </w:rPr>
      </w:pPr>
    </w:p>
    <w:p>
      <w:pPr>
        <w:ind w:right="160" w:firstLine="439"/>
        <w:spacing w:after="0" w:line="291" w:lineRule="auto"/>
        <w:rPr>
          <w:sz w:val="20"/>
          <w:szCs w:val="20"/>
          <w:color w:val="auto"/>
        </w:rPr>
      </w:pPr>
      <w:r>
        <w:rPr>
          <w:rFonts w:ascii="Arial" w:cs="Arial" w:eastAsia="Arial" w:hAnsi="Arial"/>
          <w:sz w:val="16"/>
          <w:szCs w:val="16"/>
          <w:color w:val="auto"/>
        </w:rPr>
        <w:t>Management initiatives that we began in 2008, designed to maximize the return to the loan investors, have been further enhanced in 2009. The number of loan modifications is only marginally higher in the first nine months of 2009 than in the first nine months of 2008 because of our decision to pursue HAMP modifications for loans that we believed may be eligible for this program. See Executive Summary—Outlook and Segments—Servicing for details on loan modifications and the impact of HAMP. The reduction in the rate of loan modifications in the first nine months of 2009, as compared to the first nine months of 2008, reduced the rate of liquidity improvement somewhat by slowing the rate at which advances are declining. However, we believe that the rate at which advances decline will accelerate again in the fourth quarter as the loan modification rate increases from what we experienced during the third quarter.</w:t>
      </w:r>
    </w:p>
    <w:p>
      <w:pPr>
        <w:spacing w:after="0" w:line="174" w:lineRule="exact"/>
        <w:rPr>
          <w:sz w:val="20"/>
          <w:szCs w:val="20"/>
          <w:color w:val="auto"/>
        </w:rPr>
      </w:pPr>
    </w:p>
    <w:p>
      <w:pPr>
        <w:ind w:right="60" w:firstLine="439"/>
        <w:spacing w:after="0" w:line="290" w:lineRule="auto"/>
        <w:rPr>
          <w:sz w:val="20"/>
          <w:szCs w:val="20"/>
          <w:color w:val="auto"/>
        </w:rPr>
      </w:pPr>
      <w:r>
        <w:rPr>
          <w:rFonts w:ascii="Arial" w:cs="Arial" w:eastAsia="Arial" w:hAnsi="Arial"/>
          <w:sz w:val="16"/>
          <w:szCs w:val="16"/>
          <w:color w:val="auto"/>
        </w:rPr>
        <w:t>Our ability to finance servicing advances continues to be a significant factor that affects our liquidity. Three of our match funded advance facilities that are rated are subject to increases in the financing discount if deemed necessary by the rating agency in order to maintain the minimum rating required for the facility. While several rating agencies have adjusted their methodology for rating servicer advances and advance rates for newly issued notes appear to be somewhat lower than in the past, we do not expect this change to have a material effect on our liquidity. The advance rate on one of our existing notes has been reduced in order to secure a new rating due to a repledging of the assets supporting this note to a new but substantially similar structure. Our ability to continue to pledge collateral under each advance facility depends on the performance of the collateral. Currently, the majority of our collateral qualifies for financing under the advance facility to which it is pledged.</w:t>
      </w:r>
    </w:p>
    <w:p>
      <w:pPr>
        <w:spacing w:after="0" w:line="172" w:lineRule="exact"/>
        <w:rPr>
          <w:sz w:val="20"/>
          <w:szCs w:val="20"/>
          <w:color w:val="auto"/>
        </w:rPr>
      </w:pPr>
    </w:p>
    <w:p>
      <w:pPr>
        <w:jc w:val="both"/>
        <w:ind w:firstLine="439"/>
        <w:spacing w:after="0" w:line="306" w:lineRule="auto"/>
        <w:rPr>
          <w:sz w:val="20"/>
          <w:szCs w:val="20"/>
          <w:color w:val="auto"/>
        </w:rPr>
      </w:pPr>
      <w:r>
        <w:rPr>
          <w:rFonts w:ascii="Arial" w:cs="Arial" w:eastAsia="Arial" w:hAnsi="Arial"/>
          <w:sz w:val="16"/>
          <w:szCs w:val="16"/>
          <w:color w:val="auto"/>
        </w:rPr>
        <w:t>Some of our existing debt covenants limit our ability to incur additional debt in relation to our equity and require that we maintain minimum levels of liquid assets, earnings and unused borrowing capacity. Failure to comply with these covenants could result in restrictions on new borrowings or the early termination of our borrowing facilities. We are currently in compliance with these covenants and do not expect them to restrict our activities.</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Maximum borrowing capacity of the Servicing segment was $1,317,000 at September 30, 2009, a slight increase from the borrowing capacity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$1,312,987 at December 31, 2008. The stability in Servicing segment borrowing capacity principally reflects the effect of two new secured borrowing facilities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into which we entered in March 2009 and the expansion of an existing match funded facility from $300,000 to $500,000 in May 2009. These increases were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offset by repayment of the $165,000 medium term match funded note on August 11, 2009 as a precursor to a TALF subscription and the August 21, 2009</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repayment of the term note that was used to finance MSRs. One of the new secured borrowing facilities represented an advance in the form of zero-coupon bonds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that we initially recorded at $45,373, net of a discount of $14,627. The other new facility was a $7,000 term note. Both facilities are secured by the pledge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advances. The maximum borrowing capacity of our servicing advance facilities of $1,317,000 at September 30, 2009 was $102,000 greater than the maximum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capacity of $1,215,000 at December 31, 2008.</w:t>
      </w:r>
    </w:p>
    <w:p>
      <w:pPr>
        <w:spacing w:after="0" w:line="219" w:lineRule="exact"/>
        <w:rPr>
          <w:sz w:val="20"/>
          <w:szCs w:val="20"/>
          <w:color w:val="auto"/>
        </w:rPr>
      </w:pPr>
    </w:p>
    <w:p>
      <w:pPr>
        <w:ind w:firstLine="439"/>
        <w:spacing w:after="0" w:line="294" w:lineRule="auto"/>
        <w:rPr>
          <w:sz w:val="20"/>
          <w:szCs w:val="20"/>
          <w:color w:val="auto"/>
        </w:rPr>
      </w:pPr>
      <w:r>
        <w:rPr>
          <w:rFonts w:ascii="Arial" w:cs="Arial" w:eastAsia="Arial" w:hAnsi="Arial"/>
          <w:sz w:val="16"/>
          <w:szCs w:val="16"/>
          <w:color w:val="auto"/>
        </w:rPr>
        <w:t>During the first half of 2008, our $355,000 senior secured credit facility was the only source of debt that was available to fund the purchase of residential MSRs, and this facility matured in August 2008. The facility included the option of an 18-month term note to finance MSRs. We exercised this option, and in August 2008, we repaid the borrowings under the facility that were secured by advances and converted our remaining borrowings that were secured by MSRs to a term note that was scheduled to mature in February 2010. We repaid this facility on August 11, 2009. The borrowing amount each month was limited to the lesser of a predetermined straight-line, eighteen-month amortization schedule or 65% of a third party appraisal value of the MSRs.</w:t>
      </w:r>
    </w:p>
    <w:p>
      <w:pPr>
        <w:sectPr>
          <w:pgSz w:w="11900" w:h="16838" w:orient="portrait"/>
          <w:cols w:equalWidth="0" w:num="1">
            <w:col w:w="11400"/>
          </w:cols>
          <w:pgMar w:left="240" w:top="131" w:right="259" w:bottom="1440" w:gutter="0" w:footer="0" w:header="0"/>
        </w:sectPr>
      </w:pP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type w:val="continuous"/>
        </w:sectPr>
      </w:pPr>
    </w:p>
    <w:bookmarkStart w:id="59" w:name="page60"/>
    <w:bookmarkEnd w:id="59"/>
    <w:p>
      <w:pPr>
        <w:ind w:right="20" w:firstLine="439"/>
        <w:spacing w:after="0" w:line="290" w:lineRule="auto"/>
        <w:rPr>
          <w:sz w:val="20"/>
          <w:szCs w:val="20"/>
          <w:color w:val="auto"/>
        </w:rPr>
      </w:pPr>
      <w:r>
        <w:rPr>
          <w:rFonts w:ascii="Arial" w:cs="Arial" w:eastAsia="Arial" w:hAnsi="Arial"/>
          <w:sz w:val="16"/>
          <w:szCs w:val="16"/>
          <w:color w:val="auto"/>
        </w:rPr>
        <w:t>In the table below, we provide the amortization dates and maturity dates for each of our credit facilities as of September 30, 2009, excluding the investment line. The amortization date is the date on which the revolving period ends under our advance facilities and repayment of the outstanding balance must begin if the facility is not renewed or extended. The maturity date is the date on which all outstanding balances must be repaid. After the amortization date, all collections that represent the repayment of advances that have been financed through that note must be applied to reduce the balance outstanding for that note, and any new advances under the securitizations pledged to the facility are ineligible to be financed, unless another note with available capacity exists in that facility. In order for us to maintain liquidity, borrowings under notes that have entered their amortization period and have not been renewed or are not covered by unused capacity within that facility must be repaid and the advances under the securitizations affected must be pledged to another facility.</w:t>
      </w:r>
    </w:p>
    <w:p>
      <w:pPr>
        <w:spacing w:after="0" w:line="17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credit facilities, excluding the investment line term note, are summarized as follows at September 30, 2009:</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ind w:right="32"/>
              <w:spacing w:after="0"/>
              <w:rPr>
                <w:sz w:val="20"/>
                <w:szCs w:val="20"/>
                <w:color w:val="auto"/>
              </w:rPr>
            </w:pPr>
            <w:r>
              <w:rPr>
                <w:rFonts w:ascii="Arial" w:cs="Arial" w:eastAsia="Arial" w:hAnsi="Arial"/>
                <w:sz w:val="18"/>
                <w:szCs w:val="18"/>
                <w:b w:val="1"/>
                <w:bCs w:val="1"/>
                <w:color w:val="auto"/>
                <w:w w:val="93"/>
              </w:rPr>
              <w:t>Maximum</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center"/>
              <w:ind w:right="72"/>
              <w:spacing w:after="0"/>
              <w:rPr>
                <w:sz w:val="20"/>
                <w:szCs w:val="20"/>
                <w:color w:val="auto"/>
              </w:rPr>
            </w:pPr>
            <w:r>
              <w:rPr>
                <w:rFonts w:ascii="Arial" w:cs="Arial" w:eastAsia="Arial" w:hAnsi="Arial"/>
                <w:sz w:val="18"/>
                <w:szCs w:val="18"/>
                <w:b w:val="1"/>
                <w:bCs w:val="1"/>
                <w:color w:val="auto"/>
                <w:w w:val="87"/>
              </w:rPr>
              <w:t>Unused</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2"/>
              </w:rPr>
              <w:t>Amortization</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ind w:right="52"/>
              <w:spacing w:after="0"/>
              <w:rPr>
                <w:sz w:val="20"/>
                <w:szCs w:val="20"/>
                <w:color w:val="auto"/>
              </w:rPr>
            </w:pPr>
            <w:r>
              <w:rPr>
                <w:rFonts w:ascii="Arial" w:cs="Arial" w:eastAsia="Arial" w:hAnsi="Arial"/>
                <w:sz w:val="18"/>
                <w:szCs w:val="18"/>
                <w:b w:val="1"/>
                <w:bCs w:val="1"/>
                <w:color w:val="auto"/>
                <w:w w:val="88"/>
              </w:rPr>
              <w:t>Borrowing</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center"/>
              <w:ind w:right="72"/>
              <w:spacing w:after="0"/>
              <w:rPr>
                <w:sz w:val="20"/>
                <w:szCs w:val="20"/>
                <w:color w:val="auto"/>
              </w:rPr>
            </w:pPr>
            <w:r>
              <w:rPr>
                <w:rFonts w:ascii="Arial" w:cs="Arial" w:eastAsia="Arial" w:hAnsi="Arial"/>
                <w:sz w:val="18"/>
                <w:szCs w:val="18"/>
                <w:b w:val="1"/>
                <w:bCs w:val="1"/>
                <w:color w:val="auto"/>
                <w:w w:val="91"/>
              </w:rPr>
              <w:t>Borrowing</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Balance</w:t>
            </w:r>
          </w:p>
        </w:tc>
      </w:tr>
      <w:tr>
        <w:trPr>
          <w:trHeight w:val="237"/>
        </w:trPr>
        <w:tc>
          <w:tcPr>
            <w:tcW w:w="390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7"/>
              </w:rPr>
              <w:t>Maturity</w:t>
            </w:r>
          </w:p>
        </w:tc>
        <w:tc>
          <w:tcPr>
            <w:tcW w:w="36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7"/>
              </w:rPr>
              <w:t>Date</w:t>
            </w: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center"/>
              <w:ind w:right="52"/>
              <w:spacing w:after="0"/>
              <w:rPr>
                <w:sz w:val="20"/>
                <w:szCs w:val="20"/>
                <w:color w:val="auto"/>
              </w:rPr>
            </w:pPr>
            <w:r>
              <w:rPr>
                <w:rFonts w:ascii="Arial" w:cs="Arial" w:eastAsia="Arial" w:hAnsi="Arial"/>
                <w:sz w:val="18"/>
                <w:szCs w:val="18"/>
                <w:b w:val="1"/>
                <w:bCs w:val="1"/>
                <w:color w:val="auto"/>
                <w:w w:val="90"/>
              </w:rPr>
              <w:t>Capacity (1)</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center"/>
              <w:ind w:right="72"/>
              <w:spacing w:after="0"/>
              <w:rPr>
                <w:sz w:val="20"/>
                <w:szCs w:val="20"/>
                <w:color w:val="auto"/>
              </w:rPr>
            </w:pPr>
            <w:r>
              <w:rPr>
                <w:rFonts w:ascii="Arial" w:cs="Arial" w:eastAsia="Arial" w:hAnsi="Arial"/>
                <w:sz w:val="18"/>
                <w:szCs w:val="18"/>
                <w:b w:val="1"/>
                <w:bCs w:val="1"/>
                <w:color w:val="auto"/>
                <w:w w:val="87"/>
              </w:rPr>
              <w:t>Capacity</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0"/>
              </w:rPr>
              <w:t>Outstanding</w:t>
            </w:r>
          </w:p>
        </w:tc>
      </w:tr>
      <w:tr>
        <w:trPr>
          <w:trHeight w:val="243"/>
        </w:trPr>
        <w:tc>
          <w:tcPr>
            <w:tcW w:w="3900" w:type="dxa"/>
            <w:vAlign w:val="bottom"/>
            <w:shd w:val="clear" w:color="auto" w:fill="EAF9E8"/>
          </w:tcPr>
          <w:p>
            <w:pPr>
              <w:spacing w:after="0"/>
              <w:rPr>
                <w:sz w:val="20"/>
                <w:szCs w:val="20"/>
                <w:color w:val="auto"/>
              </w:rPr>
            </w:pPr>
            <w:r>
              <w:rPr>
                <w:rFonts w:ascii="Arial" w:cs="Arial" w:eastAsia="Arial" w:hAnsi="Arial"/>
                <w:sz w:val="18"/>
                <w:szCs w:val="18"/>
                <w:color w:val="auto"/>
              </w:rPr>
              <w:t>Servicing:</w:t>
            </w:r>
          </w:p>
        </w:tc>
        <w:tc>
          <w:tcPr>
            <w:tcW w:w="1140" w:type="dxa"/>
            <w:vAlign w:val="bottom"/>
            <w:tcBorders>
              <w:top w:val="single" w:sz="8" w:color="auto"/>
            </w:tcBorders>
            <w:shd w:val="clear" w:color="auto" w:fill="EAF9E8"/>
          </w:tcPr>
          <w:p>
            <w:pPr>
              <w:spacing w:after="0"/>
              <w:rPr>
                <w:sz w:val="21"/>
                <w:szCs w:val="21"/>
                <w:color w:val="auto"/>
              </w:rPr>
            </w:pPr>
          </w:p>
        </w:tc>
        <w:tc>
          <w:tcPr>
            <w:tcW w:w="360" w:type="dxa"/>
            <w:vAlign w:val="bottom"/>
            <w:shd w:val="clear" w:color="auto" w:fill="EAF9E8"/>
          </w:tcPr>
          <w:p>
            <w:pPr>
              <w:spacing w:after="0"/>
              <w:rPr>
                <w:sz w:val="21"/>
                <w:szCs w:val="21"/>
                <w:color w:val="auto"/>
              </w:rPr>
            </w:pPr>
          </w:p>
        </w:tc>
        <w:tc>
          <w:tcPr>
            <w:tcW w:w="1140" w:type="dxa"/>
            <w:vAlign w:val="bottom"/>
            <w:tcBorders>
              <w:top w:val="single" w:sz="8" w:color="auto"/>
            </w:tcBorders>
            <w:shd w:val="clear" w:color="auto" w:fill="EAF9E8"/>
          </w:tcPr>
          <w:p>
            <w:pPr>
              <w:spacing w:after="0"/>
              <w:rPr>
                <w:sz w:val="21"/>
                <w:szCs w:val="21"/>
                <w:color w:val="auto"/>
              </w:rPr>
            </w:pPr>
          </w:p>
        </w:tc>
        <w:tc>
          <w:tcPr>
            <w:tcW w:w="360" w:type="dxa"/>
            <w:vAlign w:val="bottom"/>
            <w:shd w:val="clear" w:color="auto" w:fill="EAF9E8"/>
          </w:tcPr>
          <w:p>
            <w:pPr>
              <w:spacing w:after="0"/>
              <w:rPr>
                <w:sz w:val="21"/>
                <w:szCs w:val="21"/>
                <w:color w:val="auto"/>
              </w:rPr>
            </w:pPr>
          </w:p>
        </w:tc>
        <w:tc>
          <w:tcPr>
            <w:tcW w:w="120" w:type="dxa"/>
            <w:vAlign w:val="bottom"/>
            <w:tcBorders>
              <w:top w:val="single" w:sz="8" w:color="auto"/>
            </w:tcBorders>
            <w:shd w:val="clear" w:color="auto" w:fill="EAF9E8"/>
          </w:tcPr>
          <w:p>
            <w:pPr>
              <w:spacing w:after="0"/>
              <w:rPr>
                <w:sz w:val="21"/>
                <w:szCs w:val="21"/>
                <w:color w:val="auto"/>
              </w:rPr>
            </w:pPr>
          </w:p>
        </w:tc>
        <w:tc>
          <w:tcPr>
            <w:tcW w:w="1140" w:type="dxa"/>
            <w:vAlign w:val="bottom"/>
            <w:tcBorders>
              <w:top w:val="single" w:sz="8" w:color="auto"/>
            </w:tcBorders>
            <w:shd w:val="clear" w:color="auto" w:fill="EAF9E8"/>
          </w:tcPr>
          <w:p>
            <w:pPr>
              <w:spacing w:after="0"/>
              <w:rPr>
                <w:sz w:val="21"/>
                <w:szCs w:val="21"/>
                <w:color w:val="auto"/>
              </w:rPr>
            </w:pPr>
          </w:p>
        </w:tc>
        <w:tc>
          <w:tcPr>
            <w:tcW w:w="320" w:type="dxa"/>
            <w:vAlign w:val="bottom"/>
            <w:shd w:val="clear" w:color="auto" w:fill="EAF9E8"/>
          </w:tcPr>
          <w:p>
            <w:pPr>
              <w:spacing w:after="0"/>
              <w:rPr>
                <w:sz w:val="21"/>
                <w:szCs w:val="21"/>
                <w:color w:val="auto"/>
              </w:rPr>
            </w:pPr>
          </w:p>
        </w:tc>
        <w:tc>
          <w:tcPr>
            <w:tcW w:w="160" w:type="dxa"/>
            <w:vAlign w:val="bottom"/>
            <w:tcBorders>
              <w:top w:val="single" w:sz="8" w:color="auto"/>
            </w:tcBorders>
            <w:shd w:val="clear" w:color="auto" w:fill="EAF9E8"/>
          </w:tcPr>
          <w:p>
            <w:pPr>
              <w:spacing w:after="0"/>
              <w:rPr>
                <w:sz w:val="21"/>
                <w:szCs w:val="21"/>
                <w:color w:val="auto"/>
              </w:rPr>
            </w:pPr>
          </w:p>
        </w:tc>
        <w:tc>
          <w:tcPr>
            <w:tcW w:w="1100" w:type="dxa"/>
            <w:vAlign w:val="bottom"/>
            <w:tcBorders>
              <w:top w:val="single" w:sz="8" w:color="auto"/>
            </w:tcBorders>
            <w:shd w:val="clear" w:color="auto" w:fill="EAF9E8"/>
          </w:tcPr>
          <w:p>
            <w:pPr>
              <w:spacing w:after="0"/>
              <w:rPr>
                <w:sz w:val="21"/>
                <w:szCs w:val="21"/>
                <w:color w:val="auto"/>
              </w:rPr>
            </w:pPr>
          </w:p>
        </w:tc>
        <w:tc>
          <w:tcPr>
            <w:tcW w:w="320" w:type="dxa"/>
            <w:vAlign w:val="bottom"/>
            <w:shd w:val="clear" w:color="auto" w:fill="EAF9E8"/>
          </w:tcPr>
          <w:p>
            <w:pPr>
              <w:spacing w:after="0"/>
              <w:rPr>
                <w:sz w:val="21"/>
                <w:szCs w:val="21"/>
                <w:color w:val="auto"/>
              </w:rPr>
            </w:pPr>
          </w:p>
        </w:tc>
        <w:tc>
          <w:tcPr>
            <w:tcW w:w="120" w:type="dxa"/>
            <w:vAlign w:val="bottom"/>
            <w:tcBorders>
              <w:top w:val="single" w:sz="8" w:color="auto"/>
            </w:tcBorders>
            <w:shd w:val="clear" w:color="auto" w:fill="EAF9E8"/>
          </w:tcPr>
          <w:p>
            <w:pPr>
              <w:spacing w:after="0"/>
              <w:rPr>
                <w:sz w:val="21"/>
                <w:szCs w:val="21"/>
                <w:color w:val="auto"/>
              </w:rPr>
            </w:pPr>
          </w:p>
        </w:tc>
        <w:tc>
          <w:tcPr>
            <w:tcW w:w="1140" w:type="dxa"/>
            <w:vAlign w:val="bottom"/>
            <w:tcBorders>
              <w:top w:val="single" w:sz="8" w:color="auto"/>
            </w:tcBorders>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r>
      <w:tr>
        <w:trPr>
          <w:trHeight w:val="485"/>
        </w:trPr>
        <w:tc>
          <w:tcPr>
            <w:tcW w:w="3900" w:type="dxa"/>
            <w:vAlign w:val="bottom"/>
          </w:tcPr>
          <w:p>
            <w:pPr>
              <w:ind w:left="160"/>
              <w:spacing w:after="0"/>
              <w:rPr>
                <w:sz w:val="20"/>
                <w:szCs w:val="20"/>
                <w:color w:val="auto"/>
              </w:rPr>
            </w:pPr>
            <w:r>
              <w:rPr>
                <w:rFonts w:ascii="Arial" w:cs="Arial" w:eastAsia="Arial" w:hAnsi="Arial"/>
                <w:sz w:val="18"/>
                <w:szCs w:val="18"/>
                <w:color w:val="auto"/>
              </w:rPr>
              <w:t>Match funded liability (2)</w:t>
            </w: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Dec. 2014</w:t>
            </w:r>
          </w:p>
        </w:tc>
        <w:tc>
          <w:tcPr>
            <w:tcW w:w="36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Dec. 2009</w:t>
            </w: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300,000</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75,514</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224,486</w:t>
            </w:r>
          </w:p>
        </w:tc>
      </w:tr>
      <w:tr>
        <w:trPr>
          <w:trHeight w:val="244"/>
        </w:trPr>
        <w:tc>
          <w:tcPr>
            <w:tcW w:w="3900" w:type="dxa"/>
            <w:vAlign w:val="bottom"/>
            <w:shd w:val="clear" w:color="auto" w:fill="EAF9E8"/>
          </w:tcPr>
          <w:p>
            <w:pPr>
              <w:ind w:left="160"/>
              <w:spacing w:after="0"/>
              <w:rPr>
                <w:sz w:val="20"/>
                <w:szCs w:val="20"/>
                <w:color w:val="auto"/>
              </w:rPr>
            </w:pPr>
            <w:r>
              <w:rPr>
                <w:rFonts w:ascii="Arial" w:cs="Arial" w:eastAsia="Arial" w:hAnsi="Arial"/>
                <w:sz w:val="18"/>
                <w:szCs w:val="18"/>
                <w:color w:val="auto"/>
              </w:rPr>
              <w:t>Match funded liability (3)</w:t>
            </w:r>
          </w:p>
        </w:tc>
        <w:tc>
          <w:tcPr>
            <w:tcW w:w="114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83"/>
              </w:rPr>
              <w:t>Jan. 2019</w:t>
            </w:r>
          </w:p>
        </w:tc>
        <w:tc>
          <w:tcPr>
            <w:tcW w:w="360" w:type="dxa"/>
            <w:vAlign w:val="bottom"/>
            <w:shd w:val="clear" w:color="auto" w:fill="EAF9E8"/>
          </w:tcPr>
          <w:p>
            <w:pPr>
              <w:spacing w:after="0"/>
              <w:rPr>
                <w:sz w:val="21"/>
                <w:szCs w:val="21"/>
                <w:color w:val="auto"/>
              </w:rPr>
            </w:pPr>
          </w:p>
        </w:tc>
        <w:tc>
          <w:tcPr>
            <w:tcW w:w="114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83"/>
              </w:rPr>
              <w:t>Jan. 2010</w:t>
            </w:r>
          </w:p>
        </w:tc>
        <w:tc>
          <w:tcPr>
            <w:tcW w:w="36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11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200,000</w:t>
            </w:r>
          </w:p>
        </w:tc>
        <w:tc>
          <w:tcPr>
            <w:tcW w:w="32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1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120,780</w:t>
            </w:r>
          </w:p>
        </w:tc>
        <w:tc>
          <w:tcPr>
            <w:tcW w:w="32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12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79,220</w:t>
            </w:r>
          </w:p>
        </w:tc>
      </w:tr>
      <w:tr>
        <w:trPr>
          <w:trHeight w:val="242"/>
        </w:trPr>
        <w:tc>
          <w:tcPr>
            <w:tcW w:w="3900" w:type="dxa"/>
            <w:vAlign w:val="bottom"/>
          </w:tcPr>
          <w:p>
            <w:pPr>
              <w:ind w:left="160"/>
              <w:spacing w:after="0"/>
              <w:rPr>
                <w:sz w:val="20"/>
                <w:szCs w:val="20"/>
                <w:color w:val="auto"/>
              </w:rPr>
            </w:pPr>
            <w:r>
              <w:rPr>
                <w:rFonts w:ascii="Arial" w:cs="Arial" w:eastAsia="Arial" w:hAnsi="Arial"/>
                <w:sz w:val="18"/>
                <w:szCs w:val="18"/>
                <w:color w:val="auto"/>
              </w:rPr>
              <w:t>Match funded liability</w:t>
            </w: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Dec 2013</w:t>
            </w:r>
          </w:p>
        </w:tc>
        <w:tc>
          <w:tcPr>
            <w:tcW w:w="36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Dec. 2010</w:t>
            </w: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250,000</w:t>
            </w: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133,595</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116,405</w:t>
            </w:r>
          </w:p>
        </w:tc>
      </w:tr>
      <w:tr>
        <w:trPr>
          <w:trHeight w:val="244"/>
        </w:trPr>
        <w:tc>
          <w:tcPr>
            <w:tcW w:w="3900" w:type="dxa"/>
            <w:vAlign w:val="bottom"/>
            <w:shd w:val="clear" w:color="auto" w:fill="EAF9E8"/>
          </w:tcPr>
          <w:p>
            <w:pPr>
              <w:ind w:left="160"/>
              <w:spacing w:after="0"/>
              <w:rPr>
                <w:sz w:val="20"/>
                <w:szCs w:val="20"/>
                <w:color w:val="auto"/>
              </w:rPr>
            </w:pPr>
            <w:r>
              <w:rPr>
                <w:rFonts w:ascii="Arial" w:cs="Arial" w:eastAsia="Arial" w:hAnsi="Arial"/>
                <w:sz w:val="18"/>
                <w:szCs w:val="18"/>
                <w:color w:val="auto"/>
              </w:rPr>
              <w:t>Match funded liability (4)</w:t>
            </w:r>
          </w:p>
        </w:tc>
        <w:tc>
          <w:tcPr>
            <w:tcW w:w="114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88"/>
              </w:rPr>
              <w:t>May 2011</w:t>
            </w:r>
          </w:p>
        </w:tc>
        <w:tc>
          <w:tcPr>
            <w:tcW w:w="360" w:type="dxa"/>
            <w:vAlign w:val="bottom"/>
            <w:shd w:val="clear" w:color="auto" w:fill="EAF9E8"/>
          </w:tcPr>
          <w:p>
            <w:pPr>
              <w:spacing w:after="0"/>
              <w:rPr>
                <w:sz w:val="21"/>
                <w:szCs w:val="21"/>
                <w:color w:val="auto"/>
              </w:rPr>
            </w:pPr>
          </w:p>
        </w:tc>
        <w:tc>
          <w:tcPr>
            <w:tcW w:w="114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88"/>
              </w:rPr>
              <w:t>May 2010</w:t>
            </w:r>
          </w:p>
        </w:tc>
        <w:tc>
          <w:tcPr>
            <w:tcW w:w="36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11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500,000</w:t>
            </w:r>
          </w:p>
        </w:tc>
        <w:tc>
          <w:tcPr>
            <w:tcW w:w="32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1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390,332</w:t>
            </w:r>
          </w:p>
        </w:tc>
        <w:tc>
          <w:tcPr>
            <w:tcW w:w="32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12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109,668</w:t>
            </w:r>
          </w:p>
        </w:tc>
      </w:tr>
      <w:tr>
        <w:trPr>
          <w:trHeight w:val="20"/>
        </w:trPr>
        <w:tc>
          <w:tcPr>
            <w:tcW w:w="39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39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1,250,000</w:t>
            </w:r>
          </w:p>
        </w:tc>
        <w:tc>
          <w:tcPr>
            <w:tcW w:w="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720,221</w:t>
            </w:r>
          </w:p>
        </w:tc>
        <w:tc>
          <w:tcPr>
            <w:tcW w:w="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529,779</w:t>
            </w:r>
          </w:p>
        </w:tc>
        <w:tc>
          <w:tcPr>
            <w:tcW w:w="100" w:type="dxa"/>
            <w:vAlign w:val="bottom"/>
          </w:tcPr>
          <w:p>
            <w:pPr>
              <w:spacing w:after="0"/>
              <w:rPr>
                <w:sz w:val="20"/>
                <w:szCs w:val="20"/>
                <w:color w:val="auto"/>
              </w:rPr>
            </w:pPr>
          </w:p>
        </w:tc>
      </w:tr>
      <w:tr>
        <w:trPr>
          <w:trHeight w:val="243"/>
        </w:trPr>
        <w:tc>
          <w:tcPr>
            <w:tcW w:w="3900" w:type="dxa"/>
            <w:vAlign w:val="bottom"/>
            <w:shd w:val="clear" w:color="auto" w:fill="EAF9E8"/>
          </w:tcPr>
          <w:p>
            <w:pPr>
              <w:ind w:left="160"/>
              <w:spacing w:after="0"/>
              <w:rPr>
                <w:sz w:val="20"/>
                <w:szCs w:val="20"/>
                <w:color w:val="auto"/>
              </w:rPr>
            </w:pPr>
            <w:r>
              <w:rPr>
                <w:rFonts w:ascii="Arial" w:cs="Arial" w:eastAsia="Arial" w:hAnsi="Arial"/>
                <w:sz w:val="18"/>
                <w:szCs w:val="18"/>
                <w:color w:val="auto"/>
              </w:rPr>
              <w:t>Fee reimbursement advance (5)</w:t>
            </w:r>
          </w:p>
        </w:tc>
        <w:tc>
          <w:tcPr>
            <w:tcW w:w="114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88"/>
              </w:rPr>
              <w:t>Mar. 2014</w:t>
            </w:r>
          </w:p>
        </w:tc>
        <w:tc>
          <w:tcPr>
            <w:tcW w:w="360" w:type="dxa"/>
            <w:vAlign w:val="bottom"/>
            <w:shd w:val="clear" w:color="auto" w:fill="EAF9E8"/>
          </w:tcPr>
          <w:p>
            <w:pPr>
              <w:spacing w:after="0"/>
              <w:rPr>
                <w:sz w:val="21"/>
                <w:szCs w:val="21"/>
                <w:color w:val="auto"/>
              </w:rPr>
            </w:pPr>
          </w:p>
        </w:tc>
        <w:tc>
          <w:tcPr>
            <w:tcW w:w="114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91"/>
              </w:rPr>
              <w:t>Mar. 2010</w:t>
            </w:r>
          </w:p>
        </w:tc>
        <w:tc>
          <w:tcPr>
            <w:tcW w:w="36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11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60,000</w:t>
            </w:r>
          </w:p>
        </w:tc>
        <w:tc>
          <w:tcPr>
            <w:tcW w:w="32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1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12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60,000</w:t>
            </w:r>
          </w:p>
        </w:tc>
      </w:tr>
      <w:tr>
        <w:trPr>
          <w:trHeight w:val="250"/>
        </w:trPr>
        <w:tc>
          <w:tcPr>
            <w:tcW w:w="3900" w:type="dxa"/>
            <w:vAlign w:val="bottom"/>
          </w:tcPr>
          <w:p>
            <w:pPr>
              <w:ind w:left="160"/>
              <w:spacing w:after="0"/>
              <w:rPr>
                <w:sz w:val="20"/>
                <w:szCs w:val="20"/>
                <w:color w:val="auto"/>
              </w:rPr>
            </w:pPr>
            <w:r>
              <w:rPr>
                <w:rFonts w:ascii="Arial" w:cs="Arial" w:eastAsia="Arial" w:hAnsi="Arial"/>
                <w:sz w:val="18"/>
                <w:szCs w:val="18"/>
                <w:color w:val="auto"/>
              </w:rPr>
              <w:t>Term note</w:t>
            </w: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Mar. 2014</w:t>
            </w:r>
          </w:p>
        </w:tc>
        <w:tc>
          <w:tcPr>
            <w:tcW w:w="36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Mar. 2014</w:t>
            </w:r>
          </w:p>
        </w:tc>
        <w:tc>
          <w:tcPr>
            <w:tcW w:w="3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7,000</w:t>
            </w:r>
          </w:p>
        </w:tc>
        <w:tc>
          <w:tcPr>
            <w:tcW w:w="3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7,000</w:t>
            </w:r>
          </w:p>
        </w:tc>
        <w:tc>
          <w:tcPr>
            <w:tcW w:w="100" w:type="dxa"/>
            <w:vAlign w:val="bottom"/>
          </w:tcPr>
          <w:p>
            <w:pPr>
              <w:spacing w:after="0"/>
              <w:rPr>
                <w:sz w:val="21"/>
                <w:szCs w:val="21"/>
                <w:color w:val="auto"/>
              </w:rPr>
            </w:pPr>
          </w:p>
        </w:tc>
      </w:tr>
      <w:tr>
        <w:trPr>
          <w:trHeight w:val="243"/>
        </w:trPr>
        <w:tc>
          <w:tcPr>
            <w:tcW w:w="3900" w:type="dxa"/>
            <w:vAlign w:val="bottom"/>
            <w:shd w:val="clear" w:color="auto" w:fill="EAF9E8"/>
          </w:tcPr>
          <w:p>
            <w:pPr>
              <w:spacing w:after="0"/>
              <w:rPr>
                <w:sz w:val="21"/>
                <w:szCs w:val="21"/>
                <w:color w:val="auto"/>
              </w:rPr>
            </w:pPr>
          </w:p>
        </w:tc>
        <w:tc>
          <w:tcPr>
            <w:tcW w:w="1140" w:type="dxa"/>
            <w:vAlign w:val="bottom"/>
            <w:shd w:val="clear" w:color="auto" w:fill="EAF9E8"/>
          </w:tcPr>
          <w:p>
            <w:pPr>
              <w:spacing w:after="0"/>
              <w:rPr>
                <w:sz w:val="21"/>
                <w:szCs w:val="21"/>
                <w:color w:val="auto"/>
              </w:rPr>
            </w:pPr>
          </w:p>
        </w:tc>
        <w:tc>
          <w:tcPr>
            <w:tcW w:w="360" w:type="dxa"/>
            <w:vAlign w:val="bottom"/>
            <w:shd w:val="clear" w:color="auto" w:fill="EAF9E8"/>
          </w:tcPr>
          <w:p>
            <w:pPr>
              <w:spacing w:after="0"/>
              <w:rPr>
                <w:sz w:val="21"/>
                <w:szCs w:val="21"/>
                <w:color w:val="auto"/>
              </w:rPr>
            </w:pPr>
          </w:p>
        </w:tc>
        <w:tc>
          <w:tcPr>
            <w:tcW w:w="1140" w:type="dxa"/>
            <w:vAlign w:val="bottom"/>
            <w:shd w:val="clear" w:color="auto" w:fill="EAF9E8"/>
          </w:tcPr>
          <w:p>
            <w:pPr>
              <w:spacing w:after="0"/>
              <w:rPr>
                <w:sz w:val="21"/>
                <w:szCs w:val="21"/>
                <w:color w:val="auto"/>
              </w:rPr>
            </w:pPr>
          </w:p>
        </w:tc>
        <w:tc>
          <w:tcPr>
            <w:tcW w:w="36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11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67,000</w:t>
            </w:r>
          </w:p>
        </w:tc>
        <w:tc>
          <w:tcPr>
            <w:tcW w:w="32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1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12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67,000</w:t>
            </w:r>
          </w:p>
        </w:tc>
      </w:tr>
      <w:tr>
        <w:trPr>
          <w:trHeight w:val="20"/>
        </w:trPr>
        <w:tc>
          <w:tcPr>
            <w:tcW w:w="39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39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1,317,000</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720,221</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596,779</w:t>
            </w:r>
          </w:p>
        </w:tc>
      </w:tr>
      <w:tr>
        <w:trPr>
          <w:trHeight w:val="243"/>
        </w:trPr>
        <w:tc>
          <w:tcPr>
            <w:tcW w:w="39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3900" w:type="dxa"/>
            <w:vAlign w:val="bottom"/>
            <w:shd w:val="clear" w:color="auto" w:fill="EAF9E8"/>
          </w:tcPr>
          <w:p>
            <w:pPr>
              <w:spacing w:after="0"/>
              <w:rPr>
                <w:sz w:val="20"/>
                <w:szCs w:val="20"/>
                <w:color w:val="auto"/>
              </w:rPr>
            </w:pPr>
            <w:r>
              <w:rPr>
                <w:rFonts w:ascii="Arial" w:cs="Arial" w:eastAsia="Arial" w:hAnsi="Arial"/>
                <w:sz w:val="18"/>
                <w:szCs w:val="18"/>
                <w:color w:val="auto"/>
              </w:rPr>
              <w:t>Corporate Items and Other:</w:t>
            </w:r>
          </w:p>
        </w:tc>
        <w:tc>
          <w:tcPr>
            <w:tcW w:w="1140" w:type="dxa"/>
            <w:vAlign w:val="bottom"/>
            <w:shd w:val="clear" w:color="auto" w:fill="EAF9E8"/>
          </w:tcPr>
          <w:p>
            <w:pPr>
              <w:spacing w:after="0"/>
              <w:rPr>
                <w:sz w:val="21"/>
                <w:szCs w:val="21"/>
                <w:color w:val="auto"/>
              </w:rPr>
            </w:pPr>
          </w:p>
        </w:tc>
        <w:tc>
          <w:tcPr>
            <w:tcW w:w="360" w:type="dxa"/>
            <w:vAlign w:val="bottom"/>
            <w:shd w:val="clear" w:color="auto" w:fill="EAF9E8"/>
          </w:tcPr>
          <w:p>
            <w:pPr>
              <w:spacing w:after="0"/>
              <w:rPr>
                <w:sz w:val="21"/>
                <w:szCs w:val="21"/>
                <w:color w:val="auto"/>
              </w:rPr>
            </w:pPr>
          </w:p>
        </w:tc>
        <w:tc>
          <w:tcPr>
            <w:tcW w:w="1140" w:type="dxa"/>
            <w:vAlign w:val="bottom"/>
            <w:shd w:val="clear" w:color="auto" w:fill="EAF9E8"/>
          </w:tcPr>
          <w:p>
            <w:pPr>
              <w:spacing w:after="0"/>
              <w:rPr>
                <w:sz w:val="21"/>
                <w:szCs w:val="21"/>
                <w:color w:val="auto"/>
              </w:rPr>
            </w:pPr>
          </w:p>
        </w:tc>
        <w:tc>
          <w:tcPr>
            <w:tcW w:w="36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1140" w:type="dxa"/>
            <w:vAlign w:val="bottom"/>
            <w:shd w:val="clear" w:color="auto" w:fill="EAF9E8"/>
          </w:tcPr>
          <w:p>
            <w:pPr>
              <w:spacing w:after="0"/>
              <w:rPr>
                <w:sz w:val="21"/>
                <w:szCs w:val="21"/>
                <w:color w:val="auto"/>
              </w:rPr>
            </w:pPr>
          </w:p>
        </w:tc>
        <w:tc>
          <w:tcPr>
            <w:tcW w:w="32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100" w:type="dxa"/>
            <w:vAlign w:val="bottom"/>
            <w:shd w:val="clear" w:color="auto" w:fill="EAF9E8"/>
          </w:tcPr>
          <w:p>
            <w:pPr>
              <w:spacing w:after="0"/>
              <w:rPr>
                <w:sz w:val="21"/>
                <w:szCs w:val="21"/>
                <w:color w:val="auto"/>
              </w:rPr>
            </w:pPr>
          </w:p>
        </w:tc>
        <w:tc>
          <w:tcPr>
            <w:tcW w:w="32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114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r>
      <w:tr>
        <w:trPr>
          <w:trHeight w:val="242"/>
        </w:trPr>
        <w:tc>
          <w:tcPr>
            <w:tcW w:w="3900" w:type="dxa"/>
            <w:vAlign w:val="bottom"/>
          </w:tcPr>
          <w:p>
            <w:pPr>
              <w:ind w:left="160"/>
              <w:spacing w:after="0"/>
              <w:rPr>
                <w:sz w:val="20"/>
                <w:szCs w:val="20"/>
                <w:color w:val="auto"/>
              </w:rPr>
            </w:pPr>
            <w:r>
              <w:rPr>
                <w:rFonts w:ascii="Arial" w:cs="Arial" w:eastAsia="Arial" w:hAnsi="Arial"/>
                <w:sz w:val="18"/>
                <w:szCs w:val="18"/>
                <w:color w:val="auto"/>
              </w:rPr>
              <w:t>Convertible notes</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Aug. 2024</w:t>
            </w:r>
          </w:p>
        </w:tc>
        <w:tc>
          <w:tcPr>
            <w:tcW w:w="36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56,435</w:t>
            </w:r>
          </w:p>
        </w:tc>
      </w:tr>
      <w:tr>
        <w:trPr>
          <w:trHeight w:val="244"/>
        </w:trPr>
        <w:tc>
          <w:tcPr>
            <w:tcW w:w="3900" w:type="dxa"/>
            <w:vAlign w:val="bottom"/>
            <w:shd w:val="clear" w:color="auto" w:fill="EAF9E8"/>
          </w:tcPr>
          <w:p>
            <w:pPr>
              <w:ind w:left="160"/>
              <w:spacing w:after="0"/>
              <w:rPr>
                <w:sz w:val="20"/>
                <w:szCs w:val="20"/>
                <w:color w:val="auto"/>
              </w:rPr>
            </w:pPr>
            <w:r>
              <w:rPr>
                <w:rFonts w:ascii="Arial" w:cs="Arial" w:eastAsia="Arial" w:hAnsi="Arial"/>
                <w:sz w:val="18"/>
                <w:szCs w:val="18"/>
                <w:color w:val="auto"/>
              </w:rPr>
              <w:t>Capital securities</w:t>
            </w:r>
          </w:p>
        </w:tc>
        <w:tc>
          <w:tcPr>
            <w:tcW w:w="114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90"/>
              </w:rPr>
              <w:t>Aug. 2027</w:t>
            </w:r>
          </w:p>
        </w:tc>
        <w:tc>
          <w:tcPr>
            <w:tcW w:w="360" w:type="dxa"/>
            <w:vAlign w:val="bottom"/>
            <w:shd w:val="clear" w:color="auto" w:fill="EAF9E8"/>
          </w:tcPr>
          <w:p>
            <w:pPr>
              <w:spacing w:after="0"/>
              <w:rPr>
                <w:sz w:val="21"/>
                <w:szCs w:val="21"/>
                <w:color w:val="auto"/>
              </w:rPr>
            </w:pPr>
          </w:p>
        </w:tc>
        <w:tc>
          <w:tcPr>
            <w:tcW w:w="114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99"/>
              </w:rPr>
              <w:t>N/A</w:t>
            </w:r>
          </w:p>
        </w:tc>
        <w:tc>
          <w:tcPr>
            <w:tcW w:w="36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11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1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12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53,379</w:t>
            </w:r>
          </w:p>
        </w:tc>
      </w:tr>
      <w:tr>
        <w:trPr>
          <w:trHeight w:val="20"/>
        </w:trPr>
        <w:tc>
          <w:tcPr>
            <w:tcW w:w="39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39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109,814</w:t>
            </w:r>
          </w:p>
        </w:tc>
        <w:tc>
          <w:tcPr>
            <w:tcW w:w="100" w:type="dxa"/>
            <w:vAlign w:val="bottom"/>
          </w:tcPr>
          <w:p>
            <w:pPr>
              <w:spacing w:after="0"/>
              <w:rPr>
                <w:sz w:val="20"/>
                <w:szCs w:val="20"/>
                <w:color w:val="auto"/>
              </w:rPr>
            </w:pPr>
          </w:p>
        </w:tc>
      </w:tr>
      <w:tr>
        <w:trPr>
          <w:trHeight w:val="243"/>
        </w:trPr>
        <w:tc>
          <w:tcPr>
            <w:tcW w:w="3900" w:type="dxa"/>
            <w:vAlign w:val="bottom"/>
            <w:shd w:val="clear" w:color="auto" w:fill="EAF9E8"/>
          </w:tcPr>
          <w:p>
            <w:pPr>
              <w:spacing w:after="0"/>
              <w:rPr>
                <w:sz w:val="21"/>
                <w:szCs w:val="21"/>
                <w:color w:val="auto"/>
              </w:rPr>
            </w:pPr>
          </w:p>
        </w:tc>
        <w:tc>
          <w:tcPr>
            <w:tcW w:w="1140" w:type="dxa"/>
            <w:vAlign w:val="bottom"/>
            <w:shd w:val="clear" w:color="auto" w:fill="EAF9E8"/>
          </w:tcPr>
          <w:p>
            <w:pPr>
              <w:spacing w:after="0"/>
              <w:rPr>
                <w:sz w:val="21"/>
                <w:szCs w:val="21"/>
                <w:color w:val="auto"/>
              </w:rPr>
            </w:pPr>
          </w:p>
        </w:tc>
        <w:tc>
          <w:tcPr>
            <w:tcW w:w="360" w:type="dxa"/>
            <w:vAlign w:val="bottom"/>
            <w:shd w:val="clear" w:color="auto" w:fill="EAF9E8"/>
          </w:tcPr>
          <w:p>
            <w:pPr>
              <w:spacing w:after="0"/>
              <w:rPr>
                <w:sz w:val="21"/>
                <w:szCs w:val="21"/>
                <w:color w:val="auto"/>
              </w:rPr>
            </w:pPr>
          </w:p>
        </w:tc>
        <w:tc>
          <w:tcPr>
            <w:tcW w:w="1140" w:type="dxa"/>
            <w:vAlign w:val="bottom"/>
            <w:shd w:val="clear" w:color="auto" w:fill="EAF9E8"/>
          </w:tcPr>
          <w:p>
            <w:pPr>
              <w:spacing w:after="0"/>
              <w:rPr>
                <w:sz w:val="21"/>
                <w:szCs w:val="21"/>
                <w:color w:val="auto"/>
              </w:rPr>
            </w:pPr>
          </w:p>
        </w:tc>
        <w:tc>
          <w:tcPr>
            <w:tcW w:w="36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11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1,317,000</w:t>
            </w:r>
          </w:p>
        </w:tc>
        <w:tc>
          <w:tcPr>
            <w:tcW w:w="32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1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720,221</w:t>
            </w:r>
          </w:p>
        </w:tc>
        <w:tc>
          <w:tcPr>
            <w:tcW w:w="32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12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706,593</w:t>
            </w:r>
          </w:p>
        </w:tc>
      </w:tr>
      <w:tr>
        <w:trPr>
          <w:trHeight w:val="249"/>
        </w:trPr>
        <w:tc>
          <w:tcPr>
            <w:tcW w:w="3900" w:type="dxa"/>
            <w:vAlign w:val="bottom"/>
          </w:tcPr>
          <w:p>
            <w:pPr>
              <w:spacing w:after="0"/>
              <w:rPr>
                <w:sz w:val="20"/>
                <w:szCs w:val="20"/>
                <w:color w:val="auto"/>
              </w:rPr>
            </w:pPr>
            <w:r>
              <w:rPr>
                <w:rFonts w:ascii="Arial" w:cs="Arial" w:eastAsia="Arial" w:hAnsi="Arial"/>
                <w:sz w:val="18"/>
                <w:szCs w:val="18"/>
                <w:color w:val="auto"/>
              </w:rPr>
              <w:t>Discount (5)</w:t>
            </w:r>
          </w:p>
        </w:tc>
        <w:tc>
          <w:tcPr>
            <w:tcW w:w="1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(12,335)</w:t>
            </w:r>
          </w:p>
        </w:tc>
      </w:tr>
      <w:tr>
        <w:trPr>
          <w:trHeight w:val="21"/>
        </w:trPr>
        <w:tc>
          <w:tcPr>
            <w:tcW w:w="39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3"/>
        </w:trPr>
        <w:tc>
          <w:tcPr>
            <w:tcW w:w="3900" w:type="dxa"/>
            <w:vAlign w:val="bottom"/>
            <w:shd w:val="clear" w:color="auto" w:fill="EAF9E8"/>
          </w:tcPr>
          <w:p>
            <w:pPr>
              <w:spacing w:after="0"/>
              <w:rPr>
                <w:sz w:val="21"/>
                <w:szCs w:val="21"/>
                <w:color w:val="auto"/>
              </w:rPr>
            </w:pPr>
          </w:p>
        </w:tc>
        <w:tc>
          <w:tcPr>
            <w:tcW w:w="1140" w:type="dxa"/>
            <w:vAlign w:val="bottom"/>
            <w:shd w:val="clear" w:color="auto" w:fill="EAF9E8"/>
          </w:tcPr>
          <w:p>
            <w:pPr>
              <w:spacing w:after="0"/>
              <w:rPr>
                <w:sz w:val="21"/>
                <w:szCs w:val="21"/>
                <w:color w:val="auto"/>
              </w:rPr>
            </w:pPr>
          </w:p>
        </w:tc>
        <w:tc>
          <w:tcPr>
            <w:tcW w:w="360" w:type="dxa"/>
            <w:vAlign w:val="bottom"/>
            <w:shd w:val="clear" w:color="auto" w:fill="EAF9E8"/>
          </w:tcPr>
          <w:p>
            <w:pPr>
              <w:spacing w:after="0"/>
              <w:rPr>
                <w:sz w:val="21"/>
                <w:szCs w:val="21"/>
                <w:color w:val="auto"/>
              </w:rPr>
            </w:pPr>
          </w:p>
        </w:tc>
        <w:tc>
          <w:tcPr>
            <w:tcW w:w="1140" w:type="dxa"/>
            <w:vAlign w:val="bottom"/>
            <w:shd w:val="clear" w:color="auto" w:fill="EAF9E8"/>
          </w:tcPr>
          <w:p>
            <w:pPr>
              <w:spacing w:after="0"/>
              <w:rPr>
                <w:sz w:val="21"/>
                <w:szCs w:val="21"/>
                <w:color w:val="auto"/>
              </w:rPr>
            </w:pPr>
          </w:p>
        </w:tc>
        <w:tc>
          <w:tcPr>
            <w:tcW w:w="48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1,317,000</w:t>
            </w:r>
          </w:p>
        </w:tc>
        <w:tc>
          <w:tcPr>
            <w:tcW w:w="48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720,221</w:t>
            </w:r>
          </w:p>
        </w:tc>
        <w:tc>
          <w:tcPr>
            <w:tcW w:w="44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694,258</w:t>
            </w:r>
          </w:p>
        </w:tc>
      </w:tr>
      <w:tr>
        <w:trPr>
          <w:trHeight w:val="20"/>
        </w:trPr>
        <w:tc>
          <w:tcPr>
            <w:tcW w:w="39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ind w:left="580" w:right="160" w:hanging="572"/>
        <w:spacing w:after="0" w:line="256" w:lineRule="auto"/>
        <w:tabs>
          <w:tab w:leader="none" w:pos="5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Unused borrowing capacity is available for use only to the extent that there are assets that have been pledged as collateral to a facility but against which no funds have been drawn. With respect to our match funded facilities, all eligible advances had been pledged to a facility at September 30, 2009. However, we had $213,015 of available borrowing capacity readily available to us on September 30, 2009 because we had pledged collateral to, but not yet elected to draw on, our facilities.</w:t>
      </w:r>
    </w:p>
    <w:p>
      <w:pPr>
        <w:spacing w:after="0" w:line="224" w:lineRule="exact"/>
        <w:rPr>
          <w:rFonts w:ascii="Arial" w:cs="Arial" w:eastAsia="Arial" w:hAnsi="Arial"/>
          <w:sz w:val="18"/>
          <w:szCs w:val="18"/>
          <w:color w:val="auto"/>
        </w:rPr>
      </w:pPr>
    </w:p>
    <w:p>
      <w:pPr>
        <w:ind w:left="580" w:right="140" w:hanging="572"/>
        <w:spacing w:after="0" w:line="255" w:lineRule="auto"/>
        <w:tabs>
          <w:tab w:leader="none" w:pos="5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$165,000 fixed-rate term note issued in 2006 was carried on the balance sheet at fair value as the result of a designated fair value hedging relationship that we established through the use of an interest rate swap. We terminated the related interest rate swap in February 2008 and began amortizing the basis adjustment to interest expense over the remaining term of the note. We repaid this note early on August 11, 2009 and recognized a $1,600 net gain on redemption resulting from the realization of the unamortized basis adjustment, partly offset by early termination consent payments to note holders and recognition of unamortized financing costs.</w:t>
      </w:r>
    </w:p>
    <w:p>
      <w:pPr>
        <w:spacing w:after="0" w:line="223" w:lineRule="exact"/>
        <w:rPr>
          <w:rFonts w:ascii="Arial" w:cs="Arial" w:eastAsia="Arial" w:hAnsi="Arial"/>
          <w:sz w:val="18"/>
          <w:szCs w:val="18"/>
          <w:color w:val="auto"/>
        </w:rPr>
      </w:pPr>
    </w:p>
    <w:p>
      <w:pPr>
        <w:ind w:left="580" w:right="20" w:hanging="572"/>
        <w:spacing w:after="0" w:line="332" w:lineRule="auto"/>
        <w:tabs>
          <w:tab w:leader="none" w:pos="5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In January 2009, we renewed this facility early and extended the amortization date to January 2010. We extended the time required to secure AAA ratings from two rating agencies on this note until December 2009 as required in the renewal and in subsequent amendments.</w:t>
      </w:r>
    </w:p>
    <w:p>
      <w:pPr>
        <w:spacing w:after="0" w:line="166" w:lineRule="exact"/>
        <w:rPr>
          <w:rFonts w:ascii="Arial" w:cs="Arial" w:eastAsia="Arial" w:hAnsi="Arial"/>
          <w:sz w:val="16"/>
          <w:szCs w:val="16"/>
          <w:color w:val="auto"/>
        </w:rPr>
      </w:pPr>
    </w:p>
    <w:p>
      <w:pPr>
        <w:ind w:left="580" w:right="240" w:hanging="572"/>
        <w:spacing w:after="0" w:line="268" w:lineRule="auto"/>
        <w:tabs>
          <w:tab w:leader="none" w:pos="5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On May 5, 2009, we negotiated an increase in the borrowing capacity under this facility to $500,000 and extended the amortization date by one year to May 4, 2010.</w:t>
      </w:r>
    </w:p>
    <w:p>
      <w:pPr>
        <w:spacing w:after="0" w:line="212" w:lineRule="exact"/>
        <w:rPr>
          <w:rFonts w:ascii="Arial" w:cs="Arial" w:eastAsia="Arial" w:hAnsi="Arial"/>
          <w:sz w:val="18"/>
          <w:szCs w:val="18"/>
          <w:color w:val="auto"/>
        </w:rPr>
      </w:pPr>
    </w:p>
    <w:p>
      <w:pPr>
        <w:ind w:left="580" w:right="60" w:hanging="572"/>
        <w:spacing w:after="0" w:line="306" w:lineRule="auto"/>
        <w:tabs>
          <w:tab w:leader="none" w:pos="5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fee reimbursement advance is payable annually in five installments of $12,000. The advance does not carry a stated rate of interest. However, we are compensating the lender for the advance of funds by forgoing payment of fees due from the lender over the five-year term of the advance. Accordingly, we recorded the advance as a zero-coupon bond issued at an initial implied discount of $14,627.</w:t>
      </w:r>
    </w:p>
    <w:p>
      <w:pPr>
        <w:spacing w:after="0" w:line="161" w:lineRule="exact"/>
        <w:rPr>
          <w:sz w:val="20"/>
          <w:szCs w:val="20"/>
          <w:color w:val="auto"/>
        </w:rPr>
      </w:pPr>
    </w:p>
    <w:p>
      <w:pPr>
        <w:ind w:right="260" w:firstLine="439"/>
        <w:spacing w:after="0" w:line="268" w:lineRule="auto"/>
        <w:rPr>
          <w:sz w:val="20"/>
          <w:szCs w:val="20"/>
          <w:color w:val="auto"/>
        </w:rPr>
      </w:pPr>
      <w:r>
        <w:rPr>
          <w:rFonts w:ascii="Arial" w:cs="Arial" w:eastAsia="Arial" w:hAnsi="Arial"/>
          <w:sz w:val="18"/>
          <w:szCs w:val="18"/>
          <w:color w:val="auto"/>
        </w:rPr>
        <w:t>Certain of our credit facilities require that we maintain minimum liquidity levels or borrowing capacity As of September 30, 2009, we are in compliance with these requirements.</w:t>
      </w:r>
    </w:p>
    <w:p>
      <w:pPr>
        <w:spacing w:after="0" w:line="186" w:lineRule="exact"/>
        <w:rPr>
          <w:sz w:val="20"/>
          <w:szCs w:val="20"/>
          <w:color w:val="auto"/>
        </w:rPr>
      </w:pPr>
    </w:p>
    <w:p>
      <w:pPr>
        <w:ind w:right="500" w:firstLine="436"/>
        <w:spacing w:after="0" w:line="268" w:lineRule="auto"/>
        <w:rPr>
          <w:sz w:val="20"/>
          <w:szCs w:val="20"/>
          <w:color w:val="auto"/>
        </w:rPr>
      </w:pPr>
      <w:r>
        <w:rPr>
          <w:rFonts w:ascii="Arial" w:cs="Arial" w:eastAsia="Arial" w:hAnsi="Arial"/>
          <w:sz w:val="18"/>
          <w:szCs w:val="18"/>
          <w:color w:val="auto"/>
        </w:rPr>
        <w:t>We had an aggregate balance of $413,374 outstanding at September 30, 2009 under match funded financing facilities that are scheduled to enter their amortization period or reach their maturity date during the next twelve months.</w:t>
      </w:r>
    </w:p>
    <w:p>
      <w:pPr>
        <w:spacing w:after="0" w:line="186" w:lineRule="exact"/>
        <w:rPr>
          <w:sz w:val="20"/>
          <w:szCs w:val="20"/>
          <w:color w:val="auto"/>
        </w:rPr>
      </w:pPr>
    </w:p>
    <w:p>
      <w:pPr>
        <w:ind w:right="20" w:firstLine="436"/>
        <w:spacing w:after="0" w:line="294" w:lineRule="auto"/>
        <w:rPr>
          <w:sz w:val="20"/>
          <w:szCs w:val="20"/>
          <w:color w:val="auto"/>
        </w:rPr>
      </w:pPr>
      <w:r>
        <w:rPr>
          <w:rFonts w:ascii="Arial" w:cs="Arial" w:eastAsia="Arial" w:hAnsi="Arial"/>
          <w:sz w:val="16"/>
          <w:szCs w:val="16"/>
          <w:color w:val="auto"/>
        </w:rPr>
        <w:t>With the expectation that advance balances will decline into the future, we nevertheless continue to pursue additional advance financing to provide the flexibility to acquire new servicing business. If the credit markets deteriorate, we may need to increase our advance financing capacity at a cost that is higher than under our current advance facilities. We will continue to work closely with current and prospective lenders as we monitor our operating results, financing capacity requirements and terms for advance funding available in the market. We are poised to take advantage of opportunities to increase financing at a reasonable cost or to act aggressively to ensure adequate liquidity if additional financing is needed and credit markets remain challenged.</w:t>
      </w:r>
    </w:p>
    <w:p>
      <w:pPr>
        <w:sectPr>
          <w:pgSz w:w="11900" w:h="16838" w:orient="portrait"/>
          <w:cols w:equalWidth="0" w:num="1">
            <w:col w:w="11420"/>
          </w:cols>
          <w:pgMar w:left="240" w:top="131" w:right="239" w:bottom="724" w:gutter="0" w:footer="0" w:header="0"/>
        </w:sectPr>
      </w:pP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724" w:gutter="0" w:footer="0" w:header="0"/>
          <w:type w:val="continuous"/>
        </w:sectPr>
      </w:pPr>
    </w:p>
    <w:bookmarkStart w:id="60" w:name="page61"/>
    <w:bookmarkEnd w:id="60"/>
    <w:p>
      <w:pPr>
        <w:ind w:left="580"/>
        <w:spacing w:after="0"/>
        <w:rPr>
          <w:sz w:val="20"/>
          <w:szCs w:val="20"/>
          <w:color w:val="auto"/>
        </w:rPr>
      </w:pPr>
      <w:r>
        <w:rPr>
          <w:rFonts w:ascii="Arial" w:cs="Arial" w:eastAsia="Arial" w:hAnsi="Arial"/>
          <w:sz w:val="18"/>
          <w:szCs w:val="18"/>
          <w:color w:val="auto"/>
        </w:rPr>
        <w:t>We have the following potential uses of cash:</w:t>
      </w:r>
    </w:p>
    <w:p>
      <w:pPr>
        <w:spacing w:after="0" w:line="279" w:lineRule="exact"/>
        <w:rPr>
          <w:sz w:val="20"/>
          <w:szCs w:val="20"/>
          <w:color w:val="auto"/>
        </w:rPr>
      </w:pPr>
    </w:p>
    <w:p>
      <w:pPr>
        <w:ind w:left="1160" w:hanging="571"/>
        <w:spacing w:after="0"/>
        <w:tabs>
          <w:tab w:leader="none" w:pos="11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Cash requirements to fund advances and the cash needs of our existing operations, including acquiring MSRs;</w:t>
      </w:r>
    </w:p>
    <w:p>
      <w:pPr>
        <w:spacing w:after="0" w:line="279" w:lineRule="exact"/>
        <w:rPr>
          <w:rFonts w:ascii="Arial" w:cs="Arial" w:eastAsia="Arial" w:hAnsi="Arial"/>
          <w:sz w:val="18"/>
          <w:szCs w:val="18"/>
          <w:color w:val="auto"/>
        </w:rPr>
      </w:pPr>
    </w:p>
    <w:p>
      <w:pPr>
        <w:ind w:left="1160" w:hanging="571"/>
        <w:spacing w:after="0"/>
        <w:tabs>
          <w:tab w:leader="none" w:pos="11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Repayment of the investment line in the amount of $3,000 per month; and</w:t>
      </w:r>
    </w:p>
    <w:p>
      <w:pPr>
        <w:spacing w:after="0" w:line="279" w:lineRule="exact"/>
        <w:rPr>
          <w:rFonts w:ascii="Arial" w:cs="Arial" w:eastAsia="Arial" w:hAnsi="Arial"/>
          <w:sz w:val="18"/>
          <w:szCs w:val="18"/>
          <w:color w:val="auto"/>
        </w:rPr>
      </w:pPr>
    </w:p>
    <w:p>
      <w:pPr>
        <w:jc w:val="both"/>
        <w:ind w:left="580" w:right="3120" w:firstLine="9"/>
        <w:spacing w:after="0" w:line="634" w:lineRule="auto"/>
        <w:tabs>
          <w:tab w:leader="none" w:pos="1147" w:val="left"/>
        </w:tabs>
        <w:numPr>
          <w:ilvl w:val="0"/>
          <w:numId w:val="47"/>
        </w:numPr>
        <w:rPr>
          <w:rFonts w:ascii="Arial" w:cs="Arial" w:eastAsia="Arial" w:hAnsi="Arial"/>
          <w:sz w:val="16"/>
          <w:szCs w:val="16"/>
          <w:color w:val="auto"/>
        </w:rPr>
      </w:pPr>
      <w:r>
        <w:rPr>
          <w:rFonts w:ascii="Arial" w:cs="Arial" w:eastAsia="Arial" w:hAnsi="Arial"/>
          <w:sz w:val="16"/>
          <w:szCs w:val="16"/>
          <w:color w:val="auto"/>
        </w:rPr>
        <w:t>Repayment of advance borrowing should the advance rate decline or the collateral become ineligible. Regarding our equity investment in BMS Holdings, we are under no obligation to provide additional funding. Significant uses of funds during the first nine months of 2009 included the following:</w:t>
      </w:r>
    </w:p>
    <w:p>
      <w:pPr>
        <w:ind w:left="1160" w:hanging="571"/>
        <w:spacing w:after="0"/>
        <w:tabs>
          <w:tab w:leader="none" w:pos="11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Net repayments under match funded advance financing facilities of $427,328;</w:t>
      </w:r>
    </w:p>
    <w:p>
      <w:pPr>
        <w:spacing w:after="0" w:line="279" w:lineRule="exact"/>
        <w:rPr>
          <w:rFonts w:ascii="Arial" w:cs="Arial" w:eastAsia="Arial" w:hAnsi="Arial"/>
          <w:sz w:val="18"/>
          <w:szCs w:val="18"/>
          <w:color w:val="auto"/>
        </w:rPr>
      </w:pPr>
    </w:p>
    <w:p>
      <w:pPr>
        <w:ind w:left="1160" w:hanging="571"/>
        <w:spacing w:after="0"/>
        <w:tabs>
          <w:tab w:leader="none" w:pos="11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Reduction in servicer liabilities of $76,294;</w:t>
      </w:r>
    </w:p>
    <w:p>
      <w:pPr>
        <w:spacing w:after="0" w:line="279" w:lineRule="exact"/>
        <w:rPr>
          <w:rFonts w:ascii="Arial" w:cs="Arial" w:eastAsia="Arial" w:hAnsi="Arial"/>
          <w:sz w:val="18"/>
          <w:szCs w:val="18"/>
          <w:color w:val="auto"/>
        </w:rPr>
      </w:pPr>
    </w:p>
    <w:p>
      <w:pPr>
        <w:ind w:left="1160" w:hanging="571"/>
        <w:spacing w:after="0"/>
        <w:tabs>
          <w:tab w:leader="none" w:pos="11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Net repayment of lines of credit and other secured borrowings of $49,870;</w:t>
      </w:r>
    </w:p>
    <w:p>
      <w:pPr>
        <w:spacing w:after="0" w:line="279" w:lineRule="exact"/>
        <w:rPr>
          <w:rFonts w:ascii="Arial" w:cs="Arial" w:eastAsia="Arial" w:hAnsi="Arial"/>
          <w:sz w:val="18"/>
          <w:szCs w:val="18"/>
          <w:color w:val="auto"/>
        </w:rPr>
      </w:pPr>
    </w:p>
    <w:p>
      <w:pPr>
        <w:ind w:left="1160" w:hanging="571"/>
        <w:spacing w:after="0"/>
        <w:tabs>
          <w:tab w:leader="none" w:pos="11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Repayments on the investment line term note of $33,551;</w:t>
      </w:r>
    </w:p>
    <w:p>
      <w:pPr>
        <w:spacing w:after="0" w:line="279" w:lineRule="exact"/>
        <w:rPr>
          <w:rFonts w:ascii="Arial" w:cs="Arial" w:eastAsia="Arial" w:hAnsi="Arial"/>
          <w:sz w:val="18"/>
          <w:szCs w:val="18"/>
          <w:color w:val="auto"/>
        </w:rPr>
      </w:pPr>
    </w:p>
    <w:p>
      <w:pPr>
        <w:ind w:left="1160" w:hanging="571"/>
        <w:spacing w:after="0"/>
        <w:tabs>
          <w:tab w:leader="none" w:pos="11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Repurchase of $25,920 face amount of our 3.25% Convertible Notes for $24,612;</w:t>
      </w:r>
    </w:p>
    <w:p>
      <w:pPr>
        <w:spacing w:after="0" w:line="279" w:lineRule="exact"/>
        <w:rPr>
          <w:rFonts w:ascii="Arial" w:cs="Arial" w:eastAsia="Arial" w:hAnsi="Arial"/>
          <w:sz w:val="18"/>
          <w:szCs w:val="18"/>
          <w:color w:val="auto"/>
        </w:rPr>
      </w:pPr>
    </w:p>
    <w:p>
      <w:pPr>
        <w:ind w:left="1160" w:hanging="571"/>
        <w:spacing w:after="0"/>
        <w:tabs>
          <w:tab w:leader="none" w:pos="11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Distribution of $20,028 of cash in connection with the Separation;</w:t>
      </w:r>
    </w:p>
    <w:p>
      <w:pPr>
        <w:spacing w:after="0" w:line="279" w:lineRule="exact"/>
        <w:rPr>
          <w:rFonts w:ascii="Arial" w:cs="Arial" w:eastAsia="Arial" w:hAnsi="Arial"/>
          <w:sz w:val="18"/>
          <w:szCs w:val="18"/>
          <w:color w:val="auto"/>
        </w:rPr>
      </w:pPr>
    </w:p>
    <w:p>
      <w:pPr>
        <w:ind w:left="1160" w:hanging="571"/>
        <w:spacing w:after="0"/>
        <w:tabs>
          <w:tab w:leader="none" w:pos="11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Repurchase of 1,000,000 shares of outstanding common stock at a per-share price of $11.00; and</w:t>
      </w:r>
    </w:p>
    <w:p>
      <w:pPr>
        <w:spacing w:after="0" w:line="279" w:lineRule="exact"/>
        <w:rPr>
          <w:rFonts w:ascii="Arial" w:cs="Arial" w:eastAsia="Arial" w:hAnsi="Arial"/>
          <w:sz w:val="18"/>
          <w:szCs w:val="18"/>
          <w:color w:val="auto"/>
        </w:rPr>
      </w:pPr>
    </w:p>
    <w:p>
      <w:pPr>
        <w:ind w:left="1160" w:hanging="571"/>
        <w:spacing w:after="0"/>
        <w:tabs>
          <w:tab w:leader="none" w:pos="11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Purchases of MSRs of $10,241.</w:t>
      </w:r>
    </w:p>
    <w:p>
      <w:pPr>
        <w:spacing w:after="0" w:line="27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Significant sources of funds during the first nine months of 2009 included the following:</w:t>
      </w:r>
    </w:p>
    <w:p>
      <w:pPr>
        <w:spacing w:after="0" w:line="279" w:lineRule="exact"/>
        <w:rPr>
          <w:sz w:val="20"/>
          <w:szCs w:val="20"/>
          <w:color w:val="auto"/>
        </w:rPr>
      </w:pPr>
    </w:p>
    <w:p>
      <w:pPr>
        <w:ind w:left="1160" w:hanging="571"/>
        <w:spacing w:after="0"/>
        <w:tabs>
          <w:tab w:leader="none" w:pos="11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Net proceeds of $274,980 from the sale of 32,200,000 shares of our common stock at $9.00 per share;</w:t>
      </w:r>
    </w:p>
    <w:p>
      <w:pPr>
        <w:spacing w:after="0" w:line="279" w:lineRule="exact"/>
        <w:rPr>
          <w:rFonts w:ascii="Arial" w:cs="Arial" w:eastAsia="Arial" w:hAnsi="Arial"/>
          <w:sz w:val="18"/>
          <w:szCs w:val="18"/>
          <w:color w:val="auto"/>
        </w:rPr>
      </w:pPr>
    </w:p>
    <w:p>
      <w:pPr>
        <w:ind w:left="1160" w:hanging="571"/>
        <w:spacing w:after="0"/>
        <w:tabs>
          <w:tab w:leader="none" w:pos="11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Net cash flows of $229,529 from operating activities, including net cash collections on advances and match funded advances of $187,669;</w:t>
      </w:r>
    </w:p>
    <w:p>
      <w:pPr>
        <w:spacing w:after="0" w:line="302" w:lineRule="exact"/>
        <w:rPr>
          <w:rFonts w:ascii="Arial" w:cs="Arial" w:eastAsia="Arial" w:hAnsi="Arial"/>
          <w:sz w:val="16"/>
          <w:szCs w:val="16"/>
          <w:color w:val="auto"/>
        </w:rPr>
      </w:pPr>
    </w:p>
    <w:p>
      <w:pPr>
        <w:ind w:left="1160" w:hanging="571"/>
        <w:spacing w:after="0"/>
        <w:tabs>
          <w:tab w:leader="none" w:pos="11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Proceeds of $67,000 under two new facilities;</w:t>
      </w:r>
    </w:p>
    <w:p>
      <w:pPr>
        <w:spacing w:after="0" w:line="279" w:lineRule="exact"/>
        <w:rPr>
          <w:rFonts w:ascii="Arial" w:cs="Arial" w:eastAsia="Arial" w:hAnsi="Arial"/>
          <w:sz w:val="18"/>
          <w:szCs w:val="18"/>
          <w:color w:val="auto"/>
        </w:rPr>
      </w:pPr>
    </w:p>
    <w:p>
      <w:pPr>
        <w:ind w:left="1160" w:hanging="571"/>
        <w:spacing w:after="0"/>
        <w:tabs>
          <w:tab w:leader="none" w:pos="11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Proceeds of $60,187 from the sale of 5,471,500 shares of common stock at a per-share price of $11.00 in a private placement transaction; and</w:t>
      </w:r>
    </w:p>
    <w:p>
      <w:pPr>
        <w:spacing w:after="0" w:line="302" w:lineRule="exact"/>
        <w:rPr>
          <w:rFonts w:ascii="Arial" w:cs="Arial" w:eastAsia="Arial" w:hAnsi="Arial"/>
          <w:sz w:val="16"/>
          <w:szCs w:val="16"/>
          <w:color w:val="auto"/>
        </w:rPr>
      </w:pPr>
    </w:p>
    <w:p>
      <w:pPr>
        <w:ind w:left="1160" w:hanging="571"/>
        <w:spacing w:after="0"/>
        <w:tabs>
          <w:tab w:leader="none" w:pos="11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Distributions of $4,496 received from asset management entities.</w:t>
      </w:r>
    </w:p>
    <w:p>
      <w:pPr>
        <w:spacing w:after="0" w:line="252" w:lineRule="exact"/>
        <w:rPr>
          <w:sz w:val="20"/>
          <w:szCs w:val="20"/>
          <w:color w:val="auto"/>
        </w:rPr>
      </w:pPr>
    </w:p>
    <w:p>
      <w:pPr>
        <w:ind w:right="80" w:firstLine="439"/>
        <w:spacing w:after="0" w:line="298" w:lineRule="auto"/>
        <w:rPr>
          <w:sz w:val="20"/>
          <w:szCs w:val="20"/>
          <w:color w:val="auto"/>
        </w:rPr>
      </w:pPr>
      <w:r>
        <w:rPr>
          <w:rFonts w:ascii="Arial" w:cs="Arial" w:eastAsia="Arial" w:hAnsi="Arial"/>
          <w:sz w:val="16"/>
          <w:szCs w:val="16"/>
          <w:color w:val="auto"/>
        </w:rPr>
        <w:t>Our operating activities provided $229,529 and $21,228 of cash flows during the first nine months of 2009 and 2008, respectively. The improvement in 2009 over 2008 primarily reflects a decline in net cash used by trading activities. Trading activities provided (used) net cash of $2,500 and $(238,303) during the first nine months of 2009 and 2008, respectively. Net cash used by trading activities during the first nine months of 2008 primarily reflects our net cash investment in auction rate securities of $271,114 offset in part by the sale or maturity of CMOs and other short-term investment grade securities.</w:t>
      </w:r>
    </w:p>
    <w:p>
      <w:pPr>
        <w:spacing w:after="0" w:line="167" w:lineRule="exact"/>
        <w:rPr>
          <w:sz w:val="20"/>
          <w:szCs w:val="20"/>
          <w:color w:val="auto"/>
        </w:rPr>
      </w:pPr>
    </w:p>
    <w:p>
      <w:pPr>
        <w:ind w:right="60" w:firstLine="439"/>
        <w:spacing w:after="0" w:line="298" w:lineRule="auto"/>
        <w:rPr>
          <w:sz w:val="20"/>
          <w:szCs w:val="20"/>
          <w:color w:val="auto"/>
        </w:rPr>
      </w:pPr>
      <w:r>
        <w:rPr>
          <w:rFonts w:ascii="Arial" w:cs="Arial" w:eastAsia="Arial" w:hAnsi="Arial"/>
          <w:sz w:val="16"/>
          <w:szCs w:val="16"/>
          <w:color w:val="auto"/>
        </w:rPr>
        <w:t>Our investing activities provided (used) cash flows totaling $(7,151) and $35,436 during the first nine months of 2009 and 2008, respectively. The increase in cash used by investing activities in the first nine months of 2009 over 2008 is primarily due to a $28,252 decline in distributions received from the asset management entities, a $6,603 increase in purchases of MSRs and a $4,314 decline in proceeds from sales of real estate. In addition, cash provided by investing activities during the first nine months of 2008 included proceeds of $5,985 received from the sale of commercial MSRs.</w:t>
      </w:r>
    </w:p>
    <w:p>
      <w:pPr>
        <w:spacing w:after="0" w:line="167" w:lineRule="exact"/>
        <w:rPr>
          <w:sz w:val="20"/>
          <w:szCs w:val="20"/>
          <w:color w:val="auto"/>
        </w:rPr>
      </w:pPr>
    </w:p>
    <w:p>
      <w:pPr>
        <w:ind w:firstLine="439"/>
        <w:spacing w:after="0" w:line="286" w:lineRule="auto"/>
        <w:rPr>
          <w:sz w:val="20"/>
          <w:szCs w:val="20"/>
          <w:color w:val="auto"/>
        </w:rPr>
      </w:pPr>
      <w:r>
        <w:rPr>
          <w:rFonts w:ascii="Arial" w:cs="Arial" w:eastAsia="Arial" w:hAnsi="Arial"/>
          <w:sz w:val="16"/>
          <w:szCs w:val="16"/>
          <w:color w:val="auto"/>
        </w:rPr>
        <w:t>Our financing activities used cash flows of $227,549 and $8,601 during the first nine months of 2009 and 2008, respectively. The cash flows used by financing activities in the first nine months of 2009 primarily reflects $477,198 of net repayments of match funded liabilities and other secured borrowings, including $458,315 attributed to the Servicing business, and the distribution of $20,028 of cash in connection with the Separation. These payments were offset in part by $324,167 of net proceeds from the issuance and repurchase of common stock, including $274,980 from the public offering of 32,200,000 shares in August. Net repayments of match funded liabilities were $427,328 during the first nine months of 2009 as compared to $17,313 for the same period of 2008. This increase in repayments is the result of the decline in servicing advances and the implementation of our strategy in the third quarter to reduce interest expense by using our cash reserves to reduce advance borrowings. Repayments of $97,987 on the MSR term note was partly offset by the net proceeds of $67,000 from two new secured borrowings. We also repaid $33,551 on the investment line, $18,154 on the Class A-1 notes and paid $24,612 to repurchase a portion of our 3.25% Convertible Notes. The cash flows used by financing activities in the first nine months of 2008 primarily reflects $213,030 of net repayments of borrowings under match funded advance facilities and lines of credit and other secured borrowings, including $159,304 attributed to Servicing business, offset by $215,220 of net borrowings under the investment line to invest in auction rate securities. The net repayment of borrowings in 2008 reflects declines in servicing advances, MSRs, loans and securities. We also paid $10,797 to repurchase debt securities.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OFF-BALANCE SHEET ARRANGEMENTS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31" w:lineRule="exact"/>
        <w:rPr>
          <w:sz w:val="20"/>
          <w:szCs w:val="20"/>
          <w:color w:val="auto"/>
        </w:rPr>
      </w:pPr>
    </w:p>
    <w:p>
      <w:pPr>
        <w:ind w:firstLine="436"/>
        <w:spacing w:after="0" w:line="306" w:lineRule="auto"/>
        <w:rPr>
          <w:sz w:val="20"/>
          <w:szCs w:val="20"/>
          <w:color w:val="auto"/>
        </w:rPr>
      </w:pPr>
      <w:r>
        <w:rPr>
          <w:rFonts w:ascii="Arial" w:cs="Arial" w:eastAsia="Arial" w:hAnsi="Arial"/>
          <w:sz w:val="16"/>
          <w:szCs w:val="16"/>
          <w:color w:val="auto"/>
        </w:rPr>
        <w:t>We believe that we have adequate resources to fund all unfunded commitments to the extent required and meet all contractual obligations as they come due. Such contractual obligations include our Convertible Notes, Capital Trust Securities, lines of credit and other secured borrowings, the investment line term note and operating leases. See Note 24 to the Interim Consolidated Financial Statements for additional information regarding commitments and contingencies.</w:t>
      </w:r>
    </w:p>
    <w:p>
      <w:pPr>
        <w:sectPr>
          <w:pgSz w:w="11900" w:h="16838" w:orient="portrait"/>
          <w:cols w:equalWidth="0" w:num="1">
            <w:col w:w="11400"/>
          </w:cols>
          <w:pgMar w:left="240" w:top="388" w:right="259" w:bottom="0" w:gutter="0" w:footer="0" w:header="0"/>
        </w:sectPr>
      </w:pPr>
    </w:p>
    <w:bookmarkStart w:id="61" w:name="page62"/>
    <w:bookmarkEnd w:id="61"/>
    <w:p>
      <w:pPr>
        <w:jc w:val="cente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160655</wp:posOffset>
            </wp:positionV>
            <wp:extent cx="7267575"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019"/>
          </w:cols>
          <w:pgMar w:left="1440" w:top="131" w:right="1440"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31" w:lineRule="exact"/>
        <w:rPr>
          <w:sz w:val="20"/>
          <w:szCs w:val="20"/>
          <w:color w:val="auto"/>
        </w:rPr>
      </w:pPr>
    </w:p>
    <w:p>
      <w:pPr>
        <w:ind w:right="60" w:firstLine="439"/>
        <w:spacing w:after="0" w:line="294" w:lineRule="auto"/>
        <w:rPr>
          <w:sz w:val="20"/>
          <w:szCs w:val="20"/>
          <w:color w:val="auto"/>
        </w:rPr>
      </w:pPr>
      <w:r>
        <w:rPr>
          <w:rFonts w:ascii="Arial" w:cs="Arial" w:eastAsia="Arial" w:hAnsi="Arial"/>
          <w:sz w:val="16"/>
          <w:szCs w:val="16"/>
          <w:color w:val="auto"/>
        </w:rPr>
        <w:t>In the normal course of business, we engage in transactions with a variety of financial institutions and other companies that are not reflected on our balance sheet. In addition, through our investment in subordinate and residual securities, we provide credit support to the senior classes of securities. We are subject to potential financial loss if the counterparties to our off-balance sheet transactions are unable to complete an agreed upon transaction. We seek to limit counterparty risk through financial analysis, dollar limits and other monitoring procedures. We have also entered into non-cancelable operating leases and have committed to invest up to an additional $33,840 in ONL and related entities.</w:t>
      </w:r>
    </w:p>
    <w:p>
      <w:pPr>
        <w:spacing w:after="0" w:line="170" w:lineRule="exact"/>
        <w:rPr>
          <w:sz w:val="20"/>
          <w:szCs w:val="20"/>
          <w:color w:val="auto"/>
        </w:rPr>
      </w:pPr>
    </w:p>
    <w:p>
      <w:pPr>
        <w:ind w:right="20" w:firstLine="439"/>
        <w:spacing w:after="0" w:line="259" w:lineRule="auto"/>
        <w:rPr>
          <w:sz w:val="20"/>
          <w:szCs w:val="20"/>
          <w:color w:val="auto"/>
        </w:rPr>
      </w:pPr>
      <w:r>
        <w:rPr>
          <w:rFonts w:ascii="Arial" w:cs="Arial" w:eastAsia="Arial" w:hAnsi="Arial"/>
          <w:sz w:val="18"/>
          <w:szCs w:val="18"/>
          <w:i w:val="1"/>
          <w:iCs w:val="1"/>
          <w:color w:val="auto"/>
        </w:rPr>
        <w:t xml:space="preserve">Derivatives. </w:t>
      </w:r>
      <w:r>
        <w:rPr>
          <w:rFonts w:ascii="Arial" w:cs="Arial" w:eastAsia="Arial" w:hAnsi="Arial"/>
          <w:sz w:val="18"/>
          <w:szCs w:val="18"/>
          <w:color w:val="auto"/>
        </w:rPr>
        <w:t>We record all derivative transactions at fair value on our consolidated balance sheets. We use these derivatives primarily to manage our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rate risk and foreign exchange rate risk. The notional amounts of our derivative contracts do not reflect our exposure to credit loss. See Note 21 to our Interim Consolidated Financial Statements for additional information regarding derivatives.</w:t>
      </w:r>
    </w:p>
    <w:p>
      <w:pPr>
        <w:spacing w:after="0" w:line="194" w:lineRule="exact"/>
        <w:rPr>
          <w:sz w:val="20"/>
          <w:szCs w:val="20"/>
          <w:color w:val="auto"/>
        </w:rPr>
      </w:pPr>
    </w:p>
    <w:p>
      <w:pPr>
        <w:ind w:right="600" w:firstLine="439"/>
        <w:spacing w:after="0" w:line="268" w:lineRule="auto"/>
        <w:rPr>
          <w:sz w:val="20"/>
          <w:szCs w:val="20"/>
          <w:color w:val="auto"/>
        </w:rPr>
      </w:pPr>
      <w:r>
        <w:rPr>
          <w:rFonts w:ascii="Arial" w:cs="Arial" w:eastAsia="Arial" w:hAnsi="Arial"/>
          <w:sz w:val="18"/>
          <w:szCs w:val="18"/>
          <w:i w:val="1"/>
          <w:iCs w:val="1"/>
          <w:color w:val="auto"/>
        </w:rPr>
        <w:t xml:space="preserve">Involvement with SPEs. </w:t>
      </w:r>
      <w:r>
        <w:rPr>
          <w:rFonts w:ascii="Arial" w:cs="Arial" w:eastAsia="Arial" w:hAnsi="Arial"/>
          <w:sz w:val="18"/>
          <w:szCs w:val="18"/>
          <w:color w:val="auto"/>
        </w:rPr>
        <w:t>We use SPEs for a variety of purposes but principally in the financing of our servicing advances and in the securitization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mortgage loans.</w:t>
      </w:r>
    </w:p>
    <w:p>
      <w:pPr>
        <w:spacing w:after="0" w:line="186" w:lineRule="exact"/>
        <w:rPr>
          <w:sz w:val="20"/>
          <w:szCs w:val="20"/>
          <w:color w:val="auto"/>
        </w:rPr>
      </w:pPr>
    </w:p>
    <w:p>
      <w:pPr>
        <w:ind w:right="460" w:firstLine="439"/>
        <w:spacing w:after="0" w:line="256" w:lineRule="auto"/>
        <w:rPr>
          <w:sz w:val="20"/>
          <w:szCs w:val="20"/>
          <w:color w:val="auto"/>
        </w:rPr>
      </w:pPr>
      <w:r>
        <w:rPr>
          <w:rFonts w:ascii="Arial" w:cs="Arial" w:eastAsia="Arial" w:hAnsi="Arial"/>
          <w:sz w:val="18"/>
          <w:szCs w:val="18"/>
          <w:color w:val="auto"/>
        </w:rPr>
        <w:t>Our securitizations of mortgage loans have been structured as sales. The SPEs to which we have transferred the mortgage loans are qualifying special purpose entities (QSPEs) and are therefore not currently subject to consolidation. We have retained both subordinated and residual interests in these QSPEs. Where we are the servicer of the securitized loans, we generally have the right to repurchase the mortgage loans from the QSPE when the costs exceed the benefits of servicing the remaining loans.</w:t>
      </w:r>
    </w:p>
    <w:p>
      <w:pPr>
        <w:spacing w:after="0" w:line="197" w:lineRule="exact"/>
        <w:rPr>
          <w:sz w:val="20"/>
          <w:szCs w:val="20"/>
          <w:color w:val="auto"/>
        </w:rPr>
      </w:pPr>
    </w:p>
    <w:p>
      <w:pPr>
        <w:ind w:firstLine="436"/>
        <w:spacing w:after="0" w:line="291" w:lineRule="auto"/>
        <w:rPr>
          <w:sz w:val="20"/>
          <w:szCs w:val="20"/>
          <w:color w:val="auto"/>
        </w:rPr>
      </w:pPr>
      <w:r>
        <w:rPr>
          <w:rFonts w:ascii="Arial" w:cs="Arial" w:eastAsia="Arial" w:hAnsi="Arial"/>
          <w:sz w:val="16"/>
          <w:szCs w:val="16"/>
          <w:color w:val="auto"/>
        </w:rPr>
        <w:t>We generally use match funded securitization facilities to finance our servicing advances. The SPEs to which the advances are transferred in the securitization transaction are included in our consolidated financial statements either because the transfer did not qualify for sales accounting treatment or because the SPE is not a QSPE, and we have the majority equity interest in the SPE, or we are the primary beneficiary where the SPE is also a VIE. The holders of the debt of these SPEs can generally look only to the assets of the SPEs for satisfaction of the debt and have no recourse against OCN. However, OLS has guaranteed the payment of the obligations of the issuer under a match funded facility that closed in April 2008. The maximum amount payable under the guarantee is limited to 10% of the notes outstanding at the end of the facility’s revolving period.</w:t>
      </w:r>
    </w:p>
    <w:p>
      <w:pPr>
        <w:spacing w:after="0" w:line="174" w:lineRule="exact"/>
        <w:rPr>
          <w:sz w:val="20"/>
          <w:szCs w:val="20"/>
          <w:color w:val="auto"/>
        </w:rPr>
      </w:pPr>
    </w:p>
    <w:p>
      <w:pPr>
        <w:ind w:right="340" w:firstLine="439"/>
        <w:spacing w:after="0" w:line="268" w:lineRule="auto"/>
        <w:rPr>
          <w:sz w:val="20"/>
          <w:szCs w:val="20"/>
          <w:color w:val="auto"/>
        </w:rPr>
      </w:pPr>
      <w:r>
        <w:rPr>
          <w:rFonts w:ascii="Arial" w:cs="Arial" w:eastAsia="Arial" w:hAnsi="Arial"/>
          <w:sz w:val="18"/>
          <w:szCs w:val="18"/>
          <w:i w:val="1"/>
          <w:iCs w:val="1"/>
          <w:color w:val="auto"/>
        </w:rPr>
        <w:t xml:space="preserve">VIEs. </w:t>
      </w:r>
      <w:r>
        <w:rPr>
          <w:rFonts w:ascii="Arial" w:cs="Arial" w:eastAsia="Arial" w:hAnsi="Arial"/>
          <w:sz w:val="18"/>
          <w:szCs w:val="18"/>
          <w:color w:val="auto"/>
        </w:rPr>
        <w:t>In addition to certain of our financing SPEs, we have invested in several other VIEs primarily in connection with purchases of whole loans. If we</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 that we are the primary beneficiary of a VIE, we report the VIE in our consolidated financial statements.</w:t>
      </w:r>
    </w:p>
    <w:p>
      <w:pPr>
        <w:spacing w:after="0" w:line="18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See Note 1 to our Interim Consolidated Financial Statements for additional information regarding our investment in SPEs and VIEs.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DEVELOPMENTS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Listed below are recent accounting pronouncements that did have or are expected to have a significant impact upon adoption.</w:t>
      </w:r>
    </w:p>
    <w:p>
      <w:pPr>
        <w:spacing w:after="0" w:line="225" w:lineRule="exact"/>
        <w:rPr>
          <w:sz w:val="20"/>
          <w:szCs w:val="20"/>
          <w:color w:val="auto"/>
        </w:rPr>
      </w:pPr>
    </w:p>
    <w:p>
      <w:pPr>
        <w:ind w:right="60" w:firstLine="439"/>
        <w:spacing w:after="0" w:line="290" w:lineRule="auto"/>
        <w:rPr>
          <w:sz w:val="20"/>
          <w:szCs w:val="20"/>
          <w:color w:val="auto"/>
        </w:rPr>
      </w:pPr>
      <w:r>
        <w:rPr>
          <w:rFonts w:ascii="Arial" w:cs="Arial" w:eastAsia="Arial" w:hAnsi="Arial"/>
          <w:sz w:val="16"/>
          <w:szCs w:val="16"/>
          <w:i w:val="1"/>
          <w:iCs w:val="1"/>
          <w:color w:val="auto"/>
        </w:rPr>
        <w:t xml:space="preserve">SFAS No. 166, Accounting for Transfers of Financial Assets—an amendment of FASB Statement No. 140. </w:t>
      </w:r>
      <w:r>
        <w:rPr>
          <w:rFonts w:ascii="Arial" w:cs="Arial" w:eastAsia="Arial" w:hAnsi="Arial"/>
          <w:sz w:val="16"/>
          <w:szCs w:val="16"/>
          <w:color w:val="auto"/>
        </w:rPr>
        <w:t>This statement clarifies that the objective of the</w:t>
      </w:r>
      <w:r>
        <w:rPr>
          <w:rFonts w:ascii="Arial" w:cs="Arial" w:eastAsia="Arial" w:hAnsi="Arial"/>
          <w:sz w:val="16"/>
          <w:szCs w:val="16"/>
          <w:i w:val="1"/>
          <w:iCs w:val="1"/>
          <w:color w:val="auto"/>
        </w:rPr>
        <w:t xml:space="preserve"> </w:t>
      </w:r>
      <w:r>
        <w:rPr>
          <w:rFonts w:ascii="Arial" w:cs="Arial" w:eastAsia="Arial" w:hAnsi="Arial"/>
          <w:sz w:val="16"/>
          <w:szCs w:val="16"/>
          <w:color w:val="auto"/>
        </w:rPr>
        <w:t>standard is to determine whether a transferor and all of the entities included in the transferor’s financial statements being presented have surrendered control over transferred financial assets. That determination must consider the transferor’s continuing involvements in the transferred financial asset, including all arrangements or agreements made contemporaneously with, or in contemplation of, the transfer, even if they were not entered into at the time of the transfer. This statement modifies the financial-components approach currently used and limits the circumstances in which a financial asset, or portion of a financial asset, should be derecognized when the transferor has not transferred the entire original financial asset to an entity that is not consolidated with the transferor in the financial statements being presented and/or when the transferor has continuing involvement with the transferred financial asset.</w:t>
      </w:r>
    </w:p>
    <w:p>
      <w:pPr>
        <w:spacing w:after="0" w:line="172" w:lineRule="exact"/>
        <w:rPr>
          <w:sz w:val="20"/>
          <w:szCs w:val="20"/>
          <w:color w:val="auto"/>
        </w:rPr>
      </w:pPr>
    </w:p>
    <w:p>
      <w:pPr>
        <w:ind w:firstLine="436"/>
        <w:spacing w:after="0" w:line="254" w:lineRule="auto"/>
        <w:rPr>
          <w:sz w:val="20"/>
          <w:szCs w:val="20"/>
          <w:color w:val="auto"/>
        </w:rPr>
      </w:pPr>
      <w:r>
        <w:rPr>
          <w:rFonts w:ascii="Arial" w:cs="Arial" w:eastAsia="Arial" w:hAnsi="Arial"/>
          <w:sz w:val="18"/>
          <w:szCs w:val="18"/>
          <w:color w:val="auto"/>
        </w:rPr>
        <w:t xml:space="preserve">This statement defines the term </w:t>
      </w:r>
      <w:r>
        <w:rPr>
          <w:rFonts w:ascii="Arial" w:cs="Arial" w:eastAsia="Arial" w:hAnsi="Arial"/>
          <w:sz w:val="18"/>
          <w:szCs w:val="18"/>
          <w:i w:val="1"/>
          <w:iCs w:val="1"/>
          <w:color w:val="auto"/>
        </w:rPr>
        <w:t>participating interest</w:t>
      </w:r>
      <w:r>
        <w:rPr>
          <w:rFonts w:ascii="Arial" w:cs="Arial" w:eastAsia="Arial" w:hAnsi="Arial"/>
          <w:sz w:val="18"/>
          <w:szCs w:val="18"/>
          <w:color w:val="auto"/>
        </w:rPr>
        <w:t xml:space="preserve"> to establish specific conditions for reporting a transfer of a portion of a financial asset as a sale. If the transfer does not meet those conditions, a transferor should account for the transfer as a sale only if it transfers an entire financial asset or a group of entire financial assets and surrenders control over the entire transferred asset(s). This statement requires that a transferor recognize and initially measure at fair value all assets obtained (including a transferor’s beneficial interest) and liabilities incurred as a result of a transfer of financial assets accounted for as a sale. Enhanced disclosures are required to provide financial statement users with greater transparency about transfers of financial assets and a transferor’s continuing involvement with transferred financial assets.</w:t>
      </w:r>
    </w:p>
    <w:p>
      <w:pPr>
        <w:spacing w:after="0" w:line="198" w:lineRule="exact"/>
        <w:rPr>
          <w:sz w:val="20"/>
          <w:szCs w:val="20"/>
          <w:color w:val="auto"/>
        </w:rPr>
      </w:pPr>
    </w:p>
    <w:p>
      <w:pPr>
        <w:ind w:right="440" w:firstLine="436"/>
        <w:spacing w:after="0" w:line="259" w:lineRule="auto"/>
        <w:rPr>
          <w:sz w:val="20"/>
          <w:szCs w:val="20"/>
          <w:color w:val="auto"/>
        </w:rPr>
      </w:pPr>
      <w:r>
        <w:rPr>
          <w:rFonts w:ascii="Arial" w:cs="Arial" w:eastAsia="Arial" w:hAnsi="Arial"/>
          <w:sz w:val="18"/>
          <w:szCs w:val="18"/>
          <w:color w:val="auto"/>
        </w:rPr>
        <w:t>The provisions in for guaranteed mortgage securitizations are removed to require those securitizations to be treated the same as any other transfer of financial assets within the scope of the standard. If such a transfer does not meet the requirements for sale accounting, the securitized mortgage loans should continue to be classified as loans in the transferor’s statement of financial position.</w:t>
      </w:r>
    </w:p>
    <w:p>
      <w:pPr>
        <w:spacing w:after="0" w:line="194" w:lineRule="exact"/>
        <w:rPr>
          <w:sz w:val="20"/>
          <w:szCs w:val="20"/>
          <w:color w:val="auto"/>
        </w:rPr>
      </w:pPr>
    </w:p>
    <w:p>
      <w:pPr>
        <w:jc w:val="both"/>
        <w:ind w:right="140" w:firstLine="436"/>
        <w:spacing w:after="0" w:line="259" w:lineRule="auto"/>
        <w:rPr>
          <w:sz w:val="20"/>
          <w:szCs w:val="20"/>
          <w:color w:val="auto"/>
        </w:rPr>
      </w:pPr>
      <w:r>
        <w:rPr>
          <w:rFonts w:ascii="Arial" w:cs="Arial" w:eastAsia="Arial" w:hAnsi="Arial"/>
          <w:sz w:val="18"/>
          <w:szCs w:val="18"/>
          <w:color w:val="auto"/>
        </w:rPr>
        <w:t>We must adopt this statement as of January 1, 2010 and all reporting periods thereafter. Earlier application is prohibited. This statement must be applied to transfers occurring on or after the effective date. Additionally, the disclosure provisions of this statement should be applied to transfers that occurred both before and after the effective date of this standard. We are evaluating the potential impact of this standard.</w:t>
      </w:r>
    </w:p>
    <w:p>
      <w:pPr>
        <w:sectPr>
          <w:pgSz w:w="11900" w:h="16838" w:orient="portrait"/>
          <w:cols w:equalWidth="0" w:num="1">
            <w:col w:w="11420"/>
          </w:cols>
          <w:pgMar w:left="240" w:top="125" w:right="239" w:bottom="1440" w:gutter="0" w:footer="0" w:header="0"/>
        </w:sectPr>
      </w:pP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63" w:name="page64"/>
    <w:bookmarkEnd w:id="63"/>
    <w:p>
      <w:pPr>
        <w:ind w:firstLine="439"/>
        <w:spacing w:after="0" w:line="259" w:lineRule="auto"/>
        <w:rPr>
          <w:sz w:val="20"/>
          <w:szCs w:val="20"/>
          <w:color w:val="auto"/>
        </w:rPr>
      </w:pPr>
      <w:r>
        <w:rPr>
          <w:rFonts w:ascii="Arial" w:cs="Arial" w:eastAsia="Arial" w:hAnsi="Arial"/>
          <w:sz w:val="18"/>
          <w:szCs w:val="18"/>
          <w:i w:val="1"/>
          <w:iCs w:val="1"/>
          <w:color w:val="auto"/>
        </w:rPr>
        <w:t xml:space="preserve">SFAS No. 167, Amendments to FASB Interpretation No. 46(R). </w:t>
      </w:r>
      <w:r>
        <w:rPr>
          <w:rFonts w:ascii="Arial" w:cs="Arial" w:eastAsia="Arial" w:hAnsi="Arial"/>
          <w:sz w:val="18"/>
          <w:szCs w:val="18"/>
          <w:color w:val="auto"/>
        </w:rPr>
        <w:t>This standard will require an enterprise to perform ongoing periodic assessments to</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 whether the enterprise’s variable interest or interests give it a controlling financial interest in a VIE. This analysis identifies the primary beneficiary of a VIE as the enterprise that has both of the following characteristics:</w:t>
      </w:r>
    </w:p>
    <w:p>
      <w:pPr>
        <w:spacing w:after="0" w:line="208" w:lineRule="exact"/>
        <w:rPr>
          <w:sz w:val="20"/>
          <w:szCs w:val="20"/>
          <w:color w:val="auto"/>
        </w:rPr>
      </w:pPr>
    </w:p>
    <w:p>
      <w:pPr>
        <w:ind w:left="1160" w:hanging="571"/>
        <w:spacing w:after="0"/>
        <w:tabs>
          <w:tab w:leader="none" w:pos="11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power to direct the activities of a variable interest entity that most significantly impact the entity’s economic performance</w:t>
      </w:r>
    </w:p>
    <w:p>
      <w:pPr>
        <w:spacing w:after="0" w:line="279" w:lineRule="exact"/>
        <w:rPr>
          <w:rFonts w:ascii="Arial" w:cs="Arial" w:eastAsia="Arial" w:hAnsi="Arial"/>
          <w:sz w:val="18"/>
          <w:szCs w:val="18"/>
          <w:color w:val="auto"/>
        </w:rPr>
      </w:pPr>
    </w:p>
    <w:p>
      <w:pPr>
        <w:ind w:left="1160" w:right="340" w:hanging="571"/>
        <w:spacing w:after="0" w:line="268" w:lineRule="auto"/>
        <w:tabs>
          <w:tab w:leader="none" w:pos="11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obligation to absorb losses of the entity that could potentially be significant to the VIE or the right to receive benefits from the entity that could potentially be significant to the VIE.</w:t>
      </w:r>
    </w:p>
    <w:p>
      <w:pPr>
        <w:spacing w:after="0" w:line="186" w:lineRule="exact"/>
        <w:rPr>
          <w:sz w:val="20"/>
          <w:szCs w:val="20"/>
          <w:color w:val="auto"/>
        </w:rPr>
      </w:pPr>
    </w:p>
    <w:p>
      <w:pPr>
        <w:ind w:right="280" w:firstLine="439"/>
        <w:spacing w:after="0" w:line="298" w:lineRule="auto"/>
        <w:rPr>
          <w:sz w:val="20"/>
          <w:szCs w:val="20"/>
          <w:color w:val="auto"/>
        </w:rPr>
      </w:pPr>
      <w:r>
        <w:rPr>
          <w:rFonts w:ascii="Arial" w:cs="Arial" w:eastAsia="Arial" w:hAnsi="Arial"/>
          <w:sz w:val="16"/>
          <w:szCs w:val="16"/>
          <w:color w:val="auto"/>
        </w:rPr>
        <w:t>In addition to reintroducing the concept of control into the determination of the primary beneficiary of a VIE, this statement makes numerous other amendments to the current standards to primarily reflect the elimination of the concept of a QSPE. This statement also amends the current standards to require enhanced disclosures that will provide users of financial statements with more transparent information about an enterprise’s involvement in a variable interest entity. The enhanced disclosures are required for any enterprise that holds a variable interest in a VIE.</w:t>
      </w:r>
    </w:p>
    <w:p>
      <w:pPr>
        <w:spacing w:after="0" w:line="167" w:lineRule="exact"/>
        <w:rPr>
          <w:sz w:val="20"/>
          <w:szCs w:val="20"/>
          <w:color w:val="auto"/>
        </w:rPr>
      </w:pPr>
    </w:p>
    <w:p>
      <w:pPr>
        <w:ind w:right="340" w:firstLine="436"/>
        <w:spacing w:after="0" w:line="332" w:lineRule="auto"/>
        <w:rPr>
          <w:sz w:val="20"/>
          <w:szCs w:val="20"/>
          <w:color w:val="auto"/>
        </w:rPr>
      </w:pPr>
      <w:r>
        <w:rPr>
          <w:rFonts w:ascii="Arial" w:cs="Arial" w:eastAsia="Arial" w:hAnsi="Arial"/>
          <w:sz w:val="16"/>
          <w:szCs w:val="16"/>
          <w:color w:val="auto"/>
        </w:rPr>
        <w:t>This standard will become effective as of the beginning of each reporting entity’s first annual reporting period that begins after November 15, 2009, for interim periods within that first annual reporting period, and for interim and annual reporting periods thereafter. Earlier application is prohibited.</w:t>
      </w:r>
    </w:p>
    <w:p>
      <w:pPr>
        <w:spacing w:after="0" w:line="139" w:lineRule="exact"/>
        <w:rPr>
          <w:sz w:val="20"/>
          <w:szCs w:val="20"/>
          <w:color w:val="auto"/>
        </w:rPr>
      </w:pPr>
    </w:p>
    <w:p>
      <w:pPr>
        <w:ind w:right="300" w:firstLine="436"/>
        <w:spacing w:after="0" w:line="256" w:lineRule="auto"/>
        <w:rPr>
          <w:sz w:val="20"/>
          <w:szCs w:val="20"/>
          <w:color w:val="auto"/>
        </w:rPr>
      </w:pPr>
      <w:r>
        <w:rPr>
          <w:rFonts w:ascii="Arial" w:cs="Arial" w:eastAsia="Arial" w:hAnsi="Arial"/>
          <w:sz w:val="18"/>
          <w:szCs w:val="18"/>
          <w:color w:val="auto"/>
        </w:rPr>
        <w:t>We currently exclude certain loan securitization trusts from our consolidated financial statements because each is a QSPE. Once this statement becomes effective, we will be required to reevaluate these QSPEs as well as all other potentially significant interests in other unconsolidated entities, such as our asset management vehicles and the securitization trusts underlying our servicing portfolio, to determine if we should include them in our consolidated financial statements. We are evaluating the potential impact of this statement.</w:t>
      </w:r>
    </w:p>
    <w:p>
      <w:pPr>
        <w:spacing w:after="0" w:line="205"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 (Dollars in thousands)</w:t>
      </w:r>
    </w:p>
    <w:p>
      <w:pPr>
        <w:spacing w:after="0" w:line="231" w:lineRule="exact"/>
        <w:rPr>
          <w:sz w:val="20"/>
          <w:szCs w:val="20"/>
          <w:color w:val="auto"/>
        </w:rPr>
      </w:pPr>
    </w:p>
    <w:p>
      <w:pPr>
        <w:ind w:right="40" w:firstLine="439"/>
        <w:spacing w:after="0" w:line="256" w:lineRule="auto"/>
        <w:rPr>
          <w:sz w:val="20"/>
          <w:szCs w:val="20"/>
          <w:color w:val="auto"/>
        </w:rPr>
      </w:pPr>
      <w:r>
        <w:rPr>
          <w:rFonts w:ascii="Arial" w:cs="Arial" w:eastAsia="Arial" w:hAnsi="Arial"/>
          <w:sz w:val="18"/>
          <w:szCs w:val="18"/>
          <w:color w:val="auto"/>
        </w:rPr>
        <w:t>Market risk includes liquidity risk, interest rate risk and foreign currency exchange rate risk. Market risk also reflects the risk of declines in the valuation of trading securities, MSRs and the collateral underlying loans. Our Investment Committee reviews significant transactions that may impact market risk and is authorized to utilize a wide variety of techniques and strategies to manage market risk including, in particular, interest rate and foreign currency exchange rate risk.</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Risk</w:t>
      </w:r>
    </w:p>
    <w:p>
      <w:pPr>
        <w:spacing w:after="0" w:line="231" w:lineRule="exact"/>
        <w:rPr>
          <w:sz w:val="20"/>
          <w:szCs w:val="20"/>
          <w:color w:val="auto"/>
        </w:rPr>
      </w:pPr>
    </w:p>
    <w:p>
      <w:pPr>
        <w:ind w:firstLine="436"/>
        <w:spacing w:after="0" w:line="291" w:lineRule="auto"/>
        <w:rPr>
          <w:sz w:val="20"/>
          <w:szCs w:val="20"/>
          <w:color w:val="auto"/>
        </w:rPr>
      </w:pPr>
      <w:r>
        <w:rPr>
          <w:rFonts w:ascii="Arial" w:cs="Arial" w:eastAsia="Arial" w:hAnsi="Arial"/>
          <w:sz w:val="16"/>
          <w:szCs w:val="16"/>
          <w:color w:val="auto"/>
        </w:rPr>
        <w:t>We are exposed to liquidity risk primarily because of the cash requirements to support the Servicing business including the requirement to make advances pursuant to servicing contracts and the process of remitting borrower payments to the custodial accounts. In general, we finance our operations through operating cash flows and various other sources of funding including match funded agreements, secured lines of credit and repurchase agreements. We believe that we have adequate financing for the next twelve months. On April 30, 2009, we were successful in negotiating a one-year extension of the investment line to June 30, 2010. However, because of the failed auctions, the market for auction rate securities is currently not liquid. In the event we need to liquidate our investment, we may not be able to do so without a loss of principal.</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31" w:lineRule="exact"/>
        <w:rPr>
          <w:sz w:val="20"/>
          <w:szCs w:val="20"/>
          <w:color w:val="auto"/>
        </w:rPr>
      </w:pPr>
    </w:p>
    <w:p>
      <w:pPr>
        <w:ind w:right="80" w:firstLine="436"/>
        <w:spacing w:after="0" w:line="294" w:lineRule="auto"/>
        <w:rPr>
          <w:sz w:val="20"/>
          <w:szCs w:val="20"/>
          <w:color w:val="auto"/>
        </w:rPr>
      </w:pPr>
      <w:r>
        <w:rPr>
          <w:rFonts w:ascii="Arial" w:cs="Arial" w:eastAsia="Arial" w:hAnsi="Arial"/>
          <w:sz w:val="16"/>
          <w:szCs w:val="16"/>
          <w:color w:val="auto"/>
        </w:rPr>
        <w:t>We are exposed to interest rate risk to the degree that our interest-bearing liabilities mature or reprice at different speeds, or different bases, than our interest-earning assets or when financing assets that are non-interest earning. Our Servicing business is characterized by non-interest earning assets financed by interest-bearing liabilities. Among the more significant non-interest earning assets are servicing advances and MSRs. At September 30, 2009, we had total advances and match funded advances of $1,010,804. We are indirectly exposed to interest risk by our funding of advances because advances bear no interest, and approximately 58% of our total advances and match funded advances are funded through borrowings, most of which are variable rate debt.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Earnings on float balances (assets) partially offset this risk. At September 30, 2009, we had interest rate caps with a notional amount of $250,000 and</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$133,333 to hedge our exposure to rising interest rates on the $250,000 variable-rate match funded note issued in December 2007 and the $200,000 variable-rate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match funded note that was renewed on February 2008, respectively.</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September 30, 2009</w:t>
            </w:r>
          </w:p>
        </w:tc>
        <w:tc>
          <w:tcPr>
            <w:tcW w:w="120" w:type="dxa"/>
            <w:vAlign w:val="bottom"/>
          </w:tcPr>
          <w:p>
            <w:pPr>
              <w:spacing w:after="0"/>
              <w:rPr>
                <w:sz w:val="20"/>
                <w:szCs w:val="20"/>
                <w:color w:val="auto"/>
              </w:rPr>
            </w:pPr>
          </w:p>
        </w:tc>
      </w:tr>
      <w:tr>
        <w:trPr>
          <w:trHeight w:val="243"/>
        </w:trPr>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60" w:type="dxa"/>
            <w:vAlign w:val="bottom"/>
            <w:shd w:val="clear" w:color="auto" w:fill="EAF9E8"/>
          </w:tcPr>
          <w:p>
            <w:pPr>
              <w:spacing w:after="0"/>
              <w:rPr>
                <w:sz w:val="20"/>
                <w:szCs w:val="20"/>
                <w:color w:val="auto"/>
              </w:rPr>
            </w:pPr>
            <w:r>
              <w:rPr>
                <w:rFonts w:ascii="Arial" w:cs="Arial" w:eastAsia="Arial" w:hAnsi="Arial"/>
                <w:sz w:val="18"/>
                <w:szCs w:val="18"/>
                <w:color w:val="auto"/>
              </w:rPr>
              <w:t>Total borrowings outstanding (1)</w:t>
            </w:r>
          </w:p>
        </w:tc>
        <w:tc>
          <w:tcPr>
            <w:tcW w:w="19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200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873,761</w:t>
            </w:r>
          </w:p>
        </w:tc>
      </w:tr>
      <w:tr>
        <w:trPr>
          <w:trHeight w:val="242"/>
        </w:trPr>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60" w:type="dxa"/>
            <w:vAlign w:val="bottom"/>
          </w:tcPr>
          <w:p>
            <w:pPr>
              <w:ind w:left="160"/>
              <w:spacing w:after="0"/>
              <w:rPr>
                <w:sz w:val="20"/>
                <w:szCs w:val="20"/>
                <w:color w:val="auto"/>
              </w:rPr>
            </w:pPr>
            <w:r>
              <w:rPr>
                <w:rFonts w:ascii="Arial" w:cs="Arial" w:eastAsia="Arial" w:hAnsi="Arial"/>
                <w:sz w:val="18"/>
                <w:szCs w:val="18"/>
                <w:color w:val="auto"/>
              </w:rPr>
              <w:t>Fixed rate borrowings</w:t>
            </w:r>
          </w:p>
        </w:tc>
        <w:tc>
          <w:tcPr>
            <w:tcW w:w="1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0" w:type="dxa"/>
            <w:vAlign w:val="bottom"/>
            <w:gridSpan w:val="2"/>
          </w:tcPr>
          <w:p>
            <w:pPr>
              <w:jc w:val="right"/>
              <w:ind w:right="120"/>
              <w:spacing w:after="0"/>
              <w:rPr>
                <w:sz w:val="20"/>
                <w:szCs w:val="20"/>
                <w:color w:val="auto"/>
              </w:rPr>
            </w:pPr>
            <w:r>
              <w:rPr>
                <w:rFonts w:ascii="Arial" w:cs="Arial" w:eastAsia="Arial" w:hAnsi="Arial"/>
                <w:sz w:val="18"/>
                <w:szCs w:val="18"/>
                <w:color w:val="auto"/>
              </w:rPr>
              <w:t>169,814</w:t>
            </w:r>
          </w:p>
        </w:tc>
      </w:tr>
      <w:tr>
        <w:trPr>
          <w:trHeight w:val="244"/>
        </w:trPr>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60" w:type="dxa"/>
            <w:vAlign w:val="bottom"/>
            <w:shd w:val="clear" w:color="auto" w:fill="EAF9E8"/>
          </w:tcPr>
          <w:p>
            <w:pPr>
              <w:ind w:left="160"/>
              <w:spacing w:after="0"/>
              <w:rPr>
                <w:sz w:val="20"/>
                <w:szCs w:val="20"/>
                <w:color w:val="auto"/>
              </w:rPr>
            </w:pPr>
            <w:r>
              <w:rPr>
                <w:rFonts w:ascii="Arial" w:cs="Arial" w:eastAsia="Arial" w:hAnsi="Arial"/>
                <w:sz w:val="18"/>
                <w:szCs w:val="18"/>
                <w:color w:val="auto"/>
              </w:rPr>
              <w:t>Variable rate borrowings</w:t>
            </w:r>
          </w:p>
        </w:tc>
        <w:tc>
          <w:tcPr>
            <w:tcW w:w="1720" w:type="dxa"/>
            <w:vAlign w:val="bottom"/>
            <w:shd w:val="clear" w:color="auto" w:fill="EAF9E8"/>
          </w:tcPr>
          <w:p>
            <w:pPr>
              <w:spacing w:after="0"/>
              <w:rPr>
                <w:sz w:val="21"/>
                <w:szCs w:val="21"/>
                <w:color w:val="auto"/>
              </w:rPr>
            </w:pPr>
          </w:p>
        </w:tc>
        <w:tc>
          <w:tcPr>
            <w:tcW w:w="180" w:type="dxa"/>
            <w:vAlign w:val="bottom"/>
            <w:shd w:val="clear" w:color="auto" w:fill="EAF9E8"/>
          </w:tcPr>
          <w:p>
            <w:pPr>
              <w:spacing w:after="0"/>
              <w:rPr>
                <w:sz w:val="21"/>
                <w:szCs w:val="21"/>
                <w:color w:val="auto"/>
              </w:rPr>
            </w:pPr>
          </w:p>
        </w:tc>
        <w:tc>
          <w:tcPr>
            <w:tcW w:w="200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703,947</w:t>
            </w:r>
          </w:p>
        </w:tc>
      </w:tr>
      <w:tr>
        <w:trPr>
          <w:trHeight w:val="242"/>
        </w:trPr>
        <w:tc>
          <w:tcPr>
            <w:tcW w:w="220" w:type="dxa"/>
            <w:vAlign w:val="bottom"/>
          </w:tcPr>
          <w:p>
            <w:pPr>
              <w:spacing w:after="0"/>
              <w:rPr>
                <w:sz w:val="21"/>
                <w:szCs w:val="21"/>
                <w:color w:val="auto"/>
              </w:rPr>
            </w:pPr>
          </w:p>
        </w:tc>
        <w:tc>
          <w:tcPr>
            <w:tcW w:w="7080" w:type="dxa"/>
            <w:vAlign w:val="bottom"/>
            <w:gridSpan w:val="2"/>
          </w:tcPr>
          <w:p>
            <w:pPr>
              <w:ind w:left="20"/>
              <w:spacing w:after="0"/>
              <w:rPr>
                <w:sz w:val="20"/>
                <w:szCs w:val="20"/>
                <w:color w:val="auto"/>
              </w:rPr>
            </w:pPr>
            <w:r>
              <w:rPr>
                <w:rFonts w:ascii="Arial" w:cs="Arial" w:eastAsia="Arial" w:hAnsi="Arial"/>
                <w:sz w:val="18"/>
                <w:szCs w:val="18"/>
                <w:color w:val="auto"/>
              </w:rPr>
              <w:t>Float balances (held in custodial accounts, excluded from our balance sheet)</w:t>
            </w:r>
          </w:p>
        </w:tc>
        <w:tc>
          <w:tcPr>
            <w:tcW w:w="1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0" w:type="dxa"/>
            <w:vAlign w:val="bottom"/>
            <w:gridSpan w:val="2"/>
          </w:tcPr>
          <w:p>
            <w:pPr>
              <w:jc w:val="right"/>
              <w:ind w:right="120"/>
              <w:spacing w:after="0"/>
              <w:rPr>
                <w:sz w:val="20"/>
                <w:szCs w:val="20"/>
                <w:color w:val="auto"/>
              </w:rPr>
            </w:pPr>
            <w:r>
              <w:rPr>
                <w:rFonts w:ascii="Arial" w:cs="Arial" w:eastAsia="Arial" w:hAnsi="Arial"/>
                <w:sz w:val="18"/>
                <w:szCs w:val="18"/>
                <w:color w:val="auto"/>
              </w:rPr>
              <w:t>283,600</w:t>
            </w:r>
          </w:p>
        </w:tc>
      </w:tr>
      <w:tr>
        <w:trPr>
          <w:trHeight w:val="244"/>
        </w:trPr>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60" w:type="dxa"/>
            <w:vAlign w:val="bottom"/>
            <w:shd w:val="clear" w:color="auto" w:fill="EAF9E8"/>
          </w:tcPr>
          <w:p>
            <w:pPr>
              <w:spacing w:after="0"/>
              <w:rPr>
                <w:sz w:val="20"/>
                <w:szCs w:val="20"/>
                <w:color w:val="auto"/>
              </w:rPr>
            </w:pPr>
            <w:r>
              <w:rPr>
                <w:rFonts w:ascii="Arial" w:cs="Arial" w:eastAsia="Arial" w:hAnsi="Arial"/>
                <w:sz w:val="18"/>
                <w:szCs w:val="18"/>
                <w:color w:val="auto"/>
              </w:rPr>
              <w:t>Notional balance of interest rate caps</w:t>
            </w:r>
          </w:p>
        </w:tc>
        <w:tc>
          <w:tcPr>
            <w:tcW w:w="1720" w:type="dxa"/>
            <w:vAlign w:val="bottom"/>
            <w:shd w:val="clear" w:color="auto" w:fill="EAF9E8"/>
          </w:tcPr>
          <w:p>
            <w:pPr>
              <w:spacing w:after="0"/>
              <w:rPr>
                <w:sz w:val="21"/>
                <w:szCs w:val="21"/>
                <w:color w:val="auto"/>
              </w:rPr>
            </w:pPr>
          </w:p>
        </w:tc>
        <w:tc>
          <w:tcPr>
            <w:tcW w:w="180" w:type="dxa"/>
            <w:vAlign w:val="bottom"/>
            <w:shd w:val="clear" w:color="auto" w:fill="EAF9E8"/>
          </w:tcPr>
          <w:p>
            <w:pPr>
              <w:spacing w:after="0"/>
              <w:rPr>
                <w:sz w:val="21"/>
                <w:szCs w:val="21"/>
                <w:color w:val="auto"/>
              </w:rPr>
            </w:pPr>
          </w:p>
        </w:tc>
        <w:tc>
          <w:tcPr>
            <w:tcW w:w="200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383,333</w:t>
            </w:r>
          </w:p>
        </w:tc>
      </w:tr>
      <w:tr>
        <w:trPr>
          <w:trHeight w:val="471"/>
        </w:trPr>
        <w:tc>
          <w:tcPr>
            <w:tcW w:w="220" w:type="dxa"/>
            <w:vAlign w:val="bottom"/>
          </w:tcPr>
          <w:p>
            <w:pPr>
              <w:jc w:val="right"/>
              <w:spacing w:after="0"/>
              <w:rPr>
                <w:sz w:val="20"/>
                <w:szCs w:val="20"/>
                <w:color w:val="auto"/>
              </w:rPr>
            </w:pPr>
            <w:r>
              <w:rPr>
                <w:rFonts w:ascii="Arial" w:cs="Arial" w:eastAsia="Arial" w:hAnsi="Arial"/>
                <w:sz w:val="18"/>
                <w:szCs w:val="18"/>
                <w:color w:val="auto"/>
                <w:w w:val="90"/>
              </w:rPr>
              <w:t>(1)</w:t>
            </w:r>
          </w:p>
        </w:tc>
        <w:tc>
          <w:tcPr>
            <w:tcW w:w="20" w:type="dxa"/>
            <w:vAlign w:val="bottom"/>
          </w:tcPr>
          <w:p>
            <w:pPr>
              <w:spacing w:after="0"/>
              <w:rPr>
                <w:sz w:val="24"/>
                <w:szCs w:val="24"/>
                <w:color w:val="auto"/>
              </w:rPr>
            </w:pPr>
          </w:p>
        </w:tc>
        <w:tc>
          <w:tcPr>
            <w:tcW w:w="7060" w:type="dxa"/>
            <w:vAlign w:val="bottom"/>
          </w:tcPr>
          <w:p>
            <w:pPr>
              <w:ind w:left="340"/>
              <w:spacing w:after="0"/>
              <w:rPr>
                <w:sz w:val="20"/>
                <w:szCs w:val="20"/>
                <w:color w:val="auto"/>
              </w:rPr>
            </w:pPr>
            <w:r>
              <w:rPr>
                <w:rFonts w:ascii="Arial" w:cs="Arial" w:eastAsia="Arial" w:hAnsi="Arial"/>
                <w:sz w:val="18"/>
                <w:szCs w:val="18"/>
                <w:color w:val="auto"/>
              </w:rPr>
              <w:t>Borrowing amounts are exclusive of any related discount.</w:t>
            </w:r>
          </w:p>
        </w:tc>
        <w:tc>
          <w:tcPr>
            <w:tcW w:w="1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pacing w:after="0" w:line="210" w:lineRule="exact"/>
        <w:rPr>
          <w:sz w:val="20"/>
          <w:szCs w:val="20"/>
          <w:color w:val="auto"/>
        </w:rPr>
      </w:pPr>
    </w:p>
    <w:p>
      <w:pPr>
        <w:ind w:right="160" w:firstLine="439"/>
        <w:spacing w:after="0" w:line="332" w:lineRule="auto"/>
        <w:rPr>
          <w:sz w:val="20"/>
          <w:szCs w:val="20"/>
          <w:color w:val="auto"/>
        </w:rPr>
      </w:pPr>
      <w:r>
        <w:rPr>
          <w:rFonts w:ascii="Arial" w:cs="Arial" w:eastAsia="Arial" w:hAnsi="Arial"/>
          <w:sz w:val="16"/>
          <w:szCs w:val="16"/>
          <w:color w:val="auto"/>
        </w:rPr>
        <w:t>Our balance sheet at September 30, 2009 included interest-earning assets totaling $411,002 including $60,142 of interest-earning cash accounts, $250,099 of auction rate securities, $39,738 of debt service accounts, $36,618 of loans held for resale and $7,612 of interest-earning collateral accounts.</w:t>
      </w:r>
    </w:p>
    <w:p>
      <w:pPr>
        <w:sectPr>
          <w:pgSz w:w="11900" w:h="16838" w:orient="portrait"/>
          <w:cols w:equalWidth="0" w:num="1">
            <w:col w:w="11420"/>
          </w:cols>
          <w:pgMar w:left="240" w:top="131" w:right="239" w:bottom="1440" w:gutter="0" w:footer="0" w:header="0"/>
        </w:sectPr>
      </w:pP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64" w:name="page65"/>
    <w:bookmarkEnd w:id="64"/>
    <w:p>
      <w:pPr>
        <w:ind w:right="120" w:firstLine="439"/>
        <w:spacing w:after="0" w:line="259" w:lineRule="auto"/>
        <w:rPr>
          <w:sz w:val="20"/>
          <w:szCs w:val="20"/>
          <w:color w:val="auto"/>
        </w:rPr>
      </w:pPr>
      <w:r>
        <w:rPr>
          <w:rFonts w:ascii="Arial" w:cs="Arial" w:eastAsia="Arial" w:hAnsi="Arial"/>
          <w:sz w:val="18"/>
          <w:szCs w:val="18"/>
          <w:i w:val="1"/>
          <w:iCs w:val="1"/>
          <w:color w:val="auto"/>
        </w:rPr>
        <w:t xml:space="preserve">Mortgage Servicing Rights. </w:t>
      </w:r>
      <w:r>
        <w:rPr>
          <w:rFonts w:ascii="Arial" w:cs="Arial" w:eastAsia="Arial" w:hAnsi="Arial"/>
          <w:sz w:val="18"/>
          <w:szCs w:val="18"/>
          <w:color w:val="auto"/>
        </w:rPr>
        <w:t>Interest rates, prepayment speeds and the payment performance of the loans significantly affect both our initial and ongoing</w:t>
      </w:r>
      <w:r>
        <w:rPr>
          <w:rFonts w:ascii="Arial" w:cs="Arial" w:eastAsia="Arial" w:hAnsi="Arial"/>
          <w:sz w:val="18"/>
          <w:szCs w:val="18"/>
          <w:i w:val="1"/>
          <w:iCs w:val="1"/>
          <w:color w:val="auto"/>
        </w:rPr>
        <w:t xml:space="preserve"> </w:t>
      </w:r>
      <w:r>
        <w:rPr>
          <w:rFonts w:ascii="Arial" w:cs="Arial" w:eastAsia="Arial" w:hAnsi="Arial"/>
          <w:sz w:val="18"/>
          <w:szCs w:val="18"/>
          <w:color w:val="auto"/>
        </w:rPr>
        <w:t>valuations of and the rate of amortization of MSRs. As of September 30, 2009, the carrying value and estimated fair value of our residential mortgage servicing rights were $124,989 and $131,327, respectively.</w:t>
      </w:r>
    </w:p>
    <w:p>
      <w:pPr>
        <w:spacing w:after="0" w:line="188" w:lineRule="exact"/>
        <w:rPr>
          <w:sz w:val="20"/>
          <w:szCs w:val="20"/>
          <w:color w:val="auto"/>
        </w:rPr>
      </w:pPr>
    </w:p>
    <w:p>
      <w:pPr>
        <w:ind w:right="20" w:firstLine="436"/>
        <w:spacing w:after="0" w:line="290" w:lineRule="auto"/>
        <w:rPr>
          <w:sz w:val="20"/>
          <w:szCs w:val="20"/>
          <w:color w:val="auto"/>
        </w:rPr>
      </w:pPr>
      <w:r>
        <w:rPr>
          <w:rFonts w:ascii="Arial" w:cs="Arial" w:eastAsia="Arial" w:hAnsi="Arial"/>
          <w:sz w:val="16"/>
          <w:szCs w:val="16"/>
          <w:color w:val="auto"/>
        </w:rPr>
        <w:t>We perform an interest rate sensitivity analysis of our portfolio of MSRs every quarter</w:t>
      </w:r>
      <w:r>
        <w:rPr>
          <w:rFonts w:ascii="Arial" w:cs="Arial" w:eastAsia="Arial" w:hAnsi="Arial"/>
          <w:sz w:val="16"/>
          <w:szCs w:val="16"/>
          <w:b w:val="1"/>
          <w:bCs w:val="1"/>
          <w:color w:val="auto"/>
        </w:rPr>
        <w:t>.</w:t>
      </w:r>
      <w:r>
        <w:rPr>
          <w:rFonts w:ascii="Arial" w:cs="Arial" w:eastAsia="Arial" w:hAnsi="Arial"/>
          <w:sz w:val="16"/>
          <w:szCs w:val="16"/>
          <w:color w:val="auto"/>
        </w:rPr>
        <w:t xml:space="preserve"> We currently estimate that the fair value of the portfolio decreases or increases by approximately 5.1% or 4.5%, respectively for every 50 basis point increase or decrease in interest rates</w:t>
      </w:r>
      <w:r>
        <w:rPr>
          <w:rFonts w:ascii="Arial" w:cs="Arial" w:eastAsia="Arial" w:hAnsi="Arial"/>
          <w:sz w:val="16"/>
          <w:szCs w:val="16"/>
          <w:b w:val="1"/>
          <w:bCs w:val="1"/>
          <w:color w:val="auto"/>
        </w:rPr>
        <w:t>.</w:t>
      </w:r>
      <w:r>
        <w:rPr>
          <w:rFonts w:ascii="Arial" w:cs="Arial" w:eastAsia="Arial" w:hAnsi="Arial"/>
          <w:sz w:val="16"/>
          <w:szCs w:val="16"/>
          <w:color w:val="auto"/>
        </w:rPr>
        <w:t xml:space="preserve"> This sensitivity analysis is limited in that it is performed at a particular point in time; only contemplates certain movements in interest rates; does not incorporate changes in interest rate volatility; is subject to the accuracy of various assumptions used, including prepayment forecasts and discount rates; and does not incorporate other factors that would impact our overall financial performance in such scenarios. We carry MSRs at the lower of amortized cost or fair value by strata. To the extent that fair value declines below amortized cost, we record an impairment charge to earnings and establish a valuation allowance. A subsequent increase in fair value could result in the recovery of some or all of a previously established valuation allowance. However, an increase in fair value of a particular stratum above its amortized cost would not be reflected in current earnings. For these reasons, this interest rate sensitivity estimate should not be viewed as an earnings forecast.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231" w:lineRule="exact"/>
        <w:rPr>
          <w:sz w:val="20"/>
          <w:szCs w:val="20"/>
          <w:color w:val="auto"/>
        </w:rPr>
      </w:pPr>
    </w:p>
    <w:p>
      <w:pPr>
        <w:jc w:val="both"/>
        <w:ind w:right="180" w:firstLine="436"/>
        <w:spacing w:after="0" w:line="298" w:lineRule="auto"/>
        <w:rPr>
          <w:sz w:val="20"/>
          <w:szCs w:val="20"/>
          <w:color w:val="auto"/>
        </w:rPr>
      </w:pPr>
      <w:r>
        <w:rPr>
          <w:rFonts w:ascii="Arial" w:cs="Arial" w:eastAsia="Arial" w:hAnsi="Arial"/>
          <w:sz w:val="16"/>
          <w:szCs w:val="16"/>
          <w:color w:val="auto"/>
        </w:rPr>
        <w:t>We are exposed to foreign currency exchange rate risk in connection with our investment in non-U.S. dollar functional currency operations to the extent that our foreign exchange positions remain unhedged. Our operations in Germany, Uruguay and India expose us to foreign currency exchange rate risk, but we consider this risk to be insignificant. We sold foreign currency futures contracts with a notional amount of $10,993 to hedge the value of our net investment in BOK against adverse changes in the value of the Euro versus the U.S. Dollar.</w:t>
      </w:r>
    </w:p>
    <w:p>
      <w:pPr>
        <w:spacing w:after="0" w:line="174"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31" w:lineRule="exact"/>
        <w:rPr>
          <w:sz w:val="20"/>
          <w:szCs w:val="20"/>
          <w:color w:val="auto"/>
        </w:rPr>
      </w:pPr>
    </w:p>
    <w:p>
      <w:pPr>
        <w:ind w:right="40" w:firstLine="439"/>
        <w:spacing w:after="0" w:line="289" w:lineRule="auto"/>
        <w:rPr>
          <w:sz w:val="20"/>
          <w:szCs w:val="20"/>
          <w:color w:val="auto"/>
        </w:rPr>
      </w:pPr>
      <w:r>
        <w:rPr>
          <w:rFonts w:ascii="Arial" w:cs="Arial" w:eastAsia="Arial" w:hAnsi="Arial"/>
          <w:sz w:val="16"/>
          <w:szCs w:val="16"/>
          <w:color w:val="auto"/>
        </w:rPr>
        <w:t>Our management, with the participation of our chief executive officer and chief financial officer, evaluated the effectiveness of our disclosure controls and procedures (as defined in Rules 13a-15(e) and 15d-15(e) under the Securities Exchange Act) as of September 30, 2009. Based on this evaluation, our chief executive officer and chief financial officer concluded that, as of September 30, 2009, our disclosure controls and procedures (1) were designed and functioning effectively to ensure that material information relating to OCN, including its consolidated subsidiaries, is made known to our chief executive officer and chief financial officer by others within those entities, particularly during the period in which this report was being prepared and (2) were operating effectively in that they provided reasonable assurance that information required to be disclosed by OCN in the reports that it files or submits under the Securities Exchange Act of 1934 (i) is recorded, processed, summarized and reported within the time periods specified in the SEC’s rules and forms and (ii) accumulated and communicated to management, including the chief executive officer or chief financial officer, as appropriate, to allow timely decisions regarding disclosure.</w:t>
      </w:r>
    </w:p>
    <w:p>
      <w:pPr>
        <w:spacing w:after="0" w:line="172" w:lineRule="exact"/>
        <w:rPr>
          <w:sz w:val="20"/>
          <w:szCs w:val="20"/>
          <w:color w:val="auto"/>
        </w:rPr>
      </w:pPr>
    </w:p>
    <w:p>
      <w:pPr>
        <w:ind w:firstLine="439"/>
        <w:spacing w:after="0" w:line="332" w:lineRule="auto"/>
        <w:rPr>
          <w:sz w:val="20"/>
          <w:szCs w:val="20"/>
          <w:color w:val="auto"/>
        </w:rPr>
      </w:pPr>
      <w:r>
        <w:rPr>
          <w:rFonts w:ascii="Arial" w:cs="Arial" w:eastAsia="Arial" w:hAnsi="Arial"/>
          <w:sz w:val="16"/>
          <w:szCs w:val="16"/>
          <w:color w:val="auto"/>
        </w:rPr>
        <w:t>No change in our internal control over financial reporting (as defined in Rules 13a-15(f) and 15d-15(f) under the Securities Exchange Act) occurred during the fiscal quarter ended September 30, 2009 that has materially affected, or is reasonably likely to materially affect, our internal control over financial reporting.</w:t>
      </w:r>
    </w:p>
    <w:p>
      <w:pPr>
        <w:spacing w:after="0" w:line="13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II – OTHER INFORMATION</w:t>
      </w:r>
    </w:p>
    <w:p>
      <w:pPr>
        <w:spacing w:after="0" w:line="239"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LEGAL PROCEEDINGS</w:t>
      </w:r>
    </w:p>
    <w:p>
      <w:pPr>
        <w:spacing w:after="0" w:line="23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See Note 24, Commitments and Contingencies” of the Interim Consolidated Financial Statements for information regarding legal proceedings.</w:t>
      </w:r>
    </w:p>
    <w:p>
      <w:pPr>
        <w:spacing w:after="0" w:line="256"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31" w:lineRule="exact"/>
        <w:rPr>
          <w:sz w:val="20"/>
          <w:szCs w:val="20"/>
          <w:color w:val="auto"/>
        </w:rPr>
      </w:pPr>
    </w:p>
    <w:p>
      <w:pPr>
        <w:ind w:right="40" w:firstLine="436"/>
        <w:spacing w:after="0" w:line="306" w:lineRule="auto"/>
        <w:rPr>
          <w:sz w:val="20"/>
          <w:szCs w:val="20"/>
          <w:color w:val="auto"/>
        </w:rPr>
      </w:pPr>
      <w:r>
        <w:rPr>
          <w:rFonts w:ascii="Arial" w:cs="Arial" w:eastAsia="Arial" w:hAnsi="Arial"/>
          <w:sz w:val="16"/>
          <w:szCs w:val="16"/>
          <w:color w:val="auto"/>
        </w:rPr>
        <w:t>We include a discussion of the principal risks and uncertainties that affect or could affect our business operations under Item 1A on pages 11 through 15 of our Annual Report on Form 10-K for the year ended December 31, 2008. In connection with the Separation, we include a discussion of additional risk factors attributable to the Separation under Item 1A on pages 62 through 65 of our Quarterly Report on Form 10-Q for the quarterly period ended June 30, 2009.</w:t>
      </w:r>
    </w:p>
    <w:p>
      <w:pPr>
        <w:spacing w:after="0" w:line="16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65" w:name="page66"/>
    <w:bookmarkEnd w:id="65"/>
    <w:p>
      <w:pPr>
        <w:spacing w:after="0" w:line="94"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266" w:lineRule="exact"/>
        <w:rPr>
          <w:sz w:val="20"/>
          <w:szCs w:val="20"/>
          <w:color w:val="auto"/>
        </w:rPr>
      </w:pPr>
    </w:p>
    <w:p>
      <w:pPr>
        <w:ind w:left="800" w:hanging="792"/>
        <w:spacing w:after="0"/>
        <w:tabs>
          <w:tab w:leader="none" w:pos="80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58" w:lineRule="exact"/>
        <w:rPr>
          <w:sz w:val="20"/>
          <w:szCs w:val="20"/>
          <w:color w:val="auto"/>
        </w:rPr>
      </w:pPr>
    </w:p>
    <w:p>
      <w:pPr>
        <w:ind w:left="920"/>
        <w:spacing w:after="0"/>
        <w:tabs>
          <w:tab w:leader="none" w:pos="156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Separation Agreement, dated as of August 10, 2009, by and between Ocwen Financial Corporation and Altisource Portfolio Solutions S.A.</w:t>
      </w:r>
    </w:p>
    <w:p>
      <w:pPr>
        <w:spacing w:after="0" w:line="15"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(1)</w:t>
      </w:r>
    </w:p>
    <w:p>
      <w:pPr>
        <w:spacing w:after="0" w:line="246" w:lineRule="exact"/>
        <w:rPr>
          <w:sz w:val="20"/>
          <w:szCs w:val="20"/>
          <w:color w:val="auto"/>
        </w:rPr>
      </w:pPr>
    </w:p>
    <w:p>
      <w:pPr>
        <w:ind w:left="920"/>
        <w:spacing w:after="0"/>
        <w:tabs>
          <w:tab w:leader="none" w:pos="156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Amended and Restated Articles of Incorporation (2)</w:t>
      </w:r>
    </w:p>
    <w:p>
      <w:pPr>
        <w:spacing w:after="0" w:line="279" w:lineRule="exact"/>
        <w:rPr>
          <w:sz w:val="20"/>
          <w:szCs w:val="20"/>
          <w:color w:val="auto"/>
        </w:rPr>
      </w:pPr>
    </w:p>
    <w:p>
      <w:pPr>
        <w:ind w:left="920"/>
        <w:spacing w:after="0"/>
        <w:tabs>
          <w:tab w:leader="none" w:pos="156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5"/>
          <w:szCs w:val="15"/>
          <w:color w:val="auto"/>
        </w:rPr>
        <w:t>Amended and Restated Bylaws (3)</w:t>
      </w:r>
    </w:p>
    <w:p>
      <w:pPr>
        <w:spacing w:after="0" w:line="279" w:lineRule="exact"/>
        <w:rPr>
          <w:sz w:val="20"/>
          <w:szCs w:val="20"/>
          <w:color w:val="auto"/>
        </w:rPr>
      </w:pPr>
    </w:p>
    <w:p>
      <w:pPr>
        <w:ind w:left="920"/>
        <w:spacing w:after="0"/>
        <w:tabs>
          <w:tab w:leader="none" w:pos="1560" w:val="left"/>
        </w:tabs>
        <w:rPr>
          <w:sz w:val="20"/>
          <w:szCs w:val="20"/>
          <w:color w:val="auto"/>
        </w:rPr>
      </w:pPr>
      <w:r>
        <w:rPr>
          <w:rFonts w:ascii="Arial" w:cs="Arial" w:eastAsia="Arial" w:hAnsi="Arial"/>
          <w:sz w:val="18"/>
          <w:szCs w:val="18"/>
          <w:color w:val="auto"/>
        </w:rPr>
        <w:t>4.0</w:t>
      </w:r>
      <w:r>
        <w:rPr>
          <w:sz w:val="20"/>
          <w:szCs w:val="20"/>
          <w:color w:val="auto"/>
        </w:rPr>
        <w:tab/>
      </w:r>
      <w:r>
        <w:rPr>
          <w:rFonts w:ascii="Arial" w:cs="Arial" w:eastAsia="Arial" w:hAnsi="Arial"/>
          <w:sz w:val="16"/>
          <w:szCs w:val="16"/>
          <w:color w:val="auto"/>
        </w:rPr>
        <w:t>Form of Certificate of Common Stock (2)</w:t>
      </w:r>
    </w:p>
    <w:p>
      <w:pPr>
        <w:spacing w:after="0" w:line="279" w:lineRule="exact"/>
        <w:rPr>
          <w:sz w:val="20"/>
          <w:szCs w:val="20"/>
          <w:color w:val="auto"/>
        </w:rPr>
      </w:pPr>
    </w:p>
    <w:p>
      <w:pPr>
        <w:ind w:left="920"/>
        <w:spacing w:after="0"/>
        <w:tabs>
          <w:tab w:leader="none" w:pos="156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Certificate of Trust of Ocwen Capital Trust I (4)</w:t>
      </w:r>
    </w:p>
    <w:p>
      <w:pPr>
        <w:spacing w:after="0" w:line="279" w:lineRule="exact"/>
        <w:rPr>
          <w:sz w:val="20"/>
          <w:szCs w:val="20"/>
          <w:color w:val="auto"/>
        </w:rPr>
      </w:pPr>
    </w:p>
    <w:p>
      <w:pPr>
        <w:ind w:left="920"/>
        <w:spacing w:after="0"/>
        <w:tabs>
          <w:tab w:leader="none" w:pos="156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color w:val="auto"/>
        </w:rPr>
        <w:t>Amended and Restated Declaration of Trust of Ocwen Capital Trust I (4)</w:t>
      </w:r>
    </w:p>
    <w:p>
      <w:pPr>
        <w:spacing w:after="0" w:line="279" w:lineRule="exact"/>
        <w:rPr>
          <w:sz w:val="20"/>
          <w:szCs w:val="20"/>
          <w:color w:val="auto"/>
        </w:rPr>
      </w:pPr>
    </w:p>
    <w:p>
      <w:pPr>
        <w:ind w:left="920"/>
        <w:spacing w:after="0"/>
        <w:tabs>
          <w:tab w:leader="none" w:pos="156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color w:val="auto"/>
        </w:rPr>
        <w:t>Form of Capital Security of Ocwen Capital Trust I (included in Exhibit 4.4) (4)</w:t>
      </w:r>
    </w:p>
    <w:p>
      <w:pPr>
        <w:spacing w:after="0" w:line="279" w:lineRule="exact"/>
        <w:rPr>
          <w:sz w:val="20"/>
          <w:szCs w:val="20"/>
          <w:color w:val="auto"/>
        </w:rPr>
      </w:pPr>
    </w:p>
    <w:p>
      <w:pPr>
        <w:ind w:left="920"/>
        <w:spacing w:after="0"/>
        <w:tabs>
          <w:tab w:leader="none" w:pos="156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6"/>
          <w:szCs w:val="16"/>
          <w:color w:val="auto"/>
        </w:rPr>
        <w:t>Form of Indenture relating to 10.875% Junior Subordinated Debentures due 2027 of OCN (4)</w:t>
      </w:r>
    </w:p>
    <w:p>
      <w:pPr>
        <w:spacing w:after="0" w:line="279" w:lineRule="exact"/>
        <w:rPr>
          <w:sz w:val="20"/>
          <w:szCs w:val="20"/>
          <w:color w:val="auto"/>
        </w:rPr>
      </w:pPr>
    </w:p>
    <w:p>
      <w:pPr>
        <w:ind w:left="920"/>
        <w:spacing w:after="0"/>
        <w:tabs>
          <w:tab w:leader="none" w:pos="156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6"/>
          <w:szCs w:val="16"/>
          <w:color w:val="auto"/>
        </w:rPr>
        <w:t>Form of 10.875% Junior Subordinated Debentures due 2027 of OCN (included in Exhibit 4.6) (4)</w:t>
      </w:r>
    </w:p>
    <w:p>
      <w:pPr>
        <w:spacing w:after="0" w:line="279" w:lineRule="exact"/>
        <w:rPr>
          <w:sz w:val="20"/>
          <w:szCs w:val="20"/>
          <w:color w:val="auto"/>
        </w:rPr>
      </w:pPr>
    </w:p>
    <w:p>
      <w:pPr>
        <w:ind w:left="920"/>
        <w:spacing w:after="0"/>
        <w:tabs>
          <w:tab w:leader="none" w:pos="156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6"/>
          <w:szCs w:val="16"/>
          <w:color w:val="auto"/>
        </w:rPr>
        <w:t>Form of Guarantee of OCN relating to the Capital Securities of Ocwen Capital Trust I (4)</w:t>
      </w:r>
    </w:p>
    <w:p>
      <w:pPr>
        <w:spacing w:after="0" w:line="279" w:lineRule="exact"/>
        <w:rPr>
          <w:sz w:val="20"/>
          <w:szCs w:val="20"/>
          <w:color w:val="auto"/>
        </w:rPr>
      </w:pPr>
    </w:p>
    <w:p>
      <w:pPr>
        <w:ind w:left="920"/>
        <w:spacing w:after="0"/>
        <w:tabs>
          <w:tab w:leader="none" w:pos="1560" w:val="left"/>
        </w:tabs>
        <w:rPr>
          <w:sz w:val="20"/>
          <w:szCs w:val="20"/>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5"/>
          <w:szCs w:val="15"/>
          <w:color w:val="auto"/>
        </w:rPr>
        <w:t>Indenture dated as of July 28, 2004, between OCN and the Bank of New York Trust Company, N.A., as trustee (5)</w:t>
      </w:r>
    </w:p>
    <w:p>
      <w:pPr>
        <w:spacing w:after="0" w:line="279" w:lineRule="exact"/>
        <w:rPr>
          <w:sz w:val="20"/>
          <w:szCs w:val="20"/>
          <w:color w:val="auto"/>
        </w:rPr>
      </w:pPr>
    </w:p>
    <w:p>
      <w:pPr>
        <w:ind w:left="840"/>
        <w:spacing w:after="0"/>
        <w:tabs>
          <w:tab w:leader="none" w:pos="156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5"/>
          <w:szCs w:val="15"/>
          <w:color w:val="auto"/>
        </w:rPr>
        <w:t>Tax Matters Agreement, dated as of August 10, 2009, by and between Ocwen Financial Corporation and Altisource Solutions S.à r.l. (1)</w:t>
      </w:r>
    </w:p>
    <w:p>
      <w:pPr>
        <w:spacing w:after="0" w:line="279" w:lineRule="exact"/>
        <w:rPr>
          <w:sz w:val="20"/>
          <w:szCs w:val="20"/>
          <w:color w:val="auto"/>
        </w:rPr>
      </w:pPr>
    </w:p>
    <w:p>
      <w:pPr>
        <w:ind w:left="840"/>
        <w:spacing w:after="0"/>
        <w:tabs>
          <w:tab w:leader="none" w:pos="156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5"/>
          <w:szCs w:val="15"/>
          <w:color w:val="auto"/>
        </w:rPr>
        <w:t>Transition Services Agreement, dated as of August 10, 2009, by and between Ocwen Financial Corporation and Altisource Solutions S.à r.l.</w:t>
      </w:r>
    </w:p>
    <w:p>
      <w:pPr>
        <w:spacing w:after="0" w:line="15"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(1)</w:t>
      </w:r>
    </w:p>
    <w:p>
      <w:pPr>
        <w:spacing w:after="0" w:line="246" w:lineRule="exact"/>
        <w:rPr>
          <w:sz w:val="20"/>
          <w:szCs w:val="20"/>
          <w:color w:val="auto"/>
        </w:rPr>
      </w:pPr>
    </w:p>
    <w:p>
      <w:pPr>
        <w:ind w:left="840"/>
        <w:spacing w:after="0"/>
        <w:tabs>
          <w:tab w:leader="none" w:pos="156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5"/>
          <w:szCs w:val="15"/>
          <w:color w:val="auto"/>
        </w:rPr>
        <w:t>Employee Matters Agreement, dated as of August 10, 2009, by and between Ocwen Financial Corporation and Altisource Solutions S.à r.l.</w:t>
      </w:r>
    </w:p>
    <w:p>
      <w:pPr>
        <w:spacing w:after="0" w:line="15"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(1)</w:t>
      </w:r>
    </w:p>
    <w:p>
      <w:pPr>
        <w:spacing w:after="0" w:line="246" w:lineRule="exact"/>
        <w:rPr>
          <w:sz w:val="20"/>
          <w:szCs w:val="20"/>
          <w:color w:val="auto"/>
        </w:rPr>
      </w:pPr>
    </w:p>
    <w:p>
      <w:pPr>
        <w:ind w:left="1580" w:right="440" w:hanging="752"/>
        <w:spacing w:after="0" w:line="268" w:lineRule="auto"/>
        <w:tabs>
          <w:tab w:leader="none" w:pos="15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Technology Products Services Agreement, dated as of August 10, 2009, by and between Ocwen Financial Corporation and Altisource Solutions S.à r.l. (1)</w:t>
      </w:r>
    </w:p>
    <w:p>
      <w:pPr>
        <w:spacing w:after="0" w:line="213" w:lineRule="exact"/>
        <w:rPr>
          <w:sz w:val="20"/>
          <w:szCs w:val="20"/>
          <w:color w:val="auto"/>
        </w:rPr>
      </w:pPr>
    </w:p>
    <w:p>
      <w:pPr>
        <w:ind w:left="840"/>
        <w:spacing w:after="0"/>
        <w:tabs>
          <w:tab w:leader="none" w:pos="156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5"/>
          <w:szCs w:val="15"/>
          <w:color w:val="auto"/>
        </w:rPr>
        <w:t>Services Agreement, dated as of August 10, 2009, by and between Ocwen Financial Corporation and Altisource Solutions S.à r.l. (1)</w:t>
      </w:r>
    </w:p>
    <w:p>
      <w:pPr>
        <w:spacing w:after="0" w:line="279" w:lineRule="exact"/>
        <w:rPr>
          <w:sz w:val="20"/>
          <w:szCs w:val="20"/>
          <w:color w:val="auto"/>
        </w:rPr>
      </w:pPr>
    </w:p>
    <w:p>
      <w:pPr>
        <w:ind w:left="1580" w:right="80" w:hanging="752"/>
        <w:spacing w:after="0" w:line="268" w:lineRule="auto"/>
        <w:tabs>
          <w:tab w:leader="none" w:pos="156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8"/>
          <w:szCs w:val="18"/>
          <w:color w:val="auto"/>
        </w:rPr>
        <w:t>Data Center and Disaster Recovery Agreement, dated as of August 10, 2009, by and between Ocwen Financial Corporation and Altisource Solutions S.à r.l. (1)</w:t>
      </w:r>
    </w:p>
    <w:p>
      <w:pPr>
        <w:spacing w:after="0" w:line="213" w:lineRule="exact"/>
        <w:rPr>
          <w:sz w:val="20"/>
          <w:szCs w:val="20"/>
          <w:color w:val="auto"/>
        </w:rPr>
      </w:pPr>
    </w:p>
    <w:p>
      <w:pPr>
        <w:ind w:left="1580" w:right="140" w:hanging="752"/>
        <w:spacing w:after="0" w:line="268" w:lineRule="auto"/>
        <w:tabs>
          <w:tab w:leader="none" w:pos="156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8"/>
          <w:szCs w:val="18"/>
          <w:color w:val="auto"/>
        </w:rPr>
        <w:t>Intellectual Property Agreement, dated as of August 10, 2009, by and between Ocwen Financial Corporation and Altisource Solutions S.à r.l. (1)</w:t>
      </w:r>
    </w:p>
    <w:p>
      <w:pPr>
        <w:spacing w:after="0" w:line="213" w:lineRule="exact"/>
        <w:rPr>
          <w:sz w:val="20"/>
          <w:szCs w:val="20"/>
          <w:color w:val="auto"/>
        </w:rPr>
      </w:pPr>
    </w:p>
    <w:p>
      <w:pPr>
        <w:ind w:left="840"/>
        <w:spacing w:after="0"/>
        <w:tabs>
          <w:tab w:leader="none" w:pos="156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the Chief Executive Officer pursuant to Section 302 of the Sarbanes-Oxley Act of 2002 (filed herewith)</w:t>
      </w:r>
    </w:p>
    <w:p>
      <w:pPr>
        <w:spacing w:after="0" w:line="279" w:lineRule="exact"/>
        <w:rPr>
          <w:sz w:val="20"/>
          <w:szCs w:val="20"/>
          <w:color w:val="auto"/>
        </w:rPr>
      </w:pPr>
    </w:p>
    <w:p>
      <w:pPr>
        <w:ind w:left="840"/>
        <w:spacing w:after="0"/>
        <w:tabs>
          <w:tab w:leader="none" w:pos="156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the Chief Financial Officer pursuant to Section 302 of the Sarbanes-Oxley Act of 2002 (filed herewith)</w:t>
      </w:r>
    </w:p>
    <w:p>
      <w:pPr>
        <w:spacing w:after="0" w:line="279" w:lineRule="exact"/>
        <w:rPr>
          <w:sz w:val="20"/>
          <w:szCs w:val="20"/>
          <w:color w:val="auto"/>
        </w:rPr>
      </w:pPr>
    </w:p>
    <w:p>
      <w:pPr>
        <w:ind w:left="1580" w:right="80" w:hanging="752"/>
        <w:spacing w:after="0" w:line="268" w:lineRule="auto"/>
        <w:tabs>
          <w:tab w:leader="none" w:pos="156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8"/>
          <w:szCs w:val="18"/>
          <w:color w:val="auto"/>
        </w:rPr>
        <w:t>Certification of the Chief Executive Officer pursuant to 18 U.S.C. Section 1350, as adopted pursuant to Section 906 of the Sarbanes-Oxley Act of 2002 (filed herewith)</w:t>
      </w:r>
    </w:p>
    <w:p>
      <w:pPr>
        <w:spacing w:after="0" w:line="213" w:lineRule="exact"/>
        <w:rPr>
          <w:sz w:val="20"/>
          <w:szCs w:val="20"/>
          <w:color w:val="auto"/>
        </w:rPr>
      </w:pPr>
    </w:p>
    <w:p>
      <w:pPr>
        <w:ind w:left="1580" w:right="140" w:hanging="752"/>
        <w:spacing w:after="0" w:line="268" w:lineRule="auto"/>
        <w:tabs>
          <w:tab w:leader="none" w:pos="156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8"/>
          <w:szCs w:val="18"/>
          <w:color w:val="auto"/>
        </w:rPr>
        <w:t>Certification of the Chief Financial Officer pursuant to 18 U.S.C. Section 1350, as adopted pursuant to Section 906 of the Sarbanes-Oxley Act of 2002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4" w:lineRule="exact"/>
        <w:rPr>
          <w:sz w:val="20"/>
          <w:szCs w:val="20"/>
          <w:color w:val="auto"/>
        </w:rPr>
      </w:pPr>
    </w:p>
    <w:p>
      <w:pPr>
        <w:ind w:left="820" w:right="400" w:hanging="724"/>
        <w:spacing w:after="0" w:line="268" w:lineRule="auto"/>
        <w:tabs>
          <w:tab w:leader="none" w:pos="8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included with the Registrant’s Form 8-K filed with the Commission on August 12, 2009.</w:t>
      </w:r>
    </w:p>
    <w:p>
      <w:pPr>
        <w:spacing w:after="0" w:line="212" w:lineRule="exact"/>
        <w:rPr>
          <w:rFonts w:ascii="Arial" w:cs="Arial" w:eastAsia="Arial" w:hAnsi="Arial"/>
          <w:sz w:val="18"/>
          <w:szCs w:val="18"/>
          <w:color w:val="auto"/>
        </w:rPr>
      </w:pPr>
    </w:p>
    <w:p>
      <w:pPr>
        <w:ind w:left="820" w:right="120" w:hanging="724"/>
        <w:spacing w:after="0" w:line="268" w:lineRule="auto"/>
        <w:tabs>
          <w:tab w:leader="none" w:pos="8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filed in connection with the Registrant’s Registration Statement on Form S-1 (File No. 333-5153) as amended, declared effective by the commission on September 25, 1996.</w:t>
      </w:r>
    </w:p>
    <w:p>
      <w:pPr>
        <w:spacing w:after="0" w:line="212" w:lineRule="exact"/>
        <w:rPr>
          <w:rFonts w:ascii="Arial" w:cs="Arial" w:eastAsia="Arial" w:hAnsi="Arial"/>
          <w:sz w:val="18"/>
          <w:szCs w:val="18"/>
          <w:color w:val="auto"/>
        </w:rPr>
      </w:pPr>
    </w:p>
    <w:p>
      <w:pPr>
        <w:ind w:left="820" w:right="640" w:hanging="724"/>
        <w:spacing w:after="0" w:line="268" w:lineRule="auto"/>
        <w:tabs>
          <w:tab w:leader="none" w:pos="8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included with the Registrant’s Annual Report on Form 10-K for the year ended December 31, 2007.</w:t>
      </w:r>
    </w:p>
    <w:p>
      <w:pPr>
        <w:spacing w:after="0" w:line="212" w:lineRule="exact"/>
        <w:rPr>
          <w:rFonts w:ascii="Arial" w:cs="Arial" w:eastAsia="Arial" w:hAnsi="Arial"/>
          <w:sz w:val="18"/>
          <w:szCs w:val="18"/>
          <w:color w:val="auto"/>
        </w:rPr>
      </w:pPr>
    </w:p>
    <w:p>
      <w:pPr>
        <w:ind w:left="820" w:right="60" w:hanging="724"/>
        <w:spacing w:after="0" w:line="268" w:lineRule="auto"/>
        <w:tabs>
          <w:tab w:leader="none" w:pos="8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filed in connection with our Registration Statement on Form S-1 (File No. 333-28889), as amended, declared effective by the Commission on August 6, 1997.</w:t>
      </w:r>
    </w:p>
    <w:p>
      <w:pPr>
        <w:spacing w:after="0" w:line="212" w:lineRule="exact"/>
        <w:rPr>
          <w:rFonts w:ascii="Arial" w:cs="Arial" w:eastAsia="Arial" w:hAnsi="Arial"/>
          <w:sz w:val="18"/>
          <w:szCs w:val="18"/>
          <w:color w:val="auto"/>
        </w:rPr>
      </w:pPr>
    </w:p>
    <w:p>
      <w:pPr>
        <w:ind w:left="820" w:right="380" w:hanging="724"/>
        <w:spacing w:after="0" w:line="268" w:lineRule="auto"/>
        <w:tabs>
          <w:tab w:leader="none" w:pos="8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included with Registrant’s Quarterly Report on Form 10-Q for the quarterly period ended June 30, 2004.</w:t>
      </w:r>
    </w:p>
    <w:p>
      <w:pPr>
        <w:sectPr>
          <w:pgSz w:w="11900" w:h="16933" w:orient="portrait"/>
          <w:cols w:equalWidth="0" w:num="1">
            <w:col w:w="11420"/>
          </w:cols>
          <w:pgMar w:left="240" w:top="382" w:right="239" w:bottom="0" w:gutter="0" w:footer="0" w:header="0"/>
        </w:sectPr>
      </w:pPr>
    </w:p>
    <w:bookmarkStart w:id="66" w:name="page67"/>
    <w:bookmarkEnd w:id="66"/>
    <w:p>
      <w:pPr>
        <w:jc w:val="center"/>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160655</wp:posOffset>
            </wp:positionV>
            <wp:extent cx="7267575"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019"/>
          </w:cols>
          <w:pgMar w:left="1440" w:top="131" w:right="1440" w:bottom="1440" w:gutter="0" w:footer="0" w:header="0"/>
        </w:sectPr>
      </w:pPr>
    </w:p>
    <w:bookmarkStart w:id="67" w:name="page68"/>
    <w:bookmarkEnd w:id="67"/>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193"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OCWEN FINANCIAL CORPORATION</w:t>
      </w:r>
    </w:p>
    <w:p>
      <w:pPr>
        <w:spacing w:after="0" w:line="285" w:lineRule="exact"/>
        <w:rPr>
          <w:sz w:val="20"/>
          <w:szCs w:val="20"/>
          <w:color w:val="auto"/>
        </w:rPr>
      </w:pPr>
    </w:p>
    <w:p>
      <w:pPr>
        <w:spacing w:after="0"/>
        <w:tabs>
          <w:tab w:leader="none" w:pos="800" w:val="left"/>
          <w:tab w:leader="none" w:pos="40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9, 2009</w:t>
      </w:r>
      <w:r>
        <w:rPr>
          <w:sz w:val="20"/>
          <w:szCs w:val="20"/>
          <w:color w:val="auto"/>
        </w:rPr>
        <w:tab/>
      </w:r>
      <w:r>
        <w:rPr>
          <w:rFonts w:ascii="Arial" w:cs="Arial" w:eastAsia="Arial" w:hAnsi="Arial"/>
          <w:sz w:val="16"/>
          <w:szCs w:val="16"/>
          <w:color w:val="auto"/>
        </w:rPr>
        <w:t>By: /s/ David J. Gunter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2552065</wp:posOffset>
            </wp:positionH>
            <wp:positionV relativeFrom="paragraph">
              <wp:posOffset>27940</wp:posOffset>
            </wp:positionV>
            <wp:extent cx="169799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697990" cy="8890"/>
                    </a:xfrm>
                    <a:prstGeom prst="rect">
                      <a:avLst/>
                    </a:prstGeom>
                    <a:noFill/>
                  </pic:spPr>
                </pic:pic>
              </a:graphicData>
            </a:graphic>
          </wp:anchor>
        </w:drawing>
      </w:r>
    </w:p>
    <w:p>
      <w:pPr>
        <w:spacing w:after="0" w:line="30"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David J. Gunter,</w:t>
      </w:r>
    </w:p>
    <w:p>
      <w:pPr>
        <w:spacing w:after="0" w:line="36"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Executive Vice President and</w:t>
      </w:r>
    </w:p>
    <w:p>
      <w:pPr>
        <w:spacing w:after="0" w:line="36"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Chief Financial Officer</w:t>
      </w:r>
    </w:p>
    <w:p>
      <w:pPr>
        <w:spacing w:after="0" w:line="36"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(On behalf of the Registrant and as its principal financial officer)</w:t>
      </w:r>
    </w:p>
    <w:p>
      <w:pPr>
        <w:spacing w:after="0" w:line="25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200"/>
          </w:cols>
          <w:pgMar w:left="240" w:top="125" w:right="45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15 U.S.C. SECTION 7241,</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 William C. Erbey, certify that:</w:t>
      </w:r>
    </w:p>
    <w:p>
      <w:pPr>
        <w:spacing w:after="0" w:line="239" w:lineRule="exact"/>
        <w:rPr>
          <w:sz w:val="20"/>
          <w:szCs w:val="20"/>
          <w:color w:val="auto"/>
        </w:rPr>
      </w:pPr>
    </w:p>
    <w:p>
      <w:pPr>
        <w:ind w:left="580" w:hanging="572"/>
        <w:spacing w:after="0"/>
        <w:tabs>
          <w:tab w:leader="none" w:pos="5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Ocwen Financial Corporation;</w:t>
      </w:r>
    </w:p>
    <w:p>
      <w:pPr>
        <w:spacing w:after="0" w:line="157" w:lineRule="exact"/>
        <w:rPr>
          <w:rFonts w:ascii="Arial" w:cs="Arial" w:eastAsia="Arial" w:hAnsi="Arial"/>
          <w:sz w:val="18"/>
          <w:szCs w:val="18"/>
          <w:color w:val="auto"/>
        </w:rPr>
      </w:pPr>
    </w:p>
    <w:p>
      <w:pPr>
        <w:ind w:left="580" w:right="120" w:hanging="572"/>
        <w:spacing w:after="0" w:line="370" w:lineRule="auto"/>
        <w:tabs>
          <w:tab w:leader="none" w:pos="580" w:val="left"/>
        </w:tabs>
        <w:numPr>
          <w:ilvl w:val="0"/>
          <w:numId w:val="5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Arial" w:cs="Arial" w:eastAsia="Arial" w:hAnsi="Arial"/>
          <w:sz w:val="15"/>
          <w:szCs w:val="15"/>
          <w:color w:val="auto"/>
        </w:rPr>
      </w:pPr>
    </w:p>
    <w:p>
      <w:pPr>
        <w:ind w:left="580" w:right="580" w:hanging="572"/>
        <w:spacing w:after="0" w:line="332" w:lineRule="auto"/>
        <w:tabs>
          <w:tab w:leader="none" w:pos="5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1" w:lineRule="exact"/>
        <w:rPr>
          <w:rFonts w:ascii="Arial" w:cs="Arial" w:eastAsia="Arial" w:hAnsi="Arial"/>
          <w:sz w:val="16"/>
          <w:szCs w:val="16"/>
          <w:color w:val="auto"/>
        </w:rPr>
      </w:pPr>
    </w:p>
    <w:p>
      <w:pPr>
        <w:ind w:left="580" w:right="180" w:hanging="572"/>
        <w:spacing w:after="0" w:line="259" w:lineRule="auto"/>
        <w:tabs>
          <w:tab w:leader="none" w:pos="5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 – 15(e) and 15d – 15(e)) and internal control over financial reporting (as defined in Exchange Act Rules 13a – 15(f) and 15d – 15(f)) for the registrant and have:</w:t>
      </w:r>
    </w:p>
    <w:p>
      <w:pPr>
        <w:spacing w:after="0" w:line="126" w:lineRule="exact"/>
        <w:rPr>
          <w:rFonts w:ascii="Arial" w:cs="Arial" w:eastAsia="Arial" w:hAnsi="Arial"/>
          <w:sz w:val="18"/>
          <w:szCs w:val="18"/>
          <w:color w:val="auto"/>
        </w:rPr>
      </w:pPr>
    </w:p>
    <w:p>
      <w:pPr>
        <w:ind w:left="1720" w:right="120" w:hanging="662"/>
        <w:spacing w:after="0" w:line="306" w:lineRule="auto"/>
        <w:tabs>
          <w:tab w:leader="none" w:pos="1720" w:val="left"/>
        </w:tabs>
        <w:numPr>
          <w:ilvl w:val="1"/>
          <w:numId w:val="52"/>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3" w:lineRule="exact"/>
        <w:rPr>
          <w:rFonts w:ascii="Arial" w:cs="Arial" w:eastAsia="Arial" w:hAnsi="Arial"/>
          <w:sz w:val="16"/>
          <w:szCs w:val="16"/>
          <w:color w:val="auto"/>
        </w:rPr>
      </w:pPr>
    </w:p>
    <w:p>
      <w:pPr>
        <w:ind w:left="1720" w:right="40" w:hanging="666"/>
        <w:spacing w:after="0" w:line="259" w:lineRule="auto"/>
        <w:tabs>
          <w:tab w:leader="none" w:pos="172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6" w:lineRule="exact"/>
        <w:rPr>
          <w:rFonts w:ascii="Arial" w:cs="Arial" w:eastAsia="Arial" w:hAnsi="Arial"/>
          <w:sz w:val="18"/>
          <w:szCs w:val="18"/>
          <w:color w:val="auto"/>
        </w:rPr>
      </w:pPr>
    </w:p>
    <w:p>
      <w:pPr>
        <w:jc w:val="both"/>
        <w:ind w:left="1720" w:right="200" w:hanging="662"/>
        <w:spacing w:after="0" w:line="370" w:lineRule="auto"/>
        <w:tabs>
          <w:tab w:leader="none" w:pos="1720" w:val="left"/>
        </w:tabs>
        <w:numPr>
          <w:ilvl w:val="1"/>
          <w:numId w:val="52"/>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8" w:lineRule="exact"/>
        <w:rPr>
          <w:rFonts w:ascii="Arial" w:cs="Arial" w:eastAsia="Arial" w:hAnsi="Arial"/>
          <w:sz w:val="15"/>
          <w:szCs w:val="15"/>
          <w:color w:val="auto"/>
        </w:rPr>
      </w:pPr>
    </w:p>
    <w:p>
      <w:pPr>
        <w:jc w:val="both"/>
        <w:ind w:left="1720" w:right="140" w:hanging="666"/>
        <w:spacing w:after="0" w:line="259" w:lineRule="auto"/>
        <w:tabs>
          <w:tab w:leader="none" w:pos="172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Disclosed in this report any changes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26" w:lineRule="exact"/>
        <w:rPr>
          <w:rFonts w:ascii="Arial" w:cs="Arial" w:eastAsia="Arial" w:hAnsi="Arial"/>
          <w:sz w:val="18"/>
          <w:szCs w:val="18"/>
          <w:color w:val="auto"/>
        </w:rPr>
      </w:pPr>
    </w:p>
    <w:p>
      <w:pPr>
        <w:ind w:left="580" w:right="320" w:hanging="572"/>
        <w:spacing w:after="0" w:line="332" w:lineRule="auto"/>
        <w:tabs>
          <w:tab w:leader="none" w:pos="5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1" w:lineRule="exact"/>
        <w:rPr>
          <w:rFonts w:ascii="Arial" w:cs="Arial" w:eastAsia="Arial" w:hAnsi="Arial"/>
          <w:sz w:val="16"/>
          <w:szCs w:val="16"/>
          <w:color w:val="auto"/>
        </w:rPr>
      </w:pPr>
    </w:p>
    <w:p>
      <w:pPr>
        <w:ind w:left="1720" w:right="440" w:hanging="662"/>
        <w:spacing w:after="0" w:line="332" w:lineRule="auto"/>
        <w:tabs>
          <w:tab w:leader="none" w:pos="1720" w:val="left"/>
        </w:tabs>
        <w:numPr>
          <w:ilvl w:val="1"/>
          <w:numId w:val="5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1" w:lineRule="exact"/>
        <w:rPr>
          <w:rFonts w:ascii="Arial" w:cs="Arial" w:eastAsia="Arial" w:hAnsi="Arial"/>
          <w:sz w:val="16"/>
          <w:szCs w:val="16"/>
          <w:color w:val="auto"/>
        </w:rPr>
      </w:pPr>
    </w:p>
    <w:p>
      <w:pPr>
        <w:ind w:left="1720" w:right="140" w:hanging="666"/>
        <w:spacing w:after="0" w:line="268" w:lineRule="auto"/>
        <w:tabs>
          <w:tab w:leader="none" w:pos="1720" w:val="left"/>
        </w:tabs>
        <w:numPr>
          <w:ilvl w:val="1"/>
          <w:numId w:val="5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7" w:lineRule="exact"/>
        <w:rPr>
          <w:sz w:val="20"/>
          <w:szCs w:val="20"/>
          <w:color w:val="auto"/>
        </w:rPr>
      </w:pPr>
    </w:p>
    <w:p>
      <w:pPr>
        <w:spacing w:after="0"/>
        <w:tabs>
          <w:tab w:leader="none" w:pos="1140" w:val="left"/>
          <w:tab w:leader="none" w:pos="45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9, 2009</w:t>
      </w:r>
      <w:r>
        <w:rPr>
          <w:sz w:val="20"/>
          <w:szCs w:val="20"/>
          <w:color w:val="auto"/>
        </w:rPr>
        <w:tab/>
      </w:r>
      <w:r>
        <w:rPr>
          <w:rFonts w:ascii="Arial" w:cs="Arial" w:eastAsia="Arial" w:hAnsi="Arial"/>
          <w:sz w:val="16"/>
          <w:szCs w:val="16"/>
          <w:color w:val="auto"/>
        </w:rPr>
        <w:t>/s/ William C. Erbey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165735</wp:posOffset>
            </wp:positionV>
            <wp:extent cx="180975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46"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William C. Erbey</w:t>
      </w:r>
    </w:p>
    <w:p>
      <w:pPr>
        <w:spacing w:after="0" w:line="15"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Chairman and Chief Executive Officer</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15 U.S.C. SECTION 7241,</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 David J. Gunter, certify that:</w:t>
      </w:r>
    </w:p>
    <w:p>
      <w:pPr>
        <w:spacing w:after="0" w:line="239" w:lineRule="exact"/>
        <w:rPr>
          <w:sz w:val="20"/>
          <w:szCs w:val="20"/>
          <w:color w:val="auto"/>
        </w:rPr>
      </w:pPr>
    </w:p>
    <w:p>
      <w:pPr>
        <w:ind w:left="580" w:hanging="572"/>
        <w:spacing w:after="0"/>
        <w:tabs>
          <w:tab w:leader="none" w:pos="5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Ocwen Financial Corporation;</w:t>
      </w:r>
    </w:p>
    <w:p>
      <w:pPr>
        <w:spacing w:after="0" w:line="157" w:lineRule="exact"/>
        <w:rPr>
          <w:rFonts w:ascii="Arial" w:cs="Arial" w:eastAsia="Arial" w:hAnsi="Arial"/>
          <w:sz w:val="18"/>
          <w:szCs w:val="18"/>
          <w:color w:val="auto"/>
        </w:rPr>
      </w:pPr>
    </w:p>
    <w:p>
      <w:pPr>
        <w:ind w:left="580" w:right="120" w:hanging="572"/>
        <w:spacing w:after="0" w:line="370" w:lineRule="auto"/>
        <w:tabs>
          <w:tab w:leader="none" w:pos="580" w:val="left"/>
        </w:tabs>
        <w:numPr>
          <w:ilvl w:val="0"/>
          <w:numId w:val="5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Arial" w:cs="Arial" w:eastAsia="Arial" w:hAnsi="Arial"/>
          <w:sz w:val="15"/>
          <w:szCs w:val="15"/>
          <w:color w:val="auto"/>
        </w:rPr>
      </w:pPr>
    </w:p>
    <w:p>
      <w:pPr>
        <w:ind w:left="580" w:right="580" w:hanging="572"/>
        <w:spacing w:after="0" w:line="332" w:lineRule="auto"/>
        <w:tabs>
          <w:tab w:leader="none" w:pos="5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1" w:lineRule="exact"/>
        <w:rPr>
          <w:rFonts w:ascii="Arial" w:cs="Arial" w:eastAsia="Arial" w:hAnsi="Arial"/>
          <w:sz w:val="16"/>
          <w:szCs w:val="16"/>
          <w:color w:val="auto"/>
        </w:rPr>
      </w:pPr>
    </w:p>
    <w:p>
      <w:pPr>
        <w:ind w:left="580" w:right="180" w:hanging="572"/>
        <w:spacing w:after="0" w:line="259" w:lineRule="auto"/>
        <w:tabs>
          <w:tab w:leader="none" w:pos="5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 – 15(e) and 15d – 15(e)) and internal control over financial reporting (as defined in Exchange Act Rules 13a – 15(f) and 15d – 15(f)) for the registrant and have:</w:t>
      </w:r>
    </w:p>
    <w:p>
      <w:pPr>
        <w:spacing w:after="0" w:line="126" w:lineRule="exact"/>
        <w:rPr>
          <w:rFonts w:ascii="Arial" w:cs="Arial" w:eastAsia="Arial" w:hAnsi="Arial"/>
          <w:sz w:val="18"/>
          <w:szCs w:val="18"/>
          <w:color w:val="auto"/>
        </w:rPr>
      </w:pPr>
    </w:p>
    <w:p>
      <w:pPr>
        <w:ind w:left="1720" w:right="120" w:hanging="662"/>
        <w:spacing w:after="0" w:line="306" w:lineRule="auto"/>
        <w:tabs>
          <w:tab w:leader="none" w:pos="1720" w:val="left"/>
        </w:tabs>
        <w:numPr>
          <w:ilvl w:val="1"/>
          <w:numId w:val="53"/>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3" w:lineRule="exact"/>
        <w:rPr>
          <w:rFonts w:ascii="Arial" w:cs="Arial" w:eastAsia="Arial" w:hAnsi="Arial"/>
          <w:sz w:val="16"/>
          <w:szCs w:val="16"/>
          <w:color w:val="auto"/>
        </w:rPr>
      </w:pPr>
    </w:p>
    <w:p>
      <w:pPr>
        <w:ind w:left="1720" w:right="40" w:hanging="666"/>
        <w:spacing w:after="0" w:line="259" w:lineRule="auto"/>
        <w:tabs>
          <w:tab w:leader="none" w:pos="172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6" w:lineRule="exact"/>
        <w:rPr>
          <w:rFonts w:ascii="Arial" w:cs="Arial" w:eastAsia="Arial" w:hAnsi="Arial"/>
          <w:sz w:val="18"/>
          <w:szCs w:val="18"/>
          <w:color w:val="auto"/>
        </w:rPr>
      </w:pPr>
    </w:p>
    <w:p>
      <w:pPr>
        <w:jc w:val="both"/>
        <w:ind w:left="1720" w:right="200" w:hanging="662"/>
        <w:spacing w:after="0" w:line="370" w:lineRule="auto"/>
        <w:tabs>
          <w:tab w:leader="none" w:pos="1720" w:val="left"/>
        </w:tabs>
        <w:numPr>
          <w:ilvl w:val="1"/>
          <w:numId w:val="53"/>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8" w:lineRule="exact"/>
        <w:rPr>
          <w:rFonts w:ascii="Arial" w:cs="Arial" w:eastAsia="Arial" w:hAnsi="Arial"/>
          <w:sz w:val="15"/>
          <w:szCs w:val="15"/>
          <w:color w:val="auto"/>
        </w:rPr>
      </w:pPr>
    </w:p>
    <w:p>
      <w:pPr>
        <w:jc w:val="both"/>
        <w:ind w:left="1720" w:right="140" w:hanging="666"/>
        <w:spacing w:after="0" w:line="259" w:lineRule="auto"/>
        <w:tabs>
          <w:tab w:leader="none" w:pos="172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Disclosed in this report any changes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26" w:lineRule="exact"/>
        <w:rPr>
          <w:rFonts w:ascii="Arial" w:cs="Arial" w:eastAsia="Arial" w:hAnsi="Arial"/>
          <w:sz w:val="18"/>
          <w:szCs w:val="18"/>
          <w:color w:val="auto"/>
        </w:rPr>
      </w:pPr>
    </w:p>
    <w:p>
      <w:pPr>
        <w:ind w:left="580" w:right="320" w:hanging="572"/>
        <w:spacing w:after="0" w:line="332" w:lineRule="auto"/>
        <w:tabs>
          <w:tab w:leader="none" w:pos="5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1" w:lineRule="exact"/>
        <w:rPr>
          <w:rFonts w:ascii="Arial" w:cs="Arial" w:eastAsia="Arial" w:hAnsi="Arial"/>
          <w:sz w:val="16"/>
          <w:szCs w:val="16"/>
          <w:color w:val="auto"/>
        </w:rPr>
      </w:pPr>
    </w:p>
    <w:p>
      <w:pPr>
        <w:ind w:left="1720" w:right="440" w:hanging="662"/>
        <w:spacing w:after="0" w:line="332" w:lineRule="auto"/>
        <w:tabs>
          <w:tab w:leader="none" w:pos="1720" w:val="left"/>
        </w:tabs>
        <w:numPr>
          <w:ilvl w:val="1"/>
          <w:numId w:val="5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1" w:lineRule="exact"/>
        <w:rPr>
          <w:rFonts w:ascii="Arial" w:cs="Arial" w:eastAsia="Arial" w:hAnsi="Arial"/>
          <w:sz w:val="16"/>
          <w:szCs w:val="16"/>
          <w:color w:val="auto"/>
        </w:rPr>
      </w:pPr>
    </w:p>
    <w:p>
      <w:pPr>
        <w:ind w:left="1720" w:right="140" w:hanging="666"/>
        <w:spacing w:after="0" w:line="268" w:lineRule="auto"/>
        <w:tabs>
          <w:tab w:leader="none" w:pos="1720" w:val="left"/>
        </w:tabs>
        <w:numPr>
          <w:ilvl w:val="1"/>
          <w:numId w:val="5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7" w:lineRule="exact"/>
        <w:rPr>
          <w:sz w:val="20"/>
          <w:szCs w:val="20"/>
          <w:color w:val="auto"/>
        </w:rPr>
      </w:pPr>
    </w:p>
    <w:p>
      <w:pPr>
        <w:spacing w:after="0"/>
        <w:tabs>
          <w:tab w:leader="none" w:pos="1140" w:val="left"/>
          <w:tab w:leader="none" w:pos="49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9, 2009</w:t>
      </w:r>
      <w:r>
        <w:rPr>
          <w:sz w:val="20"/>
          <w:szCs w:val="20"/>
          <w:color w:val="auto"/>
        </w:rPr>
        <w:tab/>
      </w:r>
      <w:r>
        <w:rPr>
          <w:rFonts w:ascii="Arial" w:cs="Arial" w:eastAsia="Arial" w:hAnsi="Arial"/>
          <w:sz w:val="16"/>
          <w:szCs w:val="16"/>
          <w:color w:val="auto"/>
        </w:rPr>
        <w:t>/s/ David J. Gunter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3126740</wp:posOffset>
            </wp:positionH>
            <wp:positionV relativeFrom="paragraph">
              <wp:posOffset>165735</wp:posOffset>
            </wp:positionV>
            <wp:extent cx="15951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246"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David J. Gunter,</w:t>
      </w:r>
    </w:p>
    <w:p>
      <w:pPr>
        <w:spacing w:after="0" w:line="15"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Executive Vice President and</w:t>
      </w:r>
    </w:p>
    <w:p>
      <w:pPr>
        <w:spacing w:after="0" w:line="9"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Chief Financial Officer</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 OXLEY ACT OF 2002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 William C. Erbey, state and attest that:</w:t>
      </w:r>
    </w:p>
    <w:p>
      <w:pPr>
        <w:spacing w:after="0" w:line="239" w:lineRule="exact"/>
        <w:rPr>
          <w:sz w:val="20"/>
          <w:szCs w:val="20"/>
          <w:color w:val="auto"/>
        </w:rPr>
      </w:pPr>
    </w:p>
    <w:p>
      <w:pPr>
        <w:ind w:left="580" w:hanging="572"/>
        <w:spacing w:after="0"/>
        <w:tabs>
          <w:tab w:leader="none" w:pos="5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 am the Chief Executive Officer of Ocwen Financial Corporation (the “Registrant”).</w:t>
      </w:r>
    </w:p>
    <w:p>
      <w:pPr>
        <w:spacing w:after="0" w:line="157" w:lineRule="exact"/>
        <w:rPr>
          <w:rFonts w:ascii="Arial" w:cs="Arial" w:eastAsia="Arial" w:hAnsi="Arial"/>
          <w:sz w:val="18"/>
          <w:szCs w:val="18"/>
          <w:color w:val="auto"/>
        </w:rPr>
      </w:pPr>
    </w:p>
    <w:p>
      <w:pPr>
        <w:ind w:left="580" w:hanging="572"/>
        <w:spacing w:after="0"/>
        <w:tabs>
          <w:tab w:leader="none" w:pos="5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 hereby certify, pursuant to 18 U.S.C. Section 1350, as adopted pursuant to Section 906 of the Sarbanes-Oxley Act of 2002, that</w:t>
      </w:r>
    </w:p>
    <w:p>
      <w:pPr>
        <w:spacing w:after="0" w:line="157" w:lineRule="exact"/>
        <w:rPr>
          <w:rFonts w:ascii="Arial" w:cs="Arial" w:eastAsia="Arial" w:hAnsi="Arial"/>
          <w:sz w:val="18"/>
          <w:szCs w:val="18"/>
          <w:color w:val="auto"/>
        </w:rPr>
      </w:pPr>
    </w:p>
    <w:p>
      <w:pPr>
        <w:ind w:left="1160" w:right="100" w:hanging="571"/>
        <w:spacing w:after="0" w:line="259" w:lineRule="auto"/>
        <w:tabs>
          <w:tab w:leader="none" w:pos="1160" w:val="left"/>
        </w:tabs>
        <w:numPr>
          <w:ilvl w:val="1"/>
          <w:numId w:val="54"/>
        </w:numPr>
        <w:rPr>
          <w:rFonts w:ascii="Arial" w:cs="Arial" w:eastAsia="Arial" w:hAnsi="Arial"/>
          <w:sz w:val="18"/>
          <w:szCs w:val="18"/>
          <w:color w:val="auto"/>
        </w:rPr>
      </w:pPr>
      <w:r>
        <w:rPr>
          <w:rFonts w:ascii="Arial" w:cs="Arial" w:eastAsia="Arial" w:hAnsi="Arial"/>
          <w:sz w:val="18"/>
          <w:szCs w:val="18"/>
          <w:color w:val="auto"/>
        </w:rPr>
        <w:t>the Quarterly Report on Form 10-Q of the Registrant for the quarter ended September 30, 2009 (the “periodic report”) containing financial statements fully complies with the requirements of Section 13(a) or 15(d), as applicable, of the Securities Exchange Act of 1934 (15 U.S.C. 78m or 78o(d)); and</w:t>
      </w:r>
    </w:p>
    <w:p>
      <w:pPr>
        <w:spacing w:after="0" w:line="126" w:lineRule="exact"/>
        <w:rPr>
          <w:rFonts w:ascii="Arial" w:cs="Arial" w:eastAsia="Arial" w:hAnsi="Arial"/>
          <w:sz w:val="18"/>
          <w:szCs w:val="18"/>
          <w:color w:val="auto"/>
        </w:rPr>
      </w:pPr>
    </w:p>
    <w:p>
      <w:pPr>
        <w:ind w:left="1160" w:right="200" w:hanging="571"/>
        <w:spacing w:after="0" w:line="268" w:lineRule="auto"/>
        <w:tabs>
          <w:tab w:leader="none" w:pos="1160" w:val="left"/>
        </w:tabs>
        <w:numPr>
          <w:ilvl w:val="1"/>
          <w:numId w:val="54"/>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represents, in all material respects, the financial condition and results of operations of the Registrant for the periods presented.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160" w:type="dxa"/>
            <w:vAlign w:val="bottom"/>
          </w:tcPr>
          <w:p>
            <w:pPr>
              <w:spacing w:after="0"/>
              <w:rPr>
                <w:sz w:val="20"/>
                <w:szCs w:val="20"/>
                <w:color w:val="auto"/>
              </w:rPr>
            </w:pPr>
            <w:r>
              <w:rPr>
                <w:rFonts w:ascii="Arial" w:cs="Arial" w:eastAsia="Arial" w:hAnsi="Arial"/>
                <w:sz w:val="18"/>
                <w:szCs w:val="18"/>
                <w:color w:val="auto"/>
              </w:rPr>
              <w:t>Name:</w:t>
            </w:r>
          </w:p>
        </w:tc>
        <w:tc>
          <w:tcPr>
            <w:tcW w:w="2720" w:type="dxa"/>
            <w:vAlign w:val="bottom"/>
            <w:gridSpan w:val="2"/>
          </w:tcPr>
          <w:p>
            <w:pPr>
              <w:spacing w:after="0"/>
              <w:rPr>
                <w:sz w:val="20"/>
                <w:szCs w:val="20"/>
                <w:color w:val="auto"/>
              </w:rPr>
            </w:pPr>
            <w:r>
              <w:rPr>
                <w:rFonts w:ascii="Arial" w:cs="Arial" w:eastAsia="Arial" w:hAnsi="Arial"/>
                <w:sz w:val="18"/>
                <w:szCs w:val="18"/>
                <w:color w:val="auto"/>
              </w:rPr>
              <w:t>/s/ William C. Erbey</w:t>
            </w:r>
          </w:p>
        </w:tc>
        <w:tc>
          <w:tcPr>
            <w:tcW w:w="0" w:type="dxa"/>
            <w:vAlign w:val="bottom"/>
          </w:tcPr>
          <w:p>
            <w:pPr>
              <w:spacing w:after="0"/>
              <w:rPr>
                <w:sz w:val="1"/>
                <w:szCs w:val="1"/>
                <w:color w:val="auto"/>
              </w:rPr>
            </w:pPr>
          </w:p>
        </w:tc>
      </w:tr>
      <w:tr>
        <w:trPr>
          <w:trHeight w:val="245"/>
        </w:trPr>
        <w:tc>
          <w:tcPr>
            <w:tcW w:w="1160" w:type="dxa"/>
            <w:vAlign w:val="bottom"/>
            <w:vMerge w:val="restart"/>
          </w:tcPr>
          <w:p>
            <w:pPr>
              <w:spacing w:after="0"/>
              <w:rPr>
                <w:sz w:val="20"/>
                <w:szCs w:val="20"/>
                <w:color w:val="auto"/>
              </w:rPr>
            </w:pPr>
            <w:r>
              <w:rPr>
                <w:rFonts w:ascii="Arial" w:cs="Arial" w:eastAsia="Arial" w:hAnsi="Arial"/>
                <w:sz w:val="18"/>
                <w:szCs w:val="18"/>
                <w:color w:val="auto"/>
              </w:rPr>
              <w:t>Title:</w:t>
            </w:r>
          </w:p>
        </w:tc>
        <w:tc>
          <w:tcPr>
            <w:tcW w:w="272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01"/>
        </w:trPr>
        <w:tc>
          <w:tcPr>
            <w:tcW w:w="1160" w:type="dxa"/>
            <w:vAlign w:val="bottom"/>
            <w:vMerge w:val="continue"/>
          </w:tcPr>
          <w:p>
            <w:pPr>
              <w:spacing w:after="0"/>
              <w:rPr>
                <w:sz w:val="17"/>
                <w:szCs w:val="17"/>
                <w:color w:val="auto"/>
              </w:rPr>
            </w:pPr>
          </w:p>
        </w:tc>
        <w:tc>
          <w:tcPr>
            <w:tcW w:w="22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2"/>
              </w:rPr>
              <w:t>Chairman and Chief Executive</w:t>
            </w:r>
          </w:p>
        </w:tc>
        <w:tc>
          <w:tcPr>
            <w:tcW w:w="440" w:type="dxa"/>
            <w:vAlign w:val="bottom"/>
          </w:tcPr>
          <w:p>
            <w:pPr>
              <w:spacing w:after="0" w:line="201" w:lineRule="exact"/>
              <w:rPr>
                <w:sz w:val="20"/>
                <w:szCs w:val="20"/>
                <w:color w:val="auto"/>
              </w:rPr>
            </w:pPr>
            <w:r>
              <w:rPr>
                <w:rFonts w:ascii="Arial" w:cs="Arial" w:eastAsia="Arial" w:hAnsi="Arial"/>
                <w:sz w:val="18"/>
                <w:szCs w:val="18"/>
                <w:color w:val="auto"/>
                <w:w w:val="79"/>
              </w:rPr>
              <w:t>Officer</w:t>
            </w:r>
          </w:p>
        </w:tc>
        <w:tc>
          <w:tcPr>
            <w:tcW w:w="0" w:type="dxa"/>
            <w:vAlign w:val="bottom"/>
          </w:tcPr>
          <w:p>
            <w:pPr>
              <w:spacing w:after="0"/>
              <w:rPr>
                <w:sz w:val="1"/>
                <w:szCs w:val="1"/>
                <w:color w:val="auto"/>
              </w:rPr>
            </w:pPr>
          </w:p>
        </w:tc>
      </w:tr>
      <w:tr>
        <w:trPr>
          <w:trHeight w:val="222"/>
        </w:trPr>
        <w:tc>
          <w:tcPr>
            <w:tcW w:w="1160" w:type="dxa"/>
            <w:vAlign w:val="bottom"/>
          </w:tcPr>
          <w:p>
            <w:pPr>
              <w:spacing w:after="0"/>
              <w:rPr>
                <w:sz w:val="20"/>
                <w:szCs w:val="20"/>
                <w:color w:val="auto"/>
              </w:rPr>
            </w:pPr>
            <w:r>
              <w:rPr>
                <w:rFonts w:ascii="Arial" w:cs="Arial" w:eastAsia="Arial" w:hAnsi="Arial"/>
                <w:sz w:val="18"/>
                <w:szCs w:val="18"/>
                <w:color w:val="auto"/>
              </w:rPr>
              <w:t>Date:</w:t>
            </w:r>
          </w:p>
        </w:tc>
        <w:tc>
          <w:tcPr>
            <w:tcW w:w="2720" w:type="dxa"/>
            <w:vAlign w:val="bottom"/>
            <w:gridSpan w:val="2"/>
          </w:tcPr>
          <w:p>
            <w:pPr>
              <w:spacing w:after="0"/>
              <w:rPr>
                <w:sz w:val="20"/>
                <w:szCs w:val="20"/>
                <w:color w:val="auto"/>
              </w:rPr>
            </w:pPr>
            <w:r>
              <w:rPr>
                <w:rFonts w:ascii="Arial" w:cs="Arial" w:eastAsia="Arial" w:hAnsi="Arial"/>
                <w:sz w:val="18"/>
                <w:szCs w:val="18"/>
                <w:color w:val="auto"/>
              </w:rPr>
              <w:t>November 9, 2009</w:t>
            </w:r>
          </w:p>
        </w:tc>
        <w:tc>
          <w:tcPr>
            <w:tcW w:w="0" w:type="dxa"/>
            <w:vAlign w:val="bottom"/>
          </w:tcPr>
          <w:p>
            <w:pPr>
              <w:spacing w:after="0"/>
              <w:rPr>
                <w:sz w:val="1"/>
                <w:szCs w:val="1"/>
                <w:color w:val="auto"/>
              </w:rPr>
            </w:pPr>
          </w:p>
        </w:tc>
      </w:tr>
    </w:tbl>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 David J. Gunter, state and attest that:</w:t>
      </w:r>
    </w:p>
    <w:p>
      <w:pPr>
        <w:spacing w:after="0" w:line="239" w:lineRule="exact"/>
        <w:rPr>
          <w:sz w:val="20"/>
          <w:szCs w:val="20"/>
          <w:color w:val="auto"/>
        </w:rPr>
      </w:pPr>
    </w:p>
    <w:p>
      <w:pPr>
        <w:ind w:left="580" w:hanging="572"/>
        <w:spacing w:after="0"/>
        <w:tabs>
          <w:tab w:leader="none" w:pos="5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 am the Chief Financial Officer of Ocwen Financial Corporation (the “Registrant”).</w:t>
      </w:r>
    </w:p>
    <w:p>
      <w:pPr>
        <w:spacing w:after="0" w:line="157" w:lineRule="exact"/>
        <w:rPr>
          <w:rFonts w:ascii="Arial" w:cs="Arial" w:eastAsia="Arial" w:hAnsi="Arial"/>
          <w:sz w:val="18"/>
          <w:szCs w:val="18"/>
          <w:color w:val="auto"/>
        </w:rPr>
      </w:pPr>
    </w:p>
    <w:p>
      <w:pPr>
        <w:ind w:left="580" w:hanging="572"/>
        <w:spacing w:after="0"/>
        <w:tabs>
          <w:tab w:leader="none" w:pos="5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 hereby certify, pursuant to 18 U.S.C. Section 1350, as adopted pursuant to Section 906 of the Sarbanes-Oxley Act of 2002, that</w:t>
      </w:r>
    </w:p>
    <w:p>
      <w:pPr>
        <w:spacing w:after="0" w:line="157" w:lineRule="exact"/>
        <w:rPr>
          <w:rFonts w:ascii="Arial" w:cs="Arial" w:eastAsia="Arial" w:hAnsi="Arial"/>
          <w:sz w:val="18"/>
          <w:szCs w:val="18"/>
          <w:color w:val="auto"/>
        </w:rPr>
      </w:pPr>
    </w:p>
    <w:p>
      <w:pPr>
        <w:ind w:left="1160" w:right="100" w:hanging="571"/>
        <w:spacing w:after="0" w:line="259" w:lineRule="auto"/>
        <w:tabs>
          <w:tab w:leader="none" w:pos="1160" w:val="left"/>
        </w:tabs>
        <w:numPr>
          <w:ilvl w:val="1"/>
          <w:numId w:val="55"/>
        </w:numPr>
        <w:rPr>
          <w:rFonts w:ascii="Arial" w:cs="Arial" w:eastAsia="Arial" w:hAnsi="Arial"/>
          <w:sz w:val="18"/>
          <w:szCs w:val="18"/>
          <w:color w:val="auto"/>
        </w:rPr>
      </w:pPr>
      <w:r>
        <w:rPr>
          <w:rFonts w:ascii="Arial" w:cs="Arial" w:eastAsia="Arial" w:hAnsi="Arial"/>
          <w:sz w:val="18"/>
          <w:szCs w:val="18"/>
          <w:color w:val="auto"/>
        </w:rPr>
        <w:t>the Quarterly Report on Form 10-Q of the Registrant for the quarter ended September 30, 2009 (the “periodic report”) containing financial statements fully complies with the requirements of Section 13(a) or 15(d), as applicable, of the Securities Exchange Act of 1934 (15 U.S.C. 78m or 78o(d)); and</w:t>
      </w:r>
    </w:p>
    <w:p>
      <w:pPr>
        <w:spacing w:after="0" w:line="126" w:lineRule="exact"/>
        <w:rPr>
          <w:rFonts w:ascii="Arial" w:cs="Arial" w:eastAsia="Arial" w:hAnsi="Arial"/>
          <w:sz w:val="18"/>
          <w:szCs w:val="18"/>
          <w:color w:val="auto"/>
        </w:rPr>
      </w:pPr>
    </w:p>
    <w:p>
      <w:pPr>
        <w:ind w:left="1160" w:right="200" w:hanging="571"/>
        <w:spacing w:after="0" w:line="268" w:lineRule="auto"/>
        <w:tabs>
          <w:tab w:leader="none" w:pos="1160" w:val="left"/>
        </w:tabs>
        <w:numPr>
          <w:ilvl w:val="1"/>
          <w:numId w:val="55"/>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represents, in all material respects, the financial condition and results of operations of the Registrant for the periods presented.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140" w:type="dxa"/>
            <w:vAlign w:val="bottom"/>
          </w:tcPr>
          <w:p>
            <w:pPr>
              <w:spacing w:after="0"/>
              <w:rPr>
                <w:sz w:val="20"/>
                <w:szCs w:val="20"/>
                <w:color w:val="auto"/>
              </w:rPr>
            </w:pPr>
            <w:r>
              <w:rPr>
                <w:rFonts w:ascii="Arial" w:cs="Arial" w:eastAsia="Arial" w:hAnsi="Arial"/>
                <w:sz w:val="18"/>
                <w:szCs w:val="18"/>
                <w:color w:val="auto"/>
              </w:rPr>
              <w:t>Name:</w:t>
            </w:r>
          </w:p>
        </w:tc>
        <w:tc>
          <w:tcPr>
            <w:tcW w:w="2320" w:type="dxa"/>
            <w:vAlign w:val="bottom"/>
          </w:tcPr>
          <w:p>
            <w:pPr>
              <w:spacing w:after="0"/>
              <w:rPr>
                <w:sz w:val="20"/>
                <w:szCs w:val="20"/>
                <w:color w:val="auto"/>
              </w:rPr>
            </w:pPr>
            <w:r>
              <w:rPr>
                <w:rFonts w:ascii="Arial" w:cs="Arial" w:eastAsia="Arial" w:hAnsi="Arial"/>
                <w:sz w:val="18"/>
                <w:szCs w:val="18"/>
                <w:color w:val="auto"/>
              </w:rPr>
              <w:t>/s/ David J. Gunter</w:t>
            </w:r>
          </w:p>
        </w:tc>
        <w:tc>
          <w:tcPr>
            <w:tcW w:w="0" w:type="dxa"/>
            <w:vAlign w:val="bottom"/>
          </w:tcPr>
          <w:p>
            <w:pPr>
              <w:spacing w:after="0"/>
              <w:rPr>
                <w:sz w:val="1"/>
                <w:szCs w:val="1"/>
                <w:color w:val="auto"/>
              </w:rPr>
            </w:pPr>
          </w:p>
        </w:tc>
      </w:tr>
      <w:tr>
        <w:trPr>
          <w:trHeight w:val="245"/>
        </w:trPr>
        <w:tc>
          <w:tcPr>
            <w:tcW w:w="1140" w:type="dxa"/>
            <w:vAlign w:val="bottom"/>
            <w:vMerge w:val="restart"/>
          </w:tcPr>
          <w:p>
            <w:pPr>
              <w:spacing w:after="0"/>
              <w:rPr>
                <w:sz w:val="20"/>
                <w:szCs w:val="20"/>
                <w:color w:val="auto"/>
              </w:rPr>
            </w:pPr>
            <w:r>
              <w:rPr>
                <w:rFonts w:ascii="Arial" w:cs="Arial" w:eastAsia="Arial" w:hAnsi="Arial"/>
                <w:sz w:val="18"/>
                <w:szCs w:val="18"/>
                <w:color w:val="auto"/>
              </w:rPr>
              <w:t>Title:</w:t>
            </w:r>
          </w:p>
        </w:tc>
        <w:tc>
          <w:tcPr>
            <w:tcW w:w="23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1"/>
        </w:trPr>
        <w:tc>
          <w:tcPr>
            <w:tcW w:w="1140" w:type="dxa"/>
            <w:vAlign w:val="bottom"/>
            <w:vMerge w:val="continue"/>
          </w:tcPr>
          <w:p>
            <w:pPr>
              <w:spacing w:after="0"/>
              <w:rPr>
                <w:sz w:val="17"/>
                <w:szCs w:val="17"/>
                <w:color w:val="auto"/>
              </w:rPr>
            </w:pPr>
          </w:p>
        </w:tc>
        <w:tc>
          <w:tcPr>
            <w:tcW w:w="2320" w:type="dxa"/>
            <w:vAlign w:val="bottom"/>
          </w:tcPr>
          <w:p>
            <w:pPr>
              <w:spacing w:after="0" w:line="201" w:lineRule="exact"/>
              <w:rPr>
                <w:sz w:val="20"/>
                <w:szCs w:val="20"/>
                <w:color w:val="auto"/>
              </w:rPr>
            </w:pPr>
            <w:r>
              <w:rPr>
                <w:rFonts w:ascii="Arial" w:cs="Arial" w:eastAsia="Arial" w:hAnsi="Arial"/>
                <w:sz w:val="18"/>
                <w:szCs w:val="18"/>
                <w:color w:val="auto"/>
                <w:w w:val="98"/>
              </w:rPr>
              <w:t>Executive Vice President and</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32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222"/>
        </w:trPr>
        <w:tc>
          <w:tcPr>
            <w:tcW w:w="1140" w:type="dxa"/>
            <w:vAlign w:val="bottom"/>
          </w:tcPr>
          <w:p>
            <w:pPr>
              <w:spacing w:after="0"/>
              <w:rPr>
                <w:sz w:val="20"/>
                <w:szCs w:val="20"/>
                <w:color w:val="auto"/>
              </w:rPr>
            </w:pPr>
            <w:r>
              <w:rPr>
                <w:rFonts w:ascii="Arial" w:cs="Arial" w:eastAsia="Arial" w:hAnsi="Arial"/>
                <w:sz w:val="18"/>
                <w:szCs w:val="18"/>
                <w:color w:val="auto"/>
              </w:rPr>
              <w:t>Date:</w:t>
            </w:r>
          </w:p>
        </w:tc>
        <w:tc>
          <w:tcPr>
            <w:tcW w:w="2320" w:type="dxa"/>
            <w:vAlign w:val="bottom"/>
          </w:tcPr>
          <w:p>
            <w:pPr>
              <w:spacing w:after="0"/>
              <w:rPr>
                <w:sz w:val="20"/>
                <w:szCs w:val="20"/>
                <w:color w:val="auto"/>
              </w:rPr>
            </w:pPr>
            <w:r>
              <w:rPr>
                <w:rFonts w:ascii="Arial" w:cs="Arial" w:eastAsia="Arial" w:hAnsi="Arial"/>
                <w:sz w:val="18"/>
                <w:szCs w:val="18"/>
                <w:color w:val="auto"/>
              </w:rPr>
              <w:t>November 9, 2009</w:t>
            </w:r>
          </w:p>
        </w:tc>
        <w:tc>
          <w:tcPr>
            <w:tcW w:w="0" w:type="dxa"/>
            <w:vAlign w:val="bottom"/>
          </w:tcPr>
          <w:p>
            <w:pPr>
              <w:spacing w:after="0"/>
              <w:rPr>
                <w:sz w:val="1"/>
                <w:szCs w:val="1"/>
                <w:color w:val="auto"/>
              </w:rPr>
            </w:pPr>
          </w:p>
        </w:tc>
      </w:tr>
    </w:tbl>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CA88611"/>
    <w:multiLevelType w:val="hybridMultilevel"/>
    <w:lvl w:ilvl="0">
      <w:lvlJc w:val="left"/>
      <w:lvlText w:val="x"/>
      <w:numFmt w:val="bullet"/>
      <w:start w:val="1"/>
    </w:lvl>
  </w:abstractNum>
  <w:abstractNum w:abstractNumId="1">
    <w:nsid w:val="836C40E"/>
    <w:multiLevelType w:val="hybridMultilevel"/>
    <w:lvl w:ilvl="0">
      <w:lvlJc w:val="left"/>
      <w:lvlText w:val="o"/>
      <w:numFmt w:val="bullet"/>
      <w:start w:val="1"/>
    </w:lvl>
  </w:abstractNum>
  <w:abstractNum w:abstractNumId="2">
    <w:nsid w:val="2901D82"/>
    <w:multiLevelType w:val="hybridMultilevel"/>
    <w:lvl w:ilvl="0">
      <w:lvlJc w:val="left"/>
      <w:lvlText w:val="•"/>
      <w:numFmt w:val="bullet"/>
      <w:start w:val="1"/>
    </w:lvl>
  </w:abstractNum>
  <w:abstractNum w:abstractNumId="3">
    <w:nsid w:val="3A95F874"/>
    <w:multiLevelType w:val="hybridMultilevel"/>
    <w:lvl w:ilvl="0">
      <w:lvlJc w:val="left"/>
      <w:lvlText w:val="•"/>
      <w:numFmt w:val="bullet"/>
      <w:start w:val="1"/>
    </w:lvl>
  </w:abstractNum>
  <w:abstractNum w:abstractNumId="4">
    <w:nsid w:val="8138641"/>
    <w:multiLevelType w:val="hybridMultilevel"/>
    <w:lvl w:ilvl="0">
      <w:lvlJc w:val="left"/>
      <w:lvlText w:val="(%1)"/>
      <w:numFmt w:val="decimal"/>
      <w:start w:val="1"/>
    </w:lvl>
  </w:abstractNum>
  <w:abstractNum w:abstractNumId="5">
    <w:nsid w:val="1E7FF521"/>
    <w:multiLevelType w:val="hybridMultilevel"/>
    <w:lvl w:ilvl="0">
      <w:lvlJc w:val="left"/>
      <w:lvlText w:val="(%1)"/>
      <w:numFmt w:val="decimal"/>
      <w:start w:val="1"/>
    </w:lvl>
  </w:abstractNum>
  <w:abstractNum w:abstractNumId="6">
    <w:nsid w:val="7C3DBD3D"/>
    <w:multiLevelType w:val="hybridMultilevel"/>
    <w:lvl w:ilvl="0">
      <w:lvlJc w:val="left"/>
      <w:lvlText w:val="•"/>
      <w:numFmt w:val="bullet"/>
      <w:start w:val="1"/>
    </w:lvl>
  </w:abstractNum>
  <w:abstractNum w:abstractNumId="7">
    <w:nsid w:val="737B8DDC"/>
    <w:multiLevelType w:val="hybridMultilevel"/>
    <w:lvl w:ilvl="0">
      <w:lvlJc w:val="left"/>
      <w:lvlText w:val="%1."/>
      <w:numFmt w:val="lowerLetter"/>
      <w:start w:val="1"/>
    </w:lvl>
  </w:abstractNum>
  <w:abstractNum w:abstractNumId="8">
    <w:nsid w:val="6CEAF087"/>
    <w:multiLevelType w:val="hybridMultilevel"/>
    <w:lvl w:ilvl="0">
      <w:lvlJc w:val="left"/>
      <w:lvlText w:val="(%1)"/>
      <w:numFmt w:val="decimal"/>
      <w:start w:val="1"/>
    </w:lvl>
  </w:abstractNum>
  <w:abstractNum w:abstractNumId="9">
    <w:nsid w:val="22221A70"/>
    <w:multiLevelType w:val="hybridMultilevel"/>
    <w:lvl w:ilvl="0">
      <w:lvlJc w:val="left"/>
      <w:lvlText w:val="(%1)"/>
      <w:numFmt w:val="decimal"/>
      <w:start w:val="1"/>
    </w:lvl>
  </w:abstractNum>
  <w:abstractNum w:abstractNumId="10">
    <w:nsid w:val="4516DDE9"/>
    <w:multiLevelType w:val="hybridMultilevel"/>
    <w:lvl w:ilvl="0">
      <w:lvlJc w:val="left"/>
      <w:lvlText w:val="•"/>
      <w:numFmt w:val="bullet"/>
      <w:start w:val="1"/>
    </w:lvl>
  </w:abstractNum>
  <w:abstractNum w:abstractNumId="11">
    <w:nsid w:val="3006C83E"/>
    <w:multiLevelType w:val="hybridMultilevel"/>
    <w:lvl w:ilvl="0">
      <w:lvlJc w:val="left"/>
      <w:lvlText w:val="•"/>
      <w:numFmt w:val="bullet"/>
      <w:start w:val="1"/>
    </w:lvl>
  </w:abstractNum>
  <w:abstractNum w:abstractNumId="12">
    <w:nsid w:val="614FD4A1"/>
    <w:multiLevelType w:val="hybridMultilevel"/>
    <w:lvl w:ilvl="0">
      <w:lvlJc w:val="left"/>
      <w:lvlText w:val="(%1)"/>
      <w:numFmt w:val="decimal"/>
      <w:start w:val="1"/>
    </w:lvl>
  </w:abstractNum>
  <w:abstractNum w:abstractNumId="13">
    <w:nsid w:val="419AC241"/>
    <w:multiLevelType w:val="hybridMultilevel"/>
    <w:lvl w:ilvl="0">
      <w:lvlJc w:val="left"/>
      <w:lvlText w:val="(%1)"/>
      <w:numFmt w:val="decimal"/>
      <w:start w:val="1"/>
    </w:lvl>
  </w:abstractNum>
  <w:abstractNum w:abstractNumId="14">
    <w:nsid w:val="5577F8E1"/>
    <w:multiLevelType w:val="hybridMultilevel"/>
    <w:lvl w:ilvl="0">
      <w:lvlJc w:val="left"/>
      <w:lvlText w:val="(%1)"/>
      <w:numFmt w:val="decimal"/>
      <w:start w:val="1"/>
    </w:lvl>
  </w:abstractNum>
  <w:abstractNum w:abstractNumId="15">
    <w:nsid w:val="440BADFC"/>
    <w:multiLevelType w:val="hybridMultilevel"/>
    <w:lvl w:ilvl="0">
      <w:lvlJc w:val="left"/>
      <w:lvlText w:val="(%1)"/>
      <w:numFmt w:val="decimal"/>
      <w:start w:val="1"/>
    </w:lvl>
  </w:abstractNum>
  <w:abstractNum w:abstractNumId="16">
    <w:nsid w:val="5072367"/>
    <w:multiLevelType w:val="hybridMultilevel"/>
    <w:lvl w:ilvl="0">
      <w:lvlJc w:val="left"/>
      <w:lvlText w:val="(%1)"/>
      <w:numFmt w:val="decimal"/>
      <w:start w:val="1"/>
    </w:lvl>
  </w:abstractNum>
  <w:abstractNum w:abstractNumId="17">
    <w:nsid w:val="3804823E"/>
    <w:multiLevelType w:val="hybridMultilevel"/>
    <w:lvl w:ilvl="0">
      <w:lvlJc w:val="left"/>
      <w:lvlText w:val="(%1)"/>
      <w:numFmt w:val="decimal"/>
      <w:start w:val="1"/>
    </w:lvl>
  </w:abstractNum>
  <w:abstractNum w:abstractNumId="18">
    <w:nsid w:val="77465F01"/>
    <w:multiLevelType w:val="hybridMultilevel"/>
    <w:lvl w:ilvl="0">
      <w:lvlJc w:val="left"/>
      <w:lvlText w:val="(%1)"/>
      <w:numFmt w:val="decimal"/>
      <w:start w:val="1"/>
    </w:lvl>
  </w:abstractNum>
  <w:abstractNum w:abstractNumId="19">
    <w:nsid w:val="7724C67E"/>
    <w:multiLevelType w:val="hybridMultilevel"/>
    <w:lvl w:ilvl="0">
      <w:lvlJc w:val="left"/>
      <w:lvlText w:val="(%1)"/>
      <w:numFmt w:val="decimal"/>
      <w:start w:val="1"/>
    </w:lvl>
  </w:abstractNum>
  <w:abstractNum w:abstractNumId="20">
    <w:nsid w:val="5C482A97"/>
    <w:multiLevelType w:val="hybridMultilevel"/>
    <w:lvl w:ilvl="0">
      <w:lvlJc w:val="left"/>
      <w:lvlText w:val="(%1)"/>
      <w:numFmt w:val="decimal"/>
      <w:start w:val="1"/>
    </w:lvl>
  </w:abstractNum>
  <w:abstractNum w:abstractNumId="21">
    <w:nsid w:val="2463B9EA"/>
    <w:multiLevelType w:val="hybridMultilevel"/>
    <w:lvl w:ilvl="0">
      <w:lvlJc w:val="left"/>
      <w:lvlText w:val="•"/>
      <w:numFmt w:val="bullet"/>
      <w:start w:val="1"/>
    </w:lvl>
  </w:abstractNum>
  <w:abstractNum w:abstractNumId="22">
    <w:nsid w:val="5E884ADC"/>
    <w:multiLevelType w:val="hybridMultilevel"/>
    <w:lvl w:ilvl="0">
      <w:lvlJc w:val="left"/>
      <w:lvlText w:val="•"/>
      <w:numFmt w:val="bullet"/>
      <w:start w:val="1"/>
    </w:lvl>
  </w:abstractNum>
  <w:abstractNum w:abstractNumId="23">
    <w:nsid w:val="51EAD36B"/>
    <w:multiLevelType w:val="hybridMultilevel"/>
    <w:lvl w:ilvl="0">
      <w:lvlJc w:val="left"/>
      <w:lvlText w:val="•"/>
      <w:numFmt w:val="bullet"/>
      <w:start w:val="1"/>
    </w:lvl>
  </w:abstractNum>
  <w:abstractNum w:abstractNumId="24">
    <w:nsid w:val="2D517796"/>
    <w:multiLevelType w:val="hybridMultilevel"/>
    <w:lvl w:ilvl="0">
      <w:lvlJc w:val="left"/>
      <w:lvlText w:val="(%1)"/>
      <w:numFmt w:val="decimal"/>
      <w:start w:val="1"/>
    </w:lvl>
  </w:abstractNum>
  <w:abstractNum w:abstractNumId="25">
    <w:nsid w:val="580BD78F"/>
    <w:multiLevelType w:val="hybridMultilevel"/>
    <w:lvl w:ilvl="0">
      <w:lvlJc w:val="left"/>
      <w:lvlText w:val="(%1)"/>
      <w:numFmt w:val="decimal"/>
      <w:start w:val="2"/>
    </w:lvl>
  </w:abstractNum>
  <w:abstractNum w:abstractNumId="26">
    <w:nsid w:val="153EA438"/>
    <w:multiLevelType w:val="hybridMultilevel"/>
    <w:lvl w:ilvl="0">
      <w:lvlJc w:val="left"/>
      <w:lvlText w:val="(%1)"/>
      <w:numFmt w:val="decimal"/>
      <w:start w:val="4"/>
    </w:lvl>
  </w:abstractNum>
  <w:abstractNum w:abstractNumId="27">
    <w:nsid w:val="3855585C"/>
    <w:multiLevelType w:val="hybridMultilevel"/>
    <w:lvl w:ilvl="0">
      <w:lvlJc w:val="left"/>
      <w:lvlText w:val="•"/>
      <w:numFmt w:val="bullet"/>
      <w:start w:val="1"/>
    </w:lvl>
  </w:abstractNum>
  <w:abstractNum w:abstractNumId="28">
    <w:nsid w:val="70A64E2A"/>
    <w:multiLevelType w:val="hybridMultilevel"/>
    <w:lvl w:ilvl="0">
      <w:lvlJc w:val="left"/>
      <w:lvlText w:val="•"/>
      <w:numFmt w:val="bullet"/>
      <w:start w:val="1"/>
    </w:lvl>
  </w:abstractNum>
  <w:abstractNum w:abstractNumId="29">
    <w:nsid w:val="6A2342EC"/>
    <w:multiLevelType w:val="hybridMultilevel"/>
    <w:lvl w:ilvl="0">
      <w:lvlJc w:val="left"/>
      <w:lvlText w:val="•"/>
      <w:numFmt w:val="bullet"/>
      <w:start w:val="1"/>
    </w:lvl>
  </w:abstractNum>
  <w:abstractNum w:abstractNumId="30">
    <w:nsid w:val="2A487CB0"/>
    <w:multiLevelType w:val="hybridMultilevel"/>
    <w:lvl w:ilvl="0">
      <w:lvlJc w:val="left"/>
      <w:lvlText w:val="•"/>
      <w:numFmt w:val="bullet"/>
      <w:start w:val="1"/>
    </w:lvl>
  </w:abstractNum>
  <w:abstractNum w:abstractNumId="31">
    <w:nsid w:val="1D4ED43B"/>
    <w:multiLevelType w:val="hybridMultilevel"/>
    <w:lvl w:ilvl="0">
      <w:lvlJc w:val="left"/>
      <w:lvlText w:val="•"/>
      <w:numFmt w:val="bullet"/>
      <w:start w:val="1"/>
    </w:lvl>
  </w:abstractNum>
  <w:abstractNum w:abstractNumId="32">
    <w:nsid w:val="725A06FB"/>
    <w:multiLevelType w:val="hybridMultilevel"/>
    <w:lvl w:ilvl="0">
      <w:lvlJc w:val="left"/>
      <w:lvlText w:val="•"/>
      <w:numFmt w:val="bullet"/>
      <w:start w:val="1"/>
    </w:lvl>
  </w:abstractNum>
  <w:abstractNum w:abstractNumId="33">
    <w:nsid w:val="2CD89A32"/>
    <w:multiLevelType w:val="hybridMultilevel"/>
    <w:lvl w:ilvl="0">
      <w:lvlJc w:val="left"/>
      <w:lvlText w:val="%1."/>
      <w:numFmt w:val="decimal"/>
      <w:start w:val="1"/>
    </w:lvl>
  </w:abstractNum>
  <w:abstractNum w:abstractNumId="34">
    <w:nsid w:val="57E4CCAF"/>
    <w:multiLevelType w:val="hybridMultilevel"/>
    <w:lvl w:ilvl="0">
      <w:lvlJc w:val="left"/>
      <w:lvlText w:val="•"/>
      <w:numFmt w:val="bullet"/>
      <w:start w:val="1"/>
    </w:lvl>
  </w:abstractNum>
  <w:abstractNum w:abstractNumId="35">
    <w:nsid w:val="7A6D8D3C"/>
    <w:multiLevelType w:val="hybridMultilevel"/>
    <w:lvl w:ilvl="0">
      <w:lvlJc w:val="left"/>
      <w:lvlText w:val="•"/>
      <w:numFmt w:val="bullet"/>
      <w:start w:val="1"/>
    </w:lvl>
  </w:abstractNum>
  <w:abstractNum w:abstractNumId="36">
    <w:nsid w:val="4B588F54"/>
    <w:multiLevelType w:val="hybridMultilevel"/>
    <w:lvl w:ilvl="0">
      <w:lvlJc w:val="left"/>
      <w:lvlText w:val="%1."/>
      <w:numFmt w:val="decimal"/>
      <w:start w:val="1"/>
    </w:lvl>
  </w:abstractNum>
  <w:abstractNum w:abstractNumId="37">
    <w:nsid w:val="542289EC"/>
    <w:multiLevelType w:val="hybridMultilevel"/>
    <w:lvl w:ilvl="0">
      <w:lvlJc w:val="left"/>
      <w:lvlText w:val="%1."/>
      <w:numFmt w:val="decimal"/>
      <w:start w:val="1"/>
    </w:lvl>
  </w:abstractNum>
  <w:abstractNum w:abstractNumId="38">
    <w:nsid w:val="6DE91B18"/>
    <w:multiLevelType w:val="hybridMultilevel"/>
    <w:lvl w:ilvl="0">
      <w:lvlJc w:val="left"/>
      <w:lvlText w:val="•"/>
      <w:numFmt w:val="bullet"/>
      <w:start w:val="1"/>
    </w:lvl>
  </w:abstractNum>
  <w:abstractNum w:abstractNumId="39">
    <w:nsid w:val="38437FDB"/>
    <w:multiLevelType w:val="hybridMultilevel"/>
    <w:lvl w:ilvl="0">
      <w:lvlJc w:val="left"/>
      <w:lvlText w:val="(%1)"/>
      <w:numFmt w:val="decimal"/>
      <w:start w:val="1"/>
    </w:lvl>
  </w:abstractNum>
  <w:abstractNum w:abstractNumId="40">
    <w:nsid w:val="7644A45C"/>
    <w:multiLevelType w:val="hybridMultilevel"/>
    <w:lvl w:ilvl="0">
      <w:lvlJc w:val="left"/>
      <w:lvlText w:val="(%1)"/>
      <w:numFmt w:val="decimal"/>
      <w:start w:val="2"/>
    </w:lvl>
  </w:abstractNum>
  <w:abstractNum w:abstractNumId="41">
    <w:nsid w:val="32FFF902"/>
    <w:multiLevelType w:val="hybridMultilevel"/>
    <w:lvl w:ilvl="0">
      <w:lvlJc w:val="left"/>
      <w:lvlText w:val="(%1)"/>
      <w:numFmt w:val="decimal"/>
      <w:start w:val="1"/>
    </w:lvl>
  </w:abstractNum>
  <w:abstractNum w:abstractNumId="42">
    <w:nsid w:val="684A481A"/>
    <w:multiLevelType w:val="hybridMultilevel"/>
    <w:lvl w:ilvl="0">
      <w:lvlJc w:val="left"/>
      <w:lvlText w:val="(%1)"/>
      <w:numFmt w:val="decimal"/>
      <w:start w:val="1"/>
    </w:lvl>
  </w:abstractNum>
  <w:abstractNum w:abstractNumId="43">
    <w:nsid w:val="579478FE"/>
    <w:multiLevelType w:val="hybridMultilevel"/>
    <w:lvl w:ilvl="0">
      <w:lvlJc w:val="left"/>
      <w:lvlText w:val="•"/>
      <w:numFmt w:val="bullet"/>
      <w:start w:val="1"/>
    </w:lvl>
  </w:abstractNum>
  <w:abstractNum w:abstractNumId="44">
    <w:nsid w:val="749ABB43"/>
    <w:multiLevelType w:val="hybridMultilevel"/>
    <w:lvl w:ilvl="0">
      <w:lvlJc w:val="left"/>
      <w:lvlText w:val="•"/>
      <w:numFmt w:val="bullet"/>
      <w:start w:val="1"/>
    </w:lvl>
  </w:abstractNum>
  <w:abstractNum w:abstractNumId="45">
    <w:nsid w:val="3DC240FB"/>
    <w:multiLevelType w:val="hybridMultilevel"/>
    <w:lvl w:ilvl="0">
      <w:lvlJc w:val="left"/>
      <w:lvlText w:val="(%1)"/>
      <w:numFmt w:val="decimal"/>
      <w:start w:val="1"/>
    </w:lvl>
  </w:abstractNum>
  <w:abstractNum w:abstractNumId="46">
    <w:nsid w:val="1BA026FA"/>
    <w:multiLevelType w:val="hybridMultilevel"/>
    <w:lvl w:ilvl="0">
      <w:lvlJc w:val="left"/>
      <w:lvlText w:val="•"/>
      <w:numFmt w:val="bullet"/>
      <w:start w:val="1"/>
    </w:lvl>
  </w:abstractNum>
  <w:abstractNum w:abstractNumId="47">
    <w:nsid w:val="79A1DEAA"/>
    <w:multiLevelType w:val="hybridMultilevel"/>
    <w:lvl w:ilvl="0">
      <w:lvlJc w:val="left"/>
      <w:lvlText w:val="•"/>
      <w:numFmt w:val="bullet"/>
      <w:start w:val="1"/>
    </w:lvl>
  </w:abstractNum>
  <w:abstractNum w:abstractNumId="48">
    <w:nsid w:val="75C6C33A"/>
    <w:multiLevelType w:val="hybridMultilevel"/>
    <w:lvl w:ilvl="0">
      <w:lvlJc w:val="left"/>
      <w:lvlText w:val="%1."/>
      <w:numFmt w:val="lowerLetter"/>
      <w:start w:val="1"/>
    </w:lvl>
  </w:abstractNum>
  <w:abstractNum w:abstractNumId="49">
    <w:nsid w:val="12E685FB"/>
    <w:multiLevelType w:val="hybridMultilevel"/>
    <w:lvl w:ilvl="0">
      <w:lvlJc w:val="left"/>
      <w:lvlText w:val="(%1)"/>
      <w:numFmt w:val="decimal"/>
      <w:start w:val="3"/>
    </w:lvl>
  </w:abstractNum>
  <w:abstractNum w:abstractNumId="50">
    <w:nsid w:val="70C6A529"/>
    <w:multiLevelType w:val="hybridMultilevel"/>
    <w:lvl w:ilvl="0">
      <w:lvlJc w:val="left"/>
      <w:lvlText w:val="(%1)"/>
      <w:numFmt w:val="decimal"/>
      <w:start w:val="1"/>
    </w:lvl>
  </w:abstractNum>
  <w:abstractNum w:abstractNumId="51">
    <w:nsid w:val="520EEDD1"/>
    <w:multiLevelType w:val="hybridMultilevel"/>
    <w:lvl w:ilvl="0">
      <w:lvlJc w:val="left"/>
      <w:lvlText w:val="%1."/>
      <w:numFmt w:val="decimal"/>
      <w:start w:val="1"/>
    </w:lvl>
    <w:lvl w:ilvl="1">
      <w:lvlJc w:val="left"/>
      <w:lvlText w:val="(%2)"/>
      <w:numFmt w:val="lowerLetter"/>
      <w:start w:val="1"/>
    </w:lvl>
  </w:abstractNum>
  <w:abstractNum w:abstractNumId="52">
    <w:nsid w:val="374A3FE6"/>
    <w:multiLevelType w:val="hybridMultilevel"/>
    <w:lvl w:ilvl="0">
      <w:lvlJc w:val="left"/>
      <w:lvlText w:val="%1."/>
      <w:numFmt w:val="decimal"/>
      <w:start w:val="1"/>
    </w:lvl>
    <w:lvl w:ilvl="1">
      <w:lvlJc w:val="left"/>
      <w:lvlText w:val="(%2)"/>
      <w:numFmt w:val="lowerLetter"/>
      <w:start w:val="1"/>
    </w:lvl>
  </w:abstractNum>
  <w:abstractNum w:abstractNumId="53">
    <w:nsid w:val="4F4EF005"/>
    <w:multiLevelType w:val="hybridMultilevel"/>
    <w:lvl w:ilvl="0">
      <w:lvlJc w:val="left"/>
      <w:lvlText w:val="%1."/>
      <w:numFmt w:val="decimal"/>
      <w:start w:val="1"/>
    </w:lvl>
    <w:lvl w:ilvl="1">
      <w:lvlJc w:val="left"/>
      <w:lvlText w:val="•"/>
      <w:numFmt w:val="bullet"/>
      <w:start w:val="1"/>
    </w:lvl>
  </w:abstractNum>
  <w:abstractNum w:abstractNumId="54">
    <w:nsid w:val="23F9C13C"/>
    <w:multiLevelType w:val="hybridMultilevel"/>
    <w:lvl w:ilvl="0">
      <w:lvlJc w:val="left"/>
      <w:lvlText w:val="%1."/>
      <w:numFmt w:val="decimal"/>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2019-12-10T09:56:27Z</dcterms:created>
  <dcterms:modified xsi:type="dcterms:W3CDTF">2019-12-10T09:56:27Z</dcterms:modified>
</cp:coreProperties>
</file>