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3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16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24130</wp:posOffset>
            </wp:positionV>
            <wp:extent cx="3267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0" w:lineRule="exact"/>
        <w:rPr>
          <w:sz w:val="24"/>
          <w:szCs w:val="24"/>
          <w:color w:val="auto"/>
        </w:rPr>
      </w:pPr>
    </w:p>
    <w:tbl>
      <w:tblPr>
        <w:tblLayout w:type="fixed"/>
        <w:tblInd w:w="200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Florida</w:t>
            </w:r>
          </w:p>
        </w:tc>
        <w:tc>
          <w:tcPr>
            <w:tcW w:w="2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65-0039856</w:t>
            </w:r>
          </w:p>
        </w:tc>
        <w:tc>
          <w:tcPr>
            <w:tcW w:w="80" w:type="dxa"/>
            <w:vAlign w:val="bottom"/>
          </w:tcPr>
          <w:p>
            <w:pPr>
              <w:spacing w:after="0"/>
              <w:rPr>
                <w:sz w:val="19"/>
                <w:szCs w:val="19"/>
                <w:color w:val="auto"/>
              </w:rPr>
            </w:pPr>
          </w:p>
        </w:tc>
      </w:tr>
      <w:tr>
        <w:trPr>
          <w:trHeight w:val="202"/>
        </w:trPr>
        <w:tc>
          <w:tcPr>
            <w:tcW w:w="3960" w:type="dxa"/>
            <w:vAlign w:val="bottom"/>
            <w:gridSpan w:val="3"/>
          </w:tcPr>
          <w:p>
            <w:pPr>
              <w:jc w:val="center"/>
              <w:ind w:right="1660"/>
              <w:spacing w:after="0" w:line="202" w:lineRule="exact"/>
              <w:rPr>
                <w:sz w:val="20"/>
                <w:szCs w:val="20"/>
                <w:color w:val="auto"/>
              </w:rPr>
            </w:pPr>
            <w:r>
              <w:rPr>
                <w:rFonts w:ascii="Arial" w:cs="Arial" w:eastAsia="Arial" w:hAnsi="Arial"/>
                <w:sz w:val="18"/>
                <w:szCs w:val="18"/>
                <w:color w:val="auto"/>
                <w:w w:val="90"/>
              </w:rPr>
              <w:t>(State or other jurisdiction</w:t>
            </w:r>
          </w:p>
        </w:tc>
        <w:tc>
          <w:tcPr>
            <w:tcW w:w="2980" w:type="dxa"/>
            <w:vAlign w:val="bottom"/>
            <w:gridSpan w:val="3"/>
          </w:tcPr>
          <w:p>
            <w:pPr>
              <w:jc w:val="center"/>
              <w:ind w:left="1572"/>
              <w:spacing w:after="0" w:line="202" w:lineRule="exact"/>
              <w:rPr>
                <w:sz w:val="20"/>
                <w:szCs w:val="20"/>
                <w:color w:val="auto"/>
              </w:rPr>
            </w:pPr>
            <w:r>
              <w:rPr>
                <w:rFonts w:ascii="Arial" w:cs="Arial" w:eastAsia="Arial" w:hAnsi="Arial"/>
                <w:sz w:val="18"/>
                <w:szCs w:val="18"/>
                <w:color w:val="auto"/>
                <w:w w:val="90"/>
              </w:rPr>
              <w:t>(I.R.S. Employer</w:t>
            </w:r>
          </w:p>
        </w:tc>
      </w:tr>
      <w:tr>
        <w:trPr>
          <w:trHeight w:val="222"/>
        </w:trPr>
        <w:tc>
          <w:tcPr>
            <w:tcW w:w="396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of incorporation or organization)</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94"/>
              </w:rPr>
              <w:t>Identification No.)</w:t>
            </w:r>
          </w:p>
        </w:tc>
      </w:tr>
    </w:tbl>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 West Palm Beach, Florida 33409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14605</wp:posOffset>
            </wp:positionV>
            <wp:extent cx="4210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682-8000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934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firstLine="519"/>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64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Yes x No o</w:t>
      </w:r>
    </w:p>
    <w:p>
      <w:pPr>
        <w:spacing w:after="0" w:line="219" w:lineRule="exact"/>
        <w:rPr>
          <w:sz w:val="24"/>
          <w:szCs w:val="24"/>
          <w:color w:val="auto"/>
        </w:rPr>
      </w:pPr>
    </w:p>
    <w:p>
      <w:pPr>
        <w:ind w:firstLine="464"/>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74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 o No o</w:t>
      </w:r>
    </w:p>
    <w:p>
      <w:pPr>
        <w:spacing w:after="0" w:line="219" w:lineRule="exact"/>
        <w:rPr>
          <w:sz w:val="24"/>
          <w:szCs w:val="24"/>
          <w:color w:val="auto"/>
        </w:rPr>
      </w:pPr>
    </w:p>
    <w:p>
      <w:pPr>
        <w:ind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46" w:right="239" w:bottom="1440" w:gutter="0" w:footer="0" w:header="0"/>
        </w:sectPr>
      </w:pPr>
    </w:p>
    <w:p>
      <w:pPr>
        <w:spacing w:after="0" w:line="153" w:lineRule="exact"/>
        <w:rPr>
          <w:sz w:val="24"/>
          <w:szCs w:val="24"/>
          <w:color w:val="auto"/>
        </w:rPr>
      </w:pPr>
    </w:p>
    <w:p>
      <w:pPr>
        <w:ind w:left="700"/>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15" w:lineRule="exact"/>
        <w:rPr>
          <w:sz w:val="24"/>
          <w:szCs w:val="24"/>
          <w:color w:val="auto"/>
        </w:rPr>
      </w:pPr>
    </w:p>
    <w:p>
      <w:pPr>
        <w:spacing w:after="0"/>
        <w:tabs>
          <w:tab w:leader="none" w:pos="300" w:val="left"/>
        </w:tabs>
        <w:rPr>
          <w:sz w:val="20"/>
          <w:szCs w:val="20"/>
          <w:color w:val="auto"/>
        </w:rPr>
      </w:pPr>
      <w:r>
        <w:rPr>
          <w:rFonts w:ascii="Arial" w:cs="Arial" w:eastAsia="Arial" w:hAnsi="Arial"/>
          <w:sz w:val="16"/>
          <w:szCs w:val="16"/>
          <w:color w:val="auto"/>
        </w:rPr>
        <w:t>o</w:t>
        <w:tab/>
        <w:t>(Do not check if a smaller reporting company)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ind w:left="740"/>
        <w:spacing w:after="0"/>
        <w:rPr>
          <w:sz w:val="20"/>
          <w:szCs w:val="20"/>
          <w:color w:val="auto"/>
        </w:rPr>
      </w:pPr>
      <w:r>
        <w:rPr>
          <w:rFonts w:ascii="Arial" w:cs="Arial" w:eastAsia="Arial" w:hAnsi="Arial"/>
          <w:sz w:val="16"/>
          <w:szCs w:val="16"/>
          <w:color w:val="auto"/>
        </w:rPr>
        <w:t>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68" w:lineRule="exact"/>
        <w:rPr>
          <w:sz w:val="24"/>
          <w:szCs w:val="24"/>
          <w:color w:val="auto"/>
        </w:rPr>
      </w:pPr>
    </w:p>
    <w:p>
      <w:pPr>
        <w:sectPr>
          <w:pgSz w:w="11900" w:h="16838" w:orient="portrait"/>
          <w:cols w:equalWidth="0" w:num="3">
            <w:col w:w="2280" w:space="600"/>
            <w:col w:w="4780" w:space="720"/>
            <w:col w:w="3040"/>
          </w:cols>
          <w:pgMar w:left="240" w:top="746"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4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Number of shares of Common Stock, $0.01 par value, outstanding as of April 30, 2010: 100,164,608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OCWEN FINANCIAL CORPORATION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6"/>
        </w:trPr>
        <w:tc>
          <w:tcPr>
            <w:tcW w:w="980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64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6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March 31, 2010 and December 31, 2009</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2010 and 2009</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for the Three Months Ended March 31, 2010 and 2009</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20" w:type="dxa"/>
            <w:vAlign w:val="bottom"/>
            <w:tcBorders>
              <w:top w:val="single" w:sz="8" w:color="0000EE"/>
            </w:tcBorders>
            <w:gridSpan w:val="15"/>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Equity for the Three Months Ended March 31, 2010 and 2009</w:t>
              </w:r>
            </w:hyperlink>
          </w:p>
        </w:tc>
        <w:tc>
          <w:tcPr>
            <w:tcW w:w="1120" w:type="dxa"/>
            <w:vAlign w:val="bottom"/>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6</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tcBorders>
              <w:top w:val="single" w:sz="8" w:color="0000EE"/>
            </w:tcBorders>
            <w:gridSpan w:val="14"/>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Cash Flows for the Three Months Ended March 31, 2010 and 2009</w:t>
              </w:r>
            </w:hyperlink>
          </w:p>
        </w:tc>
        <w:tc>
          <w:tcPr>
            <w:tcW w:w="1560" w:type="dxa"/>
            <w:vAlign w:val="bottom"/>
            <w:gridSpan w:val="2"/>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8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Interim Consolidated Financial Statements</w:t>
              </w:r>
            </w:hyperlink>
          </w:p>
        </w:tc>
        <w:tc>
          <w:tcPr>
            <w:tcW w:w="1960" w:type="dxa"/>
            <w:vAlign w:val="bottom"/>
            <w:gridSpan w:val="3"/>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8</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640" w:type="dxa"/>
            <w:vAlign w:val="bottom"/>
            <w:gridSpan w:val="3"/>
          </w:tcPr>
          <w:p>
            <w:pPr>
              <w:spacing w:after="0"/>
              <w:rPr>
                <w:sz w:val="24"/>
                <w:szCs w:val="24"/>
                <w:color w:val="auto"/>
              </w:rPr>
            </w:pP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Management’s Discussion and Analysis of Financial Condition and Results of Operations</w:t>
              </w:r>
            </w:hyperlink>
          </w:p>
        </w:tc>
        <w:tc>
          <w:tcPr>
            <w:tcW w:w="2340" w:type="dxa"/>
            <w:vAlign w:val="bottom"/>
            <w:gridSpan w:val="5"/>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32</w:t>
            </w: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640" w:type="dxa"/>
            <w:vAlign w:val="bottom"/>
            <w:gridSpan w:val="3"/>
          </w:tcPr>
          <w:p>
            <w:pPr>
              <w:spacing w:after="0"/>
              <w:rPr>
                <w:sz w:val="24"/>
                <w:szCs w:val="24"/>
                <w:color w:val="auto"/>
              </w:rPr>
            </w:pPr>
          </w:p>
        </w:tc>
        <w:tc>
          <w:tcPr>
            <w:tcW w:w="864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50</w:t>
            </w: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640" w:type="dxa"/>
            <w:vAlign w:val="bottom"/>
            <w:gridSpan w:val="3"/>
          </w:tcPr>
          <w:p>
            <w:pPr>
              <w:spacing w:after="0"/>
              <w:rPr>
                <w:sz w:val="24"/>
                <w:szCs w:val="24"/>
                <w:color w:val="auto"/>
              </w:rPr>
            </w:pP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4400" w:type="dxa"/>
            <w:vAlign w:val="bottom"/>
            <w:gridSpan w:val="7"/>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280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PART II – OTHER INFORMATION</w:t>
              </w:r>
            </w:hyperlink>
          </w:p>
        </w:tc>
        <w:tc>
          <w:tcPr>
            <w:tcW w:w="700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Legal Proceedings</w:t>
              </w:r>
            </w:hyperlink>
          </w:p>
        </w:tc>
        <w:tc>
          <w:tcPr>
            <w:tcW w:w="7340" w:type="dxa"/>
            <w:vAlign w:val="bottom"/>
            <w:gridSpan w:val="13"/>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51</w:t>
            </w:r>
          </w:p>
        </w:tc>
      </w:tr>
      <w:tr>
        <w:trPr>
          <w:trHeight w:val="345"/>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1A.</w:t>
              </w:r>
            </w:hyperlink>
          </w:p>
        </w:tc>
        <w:tc>
          <w:tcPr>
            <w:tcW w:w="52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Risk Factors</w:t>
              </w:r>
            </w:hyperlink>
          </w:p>
        </w:tc>
        <w:tc>
          <w:tcPr>
            <w:tcW w:w="7760" w:type="dxa"/>
            <w:vAlign w:val="bottom"/>
            <w:gridSpan w:val="14"/>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51</w:t>
            </w: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640" w:type="dxa"/>
            <w:vAlign w:val="bottom"/>
            <w:gridSpan w:val="3"/>
          </w:tcPr>
          <w:p>
            <w:pPr>
              <w:spacing w:after="0"/>
              <w:rPr>
                <w:sz w:val="24"/>
                <w:szCs w:val="24"/>
                <w:color w:val="auto"/>
              </w:rPr>
            </w:pPr>
          </w:p>
        </w:tc>
        <w:tc>
          <w:tcPr>
            <w:tcW w:w="8640" w:type="dxa"/>
            <w:vAlign w:val="bottom"/>
            <w:gridSpan w:val="1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53</w:t>
            </w:r>
          </w:p>
        </w:tc>
      </w:tr>
      <w:tr>
        <w:trPr>
          <w:trHeight w:val="45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10"/>
          </w:tcPr>
          <w:p>
            <w:pPr>
              <w:ind w:left="4520"/>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461"/>
        <w:spacing w:after="0" w:line="268"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including, but not limited to the following:</w:t>
      </w:r>
    </w:p>
    <w:p>
      <w:pPr>
        <w:spacing w:after="0" w:line="199"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regarding prepayment speeds, float balances, delinquency rates, advances and other servicing portfolio characteristics;</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analysis in support of the decision to spin Ocwen Solutions as a separate company;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25"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08"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government programs, regulations and policies;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25"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Further information on the risks specific to our business are detailed within this report and our other reports and filings with the Securities and Exchange Commission, including our Annual report on Form 10-K for the year ended December 31, 2009, and our current reports on Form 8-K. Forward-looking statements speak only as of the date they are made and should not be relied upon. Ocwen Financial Corporation undertakes no obligation to update or revise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Cash</w:t>
            </w:r>
          </w:p>
        </w:tc>
        <w:tc>
          <w:tcPr>
            <w:tcW w:w="6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300,013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Restricted cash – for securitization investors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1,378</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Trading securities, at fair value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Auction rate</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125,036</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Subordinates and residuals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held for resale, at lower of cost or fair value</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32,934</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Advances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137,675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advances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757,111</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Loans, net – restricted for securitization investors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71,336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servicing rights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111,721</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117,802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53,562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tax assets, net</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115,142</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132,683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Investments in unconsolidated entities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14,329</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15,008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91,778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EAF9E8"/>
          </w:tcPr>
          <w:p>
            <w:pPr>
              <w:ind w:left="46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1,815,459</w:t>
            </w: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1,769,350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Match funded liabilities</w:t>
            </w:r>
          </w:p>
        </w:tc>
        <w:tc>
          <w:tcPr>
            <w:tcW w:w="6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556,485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465,691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Secured borrowings – owed to securitization investors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68,996</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Lines of credit and other secured borrowings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118,509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Investment line</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156,968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Servicer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21,251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Debt securities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82,634</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95,564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76,737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EAF9E8"/>
          </w:tcPr>
          <w:p>
            <w:pPr>
              <w:ind w:left="46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924,612</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903,487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 (Note 23)</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7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Ocwen Financial Corporation stockholders’ equity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EAF9E8"/>
          </w:tcPr>
          <w:p>
            <w:pPr>
              <w:ind w:left="460"/>
              <w:spacing w:after="0"/>
              <w:rPr>
                <w:sz w:val="20"/>
                <w:szCs w:val="20"/>
                <w:color w:val="auto"/>
              </w:rPr>
            </w:pPr>
            <w:r>
              <w:rPr>
                <w:rFonts w:ascii="Arial" w:cs="Arial" w:eastAsia="Arial" w:hAnsi="Arial"/>
                <w:sz w:val="18"/>
                <w:szCs w:val="18"/>
                <w:color w:val="auto"/>
                <w:w w:val="91"/>
              </w:rPr>
              <w:t>Common stock, $.01 par value; 200,000,000 shares authorized; 100,164,608 and 99,956,833 shares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EAF9E8"/>
          </w:tcPr>
          <w:p>
            <w:pPr>
              <w:ind w:left="620"/>
              <w:spacing w:after="0"/>
              <w:rPr>
                <w:sz w:val="20"/>
                <w:szCs w:val="20"/>
                <w:color w:val="auto"/>
              </w:rPr>
            </w:pPr>
            <w:r>
              <w:rPr>
                <w:rFonts w:ascii="Arial" w:cs="Arial" w:eastAsia="Arial" w:hAnsi="Arial"/>
                <w:sz w:val="18"/>
                <w:szCs w:val="18"/>
                <w:color w:val="auto"/>
              </w:rPr>
              <w:t>issued and outstanding at March 31, 2010 and December 31, 2009, respectively</w:t>
            </w:r>
          </w:p>
        </w:tc>
        <w:tc>
          <w:tcPr>
            <w:tcW w:w="4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1,002</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461,449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AF9E8"/>
          </w:tcPr>
          <w:p>
            <w:pPr>
              <w:ind w:left="46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428,332</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405,198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Accumulated other comprehensive loss, net of income taxes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EAF9E8"/>
          </w:tcPr>
          <w:p>
            <w:pPr>
              <w:ind w:left="600"/>
              <w:spacing w:after="0"/>
              <w:rPr>
                <w:sz w:val="20"/>
                <w:szCs w:val="20"/>
                <w:color w:val="auto"/>
              </w:rPr>
            </w:pPr>
            <w:r>
              <w:rPr>
                <w:rFonts w:ascii="Arial" w:cs="Arial" w:eastAsia="Arial" w:hAnsi="Arial"/>
                <w:sz w:val="18"/>
                <w:szCs w:val="18"/>
                <w:color w:val="auto"/>
              </w:rPr>
              <w:t>Total Ocwen Financial Corporation stockholders’ equity</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890,603</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865,611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Non-controlling interest in subsidiaries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equity</w:t>
            </w:r>
          </w:p>
        </w:tc>
        <w:tc>
          <w:tcPr>
            <w:tcW w:w="4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890,847</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865,863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vMerge w:val="restart"/>
          </w:tcPr>
          <w:p>
            <w:pPr>
              <w:ind w:left="600"/>
              <w:spacing w:after="0"/>
              <w:rPr>
                <w:sz w:val="20"/>
                <w:szCs w:val="20"/>
                <w:color w:val="auto"/>
              </w:rPr>
            </w:pPr>
            <w:r>
              <w:rPr>
                <w:rFonts w:ascii="Arial" w:cs="Arial" w:eastAsia="Arial" w:hAnsi="Arial"/>
                <w:sz w:val="18"/>
                <w:szCs w:val="18"/>
                <w:color w:val="auto"/>
              </w:rPr>
              <w:t>Total liabilities and equity</w:t>
            </w:r>
          </w:p>
        </w:tc>
        <w:tc>
          <w:tcPr>
            <w:tcW w:w="60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1,815,459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150495</wp:posOffset>
            </wp:positionV>
            <wp:extent cx="19208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8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66,480</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7,906</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33,692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75,586</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114,590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8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12,777</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28,545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12,638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2,069</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40,409</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42,324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8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(12,471)</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Gain (loss) on trading securities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(8,964)</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(19,060)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81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31,445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10,574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8,037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Income from continuing operations</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 in subsidiaries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Net income attributable to Ocwen Financial Corporation (OCN)</w:t>
            </w:r>
          </w:p>
        </w:tc>
        <w:tc>
          <w:tcPr>
            <w:tcW w:w="5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20,860</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Income from continuing operations attributable to OCN</w:t>
            </w: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attributable to OCN</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140"/>
              <w:spacing w:after="0"/>
              <w:rPr>
                <w:sz w:val="20"/>
                <w:szCs w:val="20"/>
                <w:color w:val="auto"/>
              </w:rPr>
            </w:pPr>
            <w:r>
              <w:rPr>
                <w:rFonts w:ascii="Arial" w:cs="Arial" w:eastAsia="Arial" w:hAnsi="Arial"/>
                <w:sz w:val="18"/>
                <w:szCs w:val="18"/>
                <w:color w:val="auto"/>
              </w:rPr>
              <w:t>Net income attributable to OCN</w:t>
            </w:r>
          </w:p>
        </w:tc>
        <w:tc>
          <w:tcPr>
            <w:tcW w:w="5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Income from continuing operations attributable to OCN</w:t>
            </w:r>
          </w:p>
        </w:tc>
        <w:tc>
          <w:tcPr>
            <w:tcW w:w="5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attributable to OCN</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vMerge w:val="restart"/>
          </w:tcPr>
          <w:p>
            <w:pPr>
              <w:ind w:left="140"/>
              <w:spacing w:after="0"/>
              <w:rPr>
                <w:sz w:val="20"/>
                <w:szCs w:val="20"/>
                <w:color w:val="auto"/>
              </w:rPr>
            </w:pPr>
            <w:r>
              <w:rPr>
                <w:rFonts w:ascii="Arial" w:cs="Arial" w:eastAsia="Arial" w:hAnsi="Arial"/>
                <w:sz w:val="18"/>
                <w:szCs w:val="18"/>
                <w:color w:val="auto"/>
              </w:rPr>
              <w:t>Net income attributable to OCN</w:t>
            </w:r>
          </w:p>
        </w:tc>
        <w:tc>
          <w:tcPr>
            <w:tcW w:w="5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99,975,881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62,750,010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107,324,415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67,871,466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5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53" w:gutter="0" w:footer="0" w:header="0"/>
          <w:type w:val="continuous"/>
        </w:sectPr>
      </w:pPr>
    </w:p>
    <w:bookmarkStart w:id="5" w:name="page6"/>
    <w:bookmarkEnd w:id="5"/>
    <w:p>
      <w:pPr>
        <w:jc w:val="center"/>
        <w:ind w:left="260" w:right="2740"/>
        <w:spacing w:after="0" w:line="262"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84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20,871</w:t>
            </w:r>
          </w:p>
        </w:tc>
        <w:tc>
          <w:tcPr>
            <w:tcW w:w="20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500" w:type="dxa"/>
            <w:vAlign w:val="bottom"/>
            <w:gridSpan w:val="2"/>
          </w:tcPr>
          <w:p>
            <w:pPr>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Unrealized foreign currency translation loss arising during the quarter (1)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8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EAF9E8"/>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85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OCN</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20,809</w:t>
            </w:r>
          </w:p>
        </w:tc>
        <w:tc>
          <w:tcPr>
            <w:tcW w:w="2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benefit of $30 and $23 for the three months ended March 31, 2010 and 2009,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w w:val="92"/>
              </w:rPr>
              <w:t>OCN Shareholders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vMerge w:val="restart"/>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2"/>
              <w:spacing w:after="0" w:line="195" w:lineRule="exact"/>
              <w:rPr>
                <w:sz w:val="20"/>
                <w:szCs w:val="20"/>
                <w:color w:val="auto"/>
              </w:rPr>
            </w:pPr>
            <w:r>
              <w:rPr>
                <w:rFonts w:ascii="Arial" w:cs="Arial" w:eastAsia="Arial" w:hAnsi="Arial"/>
                <w:sz w:val="18"/>
                <w:szCs w:val="18"/>
                <w:b w:val="1"/>
                <w:bCs w:val="1"/>
                <w:color w:val="auto"/>
                <w:w w:val="88"/>
              </w:rPr>
              <w:t>Accumulated</w:t>
            </w: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88"/>
              </w:rPr>
              <w:t>Additional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5"/>
              </w:rPr>
              <w:t>Comprehensive</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Non-controlling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32"/>
              <w:spacing w:after="0" w:line="190"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2"/>
              <w:spacing w:after="0" w:line="190" w:lineRule="exact"/>
              <w:rPr>
                <w:sz w:val="20"/>
                <w:szCs w:val="20"/>
                <w:color w:val="auto"/>
              </w:rPr>
            </w:pPr>
            <w:r>
              <w:rPr>
                <w:rFonts w:ascii="Arial" w:cs="Arial" w:eastAsia="Arial" w:hAnsi="Arial"/>
                <w:sz w:val="18"/>
                <w:szCs w:val="18"/>
                <w:b w:val="1"/>
                <w:bCs w:val="1"/>
                <w:color w:val="auto"/>
                <w:w w:val="92"/>
              </w:rPr>
              <w:t>Retained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line="190" w:lineRule="exact"/>
              <w:rPr>
                <w:sz w:val="20"/>
                <w:szCs w:val="20"/>
                <w:color w:val="auto"/>
              </w:rPr>
            </w:pPr>
            <w:r>
              <w:rPr>
                <w:rFonts w:ascii="Arial" w:cs="Arial" w:eastAsia="Arial" w:hAnsi="Arial"/>
                <w:sz w:val="18"/>
                <w:szCs w:val="18"/>
                <w:b w:val="1"/>
                <w:bCs w:val="1"/>
                <w:color w:val="auto"/>
                <w:w w:val="88"/>
              </w:rPr>
              <w:t>Interest in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Net of Taxes</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Subsidiaries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2009</w:t>
            </w: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99,956,833</w:t>
            </w: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459,542</w:t>
            </w: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405,198</w:t>
            </w: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865,863</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Adoption of ASC 810 (FASB</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Statement No. 167), net of tax</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20,860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7"/>
              </w:rPr>
              <w:t>Exercise of common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207,775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Other comprehensive loss, net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6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March 31, 2010</w:t>
            </w: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100,164,608</w:t>
            </w: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4"/>
              </w:rPr>
              <w:t>1,002</w:t>
            </w:r>
          </w:p>
        </w:tc>
        <w:tc>
          <w:tcPr>
            <w:tcW w:w="1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461,449</w:t>
            </w: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428,332</w:t>
            </w: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890,847</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20"/>
                <w:szCs w:val="20"/>
                <w:color w:val="auto"/>
              </w:rPr>
            </w:pPr>
            <w:r>
              <w:rPr>
                <w:rFonts w:ascii="Arial" w:cs="Arial" w:eastAsia="Arial" w:hAnsi="Arial"/>
                <w:sz w:val="18"/>
                <w:szCs w:val="18"/>
                <w:b w:val="1"/>
                <w:bCs w:val="1"/>
                <w:color w:val="auto"/>
              </w:rPr>
              <w:t>Balance at December 31, 2008</w:t>
            </w:r>
          </w:p>
        </w:tc>
        <w:tc>
          <w:tcPr>
            <w:tcW w:w="1100" w:type="dxa"/>
            <w:vAlign w:val="bottom"/>
          </w:tcPr>
          <w:p>
            <w:pPr>
              <w:jc w:val="right"/>
              <w:spacing w:after="0"/>
              <w:rPr>
                <w:sz w:val="20"/>
                <w:szCs w:val="20"/>
                <w:color w:val="auto"/>
              </w:rPr>
            </w:pPr>
            <w:r>
              <w:rPr>
                <w:rFonts w:ascii="Arial" w:cs="Arial" w:eastAsia="Arial" w:hAnsi="Arial"/>
                <w:sz w:val="18"/>
                <w:szCs w:val="18"/>
                <w:color w:val="auto"/>
              </w:rPr>
              <w:t>62,716,530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203,195</w:t>
            </w:r>
          </w:p>
        </w:tc>
        <w:tc>
          <w:tcPr>
            <w:tcW w:w="10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403,537</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1,876</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609,641</w:t>
            </w:r>
          </w:p>
        </w:tc>
      </w:tr>
      <w:tr>
        <w:trPr>
          <w:trHeight w:val="218"/>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15,109</w:t>
            </w:r>
          </w:p>
        </w:tc>
        <w:tc>
          <w:tcPr>
            <w:tcW w:w="1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15,039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8"/>
              </w:rPr>
              <w:t>Exercise of common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217,061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1,480</w:t>
            </w:r>
          </w:p>
        </w:tc>
      </w:tr>
      <w:tr>
        <w:trPr>
          <w:trHeight w:val="208"/>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w w:val="90"/>
              </w:rPr>
              <w:t>Issuance of common stock awards to</w:t>
            </w:r>
          </w:p>
        </w:tc>
        <w:tc>
          <w:tcPr>
            <w:tcW w:w="1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2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employees</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29,907</w:t>
            </w:r>
          </w:p>
        </w:tc>
        <w:tc>
          <w:tcPr>
            <w:tcW w:w="1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64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731</w:t>
            </w:r>
          </w:p>
        </w:tc>
      </w:tr>
      <w:tr>
        <w:trPr>
          <w:trHeight w:val="208"/>
        </w:trPr>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w w:val="99"/>
              </w:rPr>
              <w:t>Repurchase of 3.25% Convertible</w:t>
            </w:r>
          </w:p>
        </w:tc>
        <w:tc>
          <w:tcPr>
            <w:tcW w:w="1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2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64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w:t>
            </w:r>
          </w:p>
        </w:tc>
      </w:tr>
      <w:tr>
        <w:trPr>
          <w:trHeight w:val="208"/>
        </w:trPr>
        <w:tc>
          <w:tcPr>
            <w:tcW w:w="2700" w:type="dxa"/>
            <w:vAlign w:val="bottom"/>
          </w:tcPr>
          <w:p>
            <w:pPr>
              <w:spacing w:after="0"/>
              <w:rPr>
                <w:sz w:val="20"/>
                <w:szCs w:val="20"/>
                <w:color w:val="auto"/>
              </w:rPr>
            </w:pPr>
            <w:r>
              <w:rPr>
                <w:rFonts w:ascii="Arial" w:cs="Arial" w:eastAsia="Arial" w:hAnsi="Arial"/>
                <w:sz w:val="18"/>
                <w:szCs w:val="18"/>
                <w:color w:val="auto"/>
              </w:rPr>
              <w:t>Other comprehensive loss, net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45"/>
        </w:trPr>
        <w:tc>
          <w:tcPr>
            <w:tcW w:w="27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10"/>
        </w:trPr>
        <w:tc>
          <w:tcPr>
            <w:tcW w:w="2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March 31, 2009</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62,963,498</w:t>
            </w:r>
          </w:p>
        </w:tc>
        <w:tc>
          <w:tcPr>
            <w:tcW w:w="4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630</w:t>
            </w: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205,262</w:t>
            </w:r>
          </w:p>
        </w:tc>
        <w:tc>
          <w:tcPr>
            <w:tcW w:w="1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418,646</w:t>
            </w:r>
          </w:p>
        </w:tc>
        <w:tc>
          <w:tcPr>
            <w:tcW w:w="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1,836</w:t>
            </w:r>
          </w:p>
        </w:tc>
        <w:tc>
          <w:tcPr>
            <w:tcW w:w="540" w:type="dxa"/>
            <w:vAlign w:val="bottom"/>
            <w:shd w:val="clear" w:color="auto" w:fill="EAF9E8"/>
          </w:tcPr>
          <w:p>
            <w:pPr>
              <w:jc w:val="right"/>
              <w:ind w:right="38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304</w:t>
            </w:r>
          </w:p>
        </w:tc>
        <w:tc>
          <w:tcPr>
            <w:tcW w:w="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626,678</w:t>
            </w:r>
          </w:p>
        </w:tc>
      </w:tr>
      <w:tr>
        <w:trPr>
          <w:trHeight w:val="243"/>
        </w:trPr>
        <w:tc>
          <w:tcPr>
            <w:tcW w:w="27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8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20,871</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Premium amortization and discount accretion</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Reversal of valuation allowance on mortgage servicing assets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(723)</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Loss (gain) on trading securities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Decrease in deferred tax assets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19,102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Net cash provided by trading activities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cash provided by loans held for resale activities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71,643</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148,509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Decrease (increase) in receivables and other assets,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Decrease in servicer liabilities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(17,421)</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Decrease in other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(13,680)</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3,213</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225,995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Purchase of mortgage servicing rights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sales of real estate</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Increase in restricted cash – for securitization investors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investing activities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Proceeds from (repayment of) match funded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Proceeds from lines of credit and other secured borrowings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Repayment of lines of credit and other secured borrowings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(13,400)</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Repayment of investment line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(156,968)</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Repurchase of debt securities</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(11,589)</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cash used by financing activities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8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209,094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90,919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spacing w:after="0"/>
              <w:rPr>
                <w:sz w:val="20"/>
                <w:szCs w:val="20"/>
                <w:color w:val="auto"/>
              </w:rPr>
            </w:pPr>
          </w:p>
        </w:tc>
        <w:tc>
          <w:tcPr>
            <w:tcW w:w="60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3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300,013</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158,855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475"/>
        <w:spacing w:after="0" w:line="298" w:lineRule="auto"/>
        <w:rPr>
          <w:sz w:val="20"/>
          <w:szCs w:val="20"/>
          <w:color w:val="auto"/>
        </w:rPr>
      </w:pPr>
      <w:r>
        <w:rPr>
          <w:rFonts w:ascii="Arial" w:cs="Arial" w:eastAsia="Arial" w:hAnsi="Arial"/>
          <w:sz w:val="16"/>
          <w:szCs w:val="16"/>
          <w:color w:val="auto"/>
        </w:rPr>
        <w:t>Ocwen Financial Corporation (NYSE: OCN) (Ocwen or OCN), through its subsidiaries, is a leading provider of residential and commercial mortgage loan servicing, special servicing and asset management services. Ocwen is headquartered in West Palm Beach, Florida with offices in California, the District of Columbia, Florida, Georgia and global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167" w:lineRule="exact"/>
        <w:rPr>
          <w:sz w:val="20"/>
          <w:szCs w:val="20"/>
          <w:color w:val="auto"/>
        </w:rPr>
      </w:pPr>
    </w:p>
    <w:p>
      <w:pPr>
        <w:jc w:val="both"/>
        <w:ind w:firstLine="455"/>
        <w:spacing w:after="0" w:line="294" w:lineRule="auto"/>
        <w:rPr>
          <w:sz w:val="20"/>
          <w:szCs w:val="20"/>
          <w:color w:val="auto"/>
        </w:rPr>
      </w:pPr>
      <w:r>
        <w:rPr>
          <w:rFonts w:ascii="Arial" w:cs="Arial" w:eastAsia="Arial" w:hAnsi="Arial"/>
          <w:sz w:val="16"/>
          <w:szCs w:val="16"/>
          <w:color w:val="auto"/>
        </w:rPr>
        <w:t>At March 31, 2010, Ocwen owned all of the outstanding stock of its primary subsidiaries: OLS; Ocwen Financial Solutions, Private Limited (OFSPL); and Investors Mortgage Insurance Holding Company. OCN also holds a 45% interest in BMS Holdings, Inc. (BMS Holdings), a 25% interest in Ocwen Structured Investments, LLC (OSI) and approximately a 25% interest in Ocwen Nonperforming Loans, LLC (ONL) and Ocwen REO, LLC (OREO). While OCN continues to own 70% of Global Servicing Solutions, LLC (GSS) with the remaining 30% interest held by ML IBK Positions, Inc., GSS had no material operations during the first quarter of 2010 and 2009 and no material assets as of March 31, 2010.</w:t>
      </w:r>
    </w:p>
    <w:p>
      <w:pPr>
        <w:spacing w:after="0" w:line="170"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On August 10, 2009, we completed the distribution of our Ocwen Solutions line of business, except for BMS Holdings and GSS, via the spin-off of a separate publicly-traded company, Altisource Portfolio Solutions S.A. (Altisource). Altisource common stock is listed on the NASDAQ market under the ticker symbol “ASPS.” We distributed all of the shares of Altisource common stock to OCN’s shareholders of record as of August 4, 2009 (the Separation).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Ocwen under the long-term services agreements described in Note 22. Accordingly, for periods prior to August 10, 2009, the historical operating results of Altisource are presented in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6"/>
          <w:szCs w:val="16"/>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less than 50% of the voting securities. We have eliminated intercompany accounts and transactions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86"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As of January 1, 2010, we had continuing involvement with the financial assets of eight of these securitizations or asset-backed financing arrangements. We also hold residual interests in and are the servicer for three securitizations where we were not a transferor.</w:t>
      </w:r>
    </w:p>
    <w:p>
      <w:pPr>
        <w:spacing w:after="0" w:line="194" w:lineRule="exact"/>
        <w:rPr>
          <w:sz w:val="20"/>
          <w:szCs w:val="20"/>
          <w:color w:val="auto"/>
        </w:rPr>
      </w:pPr>
    </w:p>
    <w:p>
      <w:pPr>
        <w:jc w:val="both"/>
        <w:ind w:right="20" w:firstLine="440"/>
        <w:spacing w:after="0" w:line="268"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86" w:lineRule="exact"/>
        <w:rPr>
          <w:sz w:val="20"/>
          <w:szCs w:val="20"/>
          <w:color w:val="auto"/>
        </w:rPr>
      </w:pPr>
    </w:p>
    <w:p>
      <w:pPr>
        <w:jc w:val="both"/>
        <w:ind w:firstLine="622"/>
        <w:spacing w:after="0" w:line="256"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acquired subsequently.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628"/>
        <w:spacing w:after="0" w:line="259" w:lineRule="auto"/>
        <w:rPr>
          <w:sz w:val="20"/>
          <w:szCs w:val="20"/>
          <w:color w:val="auto"/>
        </w:rPr>
      </w:pPr>
      <w:r>
        <w:rPr>
          <w:rFonts w:ascii="Arial" w:cs="Arial" w:eastAsia="Arial" w:hAnsi="Arial"/>
          <w:sz w:val="18"/>
          <w:szCs w:val="18"/>
          <w:color w:val="auto"/>
        </w:rPr>
        <w:t>As a result of our adoption of Accounting Standards Update (ASU) No. 2009-16 (ASC 860, Transfers and Servicing) and ASU 2009-17 (ASC 810, Consolidation) we have included four of these trusts in our consolidated financial statements, the remaining trusts are currently excluded from our consolidated financial statements because we have determined that Ocwen is not the primary beneficiary.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determined that Ocwen is the primary beneficiary of the consolidated securitization trusts because:</w:t>
      </w:r>
    </w:p>
    <w:p>
      <w:pPr>
        <w:spacing w:after="0" w:line="239" w:lineRule="exact"/>
        <w:rPr>
          <w:sz w:val="20"/>
          <w:szCs w:val="20"/>
          <w:color w:val="auto"/>
        </w:rPr>
      </w:pPr>
    </w:p>
    <w:p>
      <w:pPr>
        <w:ind w:left="11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mange the delinquent assets of the trusts and</w:t>
      </w:r>
    </w:p>
    <w:p>
      <w:pPr>
        <w:spacing w:after="0" w:line="118"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72"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Upon adoption of ASU 2009-17 (ASC 810, Consolidation) on January 1, 2010 we began consolidating the four trusts and recorded a $75,506 increase in total assets, a $73,232 increase in liabilities and a $2,274 increase in the opening balance of retained earnings. Included in these amounts were the following transition adjustments:</w:t>
      </w:r>
    </w:p>
    <w:p>
      <w:pPr>
        <w:spacing w:after="0" w:line="127"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$1,755 of cash held by the trusts (Restricted cash – for securitization investors);</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loans held by the trust with an unpaid principal balance (UPB) of $77,939 (Loans, net – restricted for securitization investors), including $14,780 of non-performing collateral;</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Recording of an allowance for loan losses of $4,461, not previously required, for the newly consolidated loans;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$2,346 of real estate owned from the trusts (included in Other assets);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$72,918 of certificates issued by the trusts (Secured borrowings – owed to securitization investors);</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our $3,634 investment in trading securities that were issued by the newly consolidated trusts against $867 of the face amount of the related certificates and retained earnings;</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Recording of net deferred tax assets of $1,561, principally related to establishing an allowance for loan losses for the newly consolidated loans; and</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Recording of $1,181 of other liabilities representing accrued interest payable and the fair value of interest rate swap instruments entered into by one of the consolidated trusts.</w:t>
      </w:r>
    </w:p>
    <w:p>
      <w:pPr>
        <w:spacing w:after="0" w:line="11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consolidation of the four trusts on January 1, 2010 did not affect Cash and, therefore, the transition adjustments are not reported in the Consolidated Statement of Cash Flows.</w:t>
      </w:r>
    </w:p>
    <w:p>
      <w:pPr>
        <w:spacing w:after="0" w:line="118"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Our Consolidated Statement of Operations for the three months ended March 31, 2009 and our Consolidated Balance Sheet at December 31, 2009 have not been retroactively adjusted to reflect the effect of our adoption of ASU 2009-16 and ASU 2009-17. Therefore, current period results and balances will not be comparable to prior period amounts, particularly with regard to the following:</w:t>
      </w:r>
    </w:p>
    <w:p>
      <w:pPr>
        <w:spacing w:after="0" w:line="127"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Trading securities (Subordinates and residuals)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net – restricted for securitization investors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assets, net</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 (loss) on trading securities</w:t>
      </w:r>
    </w:p>
    <w:p>
      <w:pPr>
        <w:spacing w:after="0" w:line="225"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Ocwen has no obligation to provide financial support to the trusts and has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that are related to the trusts and our advances to the trusts.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ind w:firstLine="506"/>
        <w:spacing w:after="0" w:line="256" w:lineRule="auto"/>
        <w:rPr>
          <w:sz w:val="20"/>
          <w:szCs w:val="20"/>
          <w:color w:val="auto"/>
        </w:rPr>
      </w:pPr>
      <w:r>
        <w:rPr>
          <w:rFonts w:ascii="Arial" w:cs="Arial" w:eastAsia="Arial" w:hAnsi="Arial"/>
          <w:sz w:val="18"/>
          <w:szCs w:val="18"/>
          <w:color w:val="auto"/>
        </w:rPr>
        <w:t>The following table presents a summary of the involvement of Ocwen with seven unconsolidated securitization trusts and summary financial information for the trusts. Although we are the servicer for these trusts, the residual interests that we hold in these entities have little to no value. As a result, we are exposed to no loss from these holdings. Further, since our valuation of the residual interest is based on anticipated cash flows, we are unlikely to receive any benefits from these trusts.</w:t>
      </w:r>
    </w:p>
    <w:p>
      <w:pPr>
        <w:spacing w:after="0" w:line="205"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For the three months ended</w:t>
      </w:r>
    </w:p>
    <w:p>
      <w:pPr>
        <w:spacing w:after="0" w:line="21"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March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2100" w:type="dxa"/>
            <w:vAlign w:val="bottom"/>
            <w:gridSpan w:val="2"/>
            <w:shd w:val="clear" w:color="auto" w:fill="EAF9E8"/>
          </w:tcPr>
          <w:p>
            <w:pPr>
              <w:jc w:val="right"/>
              <w:ind w:right="63"/>
              <w:spacing w:after="0"/>
              <w:rPr>
                <w:sz w:val="20"/>
                <w:szCs w:val="20"/>
                <w:color w:val="auto"/>
              </w:rPr>
            </w:pPr>
            <w:r>
              <w:rPr>
                <w:rFonts w:ascii="Arial" w:cs="Arial" w:eastAsia="Arial" w:hAnsi="Arial"/>
                <w:sz w:val="18"/>
                <w:szCs w:val="18"/>
                <w:color w:val="auto"/>
              </w:rPr>
              <w:t>$</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right"/>
              <w:ind w:right="63"/>
              <w:spacing w:after="0"/>
              <w:rPr>
                <w:sz w:val="20"/>
                <w:szCs w:val="20"/>
                <w:color w:val="auto"/>
              </w:rPr>
            </w:pPr>
            <w:r>
              <w:rPr>
                <w:rFonts w:ascii="Arial" w:cs="Arial" w:eastAsia="Arial" w:hAnsi="Arial"/>
                <w:sz w:val="18"/>
                <w:szCs w:val="18"/>
                <w:b w:val="1"/>
                <w:bCs w:val="1"/>
                <w:color w:val="auto"/>
              </w:rPr>
              <w:t>As of</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March 31, 2010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December 31, 2009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20" w:type="dxa"/>
            <w:vAlign w:val="bottom"/>
          </w:tcPr>
          <w:p>
            <w:pPr>
              <w:spacing w:after="0"/>
              <w:rPr>
                <w:sz w:val="20"/>
                <w:szCs w:val="20"/>
                <w:color w:val="auto"/>
              </w:rPr>
            </w:pPr>
          </w:p>
        </w:tc>
        <w:tc>
          <w:tcPr>
            <w:tcW w:w="210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18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19,127</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beneficial interests held at fair value (1)</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Total mortgage servicing rights at amortized cost</w:t>
            </w:r>
          </w:p>
        </w:tc>
        <w:tc>
          <w:tcPr>
            <w:tcW w:w="1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1,557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investments in subordinate and residual securities that we retained in connection with the loan securitization transactions completed in prior years.</w:t>
      </w:r>
    </w:p>
    <w:p>
      <w:pPr>
        <w:spacing w:after="0" w:line="186"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6"/>
          <w:szCs w:val="16"/>
          <w:color w:val="auto"/>
        </w:rPr>
        <w:t>With regard to these unconsolidated securitization trusts, we have no obligation to provide financial support to the trusts and have provided no such support.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 4, Note 5, Note 6 and Note 8 for additional information regarding Trading securities, Advances, Match funded advances and Mortgage servicing rights.</w:t>
      </w:r>
    </w:p>
    <w:p>
      <w:pPr>
        <w:spacing w:after="0" w:line="170"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6"/>
          <w:szCs w:val="16"/>
          <w:i w:val="1"/>
          <w:iCs w:val="1"/>
          <w:color w:val="auto"/>
        </w:rPr>
        <w:t xml:space="preserve">Match Funded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in May 2010. As of March 31, 2010, OSAFW had no notes outstanding.</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assets and liabilities of the SPEs formed in connection with our match funded advance facilities, at the dates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2010</w:t>
            </w:r>
          </w:p>
        </w:tc>
        <w:tc>
          <w:tcPr>
            <w:tcW w:w="160" w:type="dxa"/>
            <w:vAlign w:val="bottom"/>
          </w:tcPr>
          <w:p>
            <w:pPr>
              <w:spacing w:after="0"/>
              <w:rPr>
                <w:sz w:val="19"/>
                <w:szCs w:val="19"/>
                <w:color w:val="auto"/>
              </w:rPr>
            </w:pPr>
          </w:p>
        </w:tc>
        <w:tc>
          <w:tcPr>
            <w:tcW w:w="172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December 31, 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20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27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757,111</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822,615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Other assets</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51,257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98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7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808,368</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841,958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44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556,485</w:t>
            </w:r>
          </w:p>
        </w:tc>
        <w:tc>
          <w:tcPr>
            <w:tcW w:w="3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465,691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2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99,400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138,210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vMerge w:val="restart"/>
          </w:tcPr>
          <w:p>
            <w:pPr>
              <w:ind w:left="160"/>
              <w:spacing w:after="0"/>
              <w:rPr>
                <w:sz w:val="20"/>
                <w:szCs w:val="20"/>
                <w:color w:val="auto"/>
              </w:rPr>
            </w:pPr>
            <w:r>
              <w:rPr>
                <w:rFonts w:ascii="Arial" w:cs="Arial" w:eastAsia="Arial" w:hAnsi="Arial"/>
                <w:sz w:val="18"/>
                <w:szCs w:val="18"/>
                <w:color w:val="auto"/>
              </w:rPr>
              <w:t>Total liabilities</w:t>
            </w:r>
          </w:p>
        </w:tc>
        <w:tc>
          <w:tcPr>
            <w:tcW w:w="298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655,885</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150495</wp:posOffset>
            </wp:positionV>
            <wp:extent cx="26073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260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color w:val="auto"/>
        </w:rPr>
        <w:t>Certain immaterial amounts in our 2009 consolidated financial statements have been reclassified to conform to the 2010 presentation. In the fourth quarter of 2009, we reclassified gains and losses on debt redemptions to Other, net on the Consolidated Statements of Operations. On the Consolidated Statements of Changes in Equity, we condensed share-based compensation amounts and associated excess tax benefits into one line item, Equity-based compensation. Within the operating activities section of the Consolidated Statements of Cash Flows we condensed several immaterial items to Other, net. Similarly, in the financing section of the Consolidated Statements of Cash flows we condensed several immaterial items to Other.</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jc w:val="both"/>
        <w:ind w:firstLine="457"/>
        <w:spacing w:after="0" w:line="298" w:lineRule="auto"/>
        <w:rPr>
          <w:sz w:val="20"/>
          <w:szCs w:val="20"/>
          <w:color w:val="auto"/>
        </w:rPr>
      </w:pPr>
      <w:r>
        <w:rPr>
          <w:rFonts w:ascii="Arial" w:cs="Arial" w:eastAsia="Arial" w:hAnsi="Arial"/>
          <w:sz w:val="16"/>
          <w:szCs w:val="16"/>
          <w:color w:val="auto"/>
        </w:rPr>
        <w:t xml:space="preserve">In June 2009, the Financial Accounting Standards Board (FASB) issued SFAS No. 168, </w:t>
      </w:r>
      <w:r>
        <w:rPr>
          <w:rFonts w:ascii="Arial" w:cs="Arial" w:eastAsia="Arial" w:hAnsi="Arial"/>
          <w:sz w:val="16"/>
          <w:szCs w:val="16"/>
          <w:i w:val="1"/>
          <w:iCs w:val="1"/>
          <w:color w:val="auto"/>
        </w:rPr>
        <w:t>The FASB Accounting Standards Codification and the Hierarchy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Generally Accepted Accounting Principles. </w:t>
      </w:r>
      <w:r>
        <w:rPr>
          <w:rFonts w:ascii="Arial" w:cs="Arial" w:eastAsia="Arial" w:hAnsi="Arial"/>
          <w:sz w:val="16"/>
          <w:szCs w:val="16"/>
          <w:color w:val="auto"/>
        </w:rPr>
        <w:t>This establishes the FASB Accounting Standards Codification (ASC) as the only source of authoritative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recognized by the FASB to be applied by nongovernmental entities in the preparation of financial statements in conformity with GAAP, with the exception of Statements of Financial Accounting Standards not yet included in the Codification.</w:t>
      </w:r>
    </w:p>
    <w:p>
      <w:pPr>
        <w:spacing w:after="0" w:line="167"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i w:val="1"/>
          <w:iCs w:val="1"/>
          <w:color w:val="auto"/>
        </w:rPr>
        <w:t xml:space="preserve">ASU 2009-16 (ASC 860, Transfers and Servicing). </w:t>
      </w:r>
      <w:r>
        <w:rPr>
          <w:rFonts w:ascii="Arial" w:cs="Arial" w:eastAsia="Arial" w:hAnsi="Arial"/>
          <w:sz w:val="16"/>
          <w:szCs w:val="16"/>
          <w:color w:val="auto"/>
        </w:rPr>
        <w:t>This statement eliminates the exceptions for qualifying special purpose entities (QSPE)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guidance (ASC 810) and clarifies that the objective of the 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94" w:lineRule="exact"/>
        <w:rPr>
          <w:sz w:val="20"/>
          <w:szCs w:val="20"/>
          <w:color w:val="auto"/>
        </w:rPr>
      </w:pPr>
    </w:p>
    <w:p>
      <w:pPr>
        <w:jc w:val="both"/>
        <w:ind w:firstLine="472"/>
        <w:spacing w:after="0" w:line="33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39"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i w:val="1"/>
          <w:iCs w:val="1"/>
          <w:color w:val="auto"/>
        </w:rPr>
        <w:t xml:space="preserve">ASU 2009-17 (ASC 810, Consolidation). </w:t>
      </w:r>
      <w:r>
        <w:rPr>
          <w:rFonts w:ascii="Arial" w:cs="Arial" w:eastAsia="Arial" w:hAnsi="Arial"/>
          <w:sz w:val="18"/>
          <w:szCs w:val="18"/>
          <w:color w:val="auto"/>
        </w:rPr>
        <w:t>This standard requires an enterprise to perform ongoing periodic assessments to determine whether the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interest or interests give it a controlling financial interest in a VIE. We adopted this standard effective January 1, 2010. This analysis identifies the primary beneficiary of a VIE as the enterprise that has both of the following characteristics:</w:t>
      </w:r>
    </w:p>
    <w:p>
      <w:pPr>
        <w:spacing w:after="0" w:line="208" w:lineRule="exact"/>
        <w:rPr>
          <w:sz w:val="20"/>
          <w:szCs w:val="20"/>
          <w:color w:val="auto"/>
        </w:rPr>
      </w:pPr>
    </w:p>
    <w:p>
      <w:pPr>
        <w:ind w:left="1040" w:hanging="380"/>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157" w:lineRule="exact"/>
        <w:rPr>
          <w:rFonts w:ascii="Arial" w:cs="Arial" w:eastAsia="Arial" w:hAnsi="Arial"/>
          <w:sz w:val="18"/>
          <w:szCs w:val="18"/>
          <w:color w:val="auto"/>
        </w:rPr>
      </w:pPr>
    </w:p>
    <w:p>
      <w:pPr>
        <w:ind w:left="1040" w:hanging="385"/>
        <w:spacing w:after="0" w:line="268"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jc w:val="both"/>
        <w:ind w:firstLine="637"/>
        <w:spacing w:after="0" w:line="294" w:lineRule="auto"/>
        <w:rPr>
          <w:sz w:val="20"/>
          <w:szCs w:val="20"/>
          <w:color w:val="auto"/>
        </w:rPr>
      </w:pPr>
      <w:r>
        <w:rPr>
          <w:rFonts w:ascii="Arial" w:cs="Arial" w:eastAsia="Arial" w:hAnsi="Arial"/>
          <w:sz w:val="16"/>
          <w:szCs w:val="16"/>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170" w:lineRule="exact"/>
        <w:rPr>
          <w:sz w:val="20"/>
          <w:szCs w:val="20"/>
          <w:color w:val="auto"/>
        </w:rPr>
      </w:pPr>
    </w:p>
    <w:p>
      <w:pPr>
        <w:jc w:val="both"/>
        <w:ind w:firstLine="757"/>
        <w:spacing w:after="0" w:line="306" w:lineRule="auto"/>
        <w:rPr>
          <w:sz w:val="20"/>
          <w:szCs w:val="20"/>
          <w:color w:val="auto"/>
        </w:rPr>
      </w:pPr>
      <w:r>
        <w:rPr>
          <w:rFonts w:ascii="Arial" w:cs="Arial" w:eastAsia="Arial" w:hAnsi="Arial"/>
          <w:sz w:val="16"/>
          <w:szCs w:val="16"/>
          <w:color w:val="auto"/>
        </w:rPr>
        <w:t>As also disclosed in Note 1—Securitizations of Residential Mortgage Loans,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jc w:val="both"/>
        <w:ind w:firstLine="692"/>
        <w:spacing w:after="0" w:line="290" w:lineRule="auto"/>
        <w:rPr>
          <w:sz w:val="20"/>
          <w:szCs w:val="20"/>
          <w:color w:val="auto"/>
        </w:rPr>
      </w:pPr>
      <w:r>
        <w:rPr>
          <w:rFonts w:ascii="Arial" w:cs="Arial" w:eastAsia="Arial" w:hAnsi="Arial"/>
          <w:sz w:val="16"/>
          <w:szCs w:val="16"/>
          <w:i w:val="1"/>
          <w:iCs w:val="1"/>
          <w:color w:val="auto"/>
        </w:rPr>
        <w:t xml:space="preserve">ASU No. 2010-06 (ASC 820, Fair Value Measurements and Disclosures). </w:t>
      </w:r>
      <w:r>
        <w:rPr>
          <w:rFonts w:ascii="Arial" w:cs="Arial" w:eastAsia="Arial" w:hAnsi="Arial"/>
          <w:sz w:val="16"/>
          <w:szCs w:val="16"/>
          <w:color w:val="auto"/>
        </w:rPr>
        <w:t>ASU 2010-06 revises two disclosure requirements concerning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and clarifies two others. It requires separate presentation of significant transfers into and out of Levels 1 and 2 of the fair value hierarchy and disclosure of the reasons for such transfers. It will also require the presentation of purchases, sales, issuances and settlements within Level 3 on a gross basis rather than a net basis. The amendments also clarify that disclosures should be disaggregated by class of asset or liability and that disclosures about inputs and valuation techniques should be provided for both recurring and non-recurring fair value measurements. These new disclosure requirements will first apply to our financial statements for the period ending June 30, 2010, except for the requirement concerning gross presentation of Level 3 activity, which is effective for fiscal years beginning after December 15, 2010.</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March 31, 2010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w w:val="96"/>
              </w:rPr>
              <w:t>December 31, 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82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gridSpan w:val="3"/>
          </w:tcPr>
          <w:p>
            <w:pPr>
              <w:jc w:val="right"/>
              <w:ind w:right="280"/>
              <w:spacing w:after="0" w:line="195"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52"/>
              <w:spacing w:after="0" w:line="195" w:lineRule="exact"/>
              <w:rPr>
                <w:sz w:val="20"/>
                <w:szCs w:val="20"/>
                <w:color w:val="auto"/>
              </w:rPr>
            </w:pPr>
            <w:r>
              <w:rPr>
                <w:rFonts w:ascii="Arial" w:cs="Arial" w:eastAsia="Arial" w:hAnsi="Arial"/>
                <w:sz w:val="18"/>
                <w:szCs w:val="18"/>
                <w:b w:val="1"/>
                <w:bCs w:val="1"/>
                <w:color w:val="auto"/>
              </w:rPr>
              <w:t>Fair</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w w:val="99"/>
              </w:rPr>
              <w:t>Carrying</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72"/>
              <w:spacing w:after="0" w:line="195"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Value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w w:val="95"/>
              </w:rPr>
              <w:t>Value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1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8"/>
              </w:rPr>
              <w:t>125,036</w:t>
            </w:r>
          </w:p>
        </w:tc>
        <w:tc>
          <w:tcPr>
            <w:tcW w:w="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125,036</w:t>
            </w:r>
          </w:p>
        </w:tc>
        <w:tc>
          <w:tcPr>
            <w:tcW w:w="2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5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32,934</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32,934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71,336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71,852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8"/>
              </w:rPr>
              <w:t>894,786</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894,786</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968,529</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968,529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556,485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530,304</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465,691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463,716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8"/>
              </w:rPr>
              <w:t>118,509</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119,083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55,810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56,220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Secured borrowings – owed to securitization investors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68,996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line</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156,968</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156,968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1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82,634</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77,593</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95,564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84,551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1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58" w:lineRule="exact"/>
        <w:rPr>
          <w:sz w:val="20"/>
          <w:szCs w:val="20"/>
          <w:color w:val="auto"/>
        </w:rPr>
      </w:pPr>
    </w:p>
    <w:p>
      <w:pPr>
        <w:ind w:left="1380" w:hanging="796"/>
        <w:spacing w:after="0" w:line="268" w:lineRule="auto"/>
        <w:tabs>
          <w:tab w:leader="none" w:pos="1360" w:val="left"/>
        </w:tabs>
        <w:rPr>
          <w:sz w:val="20"/>
          <w:szCs w:val="20"/>
          <w:color w:val="auto"/>
        </w:rPr>
      </w:pPr>
      <w:r>
        <w:rPr>
          <w:rFonts w:ascii="Arial" w:cs="Arial" w:eastAsia="Arial" w:hAnsi="Arial"/>
          <w:sz w:val="18"/>
          <w:szCs w:val="18"/>
          <w:color w:val="auto"/>
        </w:rPr>
        <w:t>Level 2:</w:t>
        <w:tab/>
        <w:t>Inputs other than quoted prices that are observable for the asset or liability, either directly or indirectly for substantially the full term of the financial instrument.</w:t>
      </w:r>
    </w:p>
    <w:p>
      <w:pPr>
        <w:spacing w:after="0" w:line="118"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25" w:lineRule="exact"/>
        <w:rPr>
          <w:sz w:val="20"/>
          <w:szCs w:val="20"/>
          <w:color w:val="auto"/>
        </w:rPr>
      </w:pPr>
    </w:p>
    <w:p>
      <w:pPr>
        <w:ind w:firstLine="524"/>
        <w:spacing w:after="0" w:line="268"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The following table sets forth assets and liabilities measured at fair value categorized by input level within the fair value hierarchy: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Level 3</w:t>
            </w:r>
          </w:p>
        </w:tc>
      </w:tr>
      <w:tr>
        <w:trPr>
          <w:trHeight w:val="245"/>
        </w:trPr>
        <w:tc>
          <w:tcPr>
            <w:tcW w:w="20" w:type="dxa"/>
            <w:vAlign w:val="bottom"/>
          </w:tcPr>
          <w:p>
            <w:pPr>
              <w:spacing w:after="0"/>
              <w:rPr>
                <w:sz w:val="21"/>
                <w:szCs w:val="21"/>
                <w:color w:val="auto"/>
              </w:rPr>
            </w:pPr>
          </w:p>
        </w:tc>
        <w:tc>
          <w:tcPr>
            <w:tcW w:w="57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March 31, 2010:</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Trading securities (1):</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Auction rate</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125,036</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125,036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Subordinates and residuals (2)</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Derivative financial instruments, net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Loans held for resale (4)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servicing rights (5)</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EAF9E8"/>
          </w:tcPr>
          <w:p>
            <w:pPr>
              <w:spacing w:after="0"/>
              <w:rPr>
                <w:sz w:val="18"/>
                <w:szCs w:val="18"/>
                <w:color w:val="auto"/>
              </w:rPr>
            </w:pPr>
          </w:p>
        </w:tc>
      </w:tr>
      <w:tr>
        <w:trPr>
          <w:trHeight w:val="36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2009: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Trading securities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Auction rate</w:t>
            </w:r>
          </w:p>
        </w:tc>
        <w:tc>
          <w:tcPr>
            <w:tcW w:w="4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2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ind w:left="700"/>
              <w:spacing w:after="0"/>
              <w:rPr>
                <w:sz w:val="20"/>
                <w:szCs w:val="20"/>
                <w:color w:val="auto"/>
              </w:rPr>
            </w:pPr>
            <w:r>
              <w:rPr>
                <w:rFonts w:ascii="Arial" w:cs="Arial" w:eastAsia="Arial" w:hAnsi="Arial"/>
                <w:sz w:val="18"/>
                <w:szCs w:val="18"/>
                <w:color w:val="auto"/>
                <w:w w:val="77"/>
              </w:rPr>
              <w:t>—</w:t>
            </w:r>
          </w:p>
        </w:tc>
        <w:tc>
          <w:tcPr>
            <w:tcW w:w="5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ind w:left="7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Subordinates and residuals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Derivative financial instruments, net (3)</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held for resale (4)</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shd w:val="clear" w:color="auto" w:fill="EAF9E8"/>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Mortgage servicing rights (5)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r>
    </w:tbl>
    <w:p>
      <w:pPr>
        <w:spacing w:after="0" w:line="242" w:lineRule="exact"/>
        <w:rPr>
          <w:sz w:val="20"/>
          <w:szCs w:val="20"/>
          <w:color w:val="auto"/>
        </w:rPr>
      </w:pPr>
    </w:p>
    <w:p>
      <w:pPr>
        <w:ind w:left="58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these securities are classified within Level 3 of the fair value hierarchy.</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trading securities that were issued by newly consolidated securitization trusts as more fully described in Note 1—Securitizations of Residential Mortgage Loans.</w:t>
      </w:r>
    </w:p>
    <w:p>
      <w:pPr>
        <w:spacing w:after="0" w:line="118"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values of derivative financial instruments as of January 1, 2010 were adjusted to include $(826) related to an interest rate swap that is held by one of the newly consolidated securitization trusts. Derivative financial instruments consist of interest rate caps that we use to protect against our exposure to rising interest rates on two of our match funded variable funding notes and the interest rate swap that is held by one of the newly consolidated loan securitization trusts. See Note 17 for additional information on our derivative financial instruments.</w:t>
      </w:r>
    </w:p>
    <w:p>
      <w:pPr>
        <w:spacing w:after="0" w:line="99" w:lineRule="exact"/>
        <w:rPr>
          <w:rFonts w:ascii="Arial" w:cs="Arial" w:eastAsia="Arial" w:hAnsi="Arial"/>
          <w:sz w:val="16"/>
          <w:szCs w:val="16"/>
          <w:color w:val="auto"/>
        </w:rPr>
      </w:pPr>
    </w:p>
    <w:p>
      <w:pPr>
        <w:jc w:val="both"/>
        <w:ind w:left="580" w:right="2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March 31, 2010 and December 31, 2009, the carrying value of loans held for resale is net of a valuation allowance of $14,712 and $15,963, respectively. Current market illiquidity has reduced the availability of observable pricing data. Consequently, we classify loans within level 3 of the fair value hierarchy.</w:t>
      </w:r>
    </w:p>
    <w:p>
      <w:pPr>
        <w:spacing w:after="0" w:line="126"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carrying value of MSRs at March 31, 2010 and December 31, 2009 is net of a valuation allowance for impairment of $2,231 and $2,954, respectively. The valuation allowance, which relates exclusively to the high-loan-to-value stratum of our residential MSRs, reduced the carrying value of the stratum to $1,379 and $613 at March 31, 2010 and December 31, 2009, respectively. The estimated fair value exceeded amortized cost for all other strata. See Note 8 for additional information on MSRs.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6"/>
          <w:szCs w:val="16"/>
          <w:color w:val="auto"/>
        </w:rPr>
        <w:t>The following table sets forth a reconciliation of the changes in fair value of our Level 3 assets that we measure at fair value on a recurring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collections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realized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Fair value 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Transfers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beginning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settlements,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gains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and/or out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period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net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(losses)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of 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tcBorders>
              <w:bottom w:val="single" w:sz="8" w:color="auto"/>
            </w:tcBorders>
            <w:shd w:val="clear" w:color="auto" w:fill="EAF9E8"/>
          </w:tcPr>
          <w:p>
            <w:pPr>
              <w:spacing w:after="0" w:line="170" w:lineRule="exact"/>
              <w:rPr>
                <w:sz w:val="20"/>
                <w:szCs w:val="20"/>
                <w:color w:val="auto"/>
              </w:rPr>
            </w:pPr>
            <w:r>
              <w:rPr>
                <w:rFonts w:ascii="Arial" w:cs="Arial" w:eastAsia="Arial" w:hAnsi="Arial"/>
                <w:sz w:val="18"/>
                <w:szCs w:val="18"/>
                <w:color w:val="auto"/>
                <w:w w:val="86"/>
              </w:rPr>
              <w:t>For the three months ended March 31, 2010:</w:t>
            </w:r>
          </w:p>
        </w:tc>
        <w:tc>
          <w:tcPr>
            <w:tcW w:w="1220" w:type="dxa"/>
            <w:vAlign w:val="bottom"/>
            <w:tcBorders>
              <w:bottom w:val="single" w:sz="8" w:color="EAF9E8"/>
            </w:tcBorders>
            <w:shd w:val="clear" w:color="auto" w:fill="EAF9E8"/>
          </w:tcPr>
          <w:p>
            <w:pPr>
              <w:spacing w:after="0"/>
              <w:rPr>
                <w:sz w:val="16"/>
                <w:szCs w:val="16"/>
                <w:color w:val="auto"/>
              </w:rPr>
            </w:pPr>
          </w:p>
        </w:tc>
        <w:tc>
          <w:tcPr>
            <w:tcW w:w="140" w:type="dxa"/>
            <w:vAlign w:val="bottom"/>
            <w:tcBorders>
              <w:bottom w:val="single" w:sz="8" w:color="EAF9E8"/>
            </w:tcBorders>
            <w:shd w:val="clear" w:color="auto" w:fill="EAF9E8"/>
          </w:tcPr>
          <w:p>
            <w:pPr>
              <w:spacing w:after="0"/>
              <w:rPr>
                <w:sz w:val="16"/>
                <w:szCs w:val="16"/>
                <w:color w:val="auto"/>
              </w:rPr>
            </w:pPr>
          </w:p>
        </w:tc>
        <w:tc>
          <w:tcPr>
            <w:tcW w:w="1240" w:type="dxa"/>
            <w:vAlign w:val="bottom"/>
            <w:tcBorders>
              <w:bottom w:val="single" w:sz="8" w:color="EAF9E8"/>
            </w:tcBorders>
            <w:shd w:val="clear" w:color="auto" w:fill="EAF9E8"/>
          </w:tcPr>
          <w:p>
            <w:pPr>
              <w:spacing w:after="0"/>
              <w:rPr>
                <w:sz w:val="16"/>
                <w:szCs w:val="16"/>
                <w:color w:val="auto"/>
              </w:rPr>
            </w:pPr>
          </w:p>
        </w:tc>
        <w:tc>
          <w:tcPr>
            <w:tcW w:w="140" w:type="dxa"/>
            <w:vAlign w:val="bottom"/>
            <w:tcBorders>
              <w:bottom w:val="single" w:sz="8" w:color="EAF9E8"/>
            </w:tcBorders>
            <w:shd w:val="clear" w:color="auto" w:fill="EAF9E8"/>
          </w:tcPr>
          <w:p>
            <w:pPr>
              <w:spacing w:after="0"/>
              <w:rPr>
                <w:sz w:val="16"/>
                <w:szCs w:val="16"/>
                <w:color w:val="auto"/>
              </w:rPr>
            </w:pPr>
          </w:p>
        </w:tc>
        <w:tc>
          <w:tcPr>
            <w:tcW w:w="8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040" w:type="dxa"/>
            <w:vAlign w:val="bottom"/>
            <w:tcBorders>
              <w:bottom w:val="single" w:sz="8" w:color="EAF9E8"/>
            </w:tcBorders>
            <w:shd w:val="clear" w:color="auto" w:fill="EAF9E8"/>
          </w:tcPr>
          <w:p>
            <w:pPr>
              <w:spacing w:after="0"/>
              <w:rPr>
                <w:sz w:val="16"/>
                <w:szCs w:val="16"/>
                <w:color w:val="auto"/>
              </w:rPr>
            </w:pPr>
          </w:p>
        </w:tc>
        <w:tc>
          <w:tcPr>
            <w:tcW w:w="14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140" w:type="dxa"/>
            <w:vAlign w:val="bottom"/>
            <w:tcBorders>
              <w:bottom w:val="single" w:sz="8" w:color="EAF9E8"/>
            </w:tcBorders>
            <w:shd w:val="clear" w:color="auto" w:fill="EAF9E8"/>
          </w:tcPr>
          <w:p>
            <w:pPr>
              <w:spacing w:after="0"/>
              <w:rPr>
                <w:sz w:val="16"/>
                <w:szCs w:val="16"/>
                <w:color w:val="auto"/>
              </w:rPr>
            </w:pPr>
          </w:p>
        </w:tc>
        <w:tc>
          <w:tcPr>
            <w:tcW w:w="140" w:type="dxa"/>
            <w:vAlign w:val="bottom"/>
            <w:tcBorders>
              <w:bottom w:val="single" w:sz="8" w:color="EAF9E8"/>
            </w:tcBorders>
            <w:shd w:val="clear" w:color="auto" w:fill="EAF9E8"/>
          </w:tcPr>
          <w:p>
            <w:pPr>
              <w:spacing w:after="0"/>
              <w:rPr>
                <w:sz w:val="16"/>
                <w:szCs w:val="16"/>
                <w:color w:val="auto"/>
              </w:rPr>
            </w:pPr>
          </w:p>
        </w:tc>
        <w:tc>
          <w:tcPr>
            <w:tcW w:w="8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12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92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Auction rate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1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(123,193)</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765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125,036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Subordinates and residuals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color w:val="auto"/>
              </w:rPr>
              <w:t>For the three months ended March 31, 2009:</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Auction rate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239,301</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Subordinates and residuals</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363"/>
        </w:trPr>
        <w:tc>
          <w:tcPr>
            <w:tcW w:w="436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 There were no purchases during the three months ended March 31, 2010 and 2009.</w:t>
      </w:r>
    </w:p>
    <w:p>
      <w:pPr>
        <w:spacing w:after="0" w:line="118"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gains and (losses) on auction rate securities include unrealized gains (losses) of $1,022 and $(40) on auction rate securities held at March 31, 2010 and 2009, respectively. The total gains and (losses) attributable to subordinates and residuals and derivative financial instruments were comprised exclusively of unrealized gains (losses) on assets held at March 31, 2010 and 2009.</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methodologies that we use and key assumptions that we make to estimate the fair value of instruments are described in more detail by instrument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506"/>
        <w:spacing w:after="0" w:line="255"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We estimated the fair value of the auction rate securities based on a combination of observable market inputs provided by actual</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sales of similar auction rate securities and a discounted cash flow 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discounted cash flow analysis included the following range of assumptions at March 31, 2010:</w:t>
      </w:r>
    </w:p>
    <w:p>
      <w:pPr>
        <w:spacing w:after="0" w:line="239"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Expected term</w:t>
            </w:r>
          </w:p>
        </w:tc>
        <w:tc>
          <w:tcPr>
            <w:tcW w:w="3440" w:type="dxa"/>
            <w:vAlign w:val="bottom"/>
          </w:tcPr>
          <w:p>
            <w:pPr>
              <w:ind w:left="2520"/>
              <w:spacing w:after="0"/>
              <w:rPr>
                <w:sz w:val="20"/>
                <w:szCs w:val="20"/>
                <w:color w:val="auto"/>
              </w:rPr>
            </w:pPr>
            <w:r>
              <w:rPr>
                <w:rFonts w:ascii="Arial" w:cs="Arial" w:eastAsia="Arial" w:hAnsi="Arial"/>
                <w:sz w:val="18"/>
                <w:szCs w:val="18"/>
                <w:color w:val="auto"/>
              </w:rPr>
              <w:t>21 months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Illiquidity premium</w:t>
            </w:r>
          </w:p>
        </w:tc>
        <w:tc>
          <w:tcPr>
            <w:tcW w:w="3440" w:type="dxa"/>
            <w:vAlign w:val="bottom"/>
          </w:tcPr>
          <w:p>
            <w:pPr>
              <w:jc w:val="right"/>
              <w:ind w:right="232"/>
              <w:spacing w:after="0"/>
              <w:rPr>
                <w:sz w:val="20"/>
                <w:szCs w:val="20"/>
                <w:color w:val="auto"/>
              </w:rPr>
            </w:pPr>
            <w:r>
              <w:rPr>
                <w:rFonts w:ascii="Arial" w:cs="Arial" w:eastAsia="Arial" w:hAnsi="Arial"/>
                <w:sz w:val="18"/>
                <w:szCs w:val="18"/>
                <w:color w:val="auto"/>
              </w:rPr>
              <w:t>1.02%</w:t>
            </w:r>
          </w:p>
        </w:tc>
      </w:t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3440" w:type="dxa"/>
            <w:vAlign w:val="bottom"/>
          </w:tcPr>
          <w:p>
            <w:pPr>
              <w:jc w:val="center"/>
              <w:ind w:left="2252"/>
              <w:spacing w:after="0"/>
              <w:rPr>
                <w:sz w:val="20"/>
                <w:szCs w:val="20"/>
                <w:color w:val="auto"/>
              </w:rPr>
            </w:pPr>
            <w:r>
              <w:rPr>
                <w:rFonts w:ascii="Arial" w:cs="Arial" w:eastAsia="Arial" w:hAnsi="Arial"/>
                <w:sz w:val="18"/>
                <w:szCs w:val="18"/>
                <w:color w:val="auto"/>
                <w:w w:val="90"/>
              </w:rPr>
              <w:t>1.09% – 2.98%</w:t>
            </w:r>
          </w:p>
        </w:tc>
      </w:tr>
    </w:tbl>
    <w:p>
      <w:pPr>
        <w:spacing w:after="0" w:line="210" w:lineRule="exact"/>
        <w:rPr>
          <w:sz w:val="20"/>
          <w:szCs w:val="20"/>
          <w:color w:val="auto"/>
        </w:rPr>
      </w:pPr>
    </w:p>
    <w:p>
      <w:pPr>
        <w:jc w:val="both"/>
        <w:ind w:firstLine="545"/>
        <w:spacing w:after="0" w:line="298"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both"/>
        <w:ind w:firstLine="533"/>
        <w:spacing w:after="0" w:line="253" w:lineRule="auto"/>
        <w:rPr>
          <w:sz w:val="20"/>
          <w:szCs w:val="20"/>
          <w:color w:val="auto"/>
        </w:rPr>
      </w:pPr>
      <w:r>
        <w:rPr>
          <w:rFonts w:ascii="Arial" w:cs="Arial" w:eastAsia="Arial" w:hAnsi="Arial"/>
          <w:sz w:val="18"/>
          <w:szCs w:val="18"/>
          <w:i w:val="1"/>
          <w:iCs w:val="1"/>
          <w:color w:val="auto"/>
        </w:rPr>
        <w:t xml:space="preserve">Subordinates and Residuals. </w:t>
      </w:r>
      <w:r>
        <w:rPr>
          <w:rFonts w:ascii="Arial" w:cs="Arial" w:eastAsia="Arial" w:hAnsi="Arial"/>
          <w:sz w:val="18"/>
          <w:szCs w:val="18"/>
          <w:color w:val="auto"/>
        </w:rPr>
        <w:t>Our subordinate and residual securities are not actively traded, and, therefore, we estimate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20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88"/>
        <w:spacing w:after="0" w:line="268"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460"/>
        <w:spacing w:after="0" w:line="306"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$47,651 exceeded the estimated fair value of $32,934 at March 31, 2010.</w:t>
      </w:r>
    </w:p>
    <w:p>
      <w:pPr>
        <w:spacing w:after="0" w:line="161"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31" w:lineRule="exact"/>
        <w:rPr>
          <w:sz w:val="20"/>
          <w:szCs w:val="20"/>
          <w:color w:val="auto"/>
        </w:rPr>
      </w:pPr>
    </w:p>
    <w:p>
      <w:pPr>
        <w:jc w:val="both"/>
        <w:ind w:firstLine="499"/>
        <w:spacing w:after="0" w:line="335" w:lineRule="auto"/>
        <w:rPr>
          <w:sz w:val="20"/>
          <w:szCs w:val="20"/>
          <w:color w:val="auto"/>
        </w:rPr>
      </w:pPr>
      <w:r>
        <w:rPr>
          <w:rFonts w:ascii="Arial" w:cs="Arial" w:eastAsia="Arial" w:hAnsi="Arial"/>
          <w:sz w:val="15"/>
          <w:szCs w:val="15"/>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31"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25"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March 31, 2010 valuation include prepayment speeds ranging from 15.8% to 21.2% (depending on loan type) and delinquency rates ranging from 16.2% to 27.3% (depending on loan type). Other assumptions include an interest rate of 1-month LIBOR plus 4% for computing the cost of financing advances, an interest rate of 1-month LIBOR for computing float earnings and a discount rate of 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both"/>
        <w:ind w:firstLine="493"/>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208"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Subprime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 A</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Re-performing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carrying value of receivables generally approximates fair value because of the relatively short period of time between their origination and realization.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firstLine="512"/>
        <w:spacing w:after="0" w:line="254" w:lineRule="auto"/>
        <w:rPr>
          <w:sz w:val="20"/>
          <w:szCs w:val="20"/>
          <w:color w:val="auto"/>
        </w:rPr>
      </w:pPr>
      <w:r>
        <w:rPr>
          <w:rFonts w:ascii="Arial" w:cs="Arial" w:eastAsia="Arial" w:hAnsi="Arial"/>
          <w:sz w:val="18"/>
          <w:szCs w:val="18"/>
          <w:color w:val="auto"/>
        </w:rPr>
        <w:t>Borrowings not subject to a hedging relationship are carried at amortized cost. We base the fair value of our debt securities on quoted market prices.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contractual future principal and interest repayments at a market rate commensurate with the risk of the estimated cash flows. We carry certain zero-coupon long-term secured borrowings with an implicit fixed rate at a discounted value and determine fair value by discounting the contractual future principal repayments at a market rate that is commensurate with the risk of the estimated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firstLine="548"/>
        <w:spacing w:after="0" w:line="268" w:lineRule="auto"/>
        <w:rPr>
          <w:sz w:val="20"/>
          <w:szCs w:val="20"/>
          <w:color w:val="auto"/>
        </w:rPr>
      </w:pPr>
      <w:r>
        <w:rPr>
          <w:rFonts w:ascii="Arial" w:cs="Arial" w:eastAsia="Arial" w:hAnsi="Arial"/>
          <w:sz w:val="18"/>
          <w:szCs w:val="18"/>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100" w:type="dxa"/>
            <w:vAlign w:val="bottom"/>
          </w:tcPr>
          <w:p>
            <w:pPr>
              <w:ind w:left="260"/>
              <w:spacing w:after="0"/>
              <w:rPr>
                <w:sz w:val="20"/>
                <w:szCs w:val="20"/>
                <w:color w:val="auto"/>
              </w:rPr>
            </w:pPr>
            <w:r>
              <w:rPr>
                <w:rFonts w:ascii="Arial" w:cs="Arial" w:eastAsia="Arial" w:hAnsi="Arial"/>
                <w:sz w:val="18"/>
                <w:szCs w:val="18"/>
                <w:b w:val="1"/>
                <w:bCs w:val="1"/>
                <w:color w:val="auto"/>
              </w:rPr>
              <w:t>TRADING SECURITIES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Trading securities consisted of the following at the dates indicated:</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372"/>
              <w:spacing w:after="0"/>
              <w:rPr>
                <w:sz w:val="20"/>
                <w:szCs w:val="20"/>
                <w:color w:val="auto"/>
              </w:rPr>
            </w:pPr>
            <w:r>
              <w:rPr>
                <w:rFonts w:ascii="Arial" w:cs="Arial" w:eastAsia="Arial" w:hAnsi="Arial"/>
                <w:sz w:val="18"/>
                <w:szCs w:val="18"/>
                <w:b w:val="1"/>
                <w:bCs w:val="1"/>
                <w:color w:val="auto"/>
              </w:rPr>
              <w:t>March 31, 2010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45"/>
        </w:trPr>
        <w:tc>
          <w:tcPr>
            <w:tcW w:w="6000" w:type="dxa"/>
            <w:vAlign w:val="bottom"/>
            <w:gridSpan w:val="2"/>
          </w:tcPr>
          <w:p>
            <w:pPr>
              <w:spacing w:after="0"/>
              <w:rPr>
                <w:sz w:val="21"/>
                <w:szCs w:val="21"/>
                <w:color w:val="auto"/>
              </w:rPr>
            </w:pPr>
          </w:p>
        </w:tc>
        <w:tc>
          <w:tcPr>
            <w:tcW w:w="114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Auction rate (Corporate Items and Other)</w:t>
            </w:r>
          </w:p>
        </w:tc>
        <w:tc>
          <w:tcPr>
            <w:tcW w:w="8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125,036</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Subordinates and residuals:</w:t>
            </w:r>
          </w:p>
        </w:tc>
        <w:tc>
          <w:tcPr>
            <w:tcW w:w="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Loans and Residuals (1)</w:t>
            </w:r>
          </w:p>
        </w:tc>
        <w:tc>
          <w:tcPr>
            <w:tcW w:w="114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2"/>
        </w:trPr>
        <w:tc>
          <w:tcPr>
            <w:tcW w:w="600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1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EAF9E8"/>
          </w:tcPr>
          <w:p>
            <w:pPr>
              <w:spacing w:after="0"/>
              <w:rPr>
                <w:sz w:val="18"/>
                <w:szCs w:val="18"/>
                <w:color w:val="auto"/>
              </w:rPr>
            </w:pPr>
          </w:p>
        </w:tc>
        <w:tc>
          <w:tcPr>
            <w:tcW w:w="5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(loss) on trading securities for the three months ended March 31 was comprised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38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ind w:right="7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45"/>
        </w:trPr>
        <w:tc>
          <w:tcPr>
            <w:tcW w:w="4440" w:type="dxa"/>
            <w:vAlign w:val="bottom"/>
          </w:tcPr>
          <w:p>
            <w:pPr>
              <w:spacing w:after="0"/>
              <w:rPr>
                <w:sz w:val="21"/>
                <w:szCs w:val="21"/>
                <w:color w:val="auto"/>
              </w:rPr>
            </w:pPr>
          </w:p>
        </w:tc>
        <w:tc>
          <w:tcPr>
            <w:tcW w:w="386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 (2)</w:t>
            </w:r>
          </w:p>
        </w:tc>
        <w:tc>
          <w:tcPr>
            <w:tcW w:w="2420" w:type="dxa"/>
            <w:vAlign w:val="bottom"/>
            <w:shd w:val="clear" w:color="auto" w:fill="EAF9E8"/>
          </w:tcPr>
          <w:p>
            <w:pPr>
              <w:spacing w:after="0"/>
              <w:rPr>
                <w:sz w:val="18"/>
                <w:szCs w:val="18"/>
                <w:color w:val="auto"/>
              </w:rPr>
            </w:pPr>
          </w:p>
        </w:tc>
        <w:tc>
          <w:tcPr>
            <w:tcW w:w="1440" w:type="dxa"/>
            <w:vAlign w:val="bottom"/>
            <w:tcBorders>
              <w:top w:val="single" w:sz="8" w:color="auto"/>
            </w:tcBorders>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1,022</w:t>
            </w:r>
          </w:p>
        </w:tc>
        <w:tc>
          <w:tcPr>
            <w:tcW w:w="3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EAF9E8"/>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Realized losses (2)</w:t>
            </w:r>
          </w:p>
        </w:tc>
        <w:tc>
          <w:tcPr>
            <w:tcW w:w="2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spacing w:after="0"/>
              <w:rPr>
                <w:sz w:val="20"/>
                <w:szCs w:val="20"/>
                <w:color w:val="auto"/>
              </w:rPr>
            </w:pPr>
          </w:p>
        </w:tc>
        <w:tc>
          <w:tcPr>
            <w:tcW w:w="386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r>
      <w:tr>
        <w:trPr>
          <w:trHeight w:val="210"/>
        </w:trPr>
        <w:tc>
          <w:tcPr>
            <w:tcW w:w="4440" w:type="dxa"/>
            <w:vAlign w:val="bottom"/>
            <w:shd w:val="clear" w:color="auto" w:fill="EAF9E8"/>
          </w:tcPr>
          <w:p>
            <w:pPr>
              <w:spacing w:after="0"/>
              <w:rPr>
                <w:sz w:val="18"/>
                <w:szCs w:val="18"/>
                <w:color w:val="auto"/>
              </w:rPr>
            </w:pPr>
          </w:p>
        </w:tc>
        <w:tc>
          <w:tcPr>
            <w:tcW w:w="2420" w:type="dxa"/>
            <w:vAlign w:val="bottom"/>
            <w:shd w:val="clear" w:color="auto" w:fill="EAF9E8"/>
          </w:tcPr>
          <w:p>
            <w:pPr>
              <w:spacing w:after="0"/>
              <w:rPr>
                <w:sz w:val="18"/>
                <w:szCs w:val="18"/>
                <w:color w:val="auto"/>
              </w:rPr>
            </w:pPr>
          </w:p>
        </w:tc>
        <w:tc>
          <w:tcPr>
            <w:tcW w:w="1440" w:type="dxa"/>
            <w:vAlign w:val="bottom"/>
            <w:tcBorders>
              <w:top w:val="single" w:sz="8" w:color="auto"/>
            </w:tcBorders>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765</w:t>
            </w:r>
          </w:p>
        </w:tc>
        <w:tc>
          <w:tcPr>
            <w:tcW w:w="3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EAF9E8"/>
          </w:tcPr>
          <w:p>
            <w:pPr>
              <w:spacing w:after="0"/>
              <w:rPr>
                <w:sz w:val="18"/>
                <w:szCs w:val="18"/>
                <w:color w:val="auto"/>
              </w:rPr>
            </w:pPr>
          </w:p>
        </w:tc>
      </w:tr>
      <w:tr>
        <w:trPr>
          <w:trHeight w:val="243"/>
        </w:trPr>
        <w:tc>
          <w:tcPr>
            <w:tcW w:w="44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trading securities that were issued by newly consolidated securitization trusts as more fully described in Note 1—Securitizations of Residential Mortgage Loans.</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Unrealized gains (losses) on auction rate securities were $1,022 and $(40) for the three months ended March 31, 2010 and 2009, respectively. Realized losses on auction rate securities were $257 for the three months ended March 31, 2010.</w:t>
      </w:r>
    </w:p>
    <w:p>
      <w:pPr>
        <w:sectPr>
          <w:pgSz w:w="11900" w:h="16838" w:orient="portrait"/>
          <w:cols w:equalWidth="0" w:num="1">
            <w:col w:w="11420"/>
          </w:cols>
          <w:pgMar w:left="240" w:top="131" w:right="239" w:bottom="63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63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Auction Rate Securities</w:t>
      </w:r>
    </w:p>
    <w:p>
      <w:pPr>
        <w:spacing w:after="0" w:line="231" w:lineRule="exact"/>
        <w:rPr>
          <w:sz w:val="20"/>
          <w:szCs w:val="20"/>
          <w:color w:val="auto"/>
        </w:rPr>
      </w:pPr>
    </w:p>
    <w:p>
      <w:pPr>
        <w:jc w:val="both"/>
        <w:ind w:firstLine="500"/>
        <w:spacing w:after="0" w:line="294" w:lineRule="auto"/>
        <w:rPr>
          <w:sz w:val="20"/>
          <w:szCs w:val="20"/>
          <w:color w:val="auto"/>
        </w:rPr>
      </w:pPr>
      <w:r>
        <w:rPr>
          <w:rFonts w:ascii="Arial" w:cs="Arial" w:eastAsia="Arial" w:hAnsi="Arial"/>
          <w:sz w:val="16"/>
          <w:szCs w:val="16"/>
          <w:color w:val="auto"/>
        </w:rPr>
        <w:t>During the first quarter of 2008, we invested investment line borrowings (see Note 14) in auction rate securities backed by student loans originated under the U. S. Department of Education’s Federal Family Education Loan Program (FFELP).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w:t>
      </w:r>
    </w:p>
    <w:p>
      <w:pPr>
        <w:spacing w:after="0" w:line="170" w:lineRule="exact"/>
        <w:rPr>
          <w:sz w:val="20"/>
          <w:szCs w:val="20"/>
          <w:color w:val="auto"/>
        </w:rPr>
      </w:pPr>
    </w:p>
    <w:p>
      <w:pPr>
        <w:jc w:val="both"/>
        <w:ind w:firstLine="634"/>
        <w:spacing w:after="0" w:line="259" w:lineRule="auto"/>
        <w:rPr>
          <w:sz w:val="20"/>
          <w:szCs w:val="20"/>
          <w:color w:val="auto"/>
        </w:rPr>
      </w:pPr>
      <w:r>
        <w:rPr>
          <w:rFonts w:ascii="Arial" w:cs="Arial" w:eastAsia="Arial" w:hAnsi="Arial"/>
          <w:sz w:val="18"/>
          <w:szCs w:val="18"/>
          <w:color w:val="auto"/>
        </w:rPr>
        <w:t>On January 21, 2010 and March 4, 2010, we negotiated settlements of two of our auction rate securities litigation actions. Under the terms of these settlements, the broker/dealers repurchased $103,625 par value of auction rate securities for cash proceeds of $92,745. On February 10, 2010, we sold auction rate securities with a par value of $33,350 for cash proceeds of $29,848.</w:t>
      </w:r>
    </w:p>
    <w:p>
      <w:pPr>
        <w:spacing w:after="0" w:line="194" w:lineRule="exact"/>
        <w:rPr>
          <w:sz w:val="20"/>
          <w:szCs w:val="20"/>
          <w:color w:val="auto"/>
        </w:rPr>
      </w:pPr>
    </w:p>
    <w:p>
      <w:pPr>
        <w:jc w:val="both"/>
        <w:ind w:firstLine="552"/>
        <w:spacing w:after="0" w:line="290" w:lineRule="auto"/>
        <w:rPr>
          <w:sz w:val="20"/>
          <w:szCs w:val="20"/>
          <w:color w:val="auto"/>
        </w:rPr>
      </w:pPr>
      <w:r>
        <w:rPr>
          <w:rFonts w:ascii="Arial" w:cs="Arial" w:eastAsia="Arial" w:hAnsi="Arial"/>
          <w:sz w:val="16"/>
          <w:szCs w:val="16"/>
          <w:color w:val="auto"/>
        </w:rPr>
        <w:t>On February 11, 2010, we exercised a portion of our option to sell auction rate securities with a par value of $88,150. We continue to retain a liquidity option in respect of $3,200 par value of auction rate securities. Under the terms of the liquidity option agreement we entered into in October 2009, we have the right to sell specific securities for cash. We also have the right to repurchase the same following the initial sale at the same price. We recognized the sale as a secured borrowing because of our ability to repurchase the same securities until the maturity of the liquidity option in October 2012. We continue to report these auction rate securities, with a fair value of $87,230 as of March 31, 2010, on our Consolidated Balance Sheet. However, these securities are pledged to collateralize a $74,953 borrowing reflecting the proceeds received upon exercise of the option. We no longer receive cash interest income on the pledged securities nor do we pay cash interest on this secured borrowing. See Note 13 for additional information on this secured borrowing.</w:t>
      </w:r>
    </w:p>
    <w:p>
      <w:pPr>
        <w:spacing w:after="0" w:line="172"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Proceeds from the January 21, 2010 litigation settlement and the February 10, 2010 sale were used to pay down the investment line. On February 17, 2010, we used the proceeds from the February 11, 2010 exercise of the liquidity option and an additional $3,664 cash to repay the remaining balance of the investment line. The remaining auction rate securities, excluding those subject to the secured borrowing incurred under the liquidity option, are no longer pledged as collateral. The fair value of these remaining auction rate securities is $37,806 ($38,200 par value) at March 31, 2010.</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2010, issuers also redeemed, at par, auction rate securities that we held that had a face value of $600.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31"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4780" w:type="dxa"/>
            <w:vAlign w:val="bottom"/>
          </w:tcPr>
          <w:p>
            <w:pPr>
              <w:ind w:left="220"/>
              <w:spacing w:after="0"/>
              <w:rPr>
                <w:sz w:val="20"/>
                <w:szCs w:val="20"/>
                <w:color w:val="auto"/>
              </w:rPr>
            </w:pPr>
            <w:r>
              <w:rPr>
                <w:rFonts w:ascii="Arial" w:cs="Arial" w:eastAsia="Arial" w:hAnsi="Arial"/>
                <w:sz w:val="18"/>
                <w:szCs w:val="18"/>
                <w:b w:val="1"/>
                <w:bCs w:val="1"/>
                <w:color w:val="auto"/>
              </w:rPr>
              <w:t>ADVANCES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Advances consisted of the following at the dates indicated: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47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Principal and interest</w:t>
            </w:r>
          </w:p>
        </w:tc>
        <w:tc>
          <w:tcPr>
            <w:tcW w:w="1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56,830</w:t>
            </w:r>
          </w:p>
        </w:tc>
        <w:tc>
          <w:tcPr>
            <w:tcW w:w="5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Taxes and insurance</w:t>
            </w: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39,177</w:t>
            </w: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Foreclosure and bankruptcy costs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26,910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47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10,607</w:t>
            </w: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and Residuals</w:t>
            </w: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4,021</w:t>
            </w: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Corporate Items and Other</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820" w:type="dxa"/>
            <w:vAlign w:val="bottom"/>
            <w:gridSpan w:val="2"/>
          </w:tcPr>
          <w:p>
            <w:pPr>
              <w:spacing w:after="0"/>
              <w:rPr>
                <w:sz w:val="20"/>
                <w:szCs w:val="20"/>
                <w:color w:val="auto"/>
              </w:rPr>
            </w:pPr>
          </w:p>
        </w:tc>
        <w:tc>
          <w:tcPr>
            <w:tcW w:w="520" w:type="dxa"/>
            <w:vAlign w:val="bottom"/>
            <w:gridSpan w:val="2"/>
          </w:tcPr>
          <w:p>
            <w:pPr>
              <w:spacing w:after="0"/>
              <w:rPr>
                <w:sz w:val="20"/>
                <w:szCs w:val="20"/>
                <w:color w:val="auto"/>
              </w:rPr>
            </w:pPr>
          </w:p>
        </w:tc>
        <w:tc>
          <w:tcPr>
            <w:tcW w:w="1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7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137,675</w:t>
            </w: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145,914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ind w:firstLine="451"/>
        <w:spacing w:after="0" w:line="268" w:lineRule="auto"/>
        <w:rPr>
          <w:sz w:val="20"/>
          <w:szCs w:val="20"/>
          <w:color w:val="auto"/>
        </w:rPr>
      </w:pPr>
      <w:r>
        <w:rPr>
          <w:rFonts w:ascii="Arial" w:cs="Arial" w:eastAsia="Arial" w:hAnsi="Arial"/>
          <w:sz w:val="18"/>
          <w:szCs w:val="18"/>
          <w:color w:val="auto"/>
        </w:rPr>
        <w:t>Servicing advances of $67,714 and $72,670 were pledged as collateral under the terms of the term reimbursement advance borrowing as of March 31, 2010 and December 31, 2009, respectively.</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MATCH FUNDED ADVANCES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Match funded advances on residential loans we service for others, as more fully described in Note 1—Principles of Consolidation-Match Funded Advances on Loans Serviced for Others, are comprised of the following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Arial" w:cs="Arial" w:eastAsia="Arial" w:hAnsi="Arial"/>
                <w:sz w:val="18"/>
                <w:szCs w:val="18"/>
                <w:b w:val="1"/>
                <w:bCs w:val="1"/>
                <w:color w:val="auto"/>
                <w:w w:val="99"/>
              </w:rPr>
              <w:t>March 31, 2010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2009</w:t>
            </w:r>
          </w:p>
        </w:tc>
      </w:tr>
      <w:tr>
        <w:trPr>
          <w:trHeight w:val="245"/>
        </w:trPr>
        <w:tc>
          <w:tcPr>
            <w:tcW w:w="72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722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289,154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345,924</w:t>
            </w:r>
          </w:p>
        </w:tc>
        <w:tc>
          <w:tcPr>
            <w:tcW w:w="100" w:type="dxa"/>
            <w:vAlign w:val="bottom"/>
            <w:shd w:val="clear" w:color="auto" w:fill="EAF9E8"/>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Taxes and insurance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324,539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332,326</w:t>
            </w:r>
          </w:p>
        </w:tc>
      </w:tr>
      <w:tr>
        <w:trPr>
          <w:trHeight w:val="216"/>
        </w:trPr>
        <w:tc>
          <w:tcPr>
            <w:tcW w:w="7220" w:type="dxa"/>
            <w:vAlign w:val="bottom"/>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65,543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72,385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54,882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49,446</w:t>
            </w:r>
          </w:p>
        </w:tc>
      </w:tr>
      <w:tr>
        <w:trPr>
          <w:trHeight w:val="216"/>
        </w:trPr>
        <w:tc>
          <w:tcPr>
            <w:tcW w:w="72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22,993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22,534</w:t>
            </w:r>
          </w:p>
        </w:tc>
      </w:tr>
      <w:tr>
        <w:trPr>
          <w:trHeight w:val="243"/>
        </w:trPr>
        <w:tc>
          <w:tcPr>
            <w:tcW w:w="72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757,111</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822,615</w:t>
            </w:r>
          </w:p>
        </w:tc>
        <w:tc>
          <w:tcPr>
            <w:tcW w:w="100" w:type="dxa"/>
            <w:vAlign w:val="bottom"/>
          </w:tcPr>
          <w:p>
            <w:pPr>
              <w:spacing w:after="0"/>
              <w:rPr>
                <w:sz w:val="18"/>
                <w:szCs w:val="18"/>
                <w:color w:val="auto"/>
              </w:rPr>
            </w:pPr>
          </w:p>
        </w:tc>
      </w:tr>
      <w:tr>
        <w:trPr>
          <w:trHeight w:val="237"/>
        </w:trPr>
        <w:tc>
          <w:tcPr>
            <w:tcW w:w="7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LOANS – RESTRICTED FOR SECURITIZATION INVESTORS</w:t>
      </w:r>
    </w:p>
    <w:p>
      <w:pPr>
        <w:spacing w:after="0" w:line="231" w:lineRule="exact"/>
        <w:rPr>
          <w:sz w:val="20"/>
          <w:szCs w:val="20"/>
          <w:color w:val="auto"/>
        </w:rPr>
      </w:pPr>
    </w:p>
    <w:p>
      <w:pPr>
        <w:jc w:val="both"/>
        <w:ind w:firstLine="622"/>
        <w:spacing w:after="0" w:line="259" w:lineRule="auto"/>
        <w:rPr>
          <w:sz w:val="20"/>
          <w:szCs w:val="20"/>
          <w:color w:val="auto"/>
        </w:rPr>
      </w:pPr>
      <w:r>
        <w:rPr>
          <w:rFonts w:ascii="Arial" w:cs="Arial" w:eastAsia="Arial" w:hAnsi="Arial"/>
          <w:sz w:val="18"/>
          <w:szCs w:val="18"/>
          <w:color w:val="auto"/>
        </w:rPr>
        <w:t>Loans – restricted for securitization investors are held by four securitization trusts that we include in our consolidated financial statements under the provisions of ASC 810, Consolidation, as more fully described in Note 1—Securitizations of Residential Mortgage Loans. Loans – restricted for securitization investors consisted of the following at March 31, 2010: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4260" w:type="dxa"/>
            <w:vAlign w:val="bottom"/>
            <w:gridSpan w:val="2"/>
            <w:shd w:val="clear" w:color="auto" w:fill="EAF9E8"/>
          </w:tcPr>
          <w:p>
            <w:pPr>
              <w:jc w:val="right"/>
              <w:ind w:right="603"/>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75,646</w:t>
            </w:r>
          </w:p>
        </w:tc>
        <w:tc>
          <w:tcPr>
            <w:tcW w:w="100" w:type="dxa"/>
            <w:vAlign w:val="bottom"/>
            <w:shd w:val="clear" w:color="auto" w:fill="EAF9E8"/>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3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(4,310)</w:t>
            </w:r>
          </w:p>
        </w:tc>
      </w:tr>
      <w:tr>
        <w:trPr>
          <w:trHeight w:val="237"/>
        </w:trPr>
        <w:tc>
          <w:tcPr>
            <w:tcW w:w="5880" w:type="dxa"/>
            <w:vAlign w:val="bottom"/>
          </w:tcPr>
          <w:p>
            <w:pPr>
              <w:spacing w:after="0"/>
              <w:rPr>
                <w:sz w:val="20"/>
                <w:szCs w:val="20"/>
                <w:color w:val="auto"/>
              </w:rPr>
            </w:pPr>
          </w:p>
        </w:tc>
        <w:tc>
          <w:tcPr>
            <w:tcW w:w="4260" w:type="dxa"/>
            <w:vAlign w:val="bottom"/>
            <w:gridSpan w:val="2"/>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80" w:type="dxa"/>
            <w:vAlign w:val="bottom"/>
            <w:shd w:val="clear" w:color="auto" w:fill="EAF9E8"/>
          </w:tcPr>
          <w:p>
            <w:pPr>
              <w:spacing w:after="0"/>
              <w:rPr>
                <w:sz w:val="18"/>
                <w:szCs w:val="18"/>
                <w:color w:val="auto"/>
              </w:rPr>
            </w:pPr>
          </w:p>
        </w:tc>
        <w:tc>
          <w:tcPr>
            <w:tcW w:w="3500" w:type="dxa"/>
            <w:vAlign w:val="bottom"/>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jc w:val="right"/>
              <w:ind w:right="60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71,336</w:t>
            </w:r>
          </w:p>
        </w:tc>
        <w:tc>
          <w:tcPr>
            <w:tcW w:w="100" w:type="dxa"/>
            <w:vAlign w:val="bottom"/>
            <w:shd w:val="clear" w:color="auto" w:fill="EAF9E8"/>
          </w:tcPr>
          <w:p>
            <w:pPr>
              <w:spacing w:after="0"/>
              <w:rPr>
                <w:sz w:val="18"/>
                <w:szCs w:val="18"/>
                <w:color w:val="auto"/>
              </w:rPr>
            </w:pPr>
          </w:p>
        </w:tc>
      </w:tr>
      <w:tr>
        <w:trPr>
          <w:trHeight w:val="243"/>
        </w:trPr>
        <w:tc>
          <w:tcPr>
            <w:tcW w:w="58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nonperforming loans of $13,941.</w:t>
      </w:r>
    </w:p>
    <w:p>
      <w:pPr>
        <w:spacing w:after="0" w:line="225" w:lineRule="exact"/>
        <w:rPr>
          <w:sz w:val="20"/>
          <w:szCs w:val="20"/>
          <w:color w:val="auto"/>
        </w:rPr>
      </w:pPr>
    </w:p>
    <w:p>
      <w:pPr>
        <w:jc w:val="both"/>
        <w:ind w:firstLine="667"/>
        <w:spacing w:after="0" w:line="255" w:lineRule="auto"/>
        <w:rPr>
          <w:sz w:val="20"/>
          <w:szCs w:val="20"/>
          <w:color w:val="auto"/>
        </w:rPr>
      </w:pPr>
      <w:r>
        <w:rPr>
          <w:rFonts w:ascii="Arial" w:cs="Arial" w:eastAsia="Arial" w:hAnsi="Arial"/>
          <w:sz w:val="18"/>
          <w:szCs w:val="18"/>
          <w:color w:val="auto"/>
        </w:rPr>
        <w:t>We report loans held by the consolidated securitization trusts at cost, less an allowance for loan losses. We consider loans held by the trusts to be nonperforming if they are delinquent greater than 89 days or if the loan is in foreclosure or in bankruptcy. We do not accrue for interest on nonperforming loans. In situations where the trusts foreclose upon the collateral, we classify the loans as real estate, a component of other assets. We report as Other, net the losses that are realized by the trusts on loans or real estate resolved through repayment of less than the unpaid principal balance of the loan in full plus any costs incurred by the servicer to resolve the loan or real estate.</w:t>
      </w:r>
    </w:p>
    <w:p>
      <w:pPr>
        <w:spacing w:after="0" w:line="197" w:lineRule="exact"/>
        <w:rPr>
          <w:sz w:val="20"/>
          <w:szCs w:val="20"/>
          <w:color w:val="auto"/>
        </w:rPr>
      </w:pPr>
    </w:p>
    <w:p>
      <w:pPr>
        <w:jc w:val="both"/>
        <w:ind w:firstLine="436"/>
        <w:spacing w:after="0" w:line="306" w:lineRule="auto"/>
        <w:rPr>
          <w:sz w:val="20"/>
          <w:szCs w:val="20"/>
          <w:color w:val="auto"/>
        </w:rPr>
      </w:pPr>
      <w:r>
        <w:rPr>
          <w:rFonts w:ascii="Arial" w:cs="Arial" w:eastAsia="Arial" w:hAnsi="Arial"/>
          <w:sz w:val="16"/>
          <w:szCs w:val="16"/>
          <w:color w:val="auto"/>
        </w:rPr>
        <w:t>We maintain an allowance for loan losses for loans and real estate held by the trusts at a level that, based upon our evaluation of known and inherent risks in the collateral of the trusts, we consider to be adequate to provide for probable losses. We base our ongoing evaluation of the allowance for loan losses upon an analysis of the collateral of the trusts, historical loss experience, economic conditions and trends, collateral values and other relevant factors.</w:t>
      </w:r>
    </w:p>
    <w:p>
      <w:pPr>
        <w:spacing w:after="0" w:line="161" w:lineRule="exact"/>
        <w:rPr>
          <w:sz w:val="20"/>
          <w:szCs w:val="20"/>
          <w:color w:val="auto"/>
        </w:rPr>
      </w:pPr>
    </w:p>
    <w:p>
      <w:pPr>
        <w:jc w:val="both"/>
        <w:ind w:firstLine="534"/>
        <w:spacing w:after="0" w:line="268" w:lineRule="auto"/>
        <w:rPr>
          <w:sz w:val="20"/>
          <w:szCs w:val="20"/>
          <w:color w:val="auto"/>
        </w:rPr>
      </w:pPr>
      <w:r>
        <w:rPr>
          <w:rFonts w:ascii="Arial" w:cs="Arial" w:eastAsia="Arial" w:hAnsi="Arial"/>
          <w:sz w:val="18"/>
          <w:szCs w:val="18"/>
          <w:color w:val="auto"/>
        </w:rPr>
        <w:t>At March 31, 2010, the trusts held 1,720 loans that are secured by first or second liens on one- to four-family residential properties. These loans have a weighted average coupon rate of 10.31% and a weighted average remaining life of 142 months.</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MORTGAGE SERVICING RIGHTS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 summarizes the activity in the carrying value of residential servicing assets for the three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Carrying value at December 31, 2009</w:t>
            </w:r>
          </w:p>
        </w:tc>
        <w:tc>
          <w:tcPr>
            <w:tcW w:w="3760" w:type="dxa"/>
            <w:vAlign w:val="bottom"/>
            <w:gridSpan w:val="2"/>
            <w:shd w:val="clear" w:color="auto" w:fill="EAF9E8"/>
          </w:tcPr>
          <w:p>
            <w:pPr>
              <w:jc w:val="right"/>
              <w:ind w:right="56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transfers and adjustments</w:t>
            </w:r>
          </w:p>
        </w:tc>
        <w:tc>
          <w:tcPr>
            <w:tcW w:w="30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6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w:t>
            </w:r>
          </w:p>
        </w:tc>
        <w:tc>
          <w:tcPr>
            <w:tcW w:w="30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43"/>
        </w:trPr>
        <w:tc>
          <w:tcPr>
            <w:tcW w:w="6340" w:type="dxa"/>
            <w:vAlign w:val="bottom"/>
            <w:vMerge w:val="restart"/>
          </w:tcPr>
          <w:p>
            <w:pPr>
              <w:spacing w:after="0"/>
              <w:rPr>
                <w:sz w:val="20"/>
                <w:szCs w:val="20"/>
                <w:color w:val="auto"/>
              </w:rPr>
            </w:pPr>
            <w:r>
              <w:rPr>
                <w:rFonts w:ascii="Arial" w:cs="Arial" w:eastAsia="Arial" w:hAnsi="Arial"/>
                <w:sz w:val="18"/>
                <w:szCs w:val="18"/>
                <w:color w:val="auto"/>
              </w:rPr>
              <w:t>Carrying value at March 31, 2010</w:t>
            </w:r>
          </w:p>
        </w:tc>
        <w:tc>
          <w:tcPr>
            <w:tcW w:w="376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720" w:type="dxa"/>
            <w:vAlign w:val="bottom"/>
            <w:tcBorders>
              <w:top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150495</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167640</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ind w:firstLine="470"/>
        <w:spacing w:after="0" w:line="332" w:lineRule="auto"/>
        <w:rPr>
          <w:sz w:val="20"/>
          <w:szCs w:val="20"/>
          <w:color w:val="auto"/>
        </w:rPr>
      </w:pPr>
      <w:r>
        <w:rPr>
          <w:rFonts w:ascii="Arial" w:cs="Arial" w:eastAsia="Arial" w:hAnsi="Arial"/>
          <w:sz w:val="16"/>
          <w:szCs w:val="16"/>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Residential</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Arial" w:cs="Arial" w:eastAsia="Arial" w:hAnsi="Arial"/>
                <w:sz w:val="18"/>
                <w:szCs w:val="18"/>
                <w:color w:val="auto"/>
              </w:rPr>
              <w:t>March 31, 2010: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26,443,494</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86"/>
              </w:rPr>
              <w:t>26,443,494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Subservicing (1)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23,234,505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292,676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w w:val="86"/>
              </w:rPr>
              <w:t>23,527,181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22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49,677,999</w:t>
            </w: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292,676</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AF9E8"/>
          </w:tcPr>
          <w:p>
            <w:pPr>
              <w:ind w:left="140"/>
              <w:spacing w:after="0"/>
              <w:rPr>
                <w:sz w:val="20"/>
                <w:szCs w:val="20"/>
                <w:color w:val="auto"/>
              </w:rPr>
            </w:pPr>
            <w:r>
              <w:rPr>
                <w:rFonts w:ascii="Arial" w:cs="Arial" w:eastAsia="Arial" w:hAnsi="Arial"/>
                <w:sz w:val="18"/>
                <w:szCs w:val="18"/>
                <w:color w:val="auto"/>
                <w:w w:val="86"/>
              </w:rPr>
              <w:t>49,970,675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00" w:type="dxa"/>
            <w:vAlign w:val="bottom"/>
            <w:vMerge w:val="restart"/>
          </w:tcPr>
          <w:p>
            <w:pPr>
              <w:ind w:left="140"/>
              <w:spacing w:after="0"/>
              <w:rPr>
                <w:sz w:val="20"/>
                <w:szCs w:val="20"/>
                <w:color w:val="auto"/>
              </w:rPr>
            </w:pPr>
            <w:r>
              <w:rPr>
                <w:rFonts w:ascii="Arial" w:cs="Arial" w:eastAsia="Arial" w:hAnsi="Arial"/>
                <w:sz w:val="18"/>
                <w:szCs w:val="18"/>
                <w:color w:val="auto"/>
              </w:rPr>
              <w:t>December 31, 2009:</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27,408,436</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86"/>
              </w:rPr>
              <w:t>27,408,436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Subservicing (1)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22,571,641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211,603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w w:val="86"/>
              </w:rPr>
              <w:t>22,783,244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22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49,980,077</w:t>
            </w: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211,603</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AF9E8"/>
          </w:tcPr>
          <w:p>
            <w:pPr>
              <w:ind w:left="140"/>
              <w:spacing w:after="0"/>
              <w:rPr>
                <w:sz w:val="20"/>
                <w:szCs w:val="20"/>
                <w:color w:val="auto"/>
              </w:rPr>
            </w:pPr>
            <w:r>
              <w:rPr>
                <w:rFonts w:ascii="Arial" w:cs="Arial" w:eastAsia="Arial" w:hAnsi="Arial"/>
                <w:sz w:val="18"/>
                <w:szCs w:val="18"/>
                <w:color w:val="auto"/>
                <w:w w:val="86"/>
              </w:rPr>
              <w:t>50,191,680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non-performing loans serviced for Freddie Mac.</w:t>
      </w:r>
    </w:p>
    <w:p>
      <w:pPr>
        <w:spacing w:after="0" w:line="22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MSRs are an intangible asset representing the right to service a portfolio of mortgage loans. We generally obtain MSRs by purchasing them from the owners of the mortgage loans. Residential assets serviced consist almost entirely of mortgage loans, primarily subprime, but also include real estate. Assets serviced for others are not included on our Consolidated Balance Sheet.</w:t>
      </w:r>
    </w:p>
    <w:p>
      <w:pPr>
        <w:spacing w:after="0" w:line="194" w:lineRule="exact"/>
        <w:rPr>
          <w:sz w:val="20"/>
          <w:szCs w:val="20"/>
          <w:color w:val="auto"/>
        </w:rPr>
      </w:pPr>
    </w:p>
    <w:p>
      <w:pPr>
        <w:jc w:val="both"/>
        <w:ind w:firstLine="488"/>
        <w:spacing w:after="0" w:line="259"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escrowed with an unaffiliated bank and excluded from our Consolidated Balance Sheet. Custodial accounts amounted to approximately $331,798 and $234,100 at March 31, 2010 and December 31, 2009, respectively.</w:t>
      </w:r>
    </w:p>
    <w:p>
      <w:pPr>
        <w:spacing w:after="0" w:line="194"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 our</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servicing rights as the estimated fair value was less than the carrying value. Changes in the valuation allowance for impairment are reflected in Servicing and origination expenses in our Consolidated Statement of Operations. Net of the valuation allowance of $2,231, the carrying value of this stratum was $1,379 at March 31, 2010. For all other strata, the fair value was above the carrying value at March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Estimated fair value of MSRs:</w:t>
            </w:r>
          </w:p>
        </w:tc>
        <w:tc>
          <w:tcPr>
            <w:tcW w:w="4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r>
      <w:tr>
        <w:trPr>
          <w:trHeight w:val="216"/>
        </w:trPr>
        <w:tc>
          <w:tcPr>
            <w:tcW w:w="900" w:type="dxa"/>
            <w:vAlign w:val="bottom"/>
          </w:tcPr>
          <w:p>
            <w:pPr>
              <w:ind w:left="160"/>
              <w:spacing w:after="0"/>
              <w:rPr>
                <w:sz w:val="20"/>
                <w:szCs w:val="20"/>
                <w:color w:val="auto"/>
              </w:rPr>
            </w:pPr>
            <w:r>
              <w:rPr>
                <w:rFonts w:ascii="Arial" w:cs="Arial" w:eastAsia="Arial" w:hAnsi="Arial"/>
                <w:sz w:val="18"/>
                <w:szCs w:val="18"/>
                <w:color w:val="auto"/>
                <w:w w:val="89"/>
              </w:rPr>
              <w:t>March 31,</w:t>
            </w:r>
          </w:p>
        </w:tc>
        <w:tc>
          <w:tcPr>
            <w:tcW w:w="5380" w:type="dxa"/>
            <w:vAlign w:val="bottom"/>
          </w:tcPr>
          <w:p>
            <w:pPr>
              <w:ind w:left="20"/>
              <w:spacing w:after="0"/>
              <w:rPr>
                <w:sz w:val="20"/>
                <w:szCs w:val="20"/>
                <w:color w:val="auto"/>
              </w:rPr>
            </w:pPr>
            <w:r>
              <w:rPr>
                <w:rFonts w:ascii="Arial" w:cs="Arial" w:eastAsia="Arial" w:hAnsi="Arial"/>
                <w:sz w:val="18"/>
                <w:szCs w:val="18"/>
                <w:color w:val="auto"/>
              </w:rPr>
              <w:t>2010</w:t>
            </w:r>
          </w:p>
        </w:tc>
        <w:tc>
          <w:tcPr>
            <w:tcW w:w="4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133,129</w:t>
            </w:r>
          </w:p>
        </w:tc>
      </w:tr>
      <w:tr>
        <w:trPr>
          <w:trHeight w:val="216"/>
        </w:trPr>
        <w:tc>
          <w:tcPr>
            <w:tcW w:w="90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6"/>
              </w:rPr>
              <w:t>December</w:t>
            </w:r>
          </w:p>
        </w:tc>
        <w:tc>
          <w:tcPr>
            <w:tcW w:w="5380" w:type="dxa"/>
            <w:vAlign w:val="bottom"/>
            <w:shd w:val="clear" w:color="auto" w:fill="EAF9E8"/>
          </w:tcPr>
          <w:p>
            <w:pPr>
              <w:ind w:left="20"/>
              <w:spacing w:after="0"/>
              <w:rPr>
                <w:sz w:val="20"/>
                <w:szCs w:val="20"/>
                <w:color w:val="auto"/>
              </w:rPr>
            </w:pPr>
            <w:r>
              <w:rPr>
                <w:rFonts w:ascii="Arial" w:cs="Arial" w:eastAsia="Arial" w:hAnsi="Arial"/>
                <w:sz w:val="18"/>
                <w:szCs w:val="18"/>
                <w:color w:val="auto"/>
              </w:rPr>
              <w:t>31, 2009</w:t>
            </w:r>
          </w:p>
        </w:tc>
        <w:tc>
          <w:tcPr>
            <w:tcW w:w="42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127,268</w:t>
            </w:r>
          </w:p>
        </w:tc>
      </w:tr>
    </w:tbl>
    <w:p>
      <w:pPr>
        <w:spacing w:after="0" w:line="208"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16"/>
          <w:szCs w:val="16"/>
          <w:i w:val="1"/>
          <w:iCs w:val="1"/>
          <w:color w:val="auto"/>
        </w:rPr>
        <w:t xml:space="preserve">Servicing Liabilities. </w:t>
      </w:r>
      <w:r>
        <w:rPr>
          <w:rFonts w:ascii="Arial" w:cs="Arial" w:eastAsia="Arial" w:hAnsi="Arial"/>
          <w:sz w:val="16"/>
          <w:szCs w:val="16"/>
          <w:color w:val="auto"/>
        </w:rPr>
        <w:t>We recognize a servicing liability for those agreements that we do not expect to compensate us adequately for performing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Servicing liabilities were $2,478 and $2,878 at March 31, 2010 and December 31, 2009, respectively, and are included in Other liabilities. During the first three months of 2010, amortization of servicing liabilities exceeded the amount of charges we recognized to increase servicing liability obligations by $400 and we have reported this net amount as a reduction of Amortization of mortgage servicing rights in our Consolidated Statement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6220" w:type="dxa"/>
            <w:vAlign w:val="bottom"/>
            <w:gridSpan w:val="2"/>
          </w:tcPr>
          <w:p>
            <w:pPr>
              <w:jc w:val="right"/>
              <w:ind w:right="4863"/>
              <w:spacing w:after="0"/>
              <w:rPr>
                <w:sz w:val="20"/>
                <w:szCs w:val="20"/>
                <w:color w:val="auto"/>
              </w:rPr>
            </w:pPr>
            <w:r>
              <w:rPr>
                <w:rFonts w:ascii="Arial" w:cs="Arial" w:eastAsia="Arial" w:hAnsi="Arial"/>
                <w:sz w:val="18"/>
                <w:szCs w:val="18"/>
                <w:b w:val="1"/>
                <w:bCs w:val="1"/>
                <w:color w:val="auto"/>
                <w:w w:val="98"/>
              </w:rPr>
              <w:t>RECEIVABLES</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340" w:type="dxa"/>
            <w:vAlign w:val="bottom"/>
            <w:gridSpan w:val="3"/>
          </w:tcPr>
          <w:p>
            <w:pPr>
              <w:ind w:left="440"/>
              <w:spacing w:after="0"/>
              <w:rPr>
                <w:sz w:val="20"/>
                <w:szCs w:val="20"/>
                <w:color w:val="auto"/>
              </w:rPr>
            </w:pPr>
            <w:r>
              <w:rPr>
                <w:rFonts w:ascii="Arial" w:cs="Arial" w:eastAsia="Arial" w:hAnsi="Arial"/>
                <w:sz w:val="18"/>
                <w:szCs w:val="18"/>
                <w:color w:val="auto"/>
              </w:rPr>
              <w:t>Receivables consisted of the following at the dates indicated:</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292"/>
              <w:spacing w:after="0"/>
              <w:rPr>
                <w:sz w:val="20"/>
                <w:szCs w:val="20"/>
                <w:color w:val="auto"/>
              </w:rPr>
            </w:pPr>
            <w:r>
              <w:rPr>
                <w:rFonts w:ascii="Arial" w:cs="Arial" w:eastAsia="Arial" w:hAnsi="Arial"/>
                <w:sz w:val="18"/>
                <w:szCs w:val="18"/>
                <w:b w:val="1"/>
                <w:bCs w:val="1"/>
                <w:color w:val="auto"/>
              </w:rPr>
              <w:t>March 31, 2010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2009</w:t>
            </w:r>
          </w:p>
        </w:tc>
      </w:tr>
      <w:tr>
        <w:trPr>
          <w:trHeight w:val="245"/>
        </w:trPr>
        <w:tc>
          <w:tcPr>
            <w:tcW w:w="7340" w:type="dxa"/>
            <w:vAlign w:val="bottom"/>
            <w:gridSpan w:val="3"/>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7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24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7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8"/>
                <w:szCs w:val="18"/>
                <w:color w:val="auto"/>
                <w:w w:val="93"/>
              </w:rPr>
              <w:t>Servicing (1)</w:t>
            </w:r>
          </w:p>
        </w:tc>
        <w:tc>
          <w:tcPr>
            <w:tcW w:w="62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15,657</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41,940</w:t>
            </w:r>
          </w:p>
        </w:tc>
      </w:tr>
      <w:tr>
        <w:trPr>
          <w:trHeight w:val="216"/>
        </w:trPr>
        <w:tc>
          <w:tcPr>
            <w:tcW w:w="7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7340" w:type="dxa"/>
            <w:vAlign w:val="bottom"/>
            <w:gridSpan w:val="3"/>
          </w:tcPr>
          <w:p>
            <w:pPr>
              <w:ind w:left="160"/>
              <w:spacing w:after="0"/>
              <w:rPr>
                <w:sz w:val="20"/>
                <w:szCs w:val="20"/>
                <w:color w:val="auto"/>
              </w:rPr>
            </w:pPr>
            <w:r>
              <w:rPr>
                <w:rFonts w:ascii="Arial" w:cs="Arial" w:eastAsia="Arial" w:hAnsi="Arial"/>
                <w:sz w:val="18"/>
                <w:szCs w:val="18"/>
                <w:color w:val="auto"/>
              </w:rPr>
              <w:t>Asset Management Vehicles</w:t>
            </w:r>
          </w:p>
        </w:tc>
        <w:tc>
          <w:tcPr>
            <w:tcW w:w="170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7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1,795</w:t>
            </w:r>
          </w:p>
        </w:tc>
      </w:tr>
      <w:tr>
        <w:trPr>
          <w:trHeight w:val="243"/>
        </w:trPr>
        <w:tc>
          <w:tcPr>
            <w:tcW w:w="11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r>
      <w:tr>
        <w:trPr>
          <w:trHeight w:val="210"/>
        </w:trPr>
        <w:tc>
          <w:tcPr>
            <w:tcW w:w="1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44,914</w:t>
            </w:r>
          </w:p>
        </w:tc>
        <w:tc>
          <w:tcPr>
            <w:tcW w:w="100" w:type="dxa"/>
            <w:vAlign w:val="bottom"/>
          </w:tcPr>
          <w:p>
            <w:pPr>
              <w:spacing w:after="0"/>
              <w:rPr>
                <w:sz w:val="18"/>
                <w:szCs w:val="18"/>
                <w:color w:val="auto"/>
              </w:rPr>
            </w:pPr>
          </w:p>
        </w:tc>
      </w:tr>
      <w:tr>
        <w:trPr>
          <w:trHeight w:val="216"/>
        </w:trPr>
        <w:tc>
          <w:tcPr>
            <w:tcW w:w="7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receivables:</w:t>
            </w:r>
          </w:p>
        </w:tc>
        <w:tc>
          <w:tcPr>
            <w:tcW w:w="17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8"/>
                <w:szCs w:val="18"/>
                <w:color w:val="auto"/>
                <w:w w:val="87"/>
              </w:rPr>
              <w:t>Income taxes</w:t>
            </w: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27,163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r>
      <w:tr>
        <w:trPr>
          <w:trHeight w:val="216"/>
        </w:trPr>
        <w:tc>
          <w:tcPr>
            <w:tcW w:w="7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Receivable from Altisource</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5,233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3,310</w:t>
            </w:r>
          </w:p>
        </w:tc>
      </w:tr>
      <w:tr>
        <w:trPr>
          <w:trHeight w:val="222"/>
        </w:trPr>
        <w:tc>
          <w:tcPr>
            <w:tcW w:w="1120" w:type="dxa"/>
            <w:vAlign w:val="bottom"/>
          </w:tcPr>
          <w:p>
            <w:pPr>
              <w:ind w:left="160"/>
              <w:spacing w:after="0"/>
              <w:rPr>
                <w:sz w:val="20"/>
                <w:szCs w:val="20"/>
                <w:color w:val="auto"/>
              </w:rPr>
            </w:pPr>
            <w:r>
              <w:rPr>
                <w:rFonts w:ascii="Arial" w:cs="Arial" w:eastAsia="Arial" w:hAnsi="Arial"/>
                <w:sz w:val="18"/>
                <w:szCs w:val="18"/>
                <w:color w:val="auto"/>
              </w:rPr>
              <w:t>Other</w:t>
            </w:r>
          </w:p>
        </w:tc>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r>
      <w:tr>
        <w:trPr>
          <w:trHeight w:val="237"/>
        </w:trPr>
        <w:tc>
          <w:tcPr>
            <w:tcW w:w="1120" w:type="dxa"/>
            <w:vAlign w:val="bottom"/>
          </w:tcPr>
          <w:p>
            <w:pPr>
              <w:spacing w:after="0"/>
              <w:rPr>
                <w:sz w:val="20"/>
                <w:szCs w:val="20"/>
                <w:color w:val="auto"/>
              </w:rPr>
            </w:pPr>
          </w:p>
        </w:tc>
        <w:tc>
          <w:tcPr>
            <w:tcW w:w="622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r>
      <w:tr>
        <w:trPr>
          <w:trHeight w:val="210"/>
        </w:trPr>
        <w:tc>
          <w:tcPr>
            <w:tcW w:w="1120" w:type="dxa"/>
            <w:vAlign w:val="bottom"/>
            <w:shd w:val="clear" w:color="auto" w:fill="EAF9E8"/>
          </w:tcPr>
          <w:p>
            <w:pPr>
              <w:spacing w:after="0"/>
              <w:rPr>
                <w:sz w:val="18"/>
                <w:szCs w:val="18"/>
                <w:color w:val="auto"/>
              </w:rPr>
            </w:pPr>
          </w:p>
        </w:tc>
        <w:tc>
          <w:tcPr>
            <w:tcW w:w="59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53,562</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67,095</w:t>
            </w:r>
          </w:p>
        </w:tc>
        <w:tc>
          <w:tcPr>
            <w:tcW w:w="100" w:type="dxa"/>
            <w:vAlign w:val="bottom"/>
            <w:shd w:val="clear" w:color="auto" w:fill="EAF9E8"/>
          </w:tcPr>
          <w:p>
            <w:pPr>
              <w:spacing w:after="0"/>
              <w:rPr>
                <w:sz w:val="18"/>
                <w:szCs w:val="18"/>
                <w:color w:val="auto"/>
              </w:rPr>
            </w:pPr>
          </w:p>
        </w:tc>
      </w:tr>
      <w:tr>
        <w:trPr>
          <w:trHeight w:val="243"/>
        </w:trPr>
        <w:tc>
          <w:tcPr>
            <w:tcW w:w="11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balances at March 31, 2010 and December 31, 2009 primarily include reimbursable expenditures due from investors. The total balance of receivables for this segment is net of reserves of $629 and $547 at March 31, 2010 and December 31, 2009, respectively. The balances at March 31, 2010 and December 31, 2009 include $10,416 and $37,226, respectively, due from Freddie Mac in connection with loans we service under a subservicing agreement.</w:t>
      </w:r>
    </w:p>
    <w:p>
      <w:pPr>
        <w:sectPr>
          <w:pgSz w:w="11900" w:h="16838" w:orient="portrait"/>
          <w:cols w:equalWidth="0" w:num="1">
            <w:col w:w="11420"/>
          </w:cols>
          <w:pgMar w:left="240" w:top="131" w:right="239" w:bottom="46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468"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6100" w:type="dxa"/>
            <w:vAlign w:val="bottom"/>
          </w:tcPr>
          <w:p>
            <w:pPr>
              <w:ind w:left="10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Other assets consisted of the following at the dates indicated: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02"/>
        </w:trPr>
        <w:tc>
          <w:tcPr>
            <w:tcW w:w="1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292"/>
              <w:spacing w:after="0"/>
              <w:rPr>
                <w:sz w:val="20"/>
                <w:szCs w:val="20"/>
                <w:color w:val="auto"/>
              </w:rPr>
            </w:pPr>
            <w:r>
              <w:rPr>
                <w:rFonts w:ascii="Arial" w:cs="Arial" w:eastAsia="Arial" w:hAnsi="Arial"/>
                <w:sz w:val="18"/>
                <w:szCs w:val="18"/>
                <w:b w:val="1"/>
                <w:bCs w:val="1"/>
                <w:color w:val="auto"/>
              </w:rPr>
              <w:t>March 31, 2010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2009</w:t>
            </w:r>
          </w:p>
        </w:tc>
      </w:tr>
      <w:tr>
        <w:trPr>
          <w:trHeight w:val="245"/>
        </w:trPr>
        <w:tc>
          <w:tcPr>
            <w:tcW w:w="7160" w:type="dxa"/>
            <w:vAlign w:val="bottom"/>
            <w:gridSpan w:val="2"/>
          </w:tcPr>
          <w:p>
            <w:pPr>
              <w:spacing w:after="0"/>
              <w:rPr>
                <w:sz w:val="21"/>
                <w:szCs w:val="21"/>
                <w:color w:val="auto"/>
              </w:rPr>
            </w:pP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0"/>
        </w:trPr>
        <w:tc>
          <w:tcPr>
            <w:tcW w:w="7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47,541</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50,221</w:t>
            </w:r>
          </w:p>
        </w:tc>
        <w:tc>
          <w:tcPr>
            <w:tcW w:w="60" w:type="dxa"/>
            <w:vAlign w:val="bottom"/>
            <w:shd w:val="clear" w:color="auto" w:fill="EAF9E8"/>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Debt issuance costs, net (2)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8,223</w:t>
            </w:r>
          </w:p>
        </w:tc>
      </w:tr>
      <w:tr>
        <w:trPr>
          <w:trHeight w:val="216"/>
        </w:trPr>
        <w:tc>
          <w:tcPr>
            <w:tcW w:w="7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Real estate, net (3)</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9,783</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8,133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8,671</w:t>
            </w:r>
          </w:p>
        </w:tc>
      </w:tr>
      <w:tr>
        <w:trPr>
          <w:trHeight w:val="216"/>
        </w:trPr>
        <w:tc>
          <w:tcPr>
            <w:tcW w:w="1060" w:type="dxa"/>
            <w:vAlign w:val="bottom"/>
            <w:shd w:val="clear" w:color="auto" w:fill="EAF9E8"/>
          </w:tcPr>
          <w:p>
            <w:pPr>
              <w:spacing w:after="0"/>
              <w:rPr>
                <w:sz w:val="20"/>
                <w:szCs w:val="20"/>
                <w:color w:val="auto"/>
              </w:rPr>
            </w:pPr>
            <w:r>
              <w:rPr>
                <w:rFonts w:ascii="Arial" w:cs="Arial" w:eastAsia="Arial" w:hAnsi="Arial"/>
                <w:sz w:val="18"/>
                <w:szCs w:val="18"/>
                <w:color w:val="auto"/>
                <w:w w:val="95"/>
              </w:rPr>
              <w:t>Term note (4)</w:t>
            </w:r>
          </w:p>
        </w:tc>
        <w:tc>
          <w:tcPr>
            <w:tcW w:w="6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7,000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3,138</w:t>
            </w:r>
          </w:p>
        </w:tc>
      </w:tr>
      <w:tr>
        <w:trPr>
          <w:trHeight w:val="216"/>
        </w:trPr>
        <w:tc>
          <w:tcPr>
            <w:tcW w:w="7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4,725</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4,250</w:t>
            </w:r>
          </w:p>
        </w:tc>
      </w:tr>
      <w:tr>
        <w:trPr>
          <w:trHeight w:val="243"/>
        </w:trPr>
        <w:tc>
          <w:tcPr>
            <w:tcW w:w="106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r>
      <w:tr>
        <w:trPr>
          <w:trHeight w:val="216"/>
        </w:trPr>
        <w:tc>
          <w:tcPr>
            <w:tcW w:w="1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91,778</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89,636</w:t>
            </w:r>
          </w:p>
        </w:tc>
        <w:tc>
          <w:tcPr>
            <w:tcW w:w="60" w:type="dxa"/>
            <w:vAlign w:val="bottom"/>
          </w:tcPr>
          <w:p>
            <w:pPr>
              <w:spacing w:after="0"/>
              <w:rPr>
                <w:sz w:val="18"/>
                <w:szCs w:val="18"/>
                <w:color w:val="auto"/>
              </w:rPr>
            </w:pPr>
          </w:p>
        </w:tc>
      </w:tr>
      <w:tr>
        <w:trPr>
          <w:trHeight w:val="237"/>
        </w:trPr>
        <w:tc>
          <w:tcPr>
            <w:tcW w:w="10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98"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costs are amortized to the earliest contractual maturity date of the debt.</w:t>
      </w:r>
    </w:p>
    <w:p>
      <w:pPr>
        <w:spacing w:after="0" w:line="15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balance at March 31, 2010 includes $1,938 of foreclosed properties owned by the newly consolidated securitization trusts. See Note 1—Principles of Consolidation – Residential Mortgage Loans for additional information.</w:t>
      </w:r>
    </w:p>
    <w:p>
      <w:pPr>
        <w:spacing w:after="0" w:line="118"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March 2009, we issued a note receivable, maturing on April 1, 2014, in connection with advances funded by the Ocwen Servicer Advance Funding, LLC (OSAF) term note pledged as collateral, as described in Note 13. We receive 1-Month LIBOR plus 300 basis points (bps) under the terms of this note receivable. Under the terms of the note, repayments of $1,400 per year are required beginning April 1, 2010. We are obligated to pay 1-Month LIBOR plus 350 bps under the terms of a five-year note payable to the same counterparty. We do not have a contractual right to offset these payments.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2800" w:type="dxa"/>
            <w:vAlign w:val="bottom"/>
            <w:gridSpan w:val="3"/>
          </w:tcPr>
          <w:p>
            <w:pPr>
              <w:ind w:left="180"/>
              <w:spacing w:after="0"/>
              <w:rPr>
                <w:sz w:val="20"/>
                <w:szCs w:val="20"/>
                <w:color w:val="auto"/>
              </w:rPr>
            </w:pPr>
            <w:r>
              <w:rPr>
                <w:rFonts w:ascii="Arial" w:cs="Arial" w:eastAsia="Arial" w:hAnsi="Arial"/>
                <w:sz w:val="18"/>
                <w:szCs w:val="18"/>
                <w:b w:val="1"/>
                <w:bCs w:val="1"/>
                <w:color w:val="auto"/>
              </w:rPr>
              <w:t>MATCH FUNDED 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gridSpan w:val="8"/>
          </w:tcPr>
          <w:p>
            <w:pPr>
              <w:ind w:left="420"/>
              <w:spacing w:after="0"/>
              <w:rPr>
                <w:sz w:val="20"/>
                <w:szCs w:val="20"/>
                <w:color w:val="auto"/>
              </w:rPr>
            </w:pPr>
            <w:r>
              <w:rPr>
                <w:rFonts w:ascii="Arial" w:cs="Arial" w:eastAsia="Arial" w:hAnsi="Arial"/>
                <w:sz w:val="18"/>
                <w:szCs w:val="18"/>
                <w:color w:val="auto"/>
              </w:rPr>
              <w:t>Match funded liabilities are comprised of the following at the dates indicated: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4"/>
          </w:tcPr>
          <w:p>
            <w:pPr>
              <w:jc w:val="center"/>
              <w:ind w:left="192"/>
              <w:spacing w:after="0"/>
              <w:rPr>
                <w:sz w:val="20"/>
                <w:szCs w:val="20"/>
                <w:color w:val="auto"/>
              </w:rPr>
            </w:pPr>
            <w:r>
              <w:rPr>
                <w:rFonts w:ascii="Arial" w:cs="Arial" w:eastAsia="Arial" w:hAnsi="Arial"/>
                <w:sz w:val="18"/>
                <w:szCs w:val="18"/>
                <w:b w:val="1"/>
                <w:bCs w:val="1"/>
                <w:color w:val="auto"/>
                <w:w w:val="87"/>
              </w:rPr>
              <w:t>Balance Outstanding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4"/>
              </w:rPr>
              <w:t>Unused</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Borrowing</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b w:val="1"/>
                <w:bCs w:val="1"/>
                <w:color w:val="auto"/>
              </w:rPr>
              <w:t>Borrowing Type</w:t>
            </w:r>
          </w:p>
        </w:tc>
        <w:tc>
          <w:tcPr>
            <w:tcW w:w="220" w:type="dxa"/>
            <w:vAlign w:val="bottom"/>
          </w:tcPr>
          <w:p>
            <w:pPr>
              <w:spacing w:after="0"/>
              <w:rPr>
                <w:sz w:val="19"/>
                <w:szCs w:val="19"/>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Interest Rate</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Capacity (1)</w:t>
            </w:r>
          </w:p>
        </w:tc>
        <w:tc>
          <w:tcPr>
            <w:tcW w:w="296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2"/>
              </w:rPr>
              <w:t>March 31, 2010   December 31, 2009</w:t>
            </w:r>
          </w:p>
        </w:tc>
        <w:tc>
          <w:tcPr>
            <w:tcW w:w="0" w:type="dxa"/>
            <w:vAlign w:val="bottom"/>
          </w:tcPr>
          <w:p>
            <w:pPr>
              <w:spacing w:after="0"/>
              <w:rPr>
                <w:sz w:val="1"/>
                <w:szCs w:val="1"/>
                <w:color w:val="auto"/>
              </w:rPr>
            </w:pPr>
          </w:p>
        </w:tc>
      </w:tr>
      <w:tr>
        <w:trPr>
          <w:trHeight w:val="245"/>
        </w:trPr>
        <w:tc>
          <w:tcPr>
            <w:tcW w:w="208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60" w:type="dxa"/>
            <w:vAlign w:val="bottom"/>
            <w:tcBorders>
              <w:top w:val="single" w:sz="8" w:color="auto"/>
            </w:tcBorders>
            <w:gridSpan w:val="2"/>
            <w:shd w:val="clear" w:color="auto" w:fill="EAF9E8"/>
          </w:tcPr>
          <w:p>
            <w:pPr>
              <w:spacing w:after="0" w:line="201" w:lineRule="exact"/>
              <w:rPr>
                <w:sz w:val="20"/>
                <w:szCs w:val="20"/>
                <w:color w:val="auto"/>
              </w:rPr>
            </w:pPr>
            <w:r>
              <w:rPr>
                <w:rFonts w:ascii="Arial" w:cs="Arial" w:eastAsia="Arial" w:hAnsi="Arial"/>
                <w:sz w:val="18"/>
                <w:szCs w:val="18"/>
                <w:color w:val="auto"/>
                <w:w w:val="89"/>
              </w:rPr>
              <w:t>Advance Receivable Backed</w:t>
            </w:r>
          </w:p>
        </w:tc>
        <w:tc>
          <w:tcPr>
            <w:tcW w:w="220" w:type="dxa"/>
            <w:vAlign w:val="bottom"/>
            <w:shd w:val="clear" w:color="auto" w:fill="EAF9E8"/>
          </w:tcPr>
          <w:p>
            <w:pPr>
              <w:spacing w:after="0"/>
              <w:rPr>
                <w:sz w:val="17"/>
                <w:szCs w:val="17"/>
                <w:color w:val="auto"/>
              </w:rPr>
            </w:pPr>
          </w:p>
        </w:tc>
        <w:tc>
          <w:tcPr>
            <w:tcW w:w="148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60" w:type="dxa"/>
            <w:vAlign w:val="bottom"/>
            <w:tcBorders>
              <w:top w:val="single" w:sz="8" w:color="auto"/>
            </w:tcBorders>
            <w:shd w:val="clear" w:color="auto" w:fill="EAF9E8"/>
          </w:tcPr>
          <w:p>
            <w:pPr>
              <w:spacing w:after="0"/>
              <w:rPr>
                <w:sz w:val="17"/>
                <w:szCs w:val="17"/>
                <w:color w:val="auto"/>
              </w:rPr>
            </w:pPr>
          </w:p>
        </w:tc>
        <w:tc>
          <w:tcPr>
            <w:tcW w:w="6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Note Series 2009-3 (2)</w:t>
            </w:r>
          </w:p>
        </w:tc>
        <w:tc>
          <w:tcPr>
            <w:tcW w:w="170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Jul. 2023</w:t>
            </w:r>
          </w:p>
        </w:tc>
        <w:tc>
          <w:tcPr>
            <w:tcW w:w="240" w:type="dxa"/>
            <w:vAlign w:val="bottom"/>
            <w:shd w:val="clear" w:color="auto" w:fill="EAF9E8"/>
          </w:tcPr>
          <w:p>
            <w:pPr>
              <w:spacing w:after="0"/>
              <w:rPr>
                <w:sz w:val="19"/>
                <w:szCs w:val="19"/>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Jul. 2012</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210,000</w:t>
            </w:r>
          </w:p>
        </w:tc>
        <w:tc>
          <w:tcPr>
            <w:tcW w:w="960" w:type="dxa"/>
            <w:vAlign w:val="bottom"/>
            <w:gridSpan w:val="2"/>
            <w:shd w:val="clear" w:color="auto" w:fill="EAF9E8"/>
          </w:tcPr>
          <w:p>
            <w:pPr>
              <w:jc w:val="center"/>
              <w:ind w:right="59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2"/>
              </w:rPr>
              <w:t>210,000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Variable Funding</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1-Month LIBOR +</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Note Series 2009-2 (3)</w:t>
            </w:r>
          </w:p>
        </w:tc>
        <w:tc>
          <w:tcPr>
            <w:tcW w:w="2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350bps</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c>
          <w:tcPr>
            <w:tcW w:w="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Nov. 2012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26,605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Variable Funding</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w w:val="99"/>
              </w:rPr>
              <w:t>Commercial paper</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Note Series 2009-1 (4)</w:t>
            </w: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rPr>
              <w:t>rate + 200 bps</w:t>
            </w: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2022</w:t>
            </w:r>
          </w:p>
        </w:tc>
        <w:tc>
          <w:tcPr>
            <w:tcW w:w="240" w:type="dxa"/>
            <w:vAlign w:val="bottom"/>
            <w:shd w:val="clear" w:color="auto" w:fill="EAF9E8"/>
          </w:tcPr>
          <w:p>
            <w:pPr>
              <w:spacing w:after="0"/>
              <w:rPr>
                <w:sz w:val="19"/>
                <w:szCs w:val="19"/>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2011</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w w:val="89"/>
              </w:rPr>
              <w:t>Advance Receivable Backed</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Note Series 2010-1 (2)</w:t>
            </w: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Sep. 2023</w:t>
            </w:r>
          </w:p>
        </w:tc>
        <w:tc>
          <w:tcPr>
            <w:tcW w:w="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Feb. 2011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Variable Funding</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w w:val="99"/>
              </w:rPr>
              <w:t>Commercial paper</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Note (5)</w:t>
            </w:r>
          </w:p>
        </w:tc>
        <w:tc>
          <w:tcPr>
            <w:tcW w:w="1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rPr>
              <w:t>rate + 150 bps</w:t>
            </w: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2013</w:t>
            </w:r>
          </w:p>
        </w:tc>
        <w:tc>
          <w:tcPr>
            <w:tcW w:w="240" w:type="dxa"/>
            <w:vAlign w:val="bottom"/>
            <w:shd w:val="clear" w:color="auto" w:fill="EAF9E8"/>
          </w:tcPr>
          <w:p>
            <w:pPr>
              <w:spacing w:after="0"/>
              <w:rPr>
                <w:sz w:val="19"/>
                <w:szCs w:val="19"/>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2010</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140,085</w:t>
            </w:r>
          </w:p>
        </w:tc>
        <w:tc>
          <w:tcPr>
            <w:tcW w:w="2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109,915</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2"/>
              </w:rPr>
              <w:t>158,412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w w:val="89"/>
              </w:rPr>
              <w:t>Advance Receivable Backed</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1-Month LIBOR +</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Notes (6)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400 bps</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Mar. 2020</w:t>
            </w:r>
          </w:p>
        </w:tc>
        <w:tc>
          <w:tcPr>
            <w:tcW w:w="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Mar. 2011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89"/>
              </w:rPr>
              <w:t>Advance Receivable Backed</w:t>
            </w:r>
          </w:p>
        </w:tc>
        <w:tc>
          <w:tcPr>
            <w:tcW w:w="22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rPr>
              <w:t>1-Month LIBOR +</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Notes (7)</w:t>
            </w:r>
          </w:p>
        </w:tc>
        <w:tc>
          <w:tcPr>
            <w:tcW w:w="1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8"/>
                <w:szCs w:val="18"/>
                <w:color w:val="auto"/>
              </w:rPr>
              <w:t>275 bps</w:t>
            </w: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May 2011</w:t>
            </w:r>
          </w:p>
        </w:tc>
        <w:tc>
          <w:tcPr>
            <w:tcW w:w="240" w:type="dxa"/>
            <w:vAlign w:val="bottom"/>
            <w:shd w:val="clear" w:color="auto" w:fill="EAF9E8"/>
          </w:tcPr>
          <w:p>
            <w:pPr>
              <w:spacing w:after="0"/>
              <w:rPr>
                <w:sz w:val="19"/>
                <w:szCs w:val="19"/>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May 2010</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69,858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1,031,515</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center"/>
              <w:ind w:right="69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notes were issued under the Term Asset-Backed Securities Loan Facility (TALF) program administered by the Federal Reserve Bank of New York.</w:t>
      </w:r>
    </w:p>
    <w:p>
      <w:pPr>
        <w:spacing w:after="0" w:line="192" w:lineRule="exact"/>
        <w:rPr>
          <w:rFonts w:ascii="Arial" w:cs="Arial" w:eastAsia="Arial" w:hAnsi="Arial"/>
          <w:sz w:val="15"/>
          <w:szCs w:val="15"/>
          <w:color w:val="auto"/>
        </w:rPr>
      </w:pPr>
    </w:p>
    <w:p>
      <w:pPr>
        <w:jc w:val="both"/>
        <w:ind w:left="58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terms of the note purchase agreement, the purchaser had no obligation to fund borrowings under this note until January 2010 at which time the maximum funding obligation was $28,000. The maximum funding obligation increases to $88,000 in November 2010 and to $100,000 in November 2011.</w:t>
      </w:r>
    </w:p>
    <w:p>
      <w:pPr>
        <w:spacing w:after="0" w:line="126"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In February 2010, we renewed and extended the amortization date of this note to February 17, 2011.</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bps which has approximated 1-Month LIBOR plus 150 bps over time.</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2010, we extended the amortization date of this note to March 18, 2011.</w:t>
      </w:r>
    </w:p>
    <w:p>
      <w:pPr>
        <w:spacing w:after="0" w:line="157"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terms of the facility, we pay interest on drawn balances at 1-Month LIBOR plus 275 bps. In addition, we pay, in twelve monthly installments, a facility fee of 2.25% of the maximum borrowing capacity of $500,000. On April 16, 2010, we negotiated the renewal of this facility that extended the amortization date of the facility to May 5, 2011. The interest rate was reduced to 1-Month LIBOR plus 200 bps and the facility fee was reduced to 1.30% of the maximum borrowing capacity and is payable in twelve monthly installments.</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SECURED BORROWINGS – OWED TO SECURITIZATION INVESTORS</w:t>
      </w:r>
    </w:p>
    <w:p>
      <w:pPr>
        <w:spacing w:after="0" w:line="231" w:lineRule="exact"/>
        <w:rPr>
          <w:sz w:val="20"/>
          <w:szCs w:val="20"/>
          <w:color w:val="auto"/>
        </w:rPr>
      </w:pPr>
    </w:p>
    <w:p>
      <w:pPr>
        <w:jc w:val="both"/>
        <w:ind w:firstLine="491"/>
        <w:spacing w:after="0" w:line="306" w:lineRule="auto"/>
        <w:rPr>
          <w:sz w:val="20"/>
          <w:szCs w:val="20"/>
          <w:color w:val="auto"/>
        </w:rPr>
      </w:pPr>
      <w:r>
        <w:rPr>
          <w:rFonts w:ascii="Arial" w:cs="Arial" w:eastAsia="Arial" w:hAnsi="Arial"/>
          <w:sz w:val="16"/>
          <w:szCs w:val="16"/>
          <w:color w:val="auto"/>
        </w:rPr>
        <w:t>Secured borrowings – owed to securitization investors of $68,996 at March 31, 2010 consist of certificates that represent beneficial ownership interests in four securitization trusts that we include in our consolidated financial statements under the provisions of ASC 810, Consolidations, as more fully described in Note 1—Securitizations of Residential Mortgage Loans. The holders of these certificates have no recourse against the assets of Ocwen.</w:t>
      </w:r>
    </w:p>
    <w:p>
      <w:pPr>
        <w:spacing w:after="0" w:line="161" w:lineRule="exact"/>
        <w:rPr>
          <w:sz w:val="20"/>
          <w:szCs w:val="20"/>
          <w:color w:val="auto"/>
        </w:rPr>
      </w:pPr>
    </w:p>
    <w:p>
      <w:pPr>
        <w:jc w:val="both"/>
        <w:ind w:firstLine="644"/>
        <w:spacing w:after="0" w:line="306" w:lineRule="auto"/>
        <w:rPr>
          <w:sz w:val="20"/>
          <w:szCs w:val="20"/>
          <w:color w:val="auto"/>
        </w:rPr>
      </w:pPr>
      <w:r>
        <w:rPr>
          <w:rFonts w:ascii="Arial" w:cs="Arial" w:eastAsia="Arial" w:hAnsi="Arial"/>
          <w:sz w:val="16"/>
          <w:szCs w:val="16"/>
          <w:color w:val="auto"/>
        </w:rPr>
        <w:t>As disclosed in Note 7, 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NOTE 13</w:t>
            </w:r>
          </w:p>
        </w:tc>
        <w:tc>
          <w:tcPr>
            <w:tcW w:w="5720" w:type="dxa"/>
            <w:vAlign w:val="bottom"/>
            <w:gridSpan w:val="8"/>
          </w:tcPr>
          <w:p>
            <w:pPr>
              <w:ind w:left="100"/>
              <w:spacing w:after="0"/>
              <w:rPr>
                <w:sz w:val="20"/>
                <w:szCs w:val="20"/>
                <w:color w:val="auto"/>
              </w:rPr>
            </w:pPr>
            <w:r>
              <w:rPr>
                <w:rFonts w:ascii="Arial" w:cs="Arial" w:eastAsia="Arial" w:hAnsi="Arial"/>
                <w:sz w:val="18"/>
                <w:szCs w:val="18"/>
                <w:b w:val="1"/>
                <w:bCs w:val="1"/>
                <w:color w:val="auto"/>
              </w:rPr>
              <w:t>LINES OF CREDIT AND OTHER SECURED BORROWINGS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gridSpan w:val="10"/>
          </w:tcPr>
          <w:p>
            <w:pPr>
              <w:ind w:left="420"/>
              <w:spacing w:after="0"/>
              <w:rPr>
                <w:sz w:val="20"/>
                <w:szCs w:val="20"/>
                <w:color w:val="auto"/>
              </w:rPr>
            </w:pPr>
            <w:r>
              <w:rPr>
                <w:rFonts w:ascii="Arial" w:cs="Arial" w:eastAsia="Arial" w:hAnsi="Arial"/>
                <w:sz w:val="18"/>
                <w:szCs w:val="18"/>
                <w:color w:val="auto"/>
                <w:w w:val="96"/>
              </w:rPr>
              <w:t>Secured lines of credit from various unaffiliated financial institutions are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Unused</w:t>
            </w:r>
          </w:p>
        </w:tc>
        <w:tc>
          <w:tcPr>
            <w:tcW w:w="340" w:type="dxa"/>
            <w:vAlign w:val="bottom"/>
          </w:tcPr>
          <w:p>
            <w:pPr>
              <w:spacing w:after="0"/>
              <w:rPr>
                <w:sz w:val="24"/>
                <w:szCs w:val="24"/>
                <w:color w:val="auto"/>
              </w:rPr>
            </w:pPr>
          </w:p>
        </w:tc>
        <w:tc>
          <w:tcPr>
            <w:tcW w:w="19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87"/>
              </w:rPr>
              <w:t>Balance Outstanding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Borrowing</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gridSpan w:val="4"/>
          </w:tcPr>
          <w:p>
            <w:pPr>
              <w:ind w:left="520"/>
              <w:spacing w:after="0"/>
              <w:rPr>
                <w:sz w:val="20"/>
                <w:szCs w:val="20"/>
                <w:color w:val="auto"/>
              </w:rPr>
            </w:pPr>
            <w:r>
              <w:rPr>
                <w:rFonts w:ascii="Arial" w:cs="Arial" w:eastAsia="Arial" w:hAnsi="Arial"/>
                <w:sz w:val="18"/>
                <w:szCs w:val="18"/>
                <w:b w:val="1"/>
                <w:bCs w:val="1"/>
                <w:color w:val="auto"/>
              </w:rPr>
              <w:t>Borrowings</w:t>
            </w:r>
          </w:p>
        </w:tc>
        <w:tc>
          <w:tcPr>
            <w:tcW w:w="220" w:type="dxa"/>
            <w:vAlign w:val="bottom"/>
          </w:tcPr>
          <w:p>
            <w:pPr>
              <w:spacing w:after="0"/>
              <w:rPr>
                <w:sz w:val="19"/>
                <w:szCs w:val="19"/>
                <w:color w:val="auto"/>
              </w:rPr>
            </w:pPr>
          </w:p>
        </w:tc>
        <w:tc>
          <w:tcPr>
            <w:tcW w:w="1380" w:type="dxa"/>
            <w:vAlign w:val="bottom"/>
          </w:tcPr>
          <w:p>
            <w:pPr>
              <w:ind w:left="32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Interest Rate</w:t>
            </w:r>
          </w:p>
        </w:tc>
        <w:tc>
          <w:tcPr>
            <w:tcW w:w="240" w:type="dxa"/>
            <w:vAlign w:val="bottom"/>
          </w:tcPr>
          <w:p>
            <w:pPr>
              <w:spacing w:after="0"/>
              <w:rPr>
                <w:sz w:val="19"/>
                <w:szCs w:val="19"/>
                <w:color w:val="auto"/>
              </w:rPr>
            </w:pPr>
          </w:p>
        </w:tc>
        <w:tc>
          <w:tcPr>
            <w:tcW w:w="1380" w:type="dxa"/>
            <w:vAlign w:val="bottom"/>
          </w:tcPr>
          <w:p>
            <w:pPr>
              <w:ind w:left="3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Capacity</w:t>
            </w:r>
          </w:p>
        </w:tc>
        <w:tc>
          <w:tcPr>
            <w:tcW w:w="28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March 31, 2010   December 31,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8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gridSpan w:val="2"/>
            <w:shd w:val="clear" w:color="auto" w:fill="EAF9E8"/>
          </w:tcPr>
          <w:p>
            <w:pPr>
              <w:spacing w:after="0" w:line="176" w:lineRule="exact"/>
              <w:rPr>
                <w:sz w:val="20"/>
                <w:szCs w:val="20"/>
                <w:color w:val="auto"/>
              </w:rPr>
            </w:pPr>
            <w:r>
              <w:rPr>
                <w:rFonts w:ascii="Arial" w:cs="Arial" w:eastAsia="Arial" w:hAnsi="Arial"/>
                <w:sz w:val="18"/>
                <w:szCs w:val="18"/>
                <w:color w:val="auto"/>
              </w:rPr>
              <w:t>Servicing:</w:t>
            </w:r>
          </w:p>
        </w:tc>
        <w:tc>
          <w:tcPr>
            <w:tcW w:w="8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8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Fee reimbursement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3"/>
          </w:tcPr>
          <w:p>
            <w:pPr>
              <w:spacing w:after="0"/>
              <w:rPr>
                <w:sz w:val="20"/>
                <w:szCs w:val="20"/>
                <w:color w:val="auto"/>
              </w:rPr>
            </w:pPr>
            <w:r>
              <w:rPr>
                <w:rFonts w:ascii="Arial" w:cs="Arial" w:eastAsia="Arial" w:hAnsi="Arial"/>
                <w:sz w:val="18"/>
                <w:szCs w:val="18"/>
                <w:color w:val="auto"/>
              </w:rPr>
              <w:t>advance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Term note (1)</w:t>
            </w:r>
          </w:p>
        </w:tc>
        <w:tc>
          <w:tcPr>
            <w:tcW w:w="2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Zero coupon</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March 2014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48,000</w:t>
            </w:r>
          </w:p>
        </w:tc>
        <w:tc>
          <w:tcPr>
            <w:tcW w:w="960" w:type="dxa"/>
            <w:vAlign w:val="bottom"/>
            <w:gridSpan w:val="2"/>
          </w:tcPr>
          <w:p>
            <w:pPr>
              <w:jc w:val="center"/>
              <w:ind w:right="63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w w:val="96"/>
              </w:rPr>
              <w:t>1-Month LIBOR +</w:t>
            </w: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3"/>
              </w:rPr>
              <w:t>Term note (2)</w:t>
            </w:r>
          </w:p>
        </w:tc>
        <w:tc>
          <w:tcPr>
            <w:tcW w:w="8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Advances</w:t>
            </w: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350 basis points</w:t>
            </w:r>
          </w:p>
        </w:tc>
        <w:tc>
          <w:tcPr>
            <w:tcW w:w="162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March 2014</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w w:val="89"/>
              </w:rPr>
              <w:t>Corporate Items and Other</w:t>
            </w:r>
          </w:p>
        </w:tc>
        <w:tc>
          <w:tcPr>
            <w:tcW w:w="2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Securities sold with an</w:t>
            </w:r>
          </w:p>
        </w:tc>
        <w:tc>
          <w:tcPr>
            <w:tcW w:w="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38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Auction rate</w:t>
            </w:r>
          </w:p>
        </w:tc>
        <w:tc>
          <w:tcPr>
            <w:tcW w:w="220" w:type="dxa"/>
            <w:vAlign w:val="bottom"/>
            <w:tcBorders>
              <w:top w:val="single" w:sz="8" w:color="EAF9E8"/>
            </w:tcBorders>
          </w:tcPr>
          <w:p>
            <w:pPr>
              <w:spacing w:after="0"/>
              <w:rPr>
                <w:sz w:val="18"/>
                <w:szCs w:val="18"/>
                <w:color w:val="auto"/>
              </w:rPr>
            </w:pPr>
          </w:p>
        </w:tc>
        <w:tc>
          <w:tcPr>
            <w:tcW w:w="13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3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8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880" w:type="dxa"/>
            <w:vAlign w:val="bottom"/>
            <w:tcBorders>
              <w:top w:val="single" w:sz="8" w:color="EAF9E8"/>
            </w:tcBorders>
          </w:tcPr>
          <w:p>
            <w:pPr>
              <w:spacing w:after="0"/>
              <w:rPr>
                <w:sz w:val="18"/>
                <w:szCs w:val="18"/>
                <w:color w:val="auto"/>
              </w:rPr>
            </w:pPr>
          </w:p>
        </w:tc>
        <w:tc>
          <w:tcPr>
            <w:tcW w:w="60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5"/>
          </w:tcPr>
          <w:p>
            <w:pPr>
              <w:spacing w:after="0"/>
              <w:rPr>
                <w:sz w:val="20"/>
                <w:szCs w:val="20"/>
                <w:color w:val="auto"/>
              </w:rPr>
            </w:pPr>
            <w:r>
              <w:rPr>
                <w:rFonts w:ascii="Arial" w:cs="Arial" w:eastAsia="Arial" w:hAnsi="Arial"/>
                <w:sz w:val="18"/>
                <w:szCs w:val="18"/>
                <w:color w:val="auto"/>
              </w:rPr>
              <w:t>option to repurchase (3)</w:t>
            </w:r>
          </w:p>
        </w:tc>
        <w:tc>
          <w:tcPr>
            <w:tcW w:w="2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securities</w:t>
            </w:r>
          </w:p>
        </w:tc>
        <w:tc>
          <w:tcPr>
            <w:tcW w:w="1600" w:type="dxa"/>
            <w:vAlign w:val="bottom"/>
            <w:gridSpan w:val="2"/>
          </w:tcPr>
          <w:p>
            <w:pPr>
              <w:jc w:val="right"/>
              <w:ind w:right="492"/>
              <w:spacing w:after="0"/>
              <w:rPr>
                <w:sz w:val="20"/>
                <w:szCs w:val="20"/>
                <w:color w:val="auto"/>
              </w:rPr>
            </w:pPr>
            <w:r>
              <w:rPr>
                <w:rFonts w:ascii="Arial" w:cs="Arial" w:eastAsia="Arial" w:hAnsi="Arial"/>
                <w:sz w:val="18"/>
                <w:szCs w:val="18"/>
                <w:color w:val="auto"/>
              </w:rPr>
              <w:t>(3)</w:t>
            </w: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October 2012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74,953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8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Discount (1)</w:t>
            </w:r>
          </w:p>
        </w:tc>
        <w:tc>
          <w:tcPr>
            <w:tcW w:w="8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(10,044)</w:t>
            </w:r>
          </w:p>
        </w:tc>
        <w:tc>
          <w:tcPr>
            <w:tcW w:w="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5"/>
              </w:rPr>
              <w:t>(11,190)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center"/>
              <w:ind w:right="71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advance is secured by the pledge to the lender of our interest in a $60,000 term note issued by OSAF on March 31, 2009. The OSAF note, in turn, is secured by advances on loans serviced for others,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to compute the discount that we are amortizing to interest expense over the five-year term of the advance.</w:t>
      </w:r>
    </w:p>
    <w:p>
      <w:pPr>
        <w:spacing w:after="0" w:line="13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note was issued by OSAF and is secured by advances on loans serviced for others, similar to match funded advances and liabilities. The lender has pledged its interest in this note to us as collateral against the $7,000 term note receivable.</w:t>
      </w:r>
    </w:p>
    <w:p>
      <w:pPr>
        <w:spacing w:after="0" w:line="118" w:lineRule="exact"/>
        <w:rPr>
          <w:rFonts w:ascii="Arial" w:cs="Arial" w:eastAsia="Arial" w:hAnsi="Arial"/>
          <w:sz w:val="18"/>
          <w:szCs w:val="18"/>
          <w:color w:val="auto"/>
        </w:rPr>
      </w:pPr>
    </w:p>
    <w:p>
      <w:pPr>
        <w:jc w:val="both"/>
        <w:ind w:left="580" w:hanging="572"/>
        <w:spacing w:after="0" w:line="25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October 2009, we entered into a liquidity option related to$92,850 face amount of auction rate securities. Under the terms of this agreement, we have the right to sell specific securities for cash. We also have the right to repurchase the same following the initial sale at the same price. On February 11, 2010, we exercised a portion of our option to sell auction rate securities with a par value of $88,150. We recognized the sale as a secured borrowing because of our ability to repurchase the same securities until the maturity of the liquidity option. We no longer receive cash interest income on the pledged securities nor do we pay cash interest on the secured borrowing. We continue to retain a liquidity option in respect of $3,200 par value of auction rate securities.</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INVESTMENT LINE</w:t>
      </w:r>
    </w:p>
    <w:p>
      <w:pPr>
        <w:spacing w:after="0" w:line="231" w:lineRule="exact"/>
        <w:rPr>
          <w:sz w:val="20"/>
          <w:szCs w:val="20"/>
          <w:color w:val="auto"/>
        </w:rPr>
      </w:pPr>
    </w:p>
    <w:p>
      <w:pPr>
        <w:jc w:val="both"/>
        <w:ind w:firstLine="525"/>
        <w:spacing w:after="0" w:line="289" w:lineRule="auto"/>
        <w:rPr>
          <w:sz w:val="20"/>
          <w:szCs w:val="20"/>
          <w:color w:val="auto"/>
        </w:rPr>
      </w:pPr>
      <w:r>
        <w:rPr>
          <w:rFonts w:ascii="Arial" w:cs="Arial" w:eastAsia="Arial" w:hAnsi="Arial"/>
          <w:sz w:val="16"/>
          <w:szCs w:val="16"/>
          <w:color w:val="auto"/>
        </w:rPr>
        <w:t>The investment line term note was secured by our investment in auction rate securities. Under the term note, we received the interest on the auction rate securities while the proceeds from the redemption or sale of auction rate securities were applied to the outstanding balance. On April 30, 2009, we negotiated a one-year extension of the term note maturity to June 30, 2010. Proceeds from the settlement of a litigation action related to auction rate securities on January 21, 2010 were used to pay down the investment line. Proceeds from the sale of auction rate securities on February 10, 2010 were also used to pay down the investment line. On February 11, 2010, we exercised a portion of our option to sell auction rate securities with a par value of $88,150 and used the proceeds from this exercise and an additional $3,664 cash to repay the remaining outstanding balance of the investment line on February 17, 2010. As of December 31, 2009, the outstanding balance of the investment line was $156,968. The remaining auction rate securities, excluding those subject to the secured borrowing incurred under the liquidity option, are no longer pledged as collateral.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DEBT SECURITIES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Debt securities consisted of the following at the dates indicated:</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9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312"/>
              <w:spacing w:after="0"/>
              <w:rPr>
                <w:sz w:val="20"/>
                <w:szCs w:val="20"/>
                <w:color w:val="auto"/>
              </w:rPr>
            </w:pPr>
            <w:r>
              <w:rPr>
                <w:rFonts w:ascii="Arial" w:cs="Arial" w:eastAsia="Arial" w:hAnsi="Arial"/>
                <w:sz w:val="18"/>
                <w:szCs w:val="18"/>
                <w:b w:val="1"/>
                <w:bCs w:val="1"/>
                <w:color w:val="auto"/>
              </w:rPr>
              <w:t>March 31, 2010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2009</w:t>
            </w:r>
          </w:p>
        </w:tc>
      </w:tr>
      <w:tr>
        <w:trPr>
          <w:trHeight w:val="245"/>
        </w:trPr>
        <w:tc>
          <w:tcPr>
            <w:tcW w:w="720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Contingent Convertible Unsecured Senior Notes due August 1, 2024</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100" w:type="dxa"/>
            <w:vAlign w:val="bottom"/>
            <w:shd w:val="clear" w:color="auto" w:fill="EAF9E8"/>
          </w:tcPr>
          <w:p>
            <w:pPr>
              <w:spacing w:after="0"/>
              <w:rPr>
                <w:sz w:val="18"/>
                <w:szCs w:val="18"/>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39,129</w:t>
            </w:r>
          </w:p>
        </w:tc>
      </w:tr>
      <w:tr>
        <w:trPr>
          <w:trHeight w:val="237"/>
        </w:trPr>
        <w:tc>
          <w:tcPr>
            <w:tcW w:w="9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r>
      <w:tr>
        <w:trPr>
          <w:trHeight w:val="210"/>
        </w:trPr>
        <w:tc>
          <w:tcPr>
            <w:tcW w:w="940" w:type="dxa"/>
            <w:vAlign w:val="bottom"/>
            <w:shd w:val="clear" w:color="auto" w:fill="EAF9E8"/>
          </w:tcPr>
          <w:p>
            <w:pPr>
              <w:spacing w:after="0"/>
              <w:rPr>
                <w:sz w:val="18"/>
                <w:szCs w:val="18"/>
                <w:color w:val="auto"/>
              </w:rPr>
            </w:pPr>
          </w:p>
        </w:tc>
        <w:tc>
          <w:tcPr>
            <w:tcW w:w="62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82,634</w:t>
            </w:r>
          </w:p>
        </w:tc>
        <w:tc>
          <w:tcPr>
            <w:tcW w:w="2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95,564</w:t>
            </w:r>
          </w:p>
        </w:tc>
        <w:tc>
          <w:tcPr>
            <w:tcW w:w="100" w:type="dxa"/>
            <w:vAlign w:val="bottom"/>
            <w:shd w:val="clear" w:color="auto" w:fill="EAF9E8"/>
          </w:tcPr>
          <w:p>
            <w:pPr>
              <w:spacing w:after="0"/>
              <w:rPr>
                <w:sz w:val="18"/>
                <w:szCs w:val="18"/>
                <w:color w:val="auto"/>
              </w:rPr>
            </w:pPr>
          </w:p>
        </w:tc>
      </w:tr>
      <w:tr>
        <w:trPr>
          <w:trHeight w:val="243"/>
        </w:trPr>
        <w:tc>
          <w:tcPr>
            <w:tcW w:w="9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49"/>
        <w:spacing w:after="0" w:line="332"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Ocwen issued $175,000 aggregate principal amount of 3.25% Convertible Notes due 2024. The Convertible Notes are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general unsecured obligations not guaranteed by any of our subsidiaries and bear interest at the rate of 3.25% per year.</w:t>
      </w:r>
    </w:p>
    <w:p>
      <w:pPr>
        <w:spacing w:after="0" w:line="139" w:lineRule="exact"/>
        <w:rPr>
          <w:sz w:val="20"/>
          <w:szCs w:val="20"/>
          <w:color w:val="auto"/>
        </w:rPr>
      </w:pPr>
    </w:p>
    <w:p>
      <w:pPr>
        <w:jc w:val="both"/>
        <w:ind w:firstLine="451"/>
        <w:spacing w:after="0" w:line="298" w:lineRule="auto"/>
        <w:rPr>
          <w:sz w:val="20"/>
          <w:szCs w:val="20"/>
          <w:color w:val="auto"/>
        </w:rPr>
      </w:pPr>
      <w:r>
        <w:rPr>
          <w:rFonts w:ascii="Arial" w:cs="Arial" w:eastAsia="Arial" w:hAnsi="Arial"/>
          <w:sz w:val="16"/>
          <w:szCs w:val="16"/>
          <w:color w:val="auto"/>
        </w:rPr>
        <w:t>Interest expense on the Convertible Notes for the three months ended March 31, 2009 respectively, includes amortization of debt discount of $754 and cash interest expense of $572 at the contractual rate. We amortized the debt discount over the period from the date of issuance to August 1, 2009, the first date at which holders could require us to repurchase their notes. We recognized interest on the debt at an effective annual rate of 8.25% from the date of issuance to August 1, 2009. Since August 1, 2009, the effective interest rate on the debt is the coupon rate of 3.25%.</w:t>
      </w:r>
    </w:p>
    <w:p>
      <w:pPr>
        <w:spacing w:after="0" w:line="167"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color w:val="auto"/>
        </w:rPr>
        <w:t>In February 2009, we repurchased $25,910 of our Convertible Notes in the open market at a price equal to 95% of the principal amount and recognized total gains of $534, net of the write-off of unamortized issuance costs and debt discount. We did not repurchase any of our Convertible Notes during the first quarter of 2010.</w:t>
      </w:r>
    </w:p>
    <w:p>
      <w:pPr>
        <w:spacing w:after="0" w:line="194"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pacing w:after="0" w:line="172"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March 31, 2010 and December 31, 2009, the if-converted value of the Convertible Notes was $51,427 and $44,378, respectively.</w:t>
      </w:r>
    </w:p>
    <w:p>
      <w:pPr>
        <w:spacing w:after="0" w:line="167" w:lineRule="exact"/>
        <w:rPr>
          <w:sz w:val="20"/>
          <w:szCs w:val="20"/>
          <w:color w:val="auto"/>
        </w:rPr>
      </w:pPr>
    </w:p>
    <w:p>
      <w:pPr>
        <w:jc w:val="both"/>
        <w:ind w:firstLine="591"/>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jc w:val="both"/>
        <w:ind w:firstLine="506"/>
        <w:spacing w:after="0" w:line="291" w:lineRule="auto"/>
        <w:rPr>
          <w:sz w:val="20"/>
          <w:szCs w:val="20"/>
          <w:color w:val="auto"/>
        </w:rPr>
      </w:pPr>
      <w:r>
        <w:rPr>
          <w:rFonts w:ascii="Arial" w:cs="Arial" w:eastAsia="Arial" w:hAnsi="Arial"/>
          <w:sz w:val="16"/>
          <w:szCs w:val="16"/>
          <w:i w:val="1"/>
          <w:iCs w:val="1"/>
          <w:color w:val="auto"/>
        </w:rPr>
        <w:t xml:space="preserve">Capital Trust Securities. </w:t>
      </w:r>
      <w:r>
        <w:rPr>
          <w:rFonts w:ascii="Arial" w:cs="Arial" w:eastAsia="Arial" w:hAnsi="Arial"/>
          <w:sz w:val="16"/>
          <w:szCs w:val="16"/>
          <w:color w:val="auto"/>
        </w:rPr>
        <w:t>In August 1997, Ocwen Capital Trust (OCT) issued $125,000 of 10.875% Capital Securities (the Capital Trust Securities). OCT</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the proceeds from issuance of the Capital Trust Securities in 10.875% Junior Subordinated Debentures issued by Ocwen.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79% of the Capital Trust Securities that were originally issued. We eliminate intercompany balances and transactions with OCT, including the balance of Junior Subordinated Debentures outstanding, in our consolidated financial statements.</w:t>
      </w:r>
    </w:p>
    <w:p>
      <w:pPr>
        <w:spacing w:after="0" w:line="174" w:lineRule="exact"/>
        <w:rPr>
          <w:sz w:val="20"/>
          <w:szCs w:val="20"/>
          <w:color w:val="auto"/>
        </w:rPr>
      </w:pPr>
    </w:p>
    <w:p>
      <w:pPr>
        <w:jc w:val="both"/>
        <w:ind w:right="20" w:firstLine="471"/>
        <w:spacing w:after="0" w:line="268" w:lineRule="auto"/>
        <w:rPr>
          <w:sz w:val="20"/>
          <w:szCs w:val="20"/>
          <w:color w:val="auto"/>
        </w:rPr>
      </w:pPr>
      <w:r>
        <w:rPr>
          <w:rFonts w:ascii="Arial" w:cs="Arial" w:eastAsia="Arial" w:hAnsi="Arial"/>
          <w:sz w:val="18"/>
          <w:szCs w:val="18"/>
          <w:color w:val="auto"/>
        </w:rPr>
        <w:t>In January 2010, we repurchased $12,930 of the Capital Securities and recognized a gain of $717 on these repurchases, net of the write-off of unamortized issuance costs.</w:t>
      </w:r>
    </w:p>
    <w:p>
      <w:pPr>
        <w:spacing w:after="0" w:line="186" w:lineRule="exact"/>
        <w:rPr>
          <w:sz w:val="20"/>
          <w:szCs w:val="20"/>
          <w:color w:val="auto"/>
        </w:rPr>
      </w:pPr>
    </w:p>
    <w:p>
      <w:pPr>
        <w:jc w:val="both"/>
        <w:ind w:firstLine="657"/>
        <w:spacing w:after="0" w:line="254"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Ocwen guarantees payment of distributions out of monies held by OCT and payments on liquidation of OCT or the redemption of Capital Trust Securities to the extent OCT has funds available. If Ocwen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4" w:name="page25"/>
    <w:bookmarkEnd w:id="24"/>
    <w:p>
      <w:pPr>
        <w:jc w:val="both"/>
        <w:ind w:right="20"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(an Extension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both"/>
        <w:ind w:right="20" w:firstLine="575"/>
        <w:spacing w:after="0" w:line="259"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958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w w:val="91"/>
              </w:rPr>
              <w:t>Percentages</w:t>
            </w:r>
          </w:p>
        </w:tc>
        <w:tc>
          <w:tcPr>
            <w:tcW w:w="120" w:type="dxa"/>
            <w:vAlign w:val="bottom"/>
          </w:tcPr>
          <w:p>
            <w:pPr>
              <w:spacing w:after="0"/>
              <w:rPr>
                <w:sz w:val="19"/>
                <w:szCs w:val="19"/>
                <w:color w:val="auto"/>
              </w:rPr>
            </w:pPr>
          </w:p>
        </w:tc>
      </w:tr>
      <w:tr>
        <w:trPr>
          <w:trHeight w:val="245"/>
        </w:trPr>
        <w:tc>
          <w:tcPr>
            <w:tcW w:w="95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9580" w:type="dxa"/>
            <w:vAlign w:val="bottom"/>
            <w:shd w:val="clear" w:color="auto" w:fill="EAF9E8"/>
          </w:tcPr>
          <w:p>
            <w:pPr>
              <w:spacing w:after="0"/>
              <w:rPr>
                <w:sz w:val="20"/>
                <w:szCs w:val="20"/>
                <w:color w:val="auto"/>
              </w:rPr>
            </w:pPr>
            <w:r>
              <w:rPr>
                <w:rFonts w:ascii="Arial" w:cs="Arial" w:eastAsia="Arial" w:hAnsi="Arial"/>
                <w:sz w:val="18"/>
                <w:szCs w:val="18"/>
                <w:color w:val="auto"/>
              </w:rPr>
              <w:t>2009</w:t>
            </w:r>
          </w:p>
        </w:tc>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6"/>
              </w:rPr>
              <w:t>104.350%</w:t>
            </w:r>
          </w:p>
        </w:tc>
        <w:tc>
          <w:tcPr>
            <w:tcW w:w="120" w:type="dxa"/>
            <w:vAlign w:val="bottom"/>
            <w:shd w:val="clear" w:color="auto" w:fill="EAF9E8"/>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2010</w:t>
            </w:r>
          </w:p>
        </w:tc>
        <w:tc>
          <w:tcPr>
            <w:tcW w:w="1120" w:type="dxa"/>
            <w:vAlign w:val="bottom"/>
          </w:tcPr>
          <w:p>
            <w:pPr>
              <w:ind w:left="320"/>
              <w:spacing w:after="0"/>
              <w:rPr>
                <w:sz w:val="20"/>
                <w:szCs w:val="20"/>
                <w:color w:val="auto"/>
              </w:rPr>
            </w:pPr>
            <w:r>
              <w:rPr>
                <w:rFonts w:ascii="Arial" w:cs="Arial" w:eastAsia="Arial" w:hAnsi="Arial"/>
                <w:sz w:val="18"/>
                <w:szCs w:val="18"/>
                <w:color w:val="auto"/>
              </w:rPr>
              <w:t>103.806</w:t>
            </w:r>
          </w:p>
        </w:tc>
        <w:tc>
          <w:tcPr>
            <w:tcW w:w="120" w:type="dxa"/>
            <w:vAlign w:val="bottom"/>
          </w:tcPr>
          <w:p>
            <w:pPr>
              <w:spacing w:after="0"/>
              <w:rPr>
                <w:sz w:val="18"/>
                <w:szCs w:val="18"/>
                <w:color w:val="auto"/>
              </w:rPr>
            </w:pPr>
          </w:p>
        </w:tc>
      </w:tr>
      <w:tr>
        <w:trPr>
          <w:trHeight w:val="216"/>
        </w:trPr>
        <w:tc>
          <w:tcPr>
            <w:tcW w:w="9580" w:type="dxa"/>
            <w:vAlign w:val="bottom"/>
            <w:shd w:val="clear" w:color="auto" w:fill="EAF9E8"/>
          </w:tcPr>
          <w:p>
            <w:pPr>
              <w:spacing w:after="0"/>
              <w:rPr>
                <w:sz w:val="20"/>
                <w:szCs w:val="20"/>
                <w:color w:val="auto"/>
              </w:rPr>
            </w:pPr>
            <w:r>
              <w:rPr>
                <w:rFonts w:ascii="Arial" w:cs="Arial" w:eastAsia="Arial" w:hAnsi="Arial"/>
                <w:sz w:val="18"/>
                <w:szCs w:val="18"/>
                <w:color w:val="auto"/>
              </w:rPr>
              <w:t>2011</w:t>
            </w:r>
          </w:p>
        </w:tc>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103.263</w:t>
            </w:r>
          </w:p>
        </w:tc>
        <w:tc>
          <w:tcPr>
            <w:tcW w:w="120" w:type="dxa"/>
            <w:vAlign w:val="bottom"/>
            <w:shd w:val="clear" w:color="auto" w:fill="EAF9E8"/>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2012</w:t>
            </w:r>
          </w:p>
        </w:tc>
        <w:tc>
          <w:tcPr>
            <w:tcW w:w="1120" w:type="dxa"/>
            <w:vAlign w:val="bottom"/>
          </w:tcPr>
          <w:p>
            <w:pPr>
              <w:ind w:left="320"/>
              <w:spacing w:after="0"/>
              <w:rPr>
                <w:sz w:val="20"/>
                <w:szCs w:val="20"/>
                <w:color w:val="auto"/>
              </w:rPr>
            </w:pPr>
            <w:r>
              <w:rPr>
                <w:rFonts w:ascii="Arial" w:cs="Arial" w:eastAsia="Arial" w:hAnsi="Arial"/>
                <w:sz w:val="18"/>
                <w:szCs w:val="18"/>
                <w:color w:val="auto"/>
              </w:rPr>
              <w:t>102.719</w:t>
            </w:r>
          </w:p>
        </w:tc>
        <w:tc>
          <w:tcPr>
            <w:tcW w:w="120" w:type="dxa"/>
            <w:vAlign w:val="bottom"/>
          </w:tcPr>
          <w:p>
            <w:pPr>
              <w:spacing w:after="0"/>
              <w:rPr>
                <w:sz w:val="18"/>
                <w:szCs w:val="18"/>
                <w:color w:val="auto"/>
              </w:rPr>
            </w:pPr>
          </w:p>
        </w:tc>
      </w:tr>
      <w:tr>
        <w:trPr>
          <w:trHeight w:val="216"/>
        </w:trPr>
        <w:tc>
          <w:tcPr>
            <w:tcW w:w="9580" w:type="dxa"/>
            <w:vAlign w:val="bottom"/>
            <w:shd w:val="clear" w:color="auto" w:fill="EAF9E8"/>
          </w:tcPr>
          <w:p>
            <w:pPr>
              <w:spacing w:after="0"/>
              <w:rPr>
                <w:sz w:val="20"/>
                <w:szCs w:val="20"/>
                <w:color w:val="auto"/>
              </w:rPr>
            </w:pPr>
            <w:r>
              <w:rPr>
                <w:rFonts w:ascii="Arial" w:cs="Arial" w:eastAsia="Arial" w:hAnsi="Arial"/>
                <w:sz w:val="18"/>
                <w:szCs w:val="18"/>
                <w:color w:val="auto"/>
              </w:rPr>
              <w:t>2013</w:t>
            </w:r>
          </w:p>
        </w:tc>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102.175</w:t>
            </w:r>
          </w:p>
        </w:tc>
        <w:tc>
          <w:tcPr>
            <w:tcW w:w="120" w:type="dxa"/>
            <w:vAlign w:val="bottom"/>
            <w:shd w:val="clear" w:color="auto" w:fill="EAF9E8"/>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2014</w:t>
            </w:r>
          </w:p>
        </w:tc>
        <w:tc>
          <w:tcPr>
            <w:tcW w:w="1120" w:type="dxa"/>
            <w:vAlign w:val="bottom"/>
          </w:tcPr>
          <w:p>
            <w:pPr>
              <w:ind w:left="320"/>
              <w:spacing w:after="0"/>
              <w:rPr>
                <w:sz w:val="20"/>
                <w:szCs w:val="20"/>
                <w:color w:val="auto"/>
              </w:rPr>
            </w:pPr>
            <w:r>
              <w:rPr>
                <w:rFonts w:ascii="Arial" w:cs="Arial" w:eastAsia="Arial" w:hAnsi="Arial"/>
                <w:sz w:val="18"/>
                <w:szCs w:val="18"/>
                <w:color w:val="auto"/>
              </w:rPr>
              <w:t>101.631</w:t>
            </w:r>
          </w:p>
        </w:tc>
        <w:tc>
          <w:tcPr>
            <w:tcW w:w="120" w:type="dxa"/>
            <w:vAlign w:val="bottom"/>
          </w:tcPr>
          <w:p>
            <w:pPr>
              <w:spacing w:after="0"/>
              <w:rPr>
                <w:sz w:val="18"/>
                <w:szCs w:val="18"/>
                <w:color w:val="auto"/>
              </w:rPr>
            </w:pPr>
          </w:p>
        </w:tc>
      </w:tr>
      <w:tr>
        <w:trPr>
          <w:trHeight w:val="216"/>
        </w:trPr>
        <w:tc>
          <w:tcPr>
            <w:tcW w:w="9580" w:type="dxa"/>
            <w:vAlign w:val="bottom"/>
            <w:shd w:val="clear" w:color="auto" w:fill="EAF9E8"/>
          </w:tcPr>
          <w:p>
            <w:pPr>
              <w:spacing w:after="0"/>
              <w:rPr>
                <w:sz w:val="20"/>
                <w:szCs w:val="20"/>
                <w:color w:val="auto"/>
              </w:rPr>
            </w:pPr>
            <w:r>
              <w:rPr>
                <w:rFonts w:ascii="Arial" w:cs="Arial" w:eastAsia="Arial" w:hAnsi="Arial"/>
                <w:sz w:val="18"/>
                <w:szCs w:val="18"/>
                <w:color w:val="auto"/>
              </w:rPr>
              <w:t>2015</w:t>
            </w:r>
          </w:p>
        </w:tc>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101.088</w:t>
            </w:r>
          </w:p>
        </w:tc>
        <w:tc>
          <w:tcPr>
            <w:tcW w:w="120" w:type="dxa"/>
            <w:vAlign w:val="bottom"/>
            <w:shd w:val="clear" w:color="auto" w:fill="EAF9E8"/>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2016</w:t>
            </w:r>
          </w:p>
        </w:tc>
        <w:tc>
          <w:tcPr>
            <w:tcW w:w="1120" w:type="dxa"/>
            <w:vAlign w:val="bottom"/>
          </w:tcPr>
          <w:p>
            <w:pPr>
              <w:ind w:left="320"/>
              <w:spacing w:after="0"/>
              <w:rPr>
                <w:sz w:val="20"/>
                <w:szCs w:val="20"/>
                <w:color w:val="auto"/>
              </w:rPr>
            </w:pPr>
            <w:r>
              <w:rPr>
                <w:rFonts w:ascii="Arial" w:cs="Arial" w:eastAsia="Arial" w:hAnsi="Arial"/>
                <w:sz w:val="18"/>
                <w:szCs w:val="18"/>
                <w:color w:val="auto"/>
              </w:rPr>
              <w:t>100.544</w:t>
            </w:r>
          </w:p>
        </w:tc>
        <w:tc>
          <w:tcPr>
            <w:tcW w:w="120" w:type="dxa"/>
            <w:vAlign w:val="bottom"/>
          </w:tcPr>
          <w:p>
            <w:pPr>
              <w:spacing w:after="0"/>
              <w:rPr>
                <w:sz w:val="18"/>
                <w:szCs w:val="18"/>
                <w:color w:val="auto"/>
              </w:rPr>
            </w:pPr>
          </w:p>
        </w:tc>
      </w:tr>
      <w:tr>
        <w:trPr>
          <w:trHeight w:val="216"/>
        </w:trPr>
        <w:tc>
          <w:tcPr>
            <w:tcW w:w="9580" w:type="dxa"/>
            <w:vAlign w:val="bottom"/>
            <w:shd w:val="clear" w:color="auto" w:fill="EAF9E8"/>
          </w:tcPr>
          <w:p>
            <w:pPr>
              <w:spacing w:after="0"/>
              <w:rPr>
                <w:sz w:val="20"/>
                <w:szCs w:val="20"/>
                <w:color w:val="auto"/>
              </w:rPr>
            </w:pPr>
            <w:r>
              <w:rPr>
                <w:rFonts w:ascii="Arial" w:cs="Arial" w:eastAsia="Arial" w:hAnsi="Arial"/>
                <w:sz w:val="18"/>
                <w:szCs w:val="18"/>
                <w:color w:val="auto"/>
              </w:rPr>
              <w:t>2017 to maturity</w:t>
            </w:r>
          </w:p>
        </w:tc>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EAF9E8"/>
          </w:tcPr>
          <w:p>
            <w:pPr>
              <w:spacing w:after="0"/>
              <w:rPr>
                <w:sz w:val="18"/>
                <w:szCs w:val="18"/>
                <w:color w:val="auto"/>
              </w:rPr>
            </w:pPr>
          </w:p>
        </w:tc>
      </w:tr>
    </w:tbl>
    <w:p>
      <w:pPr>
        <w:spacing w:after="0" w:line="208" w:lineRule="exact"/>
        <w:rPr>
          <w:sz w:val="20"/>
          <w:szCs w:val="20"/>
          <w:color w:val="auto"/>
        </w:rPr>
      </w:pPr>
    </w:p>
    <w:p>
      <w:pPr>
        <w:jc w:val="both"/>
        <w:ind w:right="20" w:firstLine="583"/>
        <w:spacing w:after="0" w:line="323" w:lineRule="auto"/>
        <w:rPr>
          <w:sz w:val="20"/>
          <w:szCs w:val="20"/>
          <w:color w:val="auto"/>
        </w:rPr>
      </w:pPr>
      <w:r>
        <w:rPr>
          <w:rFonts w:ascii="Arial" w:cs="Arial" w:eastAsia="Arial" w:hAnsi="Arial"/>
          <w:sz w:val="15"/>
          <w:szCs w:val="15"/>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OTHER LIABILITIES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Other liabilities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292"/>
              <w:spacing w:after="0"/>
              <w:rPr>
                <w:sz w:val="20"/>
                <w:szCs w:val="20"/>
                <w:color w:val="auto"/>
              </w:rPr>
            </w:pPr>
            <w:r>
              <w:rPr>
                <w:rFonts w:ascii="Arial" w:cs="Arial" w:eastAsia="Arial" w:hAnsi="Arial"/>
                <w:sz w:val="18"/>
                <w:szCs w:val="18"/>
                <w:b w:val="1"/>
                <w:bCs w:val="1"/>
                <w:color w:val="auto"/>
              </w:rPr>
              <w:t>March 31, 2010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346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3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15,160</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15,326</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Accrued expenses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3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12,941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Deferred income</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12,781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liability</w:t>
            </w:r>
          </w:p>
        </w:tc>
        <w:tc>
          <w:tcPr>
            <w:tcW w:w="3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Payable to Altisource</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3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46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EAF9E8"/>
          </w:tcPr>
          <w:p>
            <w:pPr>
              <w:spacing w:after="0"/>
              <w:rPr>
                <w:sz w:val="18"/>
                <w:szCs w:val="18"/>
                <w:color w:val="auto"/>
              </w:rPr>
            </w:pPr>
          </w:p>
        </w:tc>
        <w:tc>
          <w:tcPr>
            <w:tcW w:w="3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76,737</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3220" w:type="dxa"/>
            <w:vAlign w:val="bottom"/>
            <w:vMerge w:val="restart"/>
          </w:tcPr>
          <w:p>
            <w:pPr>
              <w:jc w:val="right"/>
              <w:ind w:right="1212"/>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94"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In our Servicing segment, we have entered into interest rate caps to hedge our exposure to rising interest rates. In connection with our issuance of a match funded variable funding note in December 2007 with a variable rate of interest and a $250,000 maximum borrowing capacity, we entered into interest rate caps with a notional amount of $250,000. We designated this cap as a cash flow hedge but de-designated it as of March 31, 2008 because of ineffectiveness. In connection with our renewal of a match funded variable funding note in February 2008 that carries a variable interest rate and a maximum borrowing capacity of $100,000, we entered into an interest rate cap with an original notional amount of $200,000. This cap began amortizing at the rate of $8,333 per month in February 2009. The notional balance at March 31, 2010 is $83,333. We did not designate this cap as a hedge.</w:t>
      </w:r>
    </w:p>
    <w:p>
      <w:pPr>
        <w:spacing w:after="0" w:line="174" w:lineRule="exact"/>
        <w:rPr>
          <w:sz w:val="20"/>
          <w:szCs w:val="20"/>
          <w:color w:val="auto"/>
        </w:rPr>
      </w:pPr>
    </w:p>
    <w:p>
      <w:pPr>
        <w:jc w:val="both"/>
        <w:ind w:firstLine="475"/>
        <w:spacing w:after="0" w:line="256" w:lineRule="auto"/>
        <w:rPr>
          <w:sz w:val="20"/>
          <w:szCs w:val="20"/>
          <w:color w:val="auto"/>
        </w:rPr>
      </w:pPr>
      <w:r>
        <w:rPr>
          <w:rFonts w:ascii="Arial" w:cs="Arial" w:eastAsia="Arial" w:hAnsi="Arial"/>
          <w:sz w:val="18"/>
          <w:szCs w:val="18"/>
          <w:color w:val="auto"/>
        </w:rPr>
        <w:t>Effective January 1, 2010 we include certain securitization trusts in our consolidated financial statements under the provisions of ASC 810, Consolidation, as more fully described in Note 1—Securitizations of Residential Mortgage Loans. As a result, we report in our Loans and Residuals segment the fair value of an interest rate swap that is held by one of the securitization trusts. Under the terms of the swap, the trust pays a fixed rate of 4.935% and receives a variable rate equal to 1-Month LIBOR.</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use of derivatives during the three months ended March 31, 2010: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4"/>
              </w:rPr>
              <w:t>Interest Rate Caps</w:t>
            </w:r>
          </w:p>
        </w:tc>
        <w:tc>
          <w:tcPr>
            <w:tcW w:w="200" w:type="dxa"/>
            <w:vAlign w:val="bottom"/>
          </w:tcPr>
          <w:p>
            <w:pPr>
              <w:spacing w:after="0"/>
              <w:rPr>
                <w:sz w:val="19"/>
                <w:szCs w:val="19"/>
                <w:color w:val="auto"/>
              </w:rPr>
            </w:pPr>
          </w:p>
        </w:tc>
        <w:tc>
          <w:tcPr>
            <w:tcW w:w="2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Interest Rate Swap</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2009</w:t>
            </w:r>
          </w:p>
        </w:tc>
        <w:tc>
          <w:tcPr>
            <w:tcW w:w="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91"/>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358,333</w:t>
            </w: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Additions (1)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Maturities</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Notional balance at March 31, 2010</w:t>
            </w:r>
          </w:p>
        </w:tc>
        <w:tc>
          <w:tcPr>
            <w:tcW w:w="22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333,333</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AF9E8"/>
          </w:tcPr>
          <w:p>
            <w:pPr>
              <w:spacing w:after="0"/>
              <w:rPr>
                <w:sz w:val="20"/>
                <w:szCs w:val="20"/>
                <w:color w:val="auto"/>
              </w:rPr>
            </w:pPr>
            <w:r>
              <w:rPr>
                <w:rFonts w:ascii="Arial" w:cs="Arial" w:eastAsia="Arial" w:hAnsi="Arial"/>
                <w:sz w:val="18"/>
                <w:szCs w:val="18"/>
                <w:color w:val="auto"/>
              </w:rPr>
              <w:t>Fair value:</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March 31, 2010</w:t>
            </w:r>
          </w:p>
        </w:tc>
        <w:tc>
          <w:tcPr>
            <w:tcW w:w="220" w:type="dxa"/>
            <w:vAlign w:val="bottom"/>
            <w:gridSpan w:val="2"/>
          </w:tcPr>
          <w:p>
            <w:pPr>
              <w:jc w:val="right"/>
              <w:ind w:right="91"/>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EAF9E8"/>
          </w:tcPr>
          <w:p>
            <w:pPr>
              <w:ind w:left="140"/>
              <w:spacing w:after="0" w:line="196" w:lineRule="exact"/>
              <w:rPr>
                <w:sz w:val="20"/>
                <w:szCs w:val="20"/>
                <w:color w:val="auto"/>
              </w:rPr>
            </w:pPr>
            <w:r>
              <w:rPr>
                <w:rFonts w:ascii="Arial" w:cs="Arial" w:eastAsia="Arial" w:hAnsi="Arial"/>
                <w:sz w:val="18"/>
                <w:szCs w:val="18"/>
                <w:color w:val="auto"/>
              </w:rPr>
              <w:t>December 31, 2009 (1)</w:t>
            </w:r>
          </w:p>
        </w:tc>
        <w:tc>
          <w:tcPr>
            <w:tcW w:w="20" w:type="dxa"/>
            <w:vAlign w:val="bottom"/>
            <w:shd w:val="clear" w:color="auto" w:fill="EAF9E8"/>
          </w:tcPr>
          <w:p>
            <w:pPr>
              <w:spacing w:after="0"/>
              <w:rPr>
                <w:sz w:val="17"/>
                <w:szCs w:val="17"/>
                <w:color w:val="auto"/>
              </w:rPr>
            </w:pPr>
          </w:p>
        </w:tc>
        <w:tc>
          <w:tcPr>
            <w:tcW w:w="200" w:type="dxa"/>
            <w:vAlign w:val="bottom"/>
            <w:tcBorders>
              <w:top w:val="single" w:sz="8" w:color="auto"/>
            </w:tcBorders>
            <w:shd w:val="clear" w:color="auto" w:fill="EAF9E8"/>
          </w:tcPr>
          <w:p>
            <w:pPr>
              <w:jc w:val="right"/>
              <w:ind w:right="91"/>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781</w:t>
            </w:r>
          </w:p>
        </w:tc>
        <w:tc>
          <w:tcPr>
            <w:tcW w:w="320" w:type="dxa"/>
            <w:vAlign w:val="bottom"/>
            <w:shd w:val="clear" w:color="auto" w:fill="EAF9E8"/>
          </w:tcPr>
          <w:p>
            <w:pPr>
              <w:spacing w:after="0"/>
              <w:rPr>
                <w:sz w:val="17"/>
                <w:szCs w:val="17"/>
                <w:color w:val="auto"/>
              </w:rPr>
            </w:pPr>
          </w:p>
        </w:tc>
        <w:tc>
          <w:tcPr>
            <w:tcW w:w="200" w:type="dxa"/>
            <w:vAlign w:val="bottom"/>
            <w:tcBorders>
              <w:top w:val="single" w:sz="8" w:color="auto"/>
            </w:tcBorders>
            <w:shd w:val="clear" w:color="auto" w:fill="EAF9E8"/>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2"/>
          </w:tcPr>
          <w:p>
            <w:pPr>
              <w:jc w:val="right"/>
              <w:ind w:right="560"/>
              <w:spacing w:after="0"/>
              <w:rPr>
                <w:sz w:val="20"/>
                <w:szCs w:val="20"/>
                <w:color w:val="auto"/>
              </w:rPr>
            </w:pPr>
            <w:r>
              <w:rPr>
                <w:rFonts w:ascii="Arial" w:cs="Arial" w:eastAsia="Arial" w:hAnsi="Arial"/>
                <w:sz w:val="18"/>
                <w:szCs w:val="18"/>
                <w:color w:val="auto"/>
              </w:rPr>
              <w:t>January 2011 and</w:t>
            </w:r>
          </w:p>
        </w:tc>
        <w:tc>
          <w:tcPr>
            <w:tcW w:w="200" w:type="dxa"/>
            <w:vAlign w:val="bottom"/>
          </w:tcPr>
          <w:p>
            <w:pPr>
              <w:spacing w:after="0"/>
              <w:rPr>
                <w:sz w:val="24"/>
                <w:szCs w:val="24"/>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April 2010 to November</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December 2013</w:t>
            </w:r>
          </w:p>
        </w:tc>
        <w:tc>
          <w:tcPr>
            <w:tcW w:w="200" w:type="dxa"/>
            <w:vAlign w:val="bottom"/>
          </w:tcPr>
          <w:p>
            <w:pPr>
              <w:spacing w:after="0"/>
              <w:rPr>
                <w:sz w:val="19"/>
                <w:szCs w:val="19"/>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600" w:hanging="592"/>
        <w:spacing w:after="0" w:line="259"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including four securitization trusts in our consolidated financial statements under the provisions of ASC 810, Consolidations, as more fully described in Note 1—Securitizations of Residential Mortgage Loans, we recognized opening balance adjustments as of January 1, 2010 that included the $(826) fair value of the interest swap held by one of the trusts.</w:t>
      </w:r>
    </w:p>
    <w:p>
      <w:pPr>
        <w:spacing w:after="0" w:line="194" w:lineRule="exact"/>
        <w:rPr>
          <w:sz w:val="20"/>
          <w:szCs w:val="20"/>
          <w:color w:val="auto"/>
        </w:rPr>
      </w:pPr>
    </w:p>
    <w:p>
      <w:pPr>
        <w:ind w:firstLine="477"/>
        <w:spacing w:after="0" w:line="268" w:lineRule="auto"/>
        <w:rPr>
          <w:sz w:val="20"/>
          <w:szCs w:val="20"/>
          <w:color w:val="auto"/>
        </w:rPr>
      </w:pPr>
      <w:r>
        <w:rPr>
          <w:rFonts w:ascii="Arial" w:cs="Arial" w:eastAsia="Arial" w:hAnsi="Arial"/>
          <w:sz w:val="18"/>
          <w:szCs w:val="18"/>
          <w:color w:val="auto"/>
        </w:rPr>
        <w:t>Net realized and unrealized gains (losses) included in Other income (expense), net related to derivative financial instruments were $(435) and $162 for the three months ended March 31, 2010 and 2009, respectively.</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SERVICING AND SUBERVICING FEES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Servicing and subservicing fees for the three months ended March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r>
      <w:tr>
        <w:trPr>
          <w:trHeight w:val="245"/>
        </w:trPr>
        <w:tc>
          <w:tcPr>
            <w:tcW w:w="7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0"/>
        </w:trPr>
        <w:tc>
          <w:tcPr>
            <w:tcW w:w="748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1040" w:type="dxa"/>
            <w:vAlign w:val="bottom"/>
            <w:shd w:val="clear" w:color="auto" w:fill="EAF9E8"/>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46,000</w:t>
            </w:r>
          </w:p>
        </w:tc>
        <w:tc>
          <w:tcPr>
            <w:tcW w:w="44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46,101</w:t>
            </w:r>
          </w:p>
        </w:tc>
        <w:tc>
          <w:tcPr>
            <w:tcW w:w="220" w:type="dxa"/>
            <w:vAlign w:val="bottom"/>
            <w:shd w:val="clear" w:color="auto" w:fill="EAF9E8"/>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Late charges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10,699</w:t>
            </w:r>
          </w:p>
        </w:tc>
      </w:tr>
      <w:tr>
        <w:trPr>
          <w:trHeight w:val="216"/>
        </w:trPr>
        <w:tc>
          <w:tcPr>
            <w:tcW w:w="7480" w:type="dxa"/>
            <w:vAlign w:val="bottom"/>
            <w:shd w:val="clear" w:color="auto" w:fill="EAF9E8"/>
          </w:tcPr>
          <w:p>
            <w:pPr>
              <w:spacing w:after="0"/>
              <w:rPr>
                <w:sz w:val="20"/>
                <w:szCs w:val="20"/>
                <w:color w:val="auto"/>
              </w:rPr>
            </w:pPr>
            <w:r>
              <w:rPr>
                <w:rFonts w:ascii="Arial" w:cs="Arial" w:eastAsia="Arial" w:hAnsi="Arial"/>
                <w:sz w:val="18"/>
                <w:szCs w:val="18"/>
                <w:color w:val="auto"/>
              </w:rPr>
              <w:t>Loan collection fees</w:t>
            </w:r>
          </w:p>
        </w:tc>
        <w:tc>
          <w:tcPr>
            <w:tcW w:w="10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2,143</w:t>
            </w:r>
          </w:p>
        </w:tc>
        <w:tc>
          <w:tcPr>
            <w:tcW w:w="4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2,095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Custodial accounts (float earnings) (1)</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r>
      <w:tr>
        <w:trPr>
          <w:trHeight w:val="216"/>
        </w:trPr>
        <w:tc>
          <w:tcPr>
            <w:tcW w:w="7480" w:type="dxa"/>
            <w:vAlign w:val="bottom"/>
            <w:shd w:val="clear" w:color="auto" w:fill="EAF9E8"/>
          </w:tcPr>
          <w:p>
            <w:pPr>
              <w:spacing w:after="0"/>
              <w:rPr>
                <w:sz w:val="20"/>
                <w:szCs w:val="20"/>
                <w:color w:val="auto"/>
              </w:rPr>
            </w:pPr>
            <w:r>
              <w:rPr>
                <w:rFonts w:ascii="Arial" w:cs="Arial" w:eastAsia="Arial" w:hAnsi="Arial"/>
                <w:sz w:val="18"/>
                <w:szCs w:val="18"/>
                <w:color w:val="auto"/>
              </w:rPr>
              <w:t>Receivables management and recovery fees (2)</w:t>
            </w:r>
          </w:p>
        </w:tc>
        <w:tc>
          <w:tcPr>
            <w:tcW w:w="10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12,961</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9,669</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5,104</w:t>
            </w:r>
          </w:p>
        </w:tc>
      </w:tr>
      <w:tr>
        <w:trPr>
          <w:trHeight w:val="237"/>
        </w:trPr>
        <w:tc>
          <w:tcPr>
            <w:tcW w:w="7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spacing w:after="0"/>
              <w:rPr>
                <w:sz w:val="20"/>
                <w:szCs w:val="20"/>
                <w:color w:val="auto"/>
              </w:rPr>
            </w:pPr>
          </w:p>
        </w:tc>
      </w:tr>
      <w:tr>
        <w:trPr>
          <w:trHeight w:val="210"/>
        </w:trPr>
        <w:tc>
          <w:tcPr>
            <w:tcW w:w="7480" w:type="dxa"/>
            <w:vAlign w:val="bottom"/>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66,480</w:t>
            </w:r>
          </w:p>
        </w:tc>
        <w:tc>
          <w:tcPr>
            <w:tcW w:w="44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78,810</w:t>
            </w:r>
          </w:p>
        </w:tc>
        <w:tc>
          <w:tcPr>
            <w:tcW w:w="220" w:type="dxa"/>
            <w:vAlign w:val="bottom"/>
            <w:shd w:val="clear" w:color="auto" w:fill="EAF9E8"/>
          </w:tcPr>
          <w:p>
            <w:pPr>
              <w:spacing w:after="0"/>
              <w:rPr>
                <w:sz w:val="18"/>
                <w:szCs w:val="18"/>
                <w:color w:val="auto"/>
              </w:rPr>
            </w:pPr>
          </w:p>
        </w:tc>
      </w:tr>
      <w:tr>
        <w:trPr>
          <w:trHeight w:val="243"/>
        </w:trPr>
        <w:tc>
          <w:tcPr>
            <w:tcW w:w="7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three months ended March 31, 2010 and 2009, float earnings included $431 and $1,831, respectively, of interest income from our investment in auction rate securities.</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fees were earned by the Financial Services segment which we distributed as part of the Separation. See Note 21 for additional information regarding this former business segment.</w:t>
      </w:r>
    </w:p>
    <w:p>
      <w:pPr>
        <w:sectPr>
          <w:pgSz w:w="11900" w:h="16838" w:orient="portrait"/>
          <w:cols w:equalWidth="0" w:num="1">
            <w:col w:w="11420"/>
          </w:cols>
          <w:pgMar w:left="240" w:top="382" w:right="239" w:bottom="873"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873" w:gutter="0" w:footer="0" w:header="0"/>
          <w:type w:val="continuous"/>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INTEREST EXPENSE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three months ended March 31: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45"/>
        </w:trPr>
        <w:tc>
          <w:tcPr>
            <w:tcW w:w="8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846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10,495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EAF9E8"/>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r>
      <w:tr>
        <w:trPr>
          <w:trHeight w:val="216"/>
        </w:trPr>
        <w:tc>
          <w:tcPr>
            <w:tcW w:w="846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line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846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r>
      <w:tr>
        <w:trPr>
          <w:trHeight w:val="216"/>
        </w:trPr>
        <w:tc>
          <w:tcPr>
            <w:tcW w:w="8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Capital Trust Securities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1,451</w:t>
            </w: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r>
      <w:tr>
        <w:trPr>
          <w:trHeight w:val="210"/>
        </w:trPr>
        <w:tc>
          <w:tcPr>
            <w:tcW w:w="84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12,471</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shd w:val="clear" w:color="auto" w:fill="EAF9E8"/>
          </w:tcPr>
          <w:p>
            <w:pPr>
              <w:spacing w:after="0"/>
              <w:rPr>
                <w:sz w:val="18"/>
                <w:szCs w:val="18"/>
                <w:color w:val="auto"/>
              </w:rPr>
            </w:pPr>
          </w:p>
        </w:tc>
      </w:tr>
      <w:tr>
        <w:trPr>
          <w:trHeight w:val="243"/>
        </w:trPr>
        <w:tc>
          <w:tcPr>
            <w:tcW w:w="8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6"/>
          <w:szCs w:val="16"/>
          <w:b w:val="1"/>
          <w:bCs w:val="1"/>
          <w:color w:val="auto"/>
        </w:rPr>
        <w:t>BASIC AND DILUTED EARNINGS PER SHARE</w:t>
      </w:r>
    </w:p>
    <w:p>
      <w:pPr>
        <w:spacing w:after="0" w:line="164" w:lineRule="exact"/>
        <w:rPr>
          <w:sz w:val="20"/>
          <w:szCs w:val="20"/>
          <w:color w:val="auto"/>
        </w:rPr>
      </w:pPr>
    </w:p>
    <w:p>
      <w:pPr>
        <w:jc w:val="both"/>
        <w:ind w:firstLine="552"/>
        <w:spacing w:after="0" w:line="255" w:lineRule="auto"/>
        <w:rPr>
          <w:sz w:val="20"/>
          <w:szCs w:val="20"/>
          <w:color w:val="auto"/>
        </w:rPr>
      </w:pPr>
      <w:r>
        <w:rPr>
          <w:rFonts w:ascii="Arial" w:cs="Arial" w:eastAsia="Arial" w:hAnsi="Arial"/>
          <w:sz w:val="18"/>
          <w:szCs w:val="18"/>
          <w:color w:val="auto"/>
        </w:rPr>
        <w:t>Basic EPS excludes common stock equivalents and is calculated by dividing net income (loss)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periods indicated:</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the calculation of basic EPS to diluted EPS for the three months ended March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attributable to OCN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20,860</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15,109</w:t>
            </w:r>
          </w:p>
        </w:tc>
        <w:tc>
          <w:tcPr>
            <w:tcW w:w="0" w:type="dxa"/>
            <w:vAlign w:val="bottom"/>
          </w:tcPr>
          <w:p>
            <w:pPr>
              <w:spacing w:after="0"/>
              <w:rPr>
                <w:sz w:val="1"/>
                <w:szCs w:val="1"/>
                <w:color w:val="auto"/>
              </w:rPr>
            </w:pPr>
          </w:p>
        </w:tc>
      </w:tr>
      <w:tr>
        <w:trPr>
          <w:trHeight w:val="237"/>
        </w:trPr>
        <w:tc>
          <w:tcPr>
            <w:tcW w:w="846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99,975,881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62,750,010</w:t>
            </w:r>
          </w:p>
        </w:tc>
        <w:tc>
          <w:tcPr>
            <w:tcW w:w="0" w:type="dxa"/>
            <w:vAlign w:val="bottom"/>
          </w:tcPr>
          <w:p>
            <w:pPr>
              <w:spacing w:after="0"/>
              <w:rPr>
                <w:sz w:val="1"/>
                <w:szCs w:val="1"/>
                <w:color w:val="auto"/>
              </w:rPr>
            </w:pPr>
          </w:p>
        </w:tc>
      </w:tr>
      <w:tr>
        <w:trPr>
          <w:trHeight w:val="243"/>
        </w:trPr>
        <w:tc>
          <w:tcPr>
            <w:tcW w:w="846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460" w:type="dxa"/>
            <w:vAlign w:val="bottom"/>
            <w:gridSpan w:val="2"/>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5"/>
        </w:trPr>
        <w:tc>
          <w:tcPr>
            <w:tcW w:w="846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attributable to OCN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20,860</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attributable to OCN</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60" w:type="dxa"/>
            <w:vAlign w:val="bottom"/>
            <w:gridSpan w:val="2"/>
            <w:vMerge w:val="continue"/>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21,164</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99,975,881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62,750,010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Effect of dilutive elements: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Convertible Notes (1)</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4,637,224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Stock options (2)</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2,705,759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Common stock awards</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43"/>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Dilutive weighted average shares of common stock</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6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107,324,415</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10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60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98"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is assumed for purposes of computing diluted EPS unless the effect would be anti-dilutive. The effect is anti-dilutive whenever interest expense on the Convertible Notes, net of income tax, per common share obtainable on conversion exceeds basic EPS.</w:t>
      </w:r>
    </w:p>
    <w:p>
      <w:pPr>
        <w:spacing w:after="0" w:line="99" w:lineRule="exact"/>
        <w:rPr>
          <w:rFonts w:ascii="Arial" w:cs="Arial" w:eastAsia="Arial" w:hAnsi="Arial"/>
          <w:sz w:val="16"/>
          <w:szCs w:val="16"/>
          <w:color w:val="auto"/>
        </w:rPr>
      </w:pPr>
    </w:p>
    <w:p>
      <w:pPr>
        <w:jc w:val="both"/>
        <w:ind w:left="580" w:hanging="572"/>
        <w:spacing w:after="0" w:line="29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average of 12,391 and 1,462,248 options have been excluded from the computation of diluted EPS for the first three months of 2010 and 2009, respectively. These options were anti-dilutive because their exercise price was greater than the average market price of our stock. Excluded from the computation of diluted EPS for the first three months of 2010 and 2009 were 1,710,000 and 5,130,000 options, respectively, for shares that are issuable upon the achievement of certain performance criteria related to OCN’s stock price and an annualized rate of return to investors. On August 10, 2009, the market performance criterion was met for 3,420,000 of these options. Also excluded from the computation of EPS for the first three months of 2010 were 78,750 options granted with similar conditions on November 4, 2009.</w:t>
      </w:r>
    </w:p>
    <w:p>
      <w:pPr>
        <w:sectPr>
          <w:pgSz w:w="11900" w:h="16838" w:orient="portrait"/>
          <w:cols w:equalWidth="0" w:num="1">
            <w:col w:w="11420"/>
          </w:cols>
          <w:pgMar w:left="240" w:top="382" w:right="239" w:bottom="13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30" w:gutter="0" w:footer="0" w:header="0"/>
          <w:type w:val="continuous"/>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6"/>
          <w:szCs w:val="16"/>
          <w:b w:val="1"/>
          <w:bCs w:val="1"/>
          <w:color w:val="auto"/>
        </w:rPr>
        <w:t>BUSINESS SEGMENT REPORTING</w:t>
      </w:r>
    </w:p>
    <w:p>
      <w:pPr>
        <w:spacing w:after="0" w:line="231"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Prior to the Separation on August 10, 2009, we managed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included our residential fee-based loan processing businesses, all of our technology platforms, our unsecured collections business and our equity interest in BMS Holdings. Due to the Separation, as of August 10, 2009, neither the assets and liabilities, nor the subsequent operations of the Ocwen Solutions line of business comprising the Mortgage Services, Financial Services and Technology Products segments, except for BMS Holdings and GSS, are included in our results.</w:t>
      </w:r>
    </w:p>
    <w:p>
      <w:pPr>
        <w:spacing w:after="0" w:line="174" w:lineRule="exact"/>
        <w:rPr>
          <w:sz w:val="20"/>
          <w:szCs w:val="20"/>
          <w:color w:val="auto"/>
        </w:rPr>
      </w:pPr>
    </w:p>
    <w:p>
      <w:pPr>
        <w:jc w:val="both"/>
        <w:ind w:right="20" w:firstLine="472"/>
        <w:spacing w:after="0" w:line="259" w:lineRule="auto"/>
        <w:rPr>
          <w:sz w:val="20"/>
          <w:szCs w:val="20"/>
          <w:color w:val="auto"/>
        </w:rPr>
      </w:pPr>
      <w:r>
        <w:rPr>
          <w:rFonts w:ascii="Arial" w:cs="Arial" w:eastAsia="Arial" w:hAnsi="Arial"/>
          <w:sz w:val="18"/>
          <w:szCs w:val="18"/>
          <w:color w:val="auto"/>
        </w:rPr>
        <w:t>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current and former business segments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 Asset Management</w:t>
      </w:r>
    </w:p>
    <w:p>
      <w:pPr>
        <w:spacing w:after="0" w:line="239" w:lineRule="exact"/>
        <w:rPr>
          <w:sz w:val="20"/>
          <w:szCs w:val="20"/>
          <w:color w:val="auto"/>
        </w:rPr>
      </w:pPr>
    </w:p>
    <w:p>
      <w:pPr>
        <w:jc w:val="both"/>
        <w:ind w:left="1160" w:hanging="571"/>
        <w:spacing w:after="0" w:line="256"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provides loan servicing for a fee, including asset management and resolution services, primarily to owners of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w:t>
      </w:r>
    </w:p>
    <w:p>
      <w:pPr>
        <w:spacing w:after="0" w:line="129" w:lineRule="exact"/>
        <w:rPr>
          <w:rFonts w:ascii="Arial" w:cs="Arial" w:eastAsia="Arial" w:hAnsi="Arial"/>
          <w:sz w:val="18"/>
          <w:szCs w:val="18"/>
          <w:color w:val="auto"/>
        </w:rPr>
      </w:pPr>
    </w:p>
    <w:p>
      <w:pPr>
        <w:jc w:val="both"/>
        <w:ind w:left="1160" w:hanging="571"/>
        <w:spacing w:after="0" w:line="298"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Loans and Residuals. </w:t>
      </w:r>
      <w:r>
        <w:rPr>
          <w:rFonts w:ascii="Arial" w:cs="Arial" w:eastAsia="Arial" w:hAnsi="Arial"/>
          <w:sz w:val="16"/>
          <w:szCs w:val="16"/>
          <w:color w:val="auto"/>
        </w:rPr>
        <w:t>This segment includes our trading and investing activities and our former subprime loan origination operation. Our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investing activities include our investments in subprime residual mortgage backed trading securities as well as the results of our whole loan purchase and securitization activities. Effective January 1, 2010, the Loans and Residuals segment includes the four securitization trusts that we include in our consolidated financial statements under the provisions of ASC 810, Consolidation.</w:t>
      </w:r>
    </w:p>
    <w:p>
      <w:pPr>
        <w:spacing w:after="0" w:line="99" w:lineRule="exact"/>
        <w:rPr>
          <w:rFonts w:ascii="Arial" w:cs="Arial" w:eastAsia="Arial" w:hAnsi="Arial"/>
          <w:sz w:val="16"/>
          <w:szCs w:val="16"/>
          <w:color w:val="auto"/>
        </w:rPr>
      </w:pPr>
    </w:p>
    <w:p>
      <w:pPr>
        <w:ind w:left="1160" w:right="20" w:hanging="571"/>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Vehicles. </w:t>
      </w:r>
      <w:r>
        <w:rPr>
          <w:rFonts w:ascii="Arial" w:cs="Arial" w:eastAsia="Arial" w:hAnsi="Arial"/>
          <w:sz w:val="18"/>
          <w:szCs w:val="18"/>
          <w:color w:val="auto"/>
        </w:rPr>
        <w:t>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affiliates, unconsolidated entities engaged in the management of residential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 Solutions (distributed as part of the Separation, except for BMS Holdings and GSS)</w:t>
      </w:r>
    </w:p>
    <w:p>
      <w:pPr>
        <w:spacing w:after="0" w:line="158" w:lineRule="exact"/>
        <w:rPr>
          <w:sz w:val="20"/>
          <w:szCs w:val="20"/>
          <w:color w:val="auto"/>
        </w:rPr>
      </w:pPr>
    </w:p>
    <w:p>
      <w:pPr>
        <w:jc w:val="both"/>
        <w:ind w:left="1160" w:hanging="571"/>
        <w:spacing w:after="0" w:line="298"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Mortgage Services. </w:t>
      </w:r>
      <w:r>
        <w:rPr>
          <w:rFonts w:ascii="Arial" w:cs="Arial" w:eastAsia="Arial" w:hAnsi="Arial"/>
          <w:sz w:val="16"/>
          <w:szCs w:val="16"/>
          <w:color w:val="auto"/>
        </w:rPr>
        <w:t>This segment provided due diligence, valuation, real estate sales, default processing services, property inspection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preservation services, homeowner outreach, closing and title services and knowledge process outsourcing services. Services provided spanned the lifecycle of a mortgage loan from origination through the disposition of real estate properties. Prior to August 10, 2009, this segment also includes international servicing for commercial loans which we conducted through GSS.</w:t>
      </w:r>
    </w:p>
    <w:p>
      <w:pPr>
        <w:spacing w:after="0" w:line="99" w:lineRule="exact"/>
        <w:rPr>
          <w:rFonts w:ascii="Arial" w:cs="Arial" w:eastAsia="Arial" w:hAnsi="Arial"/>
          <w:sz w:val="16"/>
          <w:szCs w:val="16"/>
          <w:color w:val="auto"/>
        </w:rPr>
      </w:pPr>
    </w:p>
    <w:p>
      <w:pPr>
        <w:jc w:val="both"/>
        <w:ind w:left="1160" w:hanging="571"/>
        <w:spacing w:after="0" w:line="294"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This segment comprised our asset recovery management and customer relationship management offerings to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consumer products, telecommunications and utilities industries. The primary sources of revenues for this segment were contingency collections and customer relationship management for credit card issuers and other consumer credit providers. Effective June 6, 2007, this segment included the operations of NCI, a receivables management company specializing in contingency collections and customer relationship management for credit card issuers and other consumer and credit providers.</w:t>
      </w:r>
    </w:p>
    <w:p>
      <w:pPr>
        <w:spacing w:after="0" w:line="102" w:lineRule="exact"/>
        <w:rPr>
          <w:rFonts w:ascii="Arial" w:cs="Arial" w:eastAsia="Arial" w:hAnsi="Arial"/>
          <w:sz w:val="16"/>
          <w:szCs w:val="16"/>
          <w:color w:val="auto"/>
        </w:rPr>
      </w:pPr>
    </w:p>
    <w:p>
      <w:pPr>
        <w:jc w:val="both"/>
        <w:ind w:left="1160" w:hanging="571"/>
        <w:spacing w:after="0" w:line="268"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Technology Products. </w:t>
      </w:r>
      <w:r>
        <w:rPr>
          <w:rFonts w:ascii="Arial" w:cs="Arial" w:eastAsia="Arial" w:hAnsi="Arial"/>
          <w:sz w:val="16"/>
          <w:szCs w:val="16"/>
          <w:color w:val="auto"/>
        </w:rPr>
        <w:t>This segment included revenues from the REAL suite of applications that support our Servicing business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origination businesses of external customers. These products include REALServicing™, REALResolution™, REALTrans</w:t>
      </w:r>
      <w:r>
        <w:rPr>
          <w:rFonts w:ascii="Arial" w:cs="Arial" w:eastAsia="Arial" w:hAnsi="Arial"/>
          <w:sz w:val="26"/>
          <w:szCs w:val="26"/>
          <w:color w:val="auto"/>
          <w:vertAlign w:val="superscript"/>
        </w:rPr>
        <w:t>SM</w:t>
      </w:r>
      <w:r>
        <w:rPr>
          <w:rFonts w:ascii="Arial" w:cs="Arial" w:eastAsia="Arial" w:hAnsi="Arial"/>
          <w:sz w:val="16"/>
          <w:szCs w:val="16"/>
          <w:color w:val="auto"/>
        </w:rPr>
        <w:t>, REALSynergy™ and REALRemit™. REALServicing is the core residential loan servicing application used by OCN. This segment also earned fees from providing technology support services to OCN that cover IT enablement, call center services and third-party applications. Prior to August 10, 2009, the results of our 45% equity investment in BMS Holdings, which provides technology-based case management solutions to trustees, law firms and debtor companies that administer cases in the federal bankruptcy system, is also included in this segment.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We report items of revenue and expense that are not directly related to a business, business activities that are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interest income on short-term investments of cash and the related costs of financing these investments and certain other corporate expenses in Corporate Items and Other. Our Convertible Notes and Capital Trust Securities are also included in Corporate Items and Other. Beginning August 10, 2009, the results of BMS and GSS are also included in Corporate Items and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information for our segments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Ocwen Asset Management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8"/>
              </w:rPr>
              <w:t>Ocwen Solutions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Loans and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Financial</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Technology</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Items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Servicing</w:t>
            </w:r>
          </w:p>
        </w:tc>
        <w:tc>
          <w:tcPr>
            <w:tcW w:w="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Residuals</w:t>
            </w:r>
          </w:p>
        </w:tc>
        <w:tc>
          <w:tcPr>
            <w:tcW w:w="1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Vehicles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Products</w:t>
            </w: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540" w:type="dxa"/>
            <w:vAlign w:val="bottom"/>
            <w:gridSpan w:val="3"/>
          </w:tcPr>
          <w:p>
            <w:pPr>
              <w:spacing w:after="0"/>
              <w:rPr>
                <w:sz w:val="20"/>
                <w:szCs w:val="20"/>
                <w:color w:val="auto"/>
              </w:rPr>
            </w:pPr>
            <w:r>
              <w:rPr>
                <w:rFonts w:ascii="Arial" w:cs="Arial" w:eastAsia="Arial" w:hAnsi="Arial"/>
                <w:sz w:val="14"/>
                <w:szCs w:val="14"/>
                <w:color w:val="auto"/>
                <w:w w:val="91"/>
              </w:rPr>
              <w:t>For the three months ended March 31, 2010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Revenue (1) (2)</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75,453</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348</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(403)</w:t>
            </w:r>
          </w:p>
        </w:tc>
        <w:tc>
          <w:tcPr>
            <w:tcW w:w="2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75,586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Operating expenses (1) (3)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30,787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35,177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gridSpan w:val="2"/>
            <w:shd w:val="clear" w:color="auto" w:fill="EAF9E8"/>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rPr>
              <w:t>44,666</w:t>
            </w:r>
          </w:p>
        </w:tc>
        <w:tc>
          <w:tcPr>
            <w:tcW w:w="2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(1,191)</w:t>
            </w:r>
          </w:p>
        </w:tc>
        <w:tc>
          <w:tcPr>
            <w:tcW w:w="2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(279)</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ind w:left="520"/>
              <w:spacing w:after="0" w:line="142"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(2,575)</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(212)</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40,409</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40" w:type="dxa"/>
            <w:vAlign w:val="bottom"/>
            <w:gridSpan w:val="3"/>
            <w:vMerge w:val="restart"/>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2,841</w:t>
            </w:r>
          </w:p>
        </w:tc>
        <w:tc>
          <w:tcPr>
            <w:tcW w:w="12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742</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3,645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(11,137)</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60" w:type="dxa"/>
            <w:vAlign w:val="bottom"/>
            <w:gridSpan w:val="3"/>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(1,086)</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(1,587)</w:t>
            </w: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523</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1,800</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2"/>
            <w:vMerge w:val="restart"/>
          </w:tcPr>
          <w:p>
            <w:pPr>
              <w:ind w:left="14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(12,161)</w:t>
            </w:r>
          </w:p>
        </w:tc>
        <w:tc>
          <w:tcPr>
            <w:tcW w:w="220" w:type="dxa"/>
            <w:vAlign w:val="bottom"/>
            <w:gridSpan w:val="2"/>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2"/>
            <w:shd w:val="clear" w:color="auto" w:fill="EAF9E8"/>
          </w:tcPr>
          <w:p>
            <w:pPr>
              <w:ind w:left="140"/>
              <w:spacing w:after="0" w:line="131" w:lineRule="exact"/>
              <w:rPr>
                <w:sz w:val="20"/>
                <w:szCs w:val="20"/>
                <w:color w:val="auto"/>
              </w:rPr>
            </w:pPr>
            <w:r>
              <w:rPr>
                <w:rFonts w:ascii="Arial" w:cs="Arial" w:eastAsia="Arial" w:hAnsi="Arial"/>
                <w:sz w:val="14"/>
                <w:szCs w:val="14"/>
                <w:color w:val="auto"/>
                <w:w w:val="93"/>
              </w:rPr>
              <w:t>Income (loss) from continuing operations</w:t>
            </w:r>
          </w:p>
        </w:tc>
        <w:tc>
          <w:tcPr>
            <w:tcW w:w="1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2"/>
            <w:shd w:val="clear" w:color="auto" w:fill="EAF9E8"/>
          </w:tcPr>
          <w:p>
            <w:pPr>
              <w:ind w:left="300"/>
              <w:spacing w:after="0" w:line="159" w:lineRule="exact"/>
              <w:rPr>
                <w:sz w:val="20"/>
                <w:szCs w:val="20"/>
                <w:color w:val="auto"/>
              </w:rPr>
            </w:pPr>
            <w:r>
              <w:rPr>
                <w:rFonts w:ascii="Arial" w:cs="Arial" w:eastAsia="Arial" w:hAnsi="Arial"/>
                <w:sz w:val="14"/>
                <w:szCs w:val="14"/>
                <w:color w:val="auto"/>
              </w:rPr>
              <w:t>before income taxes</w:t>
            </w:r>
          </w:p>
        </w:tc>
        <w:tc>
          <w:tcPr>
            <w:tcW w:w="1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32,505</w:t>
            </w:r>
          </w:p>
        </w:tc>
        <w:tc>
          <w:tcPr>
            <w:tcW w:w="200" w:type="dxa"/>
            <w:vAlign w:val="bottom"/>
            <w:shd w:val="clear" w:color="auto" w:fill="EAF9E8"/>
          </w:tcPr>
          <w:p>
            <w:pPr>
              <w:spacing w:after="0"/>
              <w:rPr>
                <w:sz w:val="13"/>
                <w:szCs w:val="13"/>
                <w:color w:val="auto"/>
              </w:rPr>
            </w:pP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180"/>
              <w:spacing w:after="0" w:line="159" w:lineRule="exact"/>
              <w:rPr>
                <w:sz w:val="20"/>
                <w:szCs w:val="20"/>
                <w:color w:val="auto"/>
              </w:rPr>
            </w:pPr>
            <w:r>
              <w:rPr>
                <w:rFonts w:ascii="Arial" w:cs="Arial" w:eastAsia="Arial" w:hAnsi="Arial"/>
                <w:sz w:val="14"/>
                <w:szCs w:val="14"/>
                <w:color w:val="auto"/>
              </w:rPr>
              <w:t>(125)</w:t>
            </w:r>
          </w:p>
        </w:tc>
        <w:tc>
          <w:tcPr>
            <w:tcW w:w="1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244</w:t>
            </w:r>
          </w:p>
        </w:tc>
        <w:tc>
          <w:tcPr>
            <w:tcW w:w="140" w:type="dxa"/>
            <w:vAlign w:val="bottom"/>
            <w:shd w:val="clear" w:color="auto" w:fill="EAF9E8"/>
          </w:tcPr>
          <w:p>
            <w:pPr>
              <w:spacing w:after="0"/>
              <w:rPr>
                <w:sz w:val="13"/>
                <w:szCs w:val="13"/>
                <w:color w:val="auto"/>
              </w:rPr>
            </w:pPr>
          </w:p>
        </w:tc>
        <w:tc>
          <w:tcPr>
            <w:tcW w:w="1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ind w:left="52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(1,179)</w:t>
            </w:r>
          </w:p>
        </w:tc>
        <w:tc>
          <w:tcPr>
            <w:tcW w:w="1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31,445</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40" w:type="dxa"/>
            <w:vAlign w:val="bottom"/>
            <w:gridSpan w:val="3"/>
            <w:vMerge w:val="restart"/>
          </w:tcPr>
          <w:p>
            <w:pPr>
              <w:spacing w:after="0"/>
              <w:rPr>
                <w:sz w:val="20"/>
                <w:szCs w:val="20"/>
                <w:color w:val="auto"/>
              </w:rPr>
            </w:pPr>
            <w:r>
              <w:rPr>
                <w:rFonts w:ascii="Arial" w:cs="Arial" w:eastAsia="Arial" w:hAnsi="Arial"/>
                <w:sz w:val="14"/>
                <w:szCs w:val="14"/>
                <w:color w:val="auto"/>
                <w:w w:val="91"/>
              </w:rPr>
              <w:t>For the three months ended March 31, 2009</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Revenue (1) (2)</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74,694</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537</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18,017</w:t>
            </w:r>
          </w:p>
        </w:tc>
        <w:tc>
          <w:tcPr>
            <w:tcW w:w="12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17,318</w:t>
            </w: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10,573</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253</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(6,802)</w:t>
            </w:r>
          </w:p>
        </w:tc>
        <w:tc>
          <w:tcPr>
            <w:tcW w:w="2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114,590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Operating expenses (1) (3)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34,218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18,151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8,173</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3,982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(6,473)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72,266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gridSpan w:val="2"/>
            <w:shd w:val="clear" w:color="auto" w:fill="EAF9E8"/>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rPr>
              <w:t>40,476</w:t>
            </w:r>
          </w:p>
        </w:tc>
        <w:tc>
          <w:tcPr>
            <w:tcW w:w="2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(561)</w:t>
            </w:r>
          </w:p>
        </w:tc>
        <w:tc>
          <w:tcPr>
            <w:tcW w:w="2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(225)</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5,125</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(833)</w:t>
            </w:r>
          </w:p>
        </w:tc>
        <w:tc>
          <w:tcPr>
            <w:tcW w:w="3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2,400</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(3,729)</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(329)</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42,324</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40" w:type="dxa"/>
            <w:vAlign w:val="bottom"/>
            <w:gridSpan w:val="3"/>
            <w:vMerge w:val="restart"/>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1,883</w:t>
            </w:r>
          </w:p>
        </w:tc>
        <w:tc>
          <w:tcPr>
            <w:tcW w:w="12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2,165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(15,503)</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(629)</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(470)</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(4,831)</w:t>
            </w:r>
          </w:p>
        </w:tc>
        <w:tc>
          <w:tcPr>
            <w:tcW w:w="12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ind w:left="520"/>
              <w:spacing w:after="0"/>
              <w:rPr>
                <w:sz w:val="20"/>
                <w:szCs w:val="20"/>
                <w:color w:val="auto"/>
              </w:rPr>
            </w:pPr>
            <w:r>
              <w:rPr>
                <w:rFonts w:ascii="Arial" w:cs="Arial" w:eastAsia="Arial" w:hAnsi="Arial"/>
                <w:sz w:val="12"/>
                <w:szCs w:val="12"/>
                <w:color w:val="auto"/>
                <w:w w:val="74"/>
              </w:rPr>
              <w:t>33</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329</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(4,562)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2"/>
            <w:vMerge w:val="restart"/>
          </w:tcPr>
          <w:p>
            <w:pPr>
              <w:ind w:left="14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(15,280)</w:t>
            </w:r>
          </w:p>
        </w:tc>
        <w:tc>
          <w:tcPr>
            <w:tcW w:w="220" w:type="dxa"/>
            <w:vAlign w:val="bottom"/>
            <w:gridSpan w:val="2"/>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(3,577)</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520"/>
              <w:spacing w:after="0"/>
              <w:rPr>
                <w:sz w:val="20"/>
                <w:szCs w:val="20"/>
                <w:color w:val="auto"/>
              </w:rPr>
            </w:pPr>
            <w:r>
              <w:rPr>
                <w:rFonts w:ascii="Arial" w:cs="Arial" w:eastAsia="Arial" w:hAnsi="Arial"/>
                <w:sz w:val="12"/>
                <w:szCs w:val="12"/>
                <w:color w:val="auto"/>
                <w:w w:val="74"/>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2"/>
            <w:shd w:val="clear" w:color="auto" w:fill="EAF9E8"/>
          </w:tcPr>
          <w:p>
            <w:pPr>
              <w:spacing w:after="0" w:line="131" w:lineRule="exact"/>
              <w:rPr>
                <w:sz w:val="20"/>
                <w:szCs w:val="20"/>
                <w:color w:val="auto"/>
              </w:rPr>
            </w:pPr>
            <w:r>
              <w:rPr>
                <w:rFonts w:ascii="Arial" w:cs="Arial" w:eastAsia="Arial" w:hAnsi="Arial"/>
                <w:sz w:val="14"/>
                <w:szCs w:val="14"/>
                <w:color w:val="auto"/>
                <w:w w:val="98"/>
              </w:rPr>
              <w:t>Income (loss) from continuing operations</w:t>
            </w:r>
          </w:p>
        </w:tc>
        <w:tc>
          <w:tcPr>
            <w:tcW w:w="1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before income taxes</w:t>
            </w:r>
          </w:p>
        </w:tc>
        <w:tc>
          <w:tcPr>
            <w:tcW w:w="1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25,196</w:t>
            </w:r>
          </w:p>
        </w:tc>
        <w:tc>
          <w:tcPr>
            <w:tcW w:w="200" w:type="dxa"/>
            <w:vAlign w:val="bottom"/>
            <w:shd w:val="clear" w:color="auto" w:fill="EAF9E8"/>
          </w:tcPr>
          <w:p>
            <w:pPr>
              <w:spacing w:after="0"/>
              <w:rPr>
                <w:sz w:val="13"/>
                <w:szCs w:val="13"/>
                <w:color w:val="auto"/>
              </w:rPr>
            </w:pP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180"/>
              <w:spacing w:after="0" w:line="159" w:lineRule="exact"/>
              <w:rPr>
                <w:sz w:val="20"/>
                <w:szCs w:val="20"/>
                <w:color w:val="auto"/>
              </w:rPr>
            </w:pPr>
            <w:r>
              <w:rPr>
                <w:rFonts w:ascii="Arial" w:cs="Arial" w:eastAsia="Arial" w:hAnsi="Arial"/>
                <w:sz w:val="14"/>
                <w:szCs w:val="14"/>
                <w:color w:val="auto"/>
              </w:rPr>
              <w:t>(4,138)</w:t>
            </w:r>
          </w:p>
        </w:tc>
        <w:tc>
          <w:tcPr>
            <w:tcW w:w="1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(527)</w:t>
            </w:r>
          </w:p>
        </w:tc>
        <w:tc>
          <w:tcPr>
            <w:tcW w:w="1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5,148</w:t>
            </w:r>
          </w:p>
        </w:tc>
        <w:tc>
          <w:tcPr>
            <w:tcW w:w="120" w:type="dxa"/>
            <w:vAlign w:val="bottom"/>
            <w:shd w:val="clear" w:color="auto" w:fill="EAF9E8"/>
          </w:tcPr>
          <w:p>
            <w:pPr>
              <w:spacing w:after="0"/>
              <w:rPr>
                <w:sz w:val="13"/>
                <w:szCs w:val="13"/>
                <w:color w:val="auto"/>
              </w:rPr>
            </w:pPr>
          </w:p>
        </w:tc>
        <w:tc>
          <w:tcPr>
            <w:tcW w:w="20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(1,301)</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2,324</w:t>
            </w:r>
          </w:p>
        </w:tc>
        <w:tc>
          <w:tcPr>
            <w:tcW w:w="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(3,438)</w:t>
            </w:r>
          </w:p>
        </w:tc>
        <w:tc>
          <w:tcPr>
            <w:tcW w:w="18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23,264</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5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March 31, 2010</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w w:val="99"/>
              </w:rPr>
              <w:t>1,089,182</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117,253</w:t>
            </w:r>
          </w:p>
        </w:tc>
        <w:tc>
          <w:tcPr>
            <w:tcW w:w="1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14,368</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594,656</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1,815,459</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gridSpan w:val="2"/>
          </w:tcPr>
          <w:p>
            <w:pPr>
              <w:ind w:left="140"/>
              <w:spacing w:after="0"/>
              <w:rPr>
                <w:sz w:val="20"/>
                <w:szCs w:val="20"/>
                <w:color w:val="auto"/>
              </w:rPr>
            </w:pPr>
            <w:r>
              <w:rPr>
                <w:rFonts w:ascii="Arial" w:cs="Arial" w:eastAsia="Arial" w:hAnsi="Arial"/>
                <w:sz w:val="14"/>
                <w:szCs w:val="14"/>
                <w:color w:val="auto"/>
              </w:rPr>
              <w:t>December 31, 2009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1,191,212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48,690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15,271</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514,177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1,769,350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6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840" w:type="dxa"/>
            <w:vAlign w:val="bottom"/>
            <w:gridSpan w:val="2"/>
          </w:tcPr>
          <w:p>
            <w:pPr>
              <w:spacing w:after="0"/>
              <w:rPr>
                <w:sz w:val="11"/>
                <w:szCs w:val="11"/>
                <w:color w:val="auto"/>
              </w:rPr>
            </w:pPr>
          </w:p>
        </w:tc>
        <w:tc>
          <w:tcPr>
            <w:tcW w:w="2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AF9E8"/>
          </w:tcPr>
          <w:p>
            <w:pPr>
              <w:ind w:left="140"/>
              <w:spacing w:after="0" w:line="149" w:lineRule="exact"/>
              <w:rPr>
                <w:sz w:val="20"/>
                <w:szCs w:val="20"/>
                <w:color w:val="auto"/>
              </w:rPr>
            </w:pPr>
            <w:r>
              <w:rPr>
                <w:rFonts w:ascii="Arial" w:cs="Arial" w:eastAsia="Arial" w:hAnsi="Arial"/>
                <w:sz w:val="14"/>
                <w:szCs w:val="14"/>
                <w:color w:val="auto"/>
              </w:rPr>
              <w:t>March 31, 2009</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w w:val="99"/>
              </w:rPr>
              <w:t>1,279,134</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60,025</w:t>
            </w:r>
          </w:p>
        </w:tc>
        <w:tc>
          <w:tcPr>
            <w:tcW w:w="1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22,790</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4,002</w:t>
            </w:r>
          </w:p>
        </w:tc>
        <w:tc>
          <w:tcPr>
            <w:tcW w:w="12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59,886</w:t>
            </w:r>
          </w:p>
        </w:tc>
        <w:tc>
          <w:tcPr>
            <w:tcW w:w="34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8,489</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595,435</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2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2,029,516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12"/>
              <w:spacing w:after="0"/>
              <w:rPr>
                <w:sz w:val="20"/>
                <w:szCs w:val="20"/>
                <w:color w:val="auto"/>
              </w:rPr>
            </w:pPr>
            <w:r>
              <w:rPr>
                <w:rFonts w:ascii="Arial" w:cs="Arial" w:eastAsia="Arial" w:hAnsi="Arial"/>
                <w:sz w:val="18"/>
                <w:szCs w:val="18"/>
                <w:b w:val="1"/>
                <w:bCs w:val="1"/>
                <w:color w:val="auto"/>
                <w:w w:val="81"/>
              </w:rPr>
              <w:t>Asset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w w:val="83"/>
              </w:rPr>
              <w:t>Technology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Servicing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72"/>
              <w:spacing w:after="0"/>
              <w:rPr>
                <w:sz w:val="20"/>
                <w:szCs w:val="20"/>
                <w:color w:val="auto"/>
              </w:rPr>
            </w:pPr>
            <w:r>
              <w:rPr>
                <w:rFonts w:ascii="Arial" w:cs="Arial" w:eastAsia="Arial" w:hAnsi="Arial"/>
                <w:sz w:val="18"/>
                <w:szCs w:val="18"/>
                <w:b w:val="1"/>
                <w:bCs w:val="1"/>
                <w:color w:val="auto"/>
                <w:w w:val="82"/>
              </w:rPr>
              <w:t>Vehicles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w w:val="97"/>
              </w:rPr>
              <w:t>Products</w:t>
            </w:r>
          </w:p>
        </w:tc>
        <w:tc>
          <w:tcPr>
            <w:tcW w:w="20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March 31, 2010</w:t>
            </w:r>
          </w:p>
        </w:tc>
        <w:tc>
          <w:tcPr>
            <w:tcW w:w="15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 the three months ended March 31, 2009</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80" w:right="20" w:hanging="572"/>
        <w:spacing w:after="0" w:line="306"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81"/>
              </w:rPr>
              <w:t>Asset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Corporate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32"/>
              <w:spacing w:after="0"/>
              <w:rPr>
                <w:sz w:val="20"/>
                <w:szCs w:val="20"/>
                <w:color w:val="auto"/>
              </w:rPr>
            </w:pPr>
            <w:r>
              <w:rPr>
                <w:rFonts w:ascii="Arial" w:cs="Arial" w:eastAsia="Arial" w:hAnsi="Arial"/>
                <w:sz w:val="18"/>
                <w:szCs w:val="18"/>
                <w:b w:val="1"/>
                <w:bCs w:val="1"/>
                <w:color w:val="auto"/>
                <w:w w:val="79"/>
              </w:rPr>
              <w:t>Business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Management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Mortgage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Items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color w:val="auto"/>
                <w:w w:val="83"/>
              </w:rPr>
              <w:t>Segments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w w:val="86"/>
              </w:rPr>
              <w:t>Servicing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82"/>
              </w:rPr>
              <w:t>Vehicles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Services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Services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Products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Other</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Consolidated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w:t>
            </w:r>
          </w:p>
        </w:tc>
        <w:tc>
          <w:tcPr>
            <w:tcW w:w="12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4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76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March 31, 2010:</w:t>
            </w:r>
          </w:p>
        </w:tc>
        <w:tc>
          <w:tcPr>
            <w:tcW w:w="54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8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14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90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112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4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26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auto"/>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5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3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60" w:type="dxa"/>
            <w:vAlign w:val="bottom"/>
            <w:gridSpan w:val="5"/>
          </w:tcPr>
          <w:p>
            <w:pPr>
              <w:spacing w:after="0"/>
              <w:rPr>
                <w:sz w:val="20"/>
                <w:szCs w:val="20"/>
                <w:color w:val="auto"/>
              </w:rPr>
            </w:pPr>
            <w:r>
              <w:rPr>
                <w:rFonts w:ascii="Arial" w:cs="Arial" w:eastAsia="Arial" w:hAnsi="Arial"/>
                <w:sz w:val="18"/>
                <w:szCs w:val="18"/>
                <w:color w:val="auto"/>
              </w:rPr>
              <w:t>For the three months ended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March 31, 2009: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3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1,331</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3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6"/>
          <w:szCs w:val="16"/>
          <w:b w:val="1"/>
          <w:bCs w:val="1"/>
          <w:color w:val="auto"/>
        </w:rPr>
        <w:t>RELATED PARTY TRANSACTIONS</w:t>
      </w:r>
    </w:p>
    <w:p>
      <w:pPr>
        <w:spacing w:after="0" w:line="231" w:lineRule="exact"/>
        <w:rPr>
          <w:sz w:val="20"/>
          <w:szCs w:val="20"/>
          <w:color w:val="auto"/>
        </w:rPr>
      </w:pPr>
    </w:p>
    <w:p>
      <w:pPr>
        <w:jc w:val="both"/>
        <w:ind w:firstLine="473"/>
        <w:spacing w:after="0" w:line="332"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53" w:lineRule="exact"/>
        <w:rPr>
          <w:sz w:val="20"/>
          <w:szCs w:val="20"/>
          <w:color w:val="auto"/>
        </w:rPr>
      </w:pPr>
    </w:p>
    <w:p>
      <w:pPr>
        <w:ind w:left="1160" w:hanging="571"/>
        <w:spacing w:after="0" w:line="332"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Separation Agreement. </w:t>
      </w:r>
      <w:r>
        <w:rPr>
          <w:rFonts w:ascii="Arial" w:cs="Arial" w:eastAsia="Arial" w:hAnsi="Arial"/>
          <w:sz w:val="16"/>
          <w:szCs w:val="16"/>
          <w:color w:val="auto"/>
        </w:rPr>
        <w:t>This agreement provides for, among other things, the principal corporate transactions required to effect the Separation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agreements relating to the continuing relationship between Altisource and Ocwen after the Separation.</w:t>
      </w:r>
    </w:p>
    <w:p>
      <w:pPr>
        <w:spacing w:after="0" w:line="71" w:lineRule="exact"/>
        <w:rPr>
          <w:rFonts w:ascii="Arial" w:cs="Arial" w:eastAsia="Arial" w:hAnsi="Arial"/>
          <w:sz w:val="16"/>
          <w:szCs w:val="16"/>
          <w:color w:val="auto"/>
        </w:rPr>
      </w:pPr>
    </w:p>
    <w:p>
      <w:pPr>
        <w:jc w:val="both"/>
        <w:ind w:left="1160" w:hanging="571"/>
        <w:spacing w:after="0" w:line="306"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Under this agreement, Altisource and Ocwen provide to each other services in such areas as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vendor management, corporate services, six sigma, quality assurance, quantitative analytics, treasury, accounting, risk management, legal, strategic planning, compliance and other areas where we, and Altisource, may need transition assistance and support following the Separation.</w:t>
      </w:r>
    </w:p>
    <w:p>
      <w:pPr>
        <w:spacing w:after="0" w:line="93"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This agreement sets out each party’s rights and obligations with respect to deficiencies and refunds, if any,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taxes for periods before and after the Separation and related matters such as the filing of tax returns and the conduct of Internal Revenue Service and other audits.</w:t>
      </w:r>
    </w:p>
    <w:p>
      <w:pPr>
        <w:spacing w:after="0" w:line="126"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Employee Matters Agreement. </w:t>
      </w:r>
      <w:r>
        <w:rPr>
          <w:rFonts w:ascii="Arial" w:cs="Arial" w:eastAsia="Arial" w:hAnsi="Arial"/>
          <w:sz w:val="18"/>
          <w:szCs w:val="18"/>
          <w:color w:val="auto"/>
        </w:rPr>
        <w:t>This agreement provides for the transition of employee benefit plans and programs sponsored by us for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of Altisource.</w:t>
      </w:r>
    </w:p>
    <w:p>
      <w:pPr>
        <w:spacing w:after="0" w:line="118" w:lineRule="exact"/>
        <w:rPr>
          <w:rFonts w:ascii="Arial" w:cs="Arial" w:eastAsia="Arial" w:hAnsi="Arial"/>
          <w:sz w:val="18"/>
          <w:szCs w:val="18"/>
          <w:color w:val="auto"/>
        </w:rPr>
      </w:pPr>
    </w:p>
    <w:p>
      <w:pPr>
        <w:jc w:val="both"/>
        <w:ind w:left="1160" w:hanging="571"/>
        <w:spacing w:after="0" w:line="306"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Services Agreement. </w:t>
      </w:r>
      <w:r>
        <w:rPr>
          <w:rFonts w:ascii="Arial" w:cs="Arial" w:eastAsia="Arial" w:hAnsi="Arial"/>
          <w:sz w:val="16"/>
          <w:szCs w:val="16"/>
          <w:color w:val="auto"/>
        </w:rPr>
        <w:t>This agreement provides for Altisource’s offering of certain services to us in connection with our business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for an initial term of eight years, subject to renewal, with pricing terms intended to reflect market rates. Services provided to us under this agreement include residential property valuation, residential property preservation and inspection services, title services and REO sales.</w:t>
      </w:r>
    </w:p>
    <w:p>
      <w:pPr>
        <w:spacing w:after="0" w:line="93" w:lineRule="exact"/>
        <w:rPr>
          <w:rFonts w:ascii="Arial" w:cs="Arial" w:eastAsia="Arial" w:hAnsi="Arial"/>
          <w:sz w:val="16"/>
          <w:szCs w:val="16"/>
          <w:color w:val="auto"/>
        </w:rPr>
      </w:pPr>
    </w:p>
    <w:p>
      <w:pPr>
        <w:jc w:val="both"/>
        <w:ind w:left="1160" w:hanging="571"/>
        <w:spacing w:after="0" w:line="306"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Technology Products Services Agreement. </w:t>
      </w:r>
      <w:r>
        <w:rPr>
          <w:rFonts w:ascii="Arial" w:cs="Arial" w:eastAsia="Arial" w:hAnsi="Arial"/>
          <w:sz w:val="16"/>
          <w:szCs w:val="16"/>
          <w:color w:val="auto"/>
        </w:rPr>
        <w:t>This agreement provides for Altisource’s offering of certain technology products and support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us in connection with our business, also for an initial term of eight years, subject to renewal, with pricing terms intended to reflect market rates. Technology products provided to us under this agreement include the REAL suite of applications that support our Servicing business.</w:t>
      </w:r>
    </w:p>
    <w:p>
      <w:pPr>
        <w:spacing w:after="0" w:line="93" w:lineRule="exact"/>
        <w:rPr>
          <w:rFonts w:ascii="Arial" w:cs="Arial" w:eastAsia="Arial" w:hAnsi="Arial"/>
          <w:sz w:val="16"/>
          <w:szCs w:val="16"/>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This agreement provides for the transfer of intellectual property assets to Altisource.</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Data Center and Disaster Recovery Services Agreement. </w:t>
      </w:r>
      <w:r>
        <w:rPr>
          <w:rFonts w:ascii="Arial" w:cs="Arial" w:eastAsia="Arial" w:hAnsi="Arial"/>
          <w:sz w:val="18"/>
          <w:szCs w:val="18"/>
          <w:color w:val="auto"/>
        </w:rPr>
        <w:t>This agreement provides for Altisource’s offering of certain data center and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services in connection with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jc w:val="both"/>
        <w:ind w:firstLine="443"/>
        <w:spacing w:after="0" w:line="255" w:lineRule="auto"/>
        <w:rPr>
          <w:sz w:val="20"/>
          <w:szCs w:val="20"/>
          <w:color w:val="auto"/>
        </w:rPr>
      </w:pPr>
      <w:r>
        <w:rPr>
          <w:rFonts w:ascii="Arial" w:cs="Arial" w:eastAsia="Arial" w:hAnsi="Arial"/>
          <w:sz w:val="18"/>
          <w:szCs w:val="18"/>
          <w:color w:val="auto"/>
        </w:rPr>
        <w:t>Our business is currently dependent on many of the services and products provided under these long-term contracts which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97" w:lineRule="exact"/>
        <w:rPr>
          <w:sz w:val="20"/>
          <w:szCs w:val="20"/>
          <w:color w:val="auto"/>
        </w:rPr>
      </w:pPr>
    </w:p>
    <w:p>
      <w:pPr>
        <w:jc w:val="both"/>
        <w:ind w:firstLine="519"/>
        <w:spacing w:after="0" w:line="306" w:lineRule="auto"/>
        <w:rPr>
          <w:sz w:val="20"/>
          <w:szCs w:val="20"/>
          <w:color w:val="auto"/>
        </w:rPr>
      </w:pPr>
      <w:r>
        <w:rPr>
          <w:rFonts w:ascii="Arial" w:cs="Arial" w:eastAsia="Arial" w:hAnsi="Arial"/>
          <w:sz w:val="16"/>
          <w:szCs w:val="16"/>
          <w:color w:val="auto"/>
        </w:rPr>
        <w:t>For the three months ended March 31, 2010, we generated revenues of $3,191 under our agreements with Altisource, principally from fees for providing attorney referral services to Altisource. We also incurred expenses of $4,276, principally for technology products and support services including the REAL suite of products that support our Servicing business. At March 31, 2010, the net receivable from Altisource was $2,019.</w:t>
      </w:r>
    </w:p>
    <w:p>
      <w:pPr>
        <w:spacing w:after="0" w:line="161"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color w:val="auto"/>
        </w:rPr>
        <w:t>For the three months ended March 31, 2010, revenue from services provided to Altisource was $1,041 and the cost of services received from Altisource was $406.</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36"/>
        <w:spacing w:after="0" w:line="285" w:lineRule="auto"/>
        <w:rPr>
          <w:sz w:val="20"/>
          <w:szCs w:val="20"/>
          <w:color w:val="auto"/>
        </w:rPr>
      </w:pPr>
      <w:r>
        <w:rPr>
          <w:rFonts w:ascii="Arial" w:cs="Arial" w:eastAsia="Arial" w:hAnsi="Arial"/>
          <w:sz w:val="16"/>
          <w:szCs w:val="16"/>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trial court struck the amended complaint in its entirety on the grounds of vagueness. Plaintiffs filed a third amended complaint on April 20, 2009. Ocwen’ has moved to dismiss the third amended complaint. The motion is fully briefed and pending decision by the trial court. We believe the allegations in the MDL Proceeding are without merit and will continue to vigorously defend against them.</w:t>
      </w:r>
    </w:p>
    <w:p>
      <w:pPr>
        <w:spacing w:after="0" w:line="182" w:lineRule="exact"/>
        <w:rPr>
          <w:sz w:val="20"/>
          <w:szCs w:val="20"/>
          <w:color w:val="auto"/>
        </w:rPr>
      </w:pPr>
    </w:p>
    <w:p>
      <w:pPr>
        <w:jc w:val="both"/>
        <w:ind w:firstLine="604"/>
        <w:spacing w:after="0" w:line="287" w:lineRule="auto"/>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by the trial court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set a date of September 13, 2010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both"/>
        <w:ind w:firstLine="583"/>
        <w:spacing w:after="0" w:line="286"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178"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OCN commenced separate arbitrations before the Financial Industry Regulatory Authority against certain Broker/Dealers primarily alleging fraud, breach of duty and statutory violations arising out of the sale of AAA-rated student loan auction rate securities (SLARS) backed by the Federal Family Education Loan Program. In the first quarter of 2010, we settled the remaining arbitration proceedings for cash proceeds.</w:t>
      </w:r>
    </w:p>
    <w:p>
      <w:pPr>
        <w:spacing w:after="0" w:line="194" w:lineRule="exact"/>
        <w:rPr>
          <w:sz w:val="20"/>
          <w:szCs w:val="20"/>
          <w:color w:val="auto"/>
        </w:rPr>
      </w:pPr>
    </w:p>
    <w:p>
      <w:pPr>
        <w:jc w:val="both"/>
        <w:ind w:right="20" w:firstLine="610"/>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451"/>
        <w:spacing w:after="0" w:line="288"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 Enabled services performed for OCN by its wholly-owned Indian subsidiary, OFSPL. The Order relates to the assessment year 2004-05 and determined that the percent mark-up on operating costs with respect to the IT enabled and software development services that OFSPL provided to OCN was insufficient. The proposed adjustment would impose upon OFSPL additional tax of INR 45,290 ($1,003) and interest of INR 14,922 ($331) for the Assessment Year 2004-05. On December 15, 2008, the India tax authorities issued an additional income tax assessment order (the Second Order) with respect to assessment year 2005-06. The proposed adjustment would impose upon OFSPL additional tax of INR 23,225 ($514) and interest of INR 10,200 ($226) for the Assessment Year 2005-06. On December 21, 2009, the India tax authorities issued a draft income tax assessment order (the Third Order) with respect to assessment year 2006-07. The proposed adjustment would impose upon OFSPL additional tax of INR 58,161 ($1,288) and interest of INR 1,897 ($42) for the Assessment Year 2006-07. In accordance with standard Indian procedures, penalties may also be assessed in the future in connection with the assessment.</w:t>
      </w:r>
    </w:p>
    <w:p>
      <w:pPr>
        <w:spacing w:after="0" w:line="174"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OCN and OFSPL intend to vigorously contest these Orders and the imposition of tax and interest and do not believe they have violated any statutory provision or rule. OFSPL has filed domestic appeals with the India Commissioner of Income Tax (Appeals) in response to the Order and Second Order and an application with the Dispute Resolution Panel for the Third Order. On March 16, 2007, OCN filed a request for Competent Authority Assistance with the Internal Revenue Service under the United States – India Income Tax Treaty. On January 23, 2009, OCN filed a request with the Internal Revenue Service to include Assessment Year 2005-2006 in its Competent Authority case.</w:t>
      </w:r>
    </w:p>
    <w:p>
      <w:pPr>
        <w:spacing w:after="0" w:line="197" w:lineRule="exact"/>
        <w:rPr>
          <w:sz w:val="20"/>
          <w:szCs w:val="20"/>
          <w:color w:val="auto"/>
        </w:rPr>
      </w:pPr>
    </w:p>
    <w:p>
      <w:pPr>
        <w:jc w:val="both"/>
        <w:ind w:firstLine="506"/>
        <w:spacing w:after="0" w:line="259" w:lineRule="auto"/>
        <w:rPr>
          <w:sz w:val="20"/>
          <w:szCs w:val="20"/>
          <w:color w:val="auto"/>
        </w:rPr>
      </w:pPr>
      <w:r>
        <w:rPr>
          <w:rFonts w:ascii="Arial" w:cs="Arial" w:eastAsia="Arial" w:hAnsi="Arial"/>
          <w:sz w:val="18"/>
          <w:szCs w:val="18"/>
          <w:color w:val="auto"/>
        </w:rPr>
        <w:t>Due to the uncertainties inherent in the Appeals and Competent Authority processes, OCN and OFSPL cannot currently estimate any additional exposure beyond the amount detailed in the Order. We also cannot predict when these tax matters will be resolved. The Competent Authority Assistance filing should preserve OCN’s right to credit any potential India taxes against OCN’s U.S. taxes.</w:t>
      </w:r>
    </w:p>
    <w:p>
      <w:pPr>
        <w:spacing w:after="0" w:line="194" w:lineRule="exact"/>
        <w:rPr>
          <w:sz w:val="20"/>
          <w:szCs w:val="20"/>
          <w:color w:val="auto"/>
        </w:rPr>
      </w:pPr>
    </w:p>
    <w:p>
      <w:pPr>
        <w:jc w:val="both"/>
        <w:ind w:firstLine="644"/>
        <w:spacing w:after="0" w:line="259" w:lineRule="auto"/>
        <w:rPr>
          <w:sz w:val="20"/>
          <w:szCs w:val="20"/>
          <w:color w:val="auto"/>
        </w:rPr>
      </w:pPr>
      <w:r>
        <w:rPr>
          <w:rFonts w:ascii="Arial" w:cs="Arial" w:eastAsia="Arial" w:hAnsi="Arial"/>
          <w:sz w:val="18"/>
          <w:szCs w:val="18"/>
          <w:color w:val="auto"/>
        </w:rPr>
        <w:t>On December 31, 2009, we recorded a reserve against a tax receivable of $8,334 related to the wind-down and liquidation of an advance financing structure. In connection with the process of finalizing this structure, we are researching various alternatives for the release of this reserve, but we cannot yet determine the final disposition.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both"/>
        <w:ind w:left="1160" w:right="20" w:hanging="1147"/>
        <w:spacing w:after="0" w:line="275" w:lineRule="auto"/>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and Unless Otherwise Indicated)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22"/>
        <w:spacing w:after="0" w:line="268" w:lineRule="auto"/>
        <w:rPr>
          <w:sz w:val="20"/>
          <w:szCs w:val="20"/>
          <w:color w:val="auto"/>
        </w:rPr>
      </w:pPr>
      <w:r>
        <w:rPr>
          <w:rFonts w:ascii="Arial" w:cs="Arial" w:eastAsia="Arial" w:hAnsi="Arial"/>
          <w:sz w:val="18"/>
          <w:szCs w:val="18"/>
          <w:color w:val="auto"/>
        </w:rPr>
        <w:t>Unless specifically stated otherwise, all references to March 2010 and March 2009 refer to the three-month periods ended, or to the dates, as the context requires, March 31, 2010 and March 31, 2009, respectively.</w:t>
      </w:r>
    </w:p>
    <w:p>
      <w:pPr>
        <w:spacing w:after="0" w:line="186" w:lineRule="exact"/>
        <w:rPr>
          <w:sz w:val="20"/>
          <w:szCs w:val="20"/>
          <w:color w:val="auto"/>
        </w:rPr>
      </w:pPr>
    </w:p>
    <w:p>
      <w:pPr>
        <w:jc w:val="both"/>
        <w:ind w:firstLine="719"/>
        <w:spacing w:after="0" w:line="259"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31" w:lineRule="exact"/>
        <w:rPr>
          <w:sz w:val="20"/>
          <w:szCs w:val="20"/>
          <w:color w:val="auto"/>
        </w:rPr>
      </w:pPr>
    </w:p>
    <w:p>
      <w:pPr>
        <w:jc w:val="both"/>
        <w:ind w:firstLine="543"/>
        <w:spacing w:after="0" w:line="332" w:lineRule="auto"/>
        <w:rPr>
          <w:sz w:val="20"/>
          <w:szCs w:val="20"/>
          <w:color w:val="auto"/>
        </w:rPr>
      </w:pPr>
      <w:r>
        <w:rPr>
          <w:rFonts w:ascii="Arial" w:cs="Arial" w:eastAsia="Arial" w:hAnsi="Arial"/>
          <w:sz w:val="16"/>
          <w:szCs w:val="16"/>
          <w:color w:val="auto"/>
        </w:rPr>
        <w:t>During 2009, we focused on three key initiatives to reinforce our competitive strengths: liquidity and balance sheet strength; revenue opportunities; and quality and cost structure leadership. Our success in addressing these three initiatives led to our strategic priorities for 2010 and beyond:</w:t>
      </w:r>
    </w:p>
    <w:p>
      <w:pPr>
        <w:spacing w:after="0" w:line="153" w:lineRule="exact"/>
        <w:rPr>
          <w:sz w:val="20"/>
          <w:szCs w:val="20"/>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predictable and sustainable revenue growth in our servicing operations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 process efficiencies to continuously reduce cost</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 quality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asset intensity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priorities support our long-term goals for return on equity and earnings per share growth.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sustainable revenue growth, we have a three-pronged approach:</w:t>
      </w:r>
    </w:p>
    <w:p>
      <w:pPr>
        <w:spacing w:after="0" w:line="239" w:lineRule="exact"/>
        <w:rPr>
          <w:sz w:val="20"/>
          <w:szCs w:val="20"/>
          <w:color w:val="auto"/>
        </w:rPr>
      </w:pPr>
    </w:p>
    <w:p>
      <w:pPr>
        <w:jc w:val="both"/>
        <w:ind w:left="1160" w:hanging="571"/>
        <w:spacing w:after="0" w:line="259"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of Existing Servicing Platforms. On March 29, 2010, we entered into a Servicing Rights Purchase and Sale Agreement under which we agreed to purchase the rights to service approximately 38,000 mortgage loans with an aggregate unpaid principal balance (UPB) of approximately $6.9 billion. This acquisition was completed on May 3, 2010.</w:t>
      </w:r>
    </w:p>
    <w:p>
      <w:pPr>
        <w:spacing w:after="0" w:line="126" w:lineRule="exact"/>
        <w:rPr>
          <w:rFonts w:ascii="Arial" w:cs="Arial" w:eastAsia="Arial" w:hAnsi="Arial"/>
          <w:sz w:val="18"/>
          <w:szCs w:val="18"/>
          <w:color w:val="auto"/>
        </w:rPr>
      </w:pPr>
    </w:p>
    <w:p>
      <w:pPr>
        <w:jc w:val="both"/>
        <w:ind w:left="1160" w:hanging="571"/>
        <w:spacing w:after="0" w:line="290"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Special Servicing Opportunities. We continue to pursue opportunities with government-sponsored entities to grow our special servicing portfolio. In February 2009, we were selected as a special servicer of non-performing loans for Freddie Mac under a high-risk-loan pilot program. On August 10, 2009, we entered into an Interim Servicing Master Agreement under which we provide mortgage loan servicing with respect to approximately 24,000 non-performing single family mortgage loans backed by Freddie Mac with an aggregate UPB of approximately $4.4 billion. We added approximately 5,400 additional loans with an aggregate UPB of approximately $1.6 billion through December 31, 2009. Through March 2010, we added approximately 7,200 additional loans with an aggregate UPB of approximately $1.4 billion. As with subservicing, special servicing requires limited capital reducing asset intensity and increasing return on equity.</w:t>
      </w:r>
    </w:p>
    <w:p>
      <w:pPr>
        <w:spacing w:after="0" w:line="104" w:lineRule="exact"/>
        <w:rPr>
          <w:rFonts w:ascii="Arial" w:cs="Arial" w:eastAsia="Arial" w:hAnsi="Arial"/>
          <w:sz w:val="16"/>
          <w:szCs w:val="16"/>
          <w:color w:val="auto"/>
        </w:rPr>
      </w:pPr>
    </w:p>
    <w:p>
      <w:pPr>
        <w:ind w:left="1160" w:right="80" w:hanging="571"/>
        <w:spacing w:after="0" w:line="259"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Flow Servicing. Our goal is to develop flow FHA servicing. The economics of FHA servicing more closely match our existing business model than do Fannie or Freddie performing servicing which are very dependent upon a low cost of capital. FHA servicing requires intensive effort and trades for a lower multiple of servicing fees.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latter three 2010 strategic priorities:</w:t>
      </w:r>
    </w:p>
    <w:p>
      <w:pPr>
        <w:spacing w:after="0" w:line="239" w:lineRule="exact"/>
        <w:rPr>
          <w:sz w:val="20"/>
          <w:szCs w:val="20"/>
          <w:color w:val="auto"/>
        </w:rPr>
      </w:pPr>
    </w:p>
    <w:p>
      <w:pPr>
        <w:ind w:left="1720" w:hanging="564"/>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 process efficiencies to reduce cost;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 quality; and</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asset intensity;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interrelated, reflecting our belief that continual process improvement leads to higher quality and lower cost, both operational and financial.</w:t>
      </w:r>
    </w:p>
    <w:p>
      <w:pPr>
        <w:spacing w:after="0" w:line="225" w:lineRule="exact"/>
        <w:rPr>
          <w:sz w:val="20"/>
          <w:szCs w:val="20"/>
          <w:color w:val="auto"/>
        </w:rPr>
      </w:pPr>
    </w:p>
    <w:p>
      <w:pPr>
        <w:jc w:val="both"/>
        <w:ind w:firstLine="505"/>
        <w:spacing w:after="0" w:line="298" w:lineRule="auto"/>
        <w:rPr>
          <w:sz w:val="20"/>
          <w:szCs w:val="20"/>
          <w:color w:val="auto"/>
        </w:rPr>
      </w:pPr>
      <w:r>
        <w:rPr>
          <w:rFonts w:ascii="Arial" w:cs="Arial" w:eastAsia="Arial" w:hAnsi="Arial"/>
          <w:sz w:val="16"/>
          <w:szCs w:val="16"/>
          <w:color w:val="auto"/>
        </w:rPr>
        <w:t>Our primary lever to accomplish these priorities continues to be to resolve more loans faster. We will focus our resources on first call resolution and self-serve applications. Customers are far happier when their issues are resolved in a single interaction. Furthermore, a growing portion of our customers would prefer to self-serve particularly if they can choose the timing and it results in a satisfactory outcome. By resolving more loans faster, we improve quality as perceived by our customers, reduce the level of advances (i.e., reduce asset intensity) and reduce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Operating Segments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current business segments are:</w:t>
      </w:r>
    </w:p>
    <w:p>
      <w:pPr>
        <w:spacing w:after="0" w:line="239" w:lineRule="exact"/>
        <w:rPr>
          <w:sz w:val="20"/>
          <w:szCs w:val="20"/>
          <w:color w:val="auto"/>
        </w:rPr>
      </w:pPr>
    </w:p>
    <w:p>
      <w:pPr>
        <w:ind w:left="1720" w:hanging="564"/>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Servicing</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Loans and Residuals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Management Vehicles (AMV)</w:t>
      </w:r>
    </w:p>
    <w:p>
      <w:pPr>
        <w:spacing w:after="0" w:line="225" w:lineRule="exact"/>
        <w:rPr>
          <w:sz w:val="20"/>
          <w:szCs w:val="20"/>
          <w:color w:val="auto"/>
        </w:rPr>
      </w:pPr>
    </w:p>
    <w:p>
      <w:pPr>
        <w:jc w:val="both"/>
        <w:ind w:right="20" w:firstLine="439"/>
        <w:spacing w:after="0" w:line="268" w:lineRule="auto"/>
        <w:rPr>
          <w:sz w:val="20"/>
          <w:szCs w:val="20"/>
          <w:color w:val="auto"/>
        </w:rPr>
      </w:pPr>
      <w:r>
        <w:rPr>
          <w:rFonts w:ascii="Arial" w:cs="Arial" w:eastAsia="Arial" w:hAnsi="Arial"/>
          <w:sz w:val="18"/>
          <w:szCs w:val="18"/>
          <w:color w:val="auto"/>
        </w:rPr>
        <w:t>In addition to our core residential servicing business, OAM includes our equity investments in asset management vehicles and our remaining investments in subprime loans and residual securities.</w:t>
      </w:r>
    </w:p>
    <w:p>
      <w:pPr>
        <w:spacing w:after="0" w:line="186" w:lineRule="exact"/>
        <w:rPr>
          <w:sz w:val="20"/>
          <w:szCs w:val="20"/>
          <w:color w:val="auto"/>
        </w:rPr>
      </w:pPr>
    </w:p>
    <w:p>
      <w:pPr>
        <w:jc w:val="both"/>
        <w:ind w:firstLine="588"/>
        <w:spacing w:after="0" w:line="256" w:lineRule="auto"/>
        <w:rPr>
          <w:sz w:val="20"/>
          <w:szCs w:val="20"/>
          <w:color w:val="auto"/>
        </w:rPr>
      </w:pPr>
      <w:r>
        <w:rPr>
          <w:rFonts w:ascii="Arial" w:cs="Arial" w:eastAsia="Arial" w:hAnsi="Arial"/>
          <w:sz w:val="18"/>
          <w:szCs w:val="18"/>
          <w:color w:val="auto"/>
        </w:rPr>
        <w:t>Prior to August 10, 2009, Ocwen Solutions (OS) included our former unsecured collections business, our former residential fee-based loan processing businesses, our former technology platforms, our equity investment in BMS Holdings and the results of our international commercial loan servicing business conducted through GSS. With the exception of our interests in BMS Holdings and GSS, we distributed the assets, liabilities and operations of the OS line of business in the Separation.</w:t>
      </w:r>
    </w:p>
    <w:p>
      <w:pPr>
        <w:spacing w:after="0" w:line="197" w:lineRule="exact"/>
        <w:rPr>
          <w:sz w:val="20"/>
          <w:szCs w:val="20"/>
          <w:color w:val="auto"/>
        </w:rPr>
      </w:pPr>
    </w:p>
    <w:p>
      <w:pPr>
        <w:jc w:val="both"/>
        <w:ind w:right="20" w:firstLine="504"/>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Operations—Segment Results and Financial Condition and Note 20 to the Interim Consolidated Financial Statements for additional financial information regarding each of 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31" w:lineRule="exact"/>
        <w:rPr>
          <w:sz w:val="20"/>
          <w:szCs w:val="20"/>
          <w:color w:val="auto"/>
        </w:rPr>
      </w:pPr>
    </w:p>
    <w:p>
      <w:pPr>
        <w:jc w:val="both"/>
        <w:ind w:firstLine="554"/>
        <w:spacing w:after="0" w:line="256" w:lineRule="auto"/>
        <w:rPr>
          <w:sz w:val="20"/>
          <w:szCs w:val="20"/>
          <w:color w:val="auto"/>
        </w:rPr>
      </w:pPr>
      <w:r>
        <w:rPr>
          <w:rFonts w:ascii="Arial" w:cs="Arial" w:eastAsia="Arial" w:hAnsi="Arial"/>
          <w:sz w:val="18"/>
          <w:szCs w:val="18"/>
          <w:color w:val="auto"/>
        </w:rPr>
        <w:t>Our consolidated operating results in the first quarter of 2009 as compared to the first quarter of 2010 were significantly impacted by the Separation of Altisource from Ocwen on August 10, 2009. Ocwen ceased, beginning on August 10, 2009, to record operating results from Mortgage Services, Financial Services and Technology Products segments except for BMS Holdings and GSS. The 2009 to 2010 comparative discussion below focuses primarily on changes other than those related to the Separation.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530"/>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periods indicated. We have provided a more complete discussion of operating results by line of business in the Segment Results and Financial Condition section.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gridSpan w:val="4"/>
          </w:tcPr>
          <w:p>
            <w:pPr>
              <w:jc w:val="right"/>
              <w:ind w:right="83"/>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680" w:type="dxa"/>
            <w:vAlign w:val="bottom"/>
            <w:vMerge w:val="restart"/>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ind w:right="71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75,586</w:t>
            </w:r>
          </w:p>
        </w:tc>
        <w:tc>
          <w:tcPr>
            <w:tcW w:w="34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114,590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3"/>
              </w:rPr>
              <w:t>35,177</w:t>
            </w:r>
          </w:p>
        </w:tc>
        <w:tc>
          <w:tcPr>
            <w:tcW w:w="3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72,266</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Income from operations</w:t>
            </w: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40,409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42,324</w:t>
            </w:r>
          </w:p>
        </w:tc>
        <w:tc>
          <w:tcPr>
            <w:tcW w:w="3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expense, net</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w w:val="91"/>
              </w:rPr>
              <w:t>(8,964)</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(19,060)</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31,445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3"/>
              </w:rPr>
              <w:t>10,574</w:t>
            </w:r>
          </w:p>
        </w:tc>
        <w:tc>
          <w:tcPr>
            <w:tcW w:w="3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8,037</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20,871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net of taxes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20,871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15,039</w:t>
            </w: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(loss) attributable to non-controlling interest in subsidiaries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70</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Net income attributable to Ocwen</w:t>
            </w:r>
          </w:p>
        </w:tc>
        <w:tc>
          <w:tcPr>
            <w:tcW w:w="1560" w:type="dxa"/>
            <w:vAlign w:val="bottom"/>
            <w:gridSpan w:val="2"/>
          </w:tcPr>
          <w:p>
            <w:pPr>
              <w:spacing w:after="0"/>
              <w:rPr>
                <w:sz w:val="21"/>
                <w:szCs w:val="21"/>
                <w:color w:val="auto"/>
              </w:rPr>
            </w:pPr>
          </w:p>
        </w:tc>
        <w:tc>
          <w:tcPr>
            <w:tcW w:w="5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20,860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1560" w:type="dxa"/>
            <w:vAlign w:val="bottom"/>
            <w:gridSpan w:val="2"/>
          </w:tcPr>
          <w:p>
            <w:pPr>
              <w:jc w:val="right"/>
              <w:ind w:right="71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32,505</w:t>
            </w:r>
          </w:p>
        </w:tc>
        <w:tc>
          <w:tcPr>
            <w:tcW w:w="34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25,196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and Residuals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(4,138)</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Asset Management Vehicles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Services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5,148</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Financial Services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Technology Products</w:t>
            </w:r>
          </w:p>
        </w:tc>
        <w:tc>
          <w:tcPr>
            <w:tcW w:w="6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8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2,324</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Corporate items and other</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(1,179)</w:t>
            </w:r>
          </w:p>
        </w:tc>
        <w:tc>
          <w:tcPr>
            <w:tcW w:w="3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(3,438)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560" w:type="dxa"/>
            <w:vAlign w:val="bottom"/>
            <w:gridSpan w:val="2"/>
          </w:tcPr>
          <w:p>
            <w:pPr>
              <w:spacing w:after="0"/>
              <w:rPr>
                <w:sz w:val="20"/>
                <w:szCs w:val="20"/>
                <w:color w:val="auto"/>
              </w:rPr>
            </w:pPr>
          </w:p>
        </w:tc>
        <w:tc>
          <w:tcPr>
            <w:tcW w:w="5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ind w:right="71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3"/>
              </w:rPr>
              <w:t>31,445</w:t>
            </w:r>
          </w:p>
        </w:tc>
        <w:tc>
          <w:tcPr>
            <w:tcW w:w="34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23,264</w:t>
            </w: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76"/>
        <w:spacing w:after="0" w:line="293" w:lineRule="auto"/>
        <w:rPr>
          <w:sz w:val="20"/>
          <w:szCs w:val="20"/>
          <w:color w:val="auto"/>
        </w:rPr>
      </w:pPr>
      <w:r>
        <w:rPr>
          <w:rFonts w:ascii="Arial" w:cs="Arial" w:eastAsia="Arial" w:hAnsi="Arial"/>
          <w:sz w:val="16"/>
          <w:szCs w:val="16"/>
          <w:b w:val="1"/>
          <w:bCs w:val="1"/>
          <w:color w:val="auto"/>
        </w:rPr>
        <w:t xml:space="preserve">Three Months Ended March 2010 versus 2009. </w:t>
      </w:r>
      <w:r>
        <w:rPr>
          <w:rFonts w:ascii="Arial" w:cs="Arial" w:eastAsia="Arial" w:hAnsi="Arial"/>
          <w:sz w:val="16"/>
          <w:szCs w:val="16"/>
          <w:color w:val="auto"/>
        </w:rPr>
        <w:t>Total revenues declined by $39,004 in the first quarter of 2010 as compared to 2009 principally because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Separation. Excluding revenues earned by GSS and intersegment revenues eliminated in consolidation, OS revenues were $39,254 for the first quarter of 2009. Revenues of the Servicing segment were slightly higher in the first quarter of 2010. Operating expenses were $37,089 lower in the first quarter of 2010 largely due to the Separation. Excluding expenses incurred by GSS and intersegment expenses eliminated in consolidation, OS operating expenses were $35,481 for the first quarter of 2009. Operating expenses in the first quarter of 2010 also benefited from a $3,666 decline in MSR amortization expense in the Servicing segment. Income from operations declined by $1,915, or 5% in the first quarter of 2010 as compared to 2009.</w:t>
      </w:r>
    </w:p>
    <w:p>
      <w:pPr>
        <w:spacing w:after="0" w:line="171" w:lineRule="exact"/>
        <w:rPr>
          <w:sz w:val="20"/>
          <w:szCs w:val="20"/>
          <w:color w:val="auto"/>
        </w:rPr>
      </w:pPr>
    </w:p>
    <w:p>
      <w:pPr>
        <w:jc w:val="both"/>
        <w:ind w:firstLine="586"/>
        <w:spacing w:after="0" w:line="259" w:lineRule="auto"/>
        <w:rPr>
          <w:sz w:val="20"/>
          <w:szCs w:val="20"/>
          <w:color w:val="auto"/>
        </w:rPr>
      </w:pPr>
      <w:r>
        <w:rPr>
          <w:rFonts w:ascii="Arial" w:cs="Arial" w:eastAsia="Arial" w:hAnsi="Arial"/>
          <w:sz w:val="18"/>
          <w:szCs w:val="18"/>
          <w:color w:val="auto"/>
        </w:rPr>
        <w:t>Other expense, net declined $10,096 in the first quarter of 2010 primarily due to net gains on auction rate securities and to reductions in both Interest expense and Loss on loans held for resale, net. As a result, income from continuing operations before taxes climbed to $31,445 in the first quarter of 2010 from $23,264 in first quarter of 2009. Net income was 38% higher for the first quarter of 2010.</w:t>
      </w:r>
    </w:p>
    <w:p>
      <w:pPr>
        <w:spacing w:after="0" w:line="194" w:lineRule="exact"/>
        <w:rPr>
          <w:sz w:val="20"/>
          <w:szCs w:val="20"/>
          <w:color w:val="auto"/>
        </w:rPr>
      </w:pPr>
    </w:p>
    <w:p>
      <w:pPr>
        <w:jc w:val="both"/>
        <w:ind w:right="20" w:firstLine="577"/>
        <w:spacing w:after="0" w:line="306" w:lineRule="auto"/>
        <w:rPr>
          <w:sz w:val="20"/>
          <w:szCs w:val="20"/>
          <w:color w:val="auto"/>
        </w:rPr>
      </w:pPr>
      <w:r>
        <w:rPr>
          <w:rFonts w:ascii="Arial" w:cs="Arial" w:eastAsia="Arial" w:hAnsi="Arial"/>
          <w:sz w:val="16"/>
          <w:szCs w:val="16"/>
          <w:color w:val="auto"/>
        </w:rPr>
        <w:t>As subservicing and special servicing arrangements represent a larger portion of our portfolio, we expect revenues to decline as a percentage of UPB. However, we anticipate such declines to be more than offset by lower MSR amortization and interest expense on advance financing. We are able to enhance return on equity with subservicing and special servicing as we do not purchase MSRs and do not incur incremental amortization expense.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overall increase in our assets of $46,109, or 3%, was principally due to the following:</w:t>
      </w:r>
    </w:p>
    <w:p>
      <w:pPr>
        <w:spacing w:after="0" w:line="239" w:lineRule="exact"/>
        <w:rPr>
          <w:sz w:val="20"/>
          <w:szCs w:val="20"/>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increased by $209,094 as we fully borrowed under the $200,000 TALF note that we issued in February 2010.</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Auction rate securities declined by $122,428 due to sales, the settlement of two litigation actions and redemptions.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advances declined by $73,743 primarily due to modifications and relatively stable loan delinquency rates.</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Loans – restricted for securitization investors represent loans held by four securitization trusts that, effective January 1, 2010, we began to include in our consolidated financial statements under the provisions of ASC 810, Consolidation. See Note 7 to our Interim Consolidated Financial Statements for additional information.</w:t>
      </w:r>
    </w:p>
    <w:p>
      <w:pPr>
        <w:sectPr>
          <w:pgSz w:w="11900" w:h="16838" w:orient="portrait"/>
          <w:cols w:equalWidth="0" w:num="1">
            <w:col w:w="11420"/>
          </w:cols>
          <w:pgMar w:left="240" w:top="131" w:right="239" w:bottom="1048"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48" w:gutter="0" w:footer="0" w:header="0"/>
          <w:type w:val="continuous"/>
        </w:sectPr>
      </w:pPr>
    </w:p>
    <w:bookmarkStart w:id="35" w:name="page36"/>
    <w:bookmarkEnd w:id="35"/>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MSRs declined by $6,081 primarily due to amortization. We did not purchase any MSRS during the first quarter of 2010.</w:t>
      </w:r>
    </w:p>
    <w:p>
      <w:pPr>
        <w:spacing w:after="0" w:line="157"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Receivables, net, decreased by $13,533 due to collections on subservicing and special servicing agreements, offset in part by an increase in current income taxes as discussed below.</w:t>
      </w:r>
    </w:p>
    <w:p>
      <w:pPr>
        <w:spacing w:after="0" w:line="118"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Deferred tax assets, net, declined by $17,541. Income tax expense for the quarter includes $10,724 of deferred expense. In addition, a non-cash tax asset of $8,486 arising from the expected deductibility of losses in a finance vehicle was reclassified from deferred tax assets to current income taxes during the first quarter.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Liabilities increased by $21,125, or 2%, primarily as a result of the following items:</w:t>
      </w:r>
    </w:p>
    <w:p>
      <w:pPr>
        <w:spacing w:after="0" w:line="239" w:lineRule="exact"/>
        <w:rPr>
          <w:sz w:val="20"/>
          <w:szCs w:val="20"/>
          <w:color w:val="auto"/>
        </w:rPr>
      </w:pPr>
    </w:p>
    <w:p>
      <w:pPr>
        <w:ind w:left="1160" w:hanging="571"/>
        <w:spacing w:after="0" w:line="268"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Match funded liabilities increased by $90,794 reflecting the issuance of $200,000 of notes under the TALF program offset in part by paydowns of borrowings under other facilities.</w:t>
      </w:r>
    </w:p>
    <w:p>
      <w:pPr>
        <w:spacing w:after="0" w:line="118"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 consist of certificates issued by the four securitization trusts that we began to include in our consolidated financial statements effective January 1, 2010. See Note 12 to our Interim Consolidated Financial Statements for additional information.</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Lines of credit and other secured borrowings increased $62,699 due to the $74,953 secured borrowing in connection with our sale of ARS with an option to repurchase. This new borrowing was partly offset by the first annual $12,000 repayment on our $60,000 fee reimbursement advance in March.</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fully repaid the investment line term note which had an outstanding balance of $156,968 at December 31, 2009.</w:t>
      </w:r>
    </w:p>
    <w:p>
      <w:pPr>
        <w:spacing w:after="0" w:line="157"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Servicer liabilities declined by $17,421 largely because of a decrease in partial borrower payments and other unapplied balances as well as borrower payments not yet deposited in custodial accounts. The decline in borrower payments is the result of slower repayments.</w:t>
      </w:r>
    </w:p>
    <w:p>
      <w:pPr>
        <w:spacing w:after="0" w:line="71" w:lineRule="exact"/>
        <w:rPr>
          <w:rFonts w:ascii="Arial" w:cs="Arial" w:eastAsia="Arial" w:hAnsi="Arial"/>
          <w:sz w:val="16"/>
          <w:szCs w:val="16"/>
          <w:color w:val="auto"/>
        </w:rPr>
      </w:pPr>
    </w:p>
    <w:p>
      <w:pPr>
        <w:ind w:left="1160" w:right="20" w:hanging="571"/>
        <w:spacing w:after="0" w:line="268"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securities declined as a result of repurchases. In January 2010, we repurchased $12,930 par value of our 10.875% Capital Trust Securities at a discount to par value in the open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We define liquidity as unencumbered cash balances plus unused, collateralized advance financing capacity. Our liquidity as of March 31, 2010, as measured by cash and available credit, was $358,436, an increase of $66,321, or 23%, from December 31, 2009 to March 31, 2010. At March 31, 2010, our cash position was $300,013 compared to $90,919 at December 31, 2009. Our available credit on collateralized but unused advance financing capacity was $58,423 at March 31, 2010 compared to $0 a year ago. We used available cash to fund advance balances, as part of our debt and interest expense reduction strategy (more fully described below).</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239" w:lineRule="exact"/>
        <w:rPr>
          <w:sz w:val="20"/>
          <w:szCs w:val="20"/>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Match funded liabilities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Lines of credit and other secured borrowings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Servicing fees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received on trading securities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near-term sources, additional long-term sources of liquidity include debt securities and equity capital.</w:t>
      </w:r>
    </w:p>
    <w:p>
      <w:pPr>
        <w:spacing w:after="0" w:line="225" w:lineRule="exact"/>
        <w:rPr>
          <w:sz w:val="20"/>
          <w:szCs w:val="20"/>
          <w:color w:val="auto"/>
        </w:rPr>
      </w:pPr>
    </w:p>
    <w:p>
      <w:pPr>
        <w:ind w:right="20" w:firstLine="503"/>
        <w:spacing w:after="0" w:line="268"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39" w:lineRule="exact"/>
        <w:rPr>
          <w:sz w:val="20"/>
          <w:szCs w:val="20"/>
          <w:color w:val="auto"/>
        </w:rPr>
      </w:pPr>
    </w:p>
    <w:p>
      <w:pPr>
        <w:ind w:left="1100" w:hanging="538"/>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157" w:lineRule="exact"/>
        <w:rPr>
          <w:rFonts w:ascii="Arial" w:cs="Arial" w:eastAsia="Arial" w:hAnsi="Arial"/>
          <w:sz w:val="18"/>
          <w:szCs w:val="18"/>
          <w:color w:val="auto"/>
        </w:rPr>
      </w:pPr>
    </w:p>
    <w:p>
      <w:pPr>
        <w:ind w:left="1100" w:hanging="538"/>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157" w:lineRule="exact"/>
        <w:rPr>
          <w:rFonts w:ascii="Arial" w:cs="Arial" w:eastAsia="Arial" w:hAnsi="Arial"/>
          <w:sz w:val="18"/>
          <w:szCs w:val="18"/>
          <w:color w:val="auto"/>
        </w:rPr>
      </w:pPr>
    </w:p>
    <w:p>
      <w:pPr>
        <w:ind w:left="1100" w:hanging="538"/>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25" w:lineRule="exact"/>
        <w:rPr>
          <w:sz w:val="20"/>
          <w:szCs w:val="20"/>
          <w:color w:val="auto"/>
        </w:rPr>
      </w:pPr>
    </w:p>
    <w:p>
      <w:pPr>
        <w:jc w:val="both"/>
        <w:ind w:firstLine="695"/>
        <w:spacing w:after="0" w:line="259" w:lineRule="auto"/>
        <w:rPr>
          <w:sz w:val="20"/>
          <w:szCs w:val="20"/>
          <w:color w:val="auto"/>
        </w:rPr>
      </w:pPr>
      <w:r>
        <w:rPr>
          <w:rFonts w:ascii="Arial" w:cs="Arial" w:eastAsia="Arial" w:hAnsi="Arial"/>
          <w:sz w:val="18"/>
          <w:szCs w:val="18"/>
          <w:color w:val="auto"/>
        </w:rPr>
        <w:t>Currently, we are primarily invested in money market demand deposits. Furthermore, our investment policies are intended to minimize credit and counterparty risk by establishing risk limits based on each counterparty’s equity size and long-term credit ratings. We regularly monitor and project cash flow timing in connection with our efforts to optimize the risk-adjusted yield of our portfolio of investments.</w:t>
      </w:r>
    </w:p>
    <w:p>
      <w:pPr>
        <w:spacing w:after="0" w:line="194"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In August 2009, we implemented a strategy to deploy excess cash balances to reduce outstanding debt levels and interest expense. We also began to execute on a strategy to increase the duration of our advance financing. As part of this strategy, we issued multi-year fixed rate notes under the TALF program and created a new advance facility structure which allows for multiple notes with staggering maturity dates to reduce roll-over risk.</w:t>
      </w:r>
    </w:p>
    <w:p>
      <w:pPr>
        <w:sectPr>
          <w:pgSz w:w="11900" w:h="16838" w:orient="portrait"/>
          <w:cols w:equalWidth="0" w:num="1">
            <w:col w:w="11420"/>
          </w:cols>
          <w:pgMar w:left="240" w:top="388" w:right="239" w:bottom="832"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832" w:gutter="0" w:footer="0" w:header="0"/>
          <w:type w:val="continuous"/>
        </w:sectPr>
      </w:pPr>
    </w:p>
    <w:bookmarkStart w:id="36" w:name="page37"/>
    <w:bookmarkEnd w:id="36"/>
    <w:p>
      <w:pPr>
        <w:jc w:val="both"/>
        <w:ind w:firstLine="460"/>
        <w:spacing w:after="0" w:line="268" w:lineRule="auto"/>
        <w:rPr>
          <w:sz w:val="20"/>
          <w:szCs w:val="20"/>
          <w:color w:val="auto"/>
        </w:rPr>
      </w:pPr>
      <w:r>
        <w:rPr>
          <w:rFonts w:ascii="Arial" w:cs="Arial" w:eastAsia="Arial" w:hAnsi="Arial"/>
          <w:sz w:val="18"/>
          <w:szCs w:val="18"/>
          <w:color w:val="auto"/>
        </w:rPr>
        <w:t>At March 31, 2010, $1,031,515 of our total maximum borrowing capacity remained unused. The unused borrowing capacity in the Servicing business may be utilized in the future by pledging additional qualifying collateral to our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31"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Asset and liability management is concerned with the timing and magnitude of the re-pricing of assets and liabilities. We review the sensitivity of our assets and liabilities to interest rate changes, the book and market values of assets and liabilities, unrealized gains and losses, including those attributable to hedging transactions, purchase and sale activity, and maturities of investments and borrowings.</w:t>
      </w:r>
    </w:p>
    <w:p>
      <w:pPr>
        <w:spacing w:after="0" w:line="194" w:lineRule="exact"/>
        <w:rPr>
          <w:sz w:val="20"/>
          <w:szCs w:val="20"/>
          <w:color w:val="auto"/>
        </w:rPr>
      </w:pPr>
    </w:p>
    <w:p>
      <w:pPr>
        <w:jc w:val="both"/>
        <w:ind w:right="20" w:firstLine="493"/>
        <w:spacing w:after="0" w:line="259" w:lineRule="auto"/>
        <w:rPr>
          <w:sz w:val="20"/>
          <w:szCs w:val="20"/>
          <w:color w:val="auto"/>
        </w:rPr>
      </w:pPr>
      <w:r>
        <w:rPr>
          <w:rFonts w:ascii="Arial" w:cs="Arial" w:eastAsia="Arial" w:hAnsi="Arial"/>
          <w:sz w:val="18"/>
          <w:szCs w:val="18"/>
          <w:color w:val="auto"/>
        </w:rPr>
        <w:t>We review interest rate risk by forecasting the impact of alternative interest rate environments on interest income and interest expense. We are exposed to interest rate risk to the extent that our interest-bearing liabilities mature or re-price at different speeds, or different bases, than interest-earning assets or when we use debt to finance assets that are non-interest earning.</w:t>
      </w:r>
    </w:p>
    <w:p>
      <w:pPr>
        <w:spacing w:after="0" w:line="194" w:lineRule="exact"/>
        <w:rPr>
          <w:sz w:val="20"/>
          <w:szCs w:val="20"/>
          <w:color w:val="auto"/>
        </w:rPr>
      </w:pPr>
    </w:p>
    <w:p>
      <w:pPr>
        <w:jc w:val="both"/>
        <w:ind w:firstLine="594"/>
        <w:spacing w:after="0" w:line="288" w:lineRule="auto"/>
        <w:rPr>
          <w:sz w:val="20"/>
          <w:szCs w:val="20"/>
          <w:color w:val="auto"/>
        </w:rPr>
      </w:pPr>
      <w:r>
        <w:rPr>
          <w:rFonts w:ascii="Arial" w:cs="Arial" w:eastAsia="Arial" w:hAnsi="Arial"/>
          <w:sz w:val="16"/>
          <w:szCs w:val="16"/>
          <w:color w:val="auto"/>
        </w:rPr>
        <w:t>Our Servicing business is characterized by non-interest earning assets financed by interest-bearing liabilities. Among the more significant non-interest earning assets are servicing advances and MSRs. At March 31, 2010, we had total advances and match funded advances of $894,786. We are indirectly exposed to interest risk by our funding of advances because approximately $610,085, or 68%, of our total advances and match funded advances are funded through borrowings, and $152,085, or 25%, of such borrowings are variable rate debt. We significantly increased our ratio of interest rate sensitive assets to interest rate sensitive liabilities during 2009 and the first quarter of 2010. This increase helps to reduce our exposure to interest rate volatility. When interest earned on float balances of $331,798 which are not included in our financial statements are considered by adding them to interest earning cash of $300,013, (including accounts that receive an earnings credit rate against bank fees) the risk of a rising interest rate environment is more than offset. If interest rates increased by 1% on our variable rate advance financing and interest earning cash and float balances, we estimate the net positive impact of approximately $4,800 would be a result of an increase of $6,300 to annual interest income compared to an increase of $1,500 to annual interest expense.</w:t>
      </w:r>
    </w:p>
    <w:p>
      <w:pPr>
        <w:spacing w:after="0" w:line="174"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We plan and monitor the maturity of our borrowings against the duration of our assets. Advances, which are the primary asset that we finance, have a weighted average life of 10 months. However, we still have to finance new Advances which extends the effective duration. The weighted average life of our related financing facilities is just over 12 months.</w:t>
      </w:r>
    </w:p>
    <w:p>
      <w:pPr>
        <w:spacing w:after="0" w:line="194"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During the global liquidity crises in 2007 through 2009, we renewed and upsized 364-day variable funding notes. As liquidity returned to the market in the second half of 2009, we increased the duration of our funding sources. For example, our recent TALF issuances of $210,000 in December 2009 and $200,000 in February 2010 increased the maturity for 46% of our Advances and Match funded advances at fixed interest rates.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none of our 364-day facilities were renewed, we would still have approximately $538,200 in funding capacity in March 2011.</w:t>
      </w:r>
    </w:p>
    <w:p>
      <w:pPr>
        <w:spacing w:after="0" w:line="225" w:lineRule="exact"/>
        <w:rPr>
          <w:sz w:val="20"/>
          <w:szCs w:val="20"/>
          <w:color w:val="auto"/>
        </w:rPr>
      </w:pPr>
    </w:p>
    <w:p>
      <w:pPr>
        <w:jc w:val="both"/>
        <w:ind w:firstLine="520"/>
        <w:spacing w:after="0" w:line="256" w:lineRule="auto"/>
        <w:rPr>
          <w:sz w:val="20"/>
          <w:szCs w:val="20"/>
          <w:color w:val="auto"/>
        </w:rPr>
      </w:pPr>
      <w:r>
        <w:rPr>
          <w:rFonts w:ascii="Arial" w:cs="Arial" w:eastAsia="Arial" w:hAnsi="Arial"/>
          <w:sz w:val="18"/>
          <w:szCs w:val="18"/>
          <w:color w:val="auto"/>
        </w:rPr>
        <w:t>The reduction in our debt levels and the issuance of the TALF notes were key factors in reducing our variable rate debt from 53% of total borrowings at December 31, 2009 to 30% at March 31, 2010. At March 31, 2010, we had interest rate caps with a notional amount of $250,000 and $83,333 to hedge our exposure to rising interest rates on the $250,000 variable-rate match funded note issued in December 2007 and the $100,000 variable-rate match funded note that was renewed in March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29 through 31 of Management’s Discussion and Analysis of Results of Operations and Financial Condition and in Note 1 to our Interim Consolidated Financial Statements for the year ended December 31, 2009 included in our Annual Report on Form 10-K filed March 8, 2010. Such policies have not changed during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31"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For each of our business segments, the following section provides a discussion of the changes in financial condition during the three months ended March 31, 2010 and a discussion of pre-tax results of operations for the three months ended March 31, 2010 and 2009. Due to the Separation, as of August 10, 2009, neither the assets and liabilities, nor the subsequent operations of the Mortgage Services, Financial Services and Technology Products segments, except for BMS and GSS, are included in our results. As a separate, publicly-traded company, Altisource Portfolio Solutions S.A. (NASDAQ:ASPS) will file a Form 10-Q with the Securities and Exchange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Servicing</w:t>
            </w:r>
          </w:p>
        </w:tc>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10000" w:type="dxa"/>
            <w:vAlign w:val="bottom"/>
            <w:gridSpan w:val="6"/>
          </w:tcPr>
          <w:p>
            <w:pPr>
              <w:ind w:left="420"/>
              <w:spacing w:after="0"/>
              <w:rPr>
                <w:sz w:val="20"/>
                <w:szCs w:val="20"/>
                <w:color w:val="auto"/>
              </w:rPr>
            </w:pPr>
            <w:r>
              <w:rPr>
                <w:rFonts w:ascii="Arial" w:cs="Arial" w:eastAsia="Arial" w:hAnsi="Arial"/>
                <w:sz w:val="18"/>
                <w:szCs w:val="18"/>
                <w:color w:val="auto"/>
                <w:w w:val="98"/>
              </w:rPr>
              <w:t>The following table presents selected results of operations of our Servicing segment for the three months ended March 31: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3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66,833</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Process management fees</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7,903</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9,715</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75,453</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74,694</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4900" w:type="dxa"/>
            <w:vAlign w:val="bottom"/>
            <w:gridSpan w:val="3"/>
            <w:vMerge w:val="continue"/>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Compensation and benefits</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7,821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8,613</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Amortization of servicing rights</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Servicing and origination</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Technology and communications</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Professional services</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Occupancy and equipment</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operating expenses</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7,149</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operating expenses</w:t>
            </w:r>
          </w:p>
        </w:tc>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30,787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 w:type="dxa"/>
            <w:vAlign w:val="bottom"/>
            <w:gridSpan w:val="2"/>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44,666</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40,476</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4900" w:type="dxa"/>
            <w:vAlign w:val="bottom"/>
            <w:gridSpan w:val="3"/>
            <w:vMerge w:val="continue"/>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(11,137)</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Loss on debt redemption</w:t>
            </w:r>
          </w:p>
        </w:tc>
        <w:tc>
          <w:tcPr>
            <w:tcW w:w="3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Total other expense, net</w:t>
            </w:r>
          </w:p>
        </w:tc>
        <w:tc>
          <w:tcPr>
            <w:tcW w:w="35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(12,161)</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(15,280)</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4900" w:type="dxa"/>
            <w:vAlign w:val="bottom"/>
            <w:gridSpan w:val="3"/>
            <w:vMerge w:val="continue"/>
          </w:tcPr>
          <w:p>
            <w:pPr>
              <w:spacing w:after="0"/>
              <w:rPr>
                <w:sz w:val="24"/>
                <w:szCs w:val="24"/>
                <w:color w:val="auto"/>
              </w:rPr>
            </w:pPr>
          </w:p>
        </w:tc>
        <w:tc>
          <w:tcPr>
            <w:tcW w:w="3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32,505</w:t>
            </w:r>
          </w:p>
        </w:tc>
        <w:tc>
          <w:tcPr>
            <w:tcW w:w="3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25,196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540" w:type="dxa"/>
            <w:vAlign w:val="bottom"/>
            <w:vMerge w:val="restart"/>
          </w:tcPr>
          <w:p>
            <w:pPr>
              <w:jc w:val="right"/>
              <w:ind w:right="2552"/>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The following table provides selected operating statistics at or for the three months ended March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Performing loans (1)</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35,212,396</w:t>
            </w:r>
          </w:p>
        </w:tc>
        <w:tc>
          <w:tcPr>
            <w:tcW w:w="18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8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29,880,797</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10,742,792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8,118,175</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 real estate</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3,722,811</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2,790,163</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60" w:type="dxa"/>
            <w:vAlign w:val="bottom"/>
            <w:vMerge w:val="restart"/>
          </w:tcPr>
          <w:p>
            <w:pPr>
              <w:ind w:left="300"/>
              <w:spacing w:after="0"/>
              <w:rPr>
                <w:sz w:val="20"/>
                <w:szCs w:val="20"/>
                <w:color w:val="auto"/>
              </w:rPr>
            </w:pPr>
            <w:r>
              <w:rPr>
                <w:rFonts w:ascii="Arial" w:cs="Arial" w:eastAsia="Arial" w:hAnsi="Arial"/>
                <w:sz w:val="18"/>
                <w:szCs w:val="18"/>
                <w:color w:val="auto"/>
              </w:rPr>
              <w:t>Total residential assets serviced (2)</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200" w:type="dxa"/>
            <w:vAlign w:val="bottom"/>
            <w:gridSpan w:val="2"/>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49,677,999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40,789,135</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20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Average residential assets serviced</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49,940,031</w:t>
            </w:r>
          </w:p>
        </w:tc>
        <w:tc>
          <w:tcPr>
            <w:tcW w:w="18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8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40,116,314</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180" w:type="dxa"/>
            <w:vAlign w:val="bottom"/>
            <w:gridSpan w:val="2"/>
          </w:tcPr>
          <w:p>
            <w:pPr>
              <w:spacing w:after="0"/>
              <w:rPr>
                <w:sz w:val="20"/>
                <w:szCs w:val="20"/>
                <w:color w:val="auto"/>
              </w:rPr>
            </w:pPr>
            <w:r>
              <w:rPr>
                <w:rFonts w:ascii="Arial" w:cs="Arial" w:eastAsia="Arial" w:hAnsi="Arial"/>
                <w:sz w:val="18"/>
                <w:szCs w:val="18"/>
                <w:color w:val="auto"/>
              </w:rPr>
              <w:t>Prepayment speed (average CPR)</w:t>
            </w:r>
          </w:p>
        </w:tc>
        <w:tc>
          <w:tcPr>
            <w:tcW w:w="2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Percent of total UPB:</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Servicing portfolio</w:t>
            </w: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Subservicing portfolio</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25.6</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Non-performing residential assets serviced, excluding Freddie Mac</w:t>
            </w:r>
          </w:p>
        </w:tc>
        <w:tc>
          <w:tcPr>
            <w:tcW w:w="2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Performing loans (1)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248,215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 loans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57,757</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43,657</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Non-performing real estate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18,611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12,228</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number of residential assets serviced (2)</w:t>
            </w: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346,985</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304,100</w:t>
            </w: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Average number of residential assets serviced</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349,901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313,093</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Percent of total number:</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Servicing portfolio</w:t>
            </w: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Subservicing portfolio</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34.0</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Non-performing residential assets serviced, excluding Freddie Mac</w:t>
            </w:r>
          </w:p>
        </w:tc>
        <w:tc>
          <w:tcPr>
            <w:tcW w:w="2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Loan servicing and subservicing</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45,870</w:t>
            </w:r>
          </w:p>
        </w:tc>
        <w:tc>
          <w:tcPr>
            <w:tcW w:w="180" w:type="dxa"/>
            <w:vAlign w:val="bottom"/>
          </w:tcPr>
          <w:p>
            <w:pPr>
              <w:spacing w:after="0"/>
              <w:rPr>
                <w:sz w:val="18"/>
                <w:szCs w:val="18"/>
                <w:color w:val="auto"/>
              </w:rPr>
            </w:pPr>
          </w:p>
        </w:tc>
        <w:tc>
          <w:tcPr>
            <w:tcW w:w="3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45,878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Late charges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8,177</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10,698</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HAMP fees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 collection fees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2,065</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1,850</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3,226</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4,149</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200" w:type="dxa"/>
            <w:vAlign w:val="bottom"/>
            <w:gridSpan w:val="2"/>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64,640</w:t>
            </w: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8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Financing Costs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Average balance of advances and match funded advances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908,827</w:t>
            </w:r>
          </w:p>
        </w:tc>
        <w:tc>
          <w:tcPr>
            <w:tcW w:w="180" w:type="dxa"/>
            <w:vAlign w:val="bottom"/>
          </w:tcPr>
          <w:p>
            <w:pPr>
              <w:spacing w:after="0"/>
              <w:rPr>
                <w:sz w:val="18"/>
                <w:szCs w:val="18"/>
                <w:color w:val="auto"/>
              </w:rPr>
            </w:pPr>
          </w:p>
        </w:tc>
        <w:tc>
          <w:tcPr>
            <w:tcW w:w="3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1,123,759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Average borrowings</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535,833</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904,952</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Interest expense on borrowings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13,045</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Facility costs included in interest expense</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5,212</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4,868</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Effective average interest rate</w:t>
            </w: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5.77%</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Average 1-month LIBOR</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0.23%</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0.46%</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Average Employment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EAF9E8"/>
          </w:tcPr>
          <w:p>
            <w:pPr>
              <w:spacing w:after="0"/>
              <w:rPr>
                <w:sz w:val="20"/>
                <w:szCs w:val="20"/>
                <w:color w:val="auto"/>
              </w:rPr>
            </w:pPr>
            <w:r>
              <w:rPr>
                <w:rFonts w:ascii="Arial" w:cs="Arial" w:eastAsia="Arial" w:hAnsi="Arial"/>
                <w:sz w:val="18"/>
                <w:szCs w:val="18"/>
                <w:color w:val="auto"/>
              </w:rPr>
              <w:t>India and other</w:t>
            </w:r>
          </w:p>
        </w:tc>
        <w:tc>
          <w:tcPr>
            <w:tcW w:w="2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1,010</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1,331</w:t>
            </w:r>
          </w:p>
        </w:tc>
        <w:tc>
          <w:tcPr>
            <w:tcW w:w="24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180" w:type="dxa"/>
            <w:vAlign w:val="bottom"/>
            <w:gridSpan w:val="2"/>
          </w:tcPr>
          <w:p>
            <w:pPr>
              <w:spacing w:after="0"/>
              <w:rPr>
                <w:sz w:val="20"/>
                <w:szCs w:val="20"/>
                <w:color w:val="auto"/>
              </w:rPr>
            </w:pPr>
            <w:r>
              <w:rPr>
                <w:rFonts w:ascii="Arial" w:cs="Arial" w:eastAsia="Arial" w:hAnsi="Arial"/>
                <w:sz w:val="18"/>
                <w:szCs w:val="18"/>
                <w:color w:val="auto"/>
              </w:rPr>
              <w:t>Collections on loans serviced for others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1,161,877</w:t>
            </w:r>
          </w:p>
        </w:tc>
        <w:tc>
          <w:tcPr>
            <w:tcW w:w="180" w:type="dxa"/>
            <w:vAlign w:val="bottom"/>
          </w:tcPr>
          <w:p>
            <w:pPr>
              <w:spacing w:after="0"/>
              <w:rPr>
                <w:sz w:val="24"/>
                <w:szCs w:val="24"/>
                <w:color w:val="auto"/>
              </w:rPr>
            </w:pPr>
          </w:p>
        </w:tc>
        <w:tc>
          <w:tcPr>
            <w:tcW w:w="3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1,843,200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580" w:hanging="572"/>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March 31, 2010, we serviced 234,058 subprime loans with a UPB of $34,315,564. This compares to 243,593 subprime loans with a UPB of $35,682,666 as December 31, 2009. At March 31, 2009, we serviced 213,802 subprime loans and real estate with a UPB of $30,951,647.</w:t>
      </w:r>
    </w:p>
    <w:p>
      <w:pPr>
        <w:sectPr>
          <w:pgSz w:w="11900" w:h="16838" w:orient="portrait"/>
          <w:cols w:equalWidth="0" w:num="1">
            <w:col w:w="11420"/>
          </w:cols>
          <w:pgMar w:left="240" w:top="131" w:right="239" w:bottom="549"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549" w:gutter="0" w:footer="0" w:header="0"/>
          <w:type w:val="continuous"/>
        </w:sectPr>
      </w:pPr>
    </w:p>
    <w:bookmarkStart w:id="39" w:name="page40"/>
    <w:bookmarkEnd w:id="39"/>
    <w:p>
      <w:pPr>
        <w:ind w:left="58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 of UPB</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3"/>
          </w:tcPr>
          <w:p>
            <w:pPr>
              <w:ind w:left="1220"/>
              <w:spacing w:after="0"/>
              <w:rPr>
                <w:sz w:val="20"/>
                <w:szCs w:val="20"/>
                <w:color w:val="auto"/>
              </w:rPr>
            </w:pPr>
            <w:r>
              <w:rPr>
                <w:rFonts w:ascii="Arial" w:cs="Arial" w:eastAsia="Arial" w:hAnsi="Arial"/>
                <w:sz w:val="18"/>
                <w:szCs w:val="18"/>
                <w:b w:val="1"/>
                <w:bCs w:val="1"/>
                <w:color w:val="auto"/>
              </w:rPr>
              <w:t>Count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7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49,980,077</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0"/>
              </w:rPr>
              <w:t>40,171,532</w:t>
            </w:r>
          </w:p>
        </w:tc>
        <w:tc>
          <w:tcPr>
            <w:tcW w:w="320" w:type="dxa"/>
            <w:vAlign w:val="bottom"/>
            <w:shd w:val="clear" w:color="auto" w:fill="EAF9E8"/>
          </w:tcPr>
          <w:p>
            <w:pPr>
              <w:spacing w:after="0"/>
              <w:rPr>
                <w:sz w:val="18"/>
                <w:szCs w:val="18"/>
                <w:color w:val="auto"/>
              </w:rPr>
            </w:pPr>
          </w:p>
        </w:tc>
        <w:tc>
          <w:tcPr>
            <w:tcW w:w="12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351,595</w:t>
            </w:r>
          </w:p>
        </w:tc>
        <w:tc>
          <w:tcPr>
            <w:tcW w:w="3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1,372,733</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3,626,000</w:t>
            </w:r>
          </w:p>
        </w:tc>
        <w:tc>
          <w:tcPr>
            <w:tcW w:w="3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7,203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(1,674,811)</w:t>
            </w: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3"/>
              </w:rPr>
              <w:t>(3,008,397)</w:t>
            </w:r>
          </w:p>
        </w:tc>
        <w:tc>
          <w:tcPr>
            <w:tcW w:w="16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(11,813)</w:t>
            </w:r>
          </w:p>
        </w:tc>
        <w:tc>
          <w:tcPr>
            <w:tcW w:w="2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(29,451)</w:t>
            </w:r>
          </w:p>
        </w:tc>
        <w:tc>
          <w:tcPr>
            <w:tcW w:w="0" w:type="dxa"/>
            <w:vAlign w:val="bottom"/>
          </w:tcPr>
          <w:p>
            <w:pPr>
              <w:spacing w:after="0"/>
              <w:rPr>
                <w:sz w:val="1"/>
                <w:szCs w:val="1"/>
                <w:color w:val="auto"/>
              </w:rPr>
            </w:pPr>
          </w:p>
        </w:tc>
      </w:tr>
      <w:tr>
        <w:trPr>
          <w:trHeight w:val="243"/>
        </w:trPr>
        <w:tc>
          <w:tcPr>
            <w:tcW w:w="5200" w:type="dxa"/>
            <w:vAlign w:val="bottom"/>
            <w:vMerge w:val="restart"/>
          </w:tcPr>
          <w:p>
            <w:pPr>
              <w:spacing w:after="0"/>
              <w:rPr>
                <w:sz w:val="20"/>
                <w:szCs w:val="20"/>
                <w:color w:val="auto"/>
              </w:rPr>
            </w:pPr>
            <w:r>
              <w:rPr>
                <w:rFonts w:ascii="Arial" w:cs="Arial" w:eastAsia="Arial" w:hAnsi="Arial"/>
                <w:sz w:val="18"/>
                <w:szCs w:val="18"/>
                <w:color w:val="auto"/>
              </w:rPr>
              <w:t>Servicing portfolio at March 31</w:t>
            </w:r>
          </w:p>
        </w:tc>
        <w:tc>
          <w:tcPr>
            <w:tcW w:w="28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49,677,999</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40,789,135</w:t>
            </w:r>
          </w:p>
        </w:tc>
        <w:tc>
          <w:tcPr>
            <w:tcW w:w="3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346,985</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150495</wp:posOffset>
            </wp:positionV>
            <wp:extent cx="386778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67785" cy="260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firstLine="547"/>
        <w:spacing w:after="0" w:line="296" w:lineRule="auto"/>
        <w:rPr>
          <w:sz w:val="20"/>
          <w:szCs w:val="20"/>
          <w:color w:val="auto"/>
        </w:rPr>
      </w:pPr>
      <w:r>
        <w:rPr>
          <w:rFonts w:ascii="Arial" w:cs="Arial" w:eastAsia="Arial" w:hAnsi="Arial"/>
          <w:sz w:val="16"/>
          <w:szCs w:val="16"/>
          <w:b w:val="1"/>
          <w:bCs w:val="1"/>
          <w:color w:val="auto"/>
        </w:rPr>
        <w:t xml:space="preserve">Three Months Ended March 2010 versus 2009. </w:t>
      </w:r>
      <w:r>
        <w:rPr>
          <w:rFonts w:ascii="Arial" w:cs="Arial" w:eastAsia="Arial" w:hAnsi="Arial"/>
          <w:sz w:val="16"/>
          <w:szCs w:val="16"/>
          <w:color w:val="auto"/>
        </w:rPr>
        <w:t>Although the average UPB of residential assets serviced was 24% higher in the first quarter of 2010,</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servicing and subservicing fees were only 3% higher as subservicing and special servicing arrangements now represent a larger portion of our portfolio. However, lower servicing fees earned under subservicing and special servicing arrangements are more than offset by lower amortization and interest expense on advance financing. The percentage of UPB representing subservicing was 46.8% at March 31, 2010, an 83% increase from one year ago. HAMP fees of $6,453 in the first quarter of 2010 were partially offset by the forfeiture of late charges on HAMP modifications.</w:t>
      </w:r>
    </w:p>
    <w:p>
      <w:pPr>
        <w:spacing w:after="0" w:line="168"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As of March 31, 2010, we estimate that the balance of uncollected and unrecognized servicing fees related to delinquent borrower payments was $53,515 compared to $55,612 as of December 31, 2009.</w:t>
      </w:r>
    </w:p>
    <w:p>
      <w:pPr>
        <w:spacing w:after="0" w:line="186" w:lineRule="exact"/>
        <w:rPr>
          <w:sz w:val="20"/>
          <w:szCs w:val="20"/>
          <w:color w:val="auto"/>
        </w:rPr>
      </w:pPr>
    </w:p>
    <w:p>
      <w:pPr>
        <w:jc w:val="both"/>
        <w:ind w:firstLine="516"/>
        <w:spacing w:after="0" w:line="298" w:lineRule="auto"/>
        <w:rPr>
          <w:sz w:val="20"/>
          <w:szCs w:val="20"/>
          <w:color w:val="auto"/>
        </w:rPr>
      </w:pPr>
      <w:r>
        <w:rPr>
          <w:rFonts w:ascii="Arial" w:cs="Arial" w:eastAsia="Arial" w:hAnsi="Arial"/>
          <w:sz w:val="16"/>
          <w:szCs w:val="16"/>
          <w:color w:val="auto"/>
        </w:rPr>
        <w:t>Operating expenses benefited from lower MSR amortization expense and lower Servicing and origination expense. Amortization expense declined in the first three months of 2010 as compared to the first three months of 2009 as the projected average prepayment speed (CPR) fell and we shifted our portfolio composition to more subservicing arrangements, leading to a 14% lower average MSR balance in the first three months of 2010. Servicing and origination expense declined due to the implementation of additional process improvements and the reversal of $723 of the MSR valuation allowance.</w:t>
      </w:r>
    </w:p>
    <w:p>
      <w:pPr>
        <w:spacing w:after="0" w:line="167"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The delinquency rate remained relatively stable in the first quarter of 2010. Total advances declined due to an increase in modifications, offset in part by seasonal property tax payments and a decline in real estate sales. We expect delinquency rates to remain flat or decline somewhat during the remainder of 2010 which will lead to further reductions in advances.</w:t>
      </w:r>
    </w:p>
    <w:p>
      <w:pPr>
        <w:spacing w:after="0" w:line="194"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Prepayment speed was lower in the first quarter of 2010 primarily due to a decline in loan payoffs and real estate sales. Real estate sales and other involuntary liquidations accounted for approximately 76% of prepayments during the first quarter of 2010 as compared to approximately 85% for the same period in 2009.</w:t>
      </w:r>
    </w:p>
    <w:p>
      <w:pPr>
        <w:spacing w:after="0" w:line="194"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We completed a total of 19,612 modifications during the first quarter of 2010 as compared to 20,651 during the first quarter of 2009. In the first quarter of 2010, 32% of completed modifications were HAMP and the remainder were non-HAMP. This compares to 15,677 modifications in the fourth quarter of 2009, of which 27% were HAMP.</w:t>
      </w:r>
    </w:p>
    <w:p>
      <w:pPr>
        <w:spacing w:after="0" w:line="194" w:lineRule="exact"/>
        <w:rPr>
          <w:sz w:val="20"/>
          <w:szCs w:val="20"/>
          <w:color w:val="auto"/>
        </w:rPr>
      </w:pPr>
    </w:p>
    <w:p>
      <w:pPr>
        <w:jc w:val="both"/>
        <w:ind w:firstLine="450"/>
        <w:spacing w:after="0" w:line="256" w:lineRule="auto"/>
        <w:rPr>
          <w:sz w:val="20"/>
          <w:szCs w:val="20"/>
          <w:color w:val="auto"/>
        </w:rPr>
      </w:pPr>
      <w:r>
        <w:rPr>
          <w:rFonts w:ascii="Arial" w:cs="Arial" w:eastAsia="Arial" w:hAnsi="Arial"/>
          <w:sz w:val="18"/>
          <w:szCs w:val="18"/>
          <w:color w:val="auto"/>
        </w:rPr>
        <w:t>Interest expense in the first quarter of 2010 was lower than in the same period of 2009 principally because of the decline in match funded advances coupled with our strategy of reducing advance financing with the proceeds of our equity offering. However, our average effective interest rate for the first quarter of 2010 has risen significantly as compared to the first quarter of 2009. This is the result of the higher spreads over LIBOR charged on new variable rate match funded facilities and higher facility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w w:val="97"/>
              </w:rPr>
              <w:t>The following table shows selected assets and liabilities of our Servicing segment at: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72"/>
              <w:spacing w:after="0"/>
              <w:rPr>
                <w:sz w:val="20"/>
                <w:szCs w:val="20"/>
                <w:color w:val="auto"/>
              </w:rPr>
            </w:pPr>
            <w:r>
              <w:rPr>
                <w:rFonts w:ascii="Arial" w:cs="Arial" w:eastAsia="Arial" w:hAnsi="Arial"/>
                <w:sz w:val="18"/>
                <w:szCs w:val="18"/>
                <w:b w:val="1"/>
                <w:bCs w:val="1"/>
                <w:color w:val="auto"/>
                <w:w w:val="91"/>
              </w:rPr>
              <w:t>December 31, 2009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6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Advances</w:t>
            </w:r>
          </w:p>
        </w:tc>
        <w:tc>
          <w:tcPr>
            <w:tcW w:w="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51"/>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133,525</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141,429</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Match funded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757,111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822,615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(Residential)</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111,721</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117,802</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18,640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43,079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47,541</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50,221</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Debt issuance costs,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11,732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8,912</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9,264</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spacing w:after="0"/>
              <w:rPr>
                <w:sz w:val="21"/>
                <w:szCs w:val="21"/>
                <w:color w:val="auto"/>
              </w:rPr>
            </w:pPr>
          </w:p>
        </w:tc>
        <w:tc>
          <w:tcPr>
            <w:tcW w:w="1620" w:type="dxa"/>
            <w:vAlign w:val="bottom"/>
            <w:gridSpan w:val="2"/>
          </w:tcPr>
          <w:p>
            <w:pPr>
              <w:spacing w:after="0"/>
              <w:rPr>
                <w:sz w:val="21"/>
                <w:szCs w:val="21"/>
                <w:color w:val="auto"/>
              </w:rPr>
            </w:pPr>
          </w:p>
        </w:tc>
        <w:tc>
          <w:tcPr>
            <w:tcW w:w="5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1,089,182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1,191,212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1620" w:type="dxa"/>
            <w:vAlign w:val="bottom"/>
            <w:tcBorders>
              <w:bottom w:val="single" w:sz="8" w:color="auto"/>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620" w:type="dxa"/>
            <w:vAlign w:val="bottom"/>
            <w:gridSpan w:val="2"/>
          </w:tcPr>
          <w:p>
            <w:pPr>
              <w:spacing w:after="0"/>
              <w:rPr>
                <w:sz w:val="11"/>
                <w:szCs w:val="11"/>
                <w:color w:val="auto"/>
              </w:rPr>
            </w:pPr>
          </w:p>
        </w:tc>
        <w:tc>
          <w:tcPr>
            <w:tcW w:w="50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80" w:type="dxa"/>
            <w:vAlign w:val="bottom"/>
            <w:gridSpan w:val="2"/>
            <w:shd w:val="clear" w:color="auto" w:fill="EAF9E8"/>
          </w:tcPr>
          <w:p>
            <w:pPr>
              <w:jc w:val="right"/>
              <w:ind w:right="51"/>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556,485</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465,691</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43,556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55,810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21,146</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38,570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Deferred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12,781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7,976</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7,947</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Servicing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2,478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15,162</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15,575</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gridSpan w:val="2"/>
          </w:tcPr>
          <w:p>
            <w:pPr>
              <w:spacing w:after="0"/>
              <w:rPr>
                <w:sz w:val="21"/>
                <w:szCs w:val="21"/>
                <w:color w:val="auto"/>
              </w:rPr>
            </w:pPr>
          </w:p>
        </w:tc>
        <w:tc>
          <w:tcPr>
            <w:tcW w:w="1620" w:type="dxa"/>
            <w:vAlign w:val="bottom"/>
            <w:gridSpan w:val="2"/>
          </w:tcPr>
          <w:p>
            <w:pPr>
              <w:spacing w:after="0"/>
              <w:rPr>
                <w:sz w:val="21"/>
                <w:szCs w:val="21"/>
                <w:color w:val="auto"/>
              </w:rPr>
            </w:pPr>
          </w:p>
        </w:tc>
        <w:tc>
          <w:tcPr>
            <w:tcW w:w="5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659,584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150495</wp:posOffset>
            </wp:positionV>
            <wp:extent cx="25901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0165" cy="260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Residuals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selected results of operations of our Loans and Residuals segment for the three months ended March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70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2010</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2"/>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46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10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5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1520" w:type="dxa"/>
            <w:vAlign w:val="bottom"/>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spacing w:after="0"/>
              <w:rPr>
                <w:sz w:val="18"/>
                <w:szCs w:val="18"/>
                <w:color w:val="auto"/>
              </w:rPr>
            </w:pPr>
          </w:p>
        </w:tc>
        <w:tc>
          <w:tcPr>
            <w:tcW w:w="6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15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2,841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1,883</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trading securities</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0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Loss on loans held for resale, net</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net</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vMerge w:val="restart"/>
          </w:tcPr>
          <w:p>
            <w:pPr>
              <w:ind w:left="300"/>
              <w:spacing w:after="0"/>
              <w:rPr>
                <w:sz w:val="20"/>
                <w:szCs w:val="20"/>
                <w:color w:val="auto"/>
              </w:rPr>
            </w:pPr>
            <w:r>
              <w:rPr>
                <w:rFonts w:ascii="Arial" w:cs="Arial" w:eastAsia="Arial" w:hAnsi="Arial"/>
                <w:sz w:val="18"/>
                <w:szCs w:val="18"/>
                <w:color w:val="auto"/>
              </w:rPr>
              <w:t>Other expense, net</w:t>
            </w: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2700" w:type="dxa"/>
            <w:vAlign w:val="bottom"/>
            <w:gridSpan w:val="2"/>
          </w:tcPr>
          <w:p>
            <w:pPr>
              <w:spacing w:after="0"/>
              <w:rPr>
                <w:sz w:val="12"/>
                <w:szCs w:val="12"/>
                <w:color w:val="auto"/>
              </w:rPr>
            </w:pPr>
          </w:p>
        </w:tc>
        <w:tc>
          <w:tcPr>
            <w:tcW w:w="800" w:type="dxa"/>
            <w:vAlign w:val="bottom"/>
            <w:gridSpan w:val="3"/>
          </w:tcPr>
          <w:p>
            <w:pPr>
              <w:spacing w:after="0"/>
              <w:rPr>
                <w:sz w:val="12"/>
                <w:szCs w:val="12"/>
                <w:color w:val="auto"/>
              </w:rPr>
            </w:pPr>
          </w:p>
        </w:tc>
        <w:tc>
          <w:tcPr>
            <w:tcW w:w="580" w:type="dxa"/>
            <w:vAlign w:val="bottom"/>
            <w:gridSpan w:val="2"/>
          </w:tcPr>
          <w:p>
            <w:pPr>
              <w:spacing w:after="0"/>
              <w:rPr>
                <w:sz w:val="12"/>
                <w:szCs w:val="12"/>
                <w:color w:val="auto"/>
              </w:rPr>
            </w:pPr>
          </w:p>
        </w:tc>
        <w:tc>
          <w:tcPr>
            <w:tcW w:w="16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700" w:type="dxa"/>
            <w:vAlign w:val="bottom"/>
            <w:gridSpan w:val="2"/>
            <w:shd w:val="clear" w:color="auto" w:fill="EAF9E8"/>
          </w:tcPr>
          <w:p>
            <w:pPr>
              <w:jc w:val="right"/>
              <w:ind w:right="1023"/>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(125)</w:t>
            </w:r>
          </w:p>
        </w:tc>
        <w:tc>
          <w:tcPr>
            <w:tcW w:w="580" w:type="dxa"/>
            <w:vAlign w:val="bottom"/>
            <w:gridSpan w:val="2"/>
            <w:shd w:val="clear" w:color="auto" w:fill="EAF9E8"/>
          </w:tcPr>
          <w:p>
            <w:pPr>
              <w:jc w:val="right"/>
              <w:ind w:right="25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Effective January 1, 2010, the Loans and Residual segment includes the four securitization trusts that we include in our consolidated financial statements under the provisions of ASC 810, Consolidation. Our results of operations for the quarter ended March 31, 2010 and our assets and liabilities as of that date include the effects of consolidating these trusts. See Note 1 to our Interim Consolidated Financial Statements—Securitizations of Residential Mortgage Loans, for additional information.</w:t>
      </w:r>
    </w:p>
    <w:p>
      <w:pPr>
        <w:spacing w:after="0" w:line="191" w:lineRule="exact"/>
        <w:rPr>
          <w:sz w:val="20"/>
          <w:szCs w:val="20"/>
          <w:color w:val="auto"/>
        </w:rPr>
      </w:pPr>
    </w:p>
    <w:p>
      <w:pPr>
        <w:jc w:val="both"/>
        <w:ind w:firstLine="561"/>
        <w:spacing w:after="0" w:line="293" w:lineRule="auto"/>
        <w:rPr>
          <w:sz w:val="20"/>
          <w:szCs w:val="20"/>
          <w:color w:val="auto"/>
        </w:rPr>
      </w:pPr>
      <w:r>
        <w:rPr>
          <w:rFonts w:ascii="Arial" w:cs="Arial" w:eastAsia="Arial" w:hAnsi="Arial"/>
          <w:sz w:val="16"/>
          <w:szCs w:val="16"/>
          <w:b w:val="1"/>
          <w:bCs w:val="1"/>
          <w:color w:val="auto"/>
        </w:rPr>
        <w:t xml:space="preserve">Three Months Ended March 2010 versus 2009. </w:t>
      </w:r>
      <w:r>
        <w:rPr>
          <w:rFonts w:ascii="Arial" w:cs="Arial" w:eastAsia="Arial" w:hAnsi="Arial"/>
          <w:sz w:val="16"/>
          <w:szCs w:val="16"/>
          <w:color w:val="auto"/>
        </w:rPr>
        <w:t>Interest income during the first quarter of 2010 was higher than in 2009 largely due to the effects of</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consolidating the loan securitization trusts on January 1, 2010. Interest income on Loans, net – restricted for securitization investors was $1,958 for the first quarter of 2010. Effective January 1, 2010, interest income on the securities that we hold that were issued by the securitization trusts is eliminated in consolidation against the interest expense of the trusts. The amount of such eliminated interest for the first quarter of 2010 was $436. The net increase arising from the consolidation of the trusts was offset in part by a decline in interest on loans held for resale. Interest on loans held for resale declined primarily due to a lower average loan principal balance because of payoffs, foreclosures and charge-offs.</w:t>
      </w:r>
    </w:p>
    <w:p>
      <w:pPr>
        <w:spacing w:after="0" w:line="171" w:lineRule="exact"/>
        <w:rPr>
          <w:sz w:val="20"/>
          <w:szCs w:val="20"/>
          <w:color w:val="auto"/>
        </w:rPr>
      </w:pPr>
    </w:p>
    <w:p>
      <w:pPr>
        <w:jc w:val="both"/>
        <w:ind w:firstLine="676"/>
        <w:spacing w:after="0" w:line="268" w:lineRule="auto"/>
        <w:rPr>
          <w:sz w:val="20"/>
          <w:szCs w:val="20"/>
          <w:color w:val="auto"/>
        </w:rPr>
      </w:pPr>
      <w:r>
        <w:rPr>
          <w:rFonts w:ascii="Arial" w:cs="Arial" w:eastAsia="Arial" w:hAnsi="Arial"/>
          <w:sz w:val="18"/>
          <w:szCs w:val="18"/>
          <w:color w:val="auto"/>
        </w:rPr>
        <w:t>Interest expense was lower in the first quarter of 2010 primarily due to our repayment in September 2009 of the remaining outstanding notes that represented our financing of loans held for resale.</w:t>
      </w:r>
    </w:p>
    <w:p>
      <w:pPr>
        <w:spacing w:after="0" w:line="186"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color w:val="auto"/>
        </w:rPr>
        <w:t>Losses on trading securities reflect the change in fair value on mortgage-backed securities. Effective January 1, 2010, we have eliminated our investment in the securities that were issued by the securitization trusts and, therefore, do not recognize gains or losses on changes in fair value. Loss on loans held for resale, net, includes the adjustment necessary to present loans and real estate on our Consolidated Balance Sheet at estimated fair value and realized losses on loan payoffs, foreclosures and charge-offs. The decline in losses on loans in the first quarter of 2010 reflects a smaller portfolio and a slower decline in the valuations on the underlying loan and real estate collateral. Other, net, includes $969 of realized losses on the loans held by the securitization trusts offset by a reduction of $151 in the allowance for loan losses on those loans and an increase of $116 in the fair value of an interest rate swap held by one of the trusts.</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1" w:name="page42"/>
    <w:bookmarkEnd w:id="41"/>
    <w:p>
      <w:pPr>
        <w:ind w:firstLine="523"/>
        <w:spacing w:after="0" w:line="268" w:lineRule="auto"/>
        <w:rPr>
          <w:sz w:val="20"/>
          <w:szCs w:val="20"/>
          <w:color w:val="auto"/>
        </w:rPr>
      </w:pPr>
      <w:r>
        <w:rPr>
          <w:rFonts w:ascii="Arial" w:cs="Arial" w:eastAsia="Arial" w:hAnsi="Arial"/>
          <w:sz w:val="18"/>
          <w:szCs w:val="18"/>
          <w:color w:val="auto"/>
        </w:rPr>
        <w:t>The UPB of nonperforming loans held for resale as a percentage of total UPB was 56% at both March 31, 2010 and December 31, 2009. There were no loan sales during the first quarter of 2010.</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remaining life of the subordinated and residual securities was 1.23 years at March 31, 2010.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selected assets and liabilities of our Loans and Residuals segment at: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352"/>
              <w:spacing w:after="0"/>
              <w:rPr>
                <w:sz w:val="20"/>
                <w:szCs w:val="20"/>
                <w:color w:val="auto"/>
              </w:rPr>
            </w:pPr>
            <w:r>
              <w:rPr>
                <w:rFonts w:ascii="Arial" w:cs="Arial" w:eastAsia="Arial" w:hAnsi="Arial"/>
                <w:sz w:val="18"/>
                <w:szCs w:val="18"/>
                <w:b w:val="1"/>
                <w:bCs w:val="1"/>
                <w:color w:val="auto"/>
              </w:rPr>
              <w:t>March 31, 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Restricted cash – for securitization investors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Subordinate and residual trading securities (1)</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(2)</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31,916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(3)</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71,336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Real estate (4)</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117,253</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 (5)</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68,996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71,151</w:t>
            </w:r>
          </w:p>
        </w:tc>
        <w:tc>
          <w:tcPr>
            <w:tcW w:w="2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more fully described in Note 1 to our Interim Consolidated Financial Statements—Securitizations of Residential Mortgage Loans, effective January 1, 2010, we eliminated our investment in securities issued by the newly consolidated securitization trusts.</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Loans held for resale at March 31, 2010 and December 31, 2009 includes non-performing loans with a carrying value of $14,155 and $14,382, respectively.</w:t>
      </w:r>
    </w:p>
    <w:p>
      <w:pPr>
        <w:spacing w:after="0" w:line="118"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$75,646 of loans held by the newly consolidated securitization trusts, including $13,941 of nonperforming loans. The balance is net of an allowance for loan losses of $4,310. See Note 7 to the Interim Consolidated Financial Statements for additional information regarding these loans.</w:t>
      </w:r>
    </w:p>
    <w:p>
      <w:pPr>
        <w:spacing w:after="0" w:line="71" w:lineRule="exact"/>
        <w:rPr>
          <w:rFonts w:ascii="Arial" w:cs="Arial" w:eastAsia="Arial" w:hAnsi="Arial"/>
          <w:sz w:val="16"/>
          <w:szCs w:val="16"/>
          <w:color w:val="auto"/>
        </w:rPr>
      </w:pPr>
    </w:p>
    <w:p>
      <w:pPr>
        <w:jc w:val="both"/>
        <w:ind w:left="580" w:hanging="572"/>
        <w:spacing w:after="0" w:line="29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$4,740 and $5,030 at March 31, 2010 and December 31, 2009, respectively, of foreclosed properties from our portfolio of loans held for resale that are reported net of fair value allowances of $4,950 and $4,810, respectively. During the first quarter of 2010, the effect of real estate sales and transfers from loans held for resale on the carrying value of real estate were largely offsetting. The balance at March 31, 2010 also includes $1,938 of foreclosed properties owned by the newly consolidated securitization trusts as of March 31, 2010.</w:t>
      </w:r>
    </w:p>
    <w:p>
      <w:pPr>
        <w:spacing w:after="0" w:line="99"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 certificates issued by the newly consolidated securitization trusts. See Note 12 to our Interim Consolidated Financial Statements for additional information regarding these borrowings.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Asset Management Vehicles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selected results of operations of our Asset Management Vehicles segment for the three months ended March 31: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480" w:type="dxa"/>
            <w:vAlign w:val="bottom"/>
          </w:tcPr>
          <w:p>
            <w:pPr>
              <w:jc w:val="right"/>
              <w:ind w:right="200"/>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ind w:right="7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(1)</w:t>
            </w:r>
          </w:p>
        </w:tc>
        <w:tc>
          <w:tcPr>
            <w:tcW w:w="1480" w:type="dxa"/>
            <w:vAlign w:val="bottom"/>
            <w:shd w:val="clear" w:color="auto" w:fill="EAF9E8"/>
          </w:tcPr>
          <w:p>
            <w:pPr>
              <w:jc w:val="right"/>
              <w:ind w:right="1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148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9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OSI</w:t>
            </w:r>
          </w:p>
        </w:tc>
        <w:tc>
          <w:tcPr>
            <w:tcW w:w="14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ONL and affiliates</w:t>
            </w:r>
          </w:p>
        </w:tc>
        <w:tc>
          <w:tcPr>
            <w:tcW w:w="1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Equity in earnings (losses) of unconsolidated entities</w:t>
            </w:r>
          </w:p>
        </w:tc>
        <w:tc>
          <w:tcPr>
            <w:tcW w:w="148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vMerge w:val="restart"/>
          </w:tcPr>
          <w:p>
            <w:pPr>
              <w:ind w:left="300"/>
              <w:spacing w:after="0"/>
              <w:rPr>
                <w:sz w:val="20"/>
                <w:szCs w:val="20"/>
                <w:color w:val="auto"/>
              </w:rPr>
            </w:pPr>
            <w:r>
              <w:rPr>
                <w:rFonts w:ascii="Arial" w:cs="Arial" w:eastAsia="Arial" w:hAnsi="Arial"/>
                <w:sz w:val="18"/>
                <w:szCs w:val="18"/>
                <w:color w:val="auto"/>
              </w:rPr>
              <w:t>Other income (expense), net</w:t>
            </w:r>
          </w:p>
        </w:tc>
        <w:tc>
          <w:tcPr>
            <w:tcW w:w="1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1480" w:type="dxa"/>
            <w:vAlign w:val="bottom"/>
            <w:tcBorders>
              <w:top w:val="single" w:sz="8" w:color="auto"/>
            </w:tcBorders>
            <w:shd w:val="clear" w:color="auto" w:fill="EAF9E8"/>
          </w:tcPr>
          <w:p>
            <w:pPr>
              <w:jc w:val="right"/>
              <w:ind w:right="13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98"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Revenue consists of management fees earned from OSI and ONL and affiliates. In addition, our Servicing segment earns fees for servicing loans on behalf of these unconsolidated entities. In determining the amount of consolidated equity in earnings to recognize, we add back our share of the loan servicing and management fee expense recognized by OSI, ONL and affiliates. During the first quarter of 2010 and 2009, we earned total fees of $852 and $1,327, respectively. On a consolidated basis, we have recognized approximately 75% of the loan servicing and management fee revenue.</w:t>
      </w:r>
    </w:p>
    <w:p>
      <w:pPr>
        <w:spacing w:after="0" w:line="161" w:lineRule="exact"/>
        <w:rPr>
          <w:sz w:val="20"/>
          <w:szCs w:val="20"/>
          <w:color w:val="auto"/>
        </w:rPr>
      </w:pPr>
    </w:p>
    <w:p>
      <w:pPr>
        <w:jc w:val="both"/>
        <w:ind w:firstLine="460"/>
        <w:spacing w:after="0" w:line="258" w:lineRule="auto"/>
        <w:rPr>
          <w:sz w:val="20"/>
          <w:szCs w:val="20"/>
          <w:color w:val="auto"/>
        </w:rPr>
      </w:pPr>
      <w:r>
        <w:rPr>
          <w:rFonts w:ascii="Arial" w:cs="Arial" w:eastAsia="Arial" w:hAnsi="Arial"/>
          <w:sz w:val="18"/>
          <w:szCs w:val="18"/>
          <w:b w:val="1"/>
          <w:bCs w:val="1"/>
          <w:color w:val="auto"/>
        </w:rPr>
        <w:t xml:space="preserve">Three Months Ended March 2010 versus 2009. </w:t>
      </w:r>
      <w:r>
        <w:rPr>
          <w:rFonts w:ascii="Arial" w:cs="Arial" w:eastAsia="Arial" w:hAnsi="Arial"/>
          <w:sz w:val="18"/>
          <w:szCs w:val="18"/>
          <w:color w:val="auto"/>
        </w:rPr>
        <w:t>Management fee revenue continues to decline as the assets managed continues to decline and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amendment to the fee arrangement with OSI that reduces the amount of fees we can earn. The improvement in earnings of OSI and ONL and affiliates in the first quarter of 2010 largely resulted from a reduction in losses on resolved loans, reflecting a slower decline in the valuations on the underlying loans and real estate collateral, and an increase in the fair value of residual securities.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selected assets and liabilities of our Asset Management Vehicles segment at: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352"/>
              <w:spacing w:after="0"/>
              <w:rPr>
                <w:sz w:val="20"/>
                <w:szCs w:val="20"/>
                <w:color w:val="auto"/>
              </w:rPr>
            </w:pPr>
            <w:r>
              <w:rPr>
                <w:rFonts w:ascii="Arial" w:cs="Arial" w:eastAsia="Arial" w:hAnsi="Arial"/>
                <w:sz w:val="18"/>
                <w:szCs w:val="18"/>
                <w:b w:val="1"/>
                <w:bCs w:val="1"/>
                <w:color w:val="auto"/>
              </w:rPr>
              <w:t>March 31, 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45"/>
        </w:trPr>
        <w:tc>
          <w:tcPr>
            <w:tcW w:w="6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vMerge w:val="restart"/>
          </w:tcPr>
          <w:p>
            <w:pPr>
              <w:spacing w:after="0"/>
              <w:rPr>
                <w:sz w:val="20"/>
                <w:szCs w:val="20"/>
                <w:color w:val="auto"/>
              </w:rPr>
            </w:pPr>
            <w:r>
              <w:rPr>
                <w:rFonts w:ascii="Arial" w:cs="Arial" w:eastAsia="Arial" w:hAnsi="Arial"/>
                <w:sz w:val="18"/>
                <w:szCs w:val="18"/>
                <w:color w:val="auto"/>
              </w:rPr>
              <w:t>OSI</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ONL and affiliates (1)</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5,881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43"/>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top w:val="single" w:sz="8" w:color="auto"/>
            </w:tcBorders>
            <w:shd w:val="clear" w:color="auto" w:fill="EAF9E8"/>
          </w:tcPr>
          <w:p>
            <w:pPr>
              <w:spacing w:after="0"/>
              <w:rPr>
                <w:sz w:val="18"/>
                <w:szCs w:val="18"/>
                <w:color w:val="auto"/>
              </w:rPr>
            </w:pP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14,368</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first quarter of 2010, we received distributions totaling $1,201 from ONL and its affiliates. At March 31, 2010, we had committed to invest up to an additional $33,840 in ONL and affiliated entities. The commitment expires in September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Services, Financial Services and Technology Products</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Mortgage Services, Financial Services and Technology Products were separated as of August 10, 2009 as part of the Separation of the Ocwen Solutions line of business, except for GSS and BMS Holdings which remain at Ocwen. As a separate, publicly-traded company, Altisource Portfolio Solutions S.A. (NASDAQ:ASPS) will file a Form 10-Q with the Securities and Exchange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Corporate Items and Other</w:t>
            </w: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9720" w:type="dxa"/>
            <w:vAlign w:val="bottom"/>
            <w:gridSpan w:val="6"/>
          </w:tcPr>
          <w:p>
            <w:pPr>
              <w:ind w:left="420"/>
              <w:spacing w:after="0"/>
              <w:rPr>
                <w:sz w:val="20"/>
                <w:szCs w:val="20"/>
                <w:color w:val="auto"/>
              </w:rPr>
            </w:pPr>
            <w:r>
              <w:rPr>
                <w:rFonts w:ascii="Arial" w:cs="Arial" w:eastAsia="Arial" w:hAnsi="Arial"/>
                <w:sz w:val="18"/>
                <w:szCs w:val="18"/>
                <w:color w:val="auto"/>
                <w:w w:val="92"/>
              </w:rPr>
              <w:t>The following table presents selected results of operations of Corporate Items and Other for the three months ended March 31: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ind w:right="77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jc w:val="right"/>
              <w:ind w:right="7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0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(2,575)</w:t>
            </w:r>
          </w:p>
        </w:tc>
        <w:tc>
          <w:tcPr>
            <w:tcW w:w="2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9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Gain (loss) on trading securities</w:t>
            </w:r>
          </w:p>
        </w:tc>
        <w:tc>
          <w:tcPr>
            <w:tcW w:w="46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Gain on debt redemption</w:t>
            </w: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net</w:t>
            </w:r>
          </w:p>
        </w:tc>
        <w:tc>
          <w:tcPr>
            <w:tcW w:w="46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(86)</w:t>
            </w:r>
          </w:p>
        </w:tc>
        <w:tc>
          <w:tcPr>
            <w:tcW w:w="4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vMerge w:val="restart"/>
          </w:tcPr>
          <w:p>
            <w:pPr>
              <w:ind w:left="300"/>
              <w:spacing w:after="0"/>
              <w:rPr>
                <w:sz w:val="20"/>
                <w:szCs w:val="20"/>
                <w:color w:val="auto"/>
              </w:rPr>
            </w:pPr>
            <w:r>
              <w:rPr>
                <w:rFonts w:ascii="Arial" w:cs="Arial" w:eastAsia="Arial" w:hAnsi="Arial"/>
                <w:sz w:val="18"/>
                <w:szCs w:val="18"/>
                <w:color w:val="auto"/>
              </w:rPr>
              <w:t>Other income, net</w:t>
            </w:r>
          </w:p>
        </w:tc>
        <w:tc>
          <w:tcPr>
            <w:tcW w:w="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(1,179)</w:t>
            </w:r>
          </w:p>
        </w:tc>
        <w:tc>
          <w:tcPr>
            <w:tcW w:w="2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61"/>
        <w:spacing w:after="0" w:line="275" w:lineRule="auto"/>
        <w:rPr>
          <w:sz w:val="20"/>
          <w:szCs w:val="20"/>
          <w:color w:val="auto"/>
        </w:rPr>
      </w:pPr>
      <w:r>
        <w:rPr>
          <w:rFonts w:ascii="Arial" w:cs="Arial" w:eastAsia="Arial" w:hAnsi="Arial"/>
          <w:sz w:val="18"/>
          <w:szCs w:val="18"/>
          <w:b w:val="1"/>
          <w:bCs w:val="1"/>
          <w:color w:val="auto"/>
        </w:rPr>
        <w:t>Three Months Ended March 2010 versus 2009</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declined primarily due to a reduction in professional service fees.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2009, we recorded $1,163 of costs related to the Separation.</w:t>
      </w:r>
    </w:p>
    <w:p>
      <w:pPr>
        <w:spacing w:after="0" w:line="180"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We repurchased debt securities, thereby reducing interest expense and recognizing a gain on redemption. The gain of $765 on trading securities in the first quarter of 2010 include an unrealized gain of $1,022 that were principally based on improvements in the underlying collateral markets and liquidity solutions for auction rate securities, offset by a realized loss of $257 on sales, redemptions and settlements of litigation actions. Unrealized losses on auction rate securities in the first quarter of 2009 were $40.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w w:val="92"/>
              </w:rPr>
              <w:t>The following table shows selected assets and liabilities of Corporate Items and Other at:</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jc w:val="right"/>
              <w:ind w:right="352"/>
              <w:spacing w:after="0"/>
              <w:rPr>
                <w:sz w:val="20"/>
                <w:szCs w:val="20"/>
                <w:color w:val="auto"/>
              </w:rPr>
            </w:pPr>
            <w:r>
              <w:rPr>
                <w:rFonts w:ascii="Arial" w:cs="Arial" w:eastAsia="Arial" w:hAnsi="Arial"/>
                <w:sz w:val="18"/>
                <w:szCs w:val="18"/>
                <w:b w:val="1"/>
                <w:bCs w:val="1"/>
                <w:color w:val="auto"/>
              </w:rPr>
              <w:t>March 31, 2010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299,852</w:t>
            </w:r>
          </w:p>
        </w:tc>
        <w:tc>
          <w:tcPr>
            <w:tcW w:w="44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Auction rate (1)</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125,036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Subordinates and residuals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6,655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27,163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115,142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17,499</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594,656</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(1)</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74,953</w:t>
            </w:r>
          </w:p>
        </w:tc>
        <w:tc>
          <w:tcPr>
            <w:tcW w:w="44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Investment line (1)</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(2)</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82,634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Payable to Altisource</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AF9E8"/>
          </w:tcPr>
          <w:p>
            <w:pPr>
              <w:spacing w:after="0"/>
              <w:rPr>
                <w:sz w:val="20"/>
                <w:szCs w:val="20"/>
                <w:color w:val="auto"/>
              </w:rPr>
            </w:pPr>
            <w:r>
              <w:rPr>
                <w:rFonts w:ascii="Arial" w:cs="Arial" w:eastAsia="Arial" w:hAnsi="Arial"/>
                <w:sz w:val="18"/>
                <w:szCs w:val="18"/>
                <w:color w:val="auto"/>
              </w:rPr>
              <w:t>Other (3)</w:t>
            </w:r>
          </w:p>
        </w:tc>
        <w:tc>
          <w:tcPr>
            <w:tcW w:w="26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12,962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vMerge w:val="restart"/>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193,887</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335"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the first quarter of 2010, we liquidated $137,575 par value of securities as the result of the settlement of two of our auction rate securities litigation actions and the sale of certain auction rate securities. Furthermore, we sold $88,150 par value of securities with the option to repurchase the same securities at the same sales price until October 2012 and recognized the sale as a secured borrowing. We used these proceeds to repay the investment line.</w:t>
      </w:r>
    </w:p>
    <w:p>
      <w:pPr>
        <w:spacing w:after="0" w:line="74" w:lineRule="exact"/>
        <w:rPr>
          <w:rFonts w:ascii="Arial" w:cs="Arial" w:eastAsia="Arial" w:hAnsi="Arial"/>
          <w:sz w:val="15"/>
          <w:szCs w:val="15"/>
          <w:color w:val="auto"/>
        </w:rPr>
      </w:pPr>
    </w:p>
    <w:p>
      <w:pPr>
        <w:ind w:left="580" w:hanging="572"/>
        <w:spacing w:after="0" w:line="26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decline in Other liabilities in the first quarter of 2010 is primarily due to the payment of the 2009 annual bonus.</w:t>
      </w:r>
    </w:p>
    <w:p>
      <w:pPr>
        <w:sectPr>
          <w:pgSz w:w="11900" w:h="16838" w:orient="portrait"/>
          <w:cols w:equalWidth="0" w:num="1">
            <w:col w:w="11420"/>
          </w:cols>
          <w:pgMar w:left="240" w:top="10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EQUITY</w:t>
      </w:r>
    </w:p>
    <w:p>
      <w:pPr>
        <w:spacing w:after="0" w:line="231" w:lineRule="exact"/>
        <w:rPr>
          <w:sz w:val="20"/>
          <w:szCs w:val="20"/>
          <w:color w:val="auto"/>
        </w:rPr>
      </w:pPr>
    </w:p>
    <w:p>
      <w:pPr>
        <w:jc w:val="both"/>
        <w:ind w:firstLine="536"/>
        <w:spacing w:after="0" w:line="298" w:lineRule="auto"/>
        <w:rPr>
          <w:sz w:val="20"/>
          <w:szCs w:val="20"/>
          <w:color w:val="auto"/>
        </w:rPr>
      </w:pPr>
      <w:r>
        <w:rPr>
          <w:rFonts w:ascii="Arial" w:cs="Arial" w:eastAsia="Arial" w:hAnsi="Arial"/>
          <w:sz w:val="16"/>
          <w:szCs w:val="16"/>
          <w:color w:val="auto"/>
        </w:rPr>
        <w:t>Total equity amounted to $890,847 at March 31, 2010 as compared to $865,863 at December 31, 2009. This increase of $24,984 is primarily due to net income of $20,860. In addition, as more fully described in Note 1—Securitizations of Residential Mortgage Loans, we recorded a $2,274 increase in the opening balance of retained earnings upon adoption of ASU 2009-17 (ASC 810, Consolidation) on January 1, 2010. The exercise of 207,775 stock options and the compensation related to employee share-based awards also contributed to the increase in equity in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was $10,574 and $8,037 for the first quarter of 2010 and 2009, respectively.</w:t>
      </w:r>
    </w:p>
    <w:p>
      <w:pPr>
        <w:spacing w:after="0" w:line="225" w:lineRule="exact"/>
        <w:rPr>
          <w:sz w:val="20"/>
          <w:szCs w:val="20"/>
          <w:color w:val="auto"/>
        </w:rPr>
      </w:pPr>
    </w:p>
    <w:p>
      <w:pPr>
        <w:jc w:val="both"/>
        <w:ind w:firstLine="597"/>
        <w:spacing w:after="0" w:line="298" w:lineRule="auto"/>
        <w:rPr>
          <w:sz w:val="20"/>
          <w:szCs w:val="20"/>
          <w:color w:val="auto"/>
        </w:rPr>
      </w:pPr>
      <w:r>
        <w:rPr>
          <w:rFonts w:ascii="Arial" w:cs="Arial" w:eastAsia="Arial" w:hAnsi="Arial"/>
          <w:sz w:val="16"/>
          <w:szCs w:val="16"/>
          <w:color w:val="auto"/>
        </w:rPr>
        <w:t>Our effective tax rate for first quarter of 2010 was 33.63% as compared to 34.44% for the first quarter of 2009. Income tax expense on Income from continuing operations before income taxes differs from amounts that would be computed by applying the Federal corporate income tax rate of 35% primarily because of the effect of foreign taxes, foreign income with an indefinite deferral from U.S. taxation, losses from consolidated VIEs and state taxes. At December 31, 2009, we no longer had any low income housing tax credits available to reduce future taxable income.</w:t>
      </w:r>
    </w:p>
    <w:p>
      <w:pPr>
        <w:spacing w:after="0" w:line="16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effective tax rate for first quarter of 2010 and 2009 includes a non-cash benefit of approximately 0.33% and 2.31%, respectively, associated with the recognition of certain foreign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We define liquidity as unencumbered cash balances plus unused, collateralized advance financing capacity. Our liquidity as of March 31, 2010, as measured by cash and available credit, increased by $66,322, or 23%, from December 31, 2009 to March 31, 2010. At March 31, 2010, our cash position was $300,013 compared to $90,919 at December 31, 2009. Our available credit on collateralized but unused advance financing capacity was $58,423 at March 31, 2010 compared to $0 a year ago. We used available cash to fund advance balances, as part of our debt and interest expense reduction strategy (more fully described below).</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45" w:lineRule="exact"/>
        <w:rPr>
          <w:sz w:val="20"/>
          <w:szCs w:val="20"/>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Match funded liabilities</w:t>
      </w:r>
    </w:p>
    <w:p>
      <w:pPr>
        <w:spacing w:after="0" w:line="157" w:lineRule="exact"/>
        <w:rPr>
          <w:rFonts w:ascii="Arial" w:cs="Arial" w:eastAsia="Arial" w:hAnsi="Arial"/>
          <w:sz w:val="18"/>
          <w:szCs w:val="18"/>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Lines of credit and other secured borrowings</w:t>
      </w:r>
    </w:p>
    <w:p>
      <w:pPr>
        <w:spacing w:after="0" w:line="157" w:lineRule="exact"/>
        <w:rPr>
          <w:rFonts w:ascii="Arial" w:cs="Arial" w:eastAsia="Arial" w:hAnsi="Arial"/>
          <w:sz w:val="18"/>
          <w:szCs w:val="18"/>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Servicing fees</w:t>
      </w:r>
    </w:p>
    <w:p>
      <w:pPr>
        <w:spacing w:after="0" w:line="157" w:lineRule="exact"/>
        <w:rPr>
          <w:rFonts w:ascii="Arial" w:cs="Arial" w:eastAsia="Arial" w:hAnsi="Arial"/>
          <w:sz w:val="18"/>
          <w:szCs w:val="18"/>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157" w:lineRule="exact"/>
        <w:rPr>
          <w:rFonts w:ascii="Arial" w:cs="Arial" w:eastAsia="Arial" w:hAnsi="Arial"/>
          <w:sz w:val="18"/>
          <w:szCs w:val="18"/>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received on trading securities</w:t>
      </w:r>
    </w:p>
    <w:p>
      <w:pPr>
        <w:spacing w:after="0" w:line="157" w:lineRule="exact"/>
        <w:rPr>
          <w:rFonts w:ascii="Arial" w:cs="Arial" w:eastAsia="Arial" w:hAnsi="Arial"/>
          <w:sz w:val="18"/>
          <w:szCs w:val="18"/>
          <w:color w:val="auto"/>
        </w:rPr>
      </w:pPr>
    </w:p>
    <w:p>
      <w:pPr>
        <w:ind w:left="1720" w:hanging="617"/>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near-term sources, additional long-term sources of liquidity include debt securities and equity capital.</w:t>
      </w:r>
    </w:p>
    <w:p>
      <w:pPr>
        <w:spacing w:after="0" w:line="225" w:lineRule="exact"/>
        <w:rPr>
          <w:sz w:val="20"/>
          <w:szCs w:val="20"/>
          <w:color w:val="auto"/>
        </w:rPr>
      </w:pPr>
    </w:p>
    <w:p>
      <w:pPr>
        <w:ind w:right="20" w:firstLine="503"/>
        <w:spacing w:after="0" w:line="268"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39" w:lineRule="exact"/>
        <w:rPr>
          <w:sz w:val="20"/>
          <w:szCs w:val="20"/>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25" w:lineRule="exact"/>
        <w:rPr>
          <w:sz w:val="20"/>
          <w:szCs w:val="20"/>
          <w:color w:val="auto"/>
        </w:rPr>
      </w:pPr>
    </w:p>
    <w:p>
      <w:pPr>
        <w:jc w:val="both"/>
        <w:ind w:firstLine="695"/>
        <w:spacing w:after="0" w:line="259" w:lineRule="auto"/>
        <w:rPr>
          <w:sz w:val="20"/>
          <w:szCs w:val="20"/>
          <w:color w:val="auto"/>
        </w:rPr>
      </w:pPr>
      <w:r>
        <w:rPr>
          <w:rFonts w:ascii="Arial" w:cs="Arial" w:eastAsia="Arial" w:hAnsi="Arial"/>
          <w:sz w:val="18"/>
          <w:szCs w:val="18"/>
          <w:color w:val="auto"/>
        </w:rPr>
        <w:t>Currently, we are primarily invested in money market demand deposits. Furthermore, our investment policies are intended to minimize credit and counterparty risk by establishing risk limits based on each counterparty’s equity size and long-term credit ratings. We regularly monitor and project cash flow timing in connection with our efforts to optimize the risk-adjusted yield of our portfolio of investments.</w:t>
      </w:r>
    </w:p>
    <w:p>
      <w:pPr>
        <w:spacing w:after="0" w:line="194"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In August 2009, we implemented a strategy to deploy excess cash balances to reduce outstanding debt levels and interest expense. We also began to execute on a strategy to increase the duration of our advance financing. As part of this strategy, we issued multi-year fixed rate notes under the TALF program and created a new advance facility structure which allows for multiple notes with staggering maturity dates to reduce roll-over risk.</w:t>
      </w:r>
    </w:p>
    <w:p>
      <w:pPr>
        <w:spacing w:after="0" w:line="155" w:lineRule="exact"/>
        <w:rPr>
          <w:sz w:val="20"/>
          <w:szCs w:val="20"/>
          <w:color w:val="auto"/>
        </w:rPr>
      </w:pPr>
    </w:p>
    <w:p>
      <w:pPr>
        <w:jc w:val="both"/>
        <w:ind w:right="20" w:firstLine="520"/>
        <w:spacing w:after="0" w:line="262"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2010, we expect to reduce up-front facility fees and execute at tighter spreads over LIBOR and commercial paper rates. While we expect to</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from the fixed interest rates on our $210,000 December 2009 and $200,000 February 2010 TALF notes, these rates are currently higher than LIBOR and commercial paper as of March 31, 2010.</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5" w:name="page46"/>
    <w:bookmarkEnd w:id="45"/>
    <w:p>
      <w:pPr>
        <w:jc w:val="both"/>
        <w:ind w:firstLine="521"/>
        <w:spacing w:after="0" w:line="268" w:lineRule="auto"/>
        <w:rPr>
          <w:sz w:val="20"/>
          <w:szCs w:val="20"/>
          <w:color w:val="auto"/>
        </w:rPr>
      </w:pPr>
      <w:r>
        <w:rPr>
          <w:rFonts w:ascii="Arial" w:cs="Arial" w:eastAsia="Arial" w:hAnsi="Arial"/>
          <w:sz w:val="18"/>
          <w:szCs w:val="18"/>
          <w:color w:val="auto"/>
        </w:rPr>
        <w:t>We also expect to benefit from the increase in the duration of our funding sources. Our TALF issuances of $210,000 in December 2009 and $200,000 in February 2010 increased the maturity for 46% of our advance financing needs at fixed interest rates.</w:t>
      </w:r>
    </w:p>
    <w:p>
      <w:pPr>
        <w:spacing w:after="0" w:line="186"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8"/>
          <w:szCs w:val="18"/>
          <w:color w:val="auto"/>
        </w:rPr>
        <w:t>Following the repayment of the investment line in full in February 2010 and the transfers of auction rate securities for cash proceeds, we continue our efforts to release cash by liquidating the remaining auction rate securities with a fair value of $125,036and par value of $126,350. We expect to complete this in 2010.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three months ended March 31, 2010, we reduced our outstanding liabilities by:</w:t>
      </w:r>
    </w:p>
    <w:p>
      <w:pPr>
        <w:spacing w:after="0" w:line="245" w:lineRule="exact"/>
        <w:rPr>
          <w:sz w:val="20"/>
          <w:szCs w:val="20"/>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Fully repaying $156,968 on our auction rate securities investment line;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Repurchasing Capital Trust Securities with a face value of $12,930;</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Repaying $12,000 on our original $60,000 fee reimbursement advance;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Repaying $1,400 on our original $7,000 term note.</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Despite a credit environment that remains challenged, during the first quarter of 2010, we:</w:t>
      </w:r>
    </w:p>
    <w:p>
      <w:pPr>
        <w:spacing w:after="0" w:line="158" w:lineRule="exact"/>
        <w:rPr>
          <w:sz w:val="20"/>
          <w:szCs w:val="20"/>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Renewed a $100,000 advance note;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Renewed and extended a variable funding note with a maximum borrowing capacity of $300,000;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$200,000 of advance receivable backed notes under the TALF program.</w:t>
      </w:r>
    </w:p>
    <w:p>
      <w:pPr>
        <w:spacing w:after="0" w:line="225"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6"/>
          <w:szCs w:val="16"/>
          <w:color w:val="auto"/>
        </w:rPr>
        <w:t>As a result of our ability to renew and increase advance facility notes before they entered their amortization period and to issue the TALF notes, maximum borrowing capacity for match funded advances increased by $228,000 from $1,360,000 at December 31, 2009 to $1,588,000 at March 31, 2010. When coupled with a reduction in advances and match funded advances of $73,743, we increased our unused advance borrowing capacity from $894,309 at December 31, 2009 to $1,031,515 at March 31, 2010. Our prospects for advance financing improved due to the inclusion of servicer advances in TALF which was announced by the Federal Reserve Bank of New York in on March 19, 2009. TALF allowed lenders to invest a relatively small amount of equity while borrowing the remainder from the Federal Reserve Bank at a modest spread over LIBOR, with a note term of up to three years for servicer advances. On December 10, 2009, we issued $210,000 of TALF notes to replace the $165,000 term advance note that we repaid on August 11, 2009. These TALF notes enter their amortization period in July 2012. On February 12, 2010, we issued an additional $200,000 of TALF notes which begin amortizing in February 2011. Although the TALF window closed in March 2010, we were able to establish relations with many cash and TALF investors during our December 2009 and February 2010 issuances, and thus have generated significant interest for future medium term note issuances.</w:t>
      </w:r>
    </w:p>
    <w:p>
      <w:pPr>
        <w:spacing w:after="0" w:line="177"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The amortization date is the date on which the revolving period ends under each advance facility note and repayment of the outstanding balance must begin if the note is not renewed or extended. The maturity date is the date on which all outstanding balances must be repaid. In all but one advance facility,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 In order for us to maintain liquidity and the ability to finance new advances, we repay borrowings under facilities that have entered their amortization period and pledge them to another facility. Our new advance facility structure, which has four notes outstanding as of March 2010, permits collateral to be apportioned between notes when one or more notes are in amortization. This feature permits us to continue to finance new advances provided there is sufficient capacity on other revolving notes in the structure that are not in amortization.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20" w:firstLine="476"/>
        <w:spacing w:after="0" w:line="332" w:lineRule="auto"/>
        <w:rPr>
          <w:sz w:val="20"/>
          <w:szCs w:val="20"/>
          <w:color w:val="auto"/>
        </w:rPr>
      </w:pPr>
      <w:r>
        <w:rPr>
          <w:rFonts w:ascii="Arial" w:cs="Arial" w:eastAsia="Arial" w:hAnsi="Arial"/>
          <w:sz w:val="16"/>
          <w:szCs w:val="16"/>
          <w:color w:val="auto"/>
        </w:rPr>
        <w:t>In the table below, we provide the amortization dates and maturity dates for notes under each of our credit facilities at March 31, 2010. The table excludes Secured borrowings – owed to securitization investors of $68,996, the holders of which have no recourse against the assets of Ocwen,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3"/>
              </w:rPr>
              <w:t>Maximum</w:t>
            </w: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Unused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Borrowing</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Borrowing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Balance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Capacity (1)</w:t>
            </w:r>
          </w:p>
        </w:tc>
        <w:tc>
          <w:tcPr>
            <w:tcW w:w="100" w:type="dxa"/>
            <w:vAlign w:val="bottom"/>
          </w:tcPr>
          <w:p>
            <w:pPr>
              <w:spacing w:after="0"/>
              <w:rPr>
                <w:sz w:val="19"/>
                <w:szCs w:val="19"/>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Capacity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Servicing</w:t>
            </w: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Match funded liabilities:</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Advance Receivable Backed Note Series 2009-3</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Jul. 2023</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Jul. 2012</w:t>
            </w:r>
          </w:p>
        </w:tc>
        <w:tc>
          <w:tcPr>
            <w:tcW w:w="4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210,000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w w:val="95"/>
              </w:rPr>
              <w:t>Advance Receivables Backed Notes Series 2010-1</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jc w:val="right"/>
              <w:ind w:right="3472"/>
              <w:spacing w:after="0"/>
              <w:rPr>
                <w:sz w:val="20"/>
                <w:szCs w:val="20"/>
                <w:color w:val="auto"/>
              </w:rPr>
            </w:pPr>
            <w:r>
              <w:rPr>
                <w:rFonts w:ascii="Arial" w:cs="Arial" w:eastAsia="Arial" w:hAnsi="Arial"/>
                <w:sz w:val="18"/>
                <w:szCs w:val="18"/>
                <w:color w:val="auto"/>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Sep. 2023</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Feb. 2011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Variable Funding Note Series 2009-2 (3)</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2023</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2012</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28,000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Variable Funding Note Series 2009-1 (4)</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Dec. 2022</w:t>
            </w: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Feb. 2011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Variable Funding Note</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2013</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2010</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140,085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Advance Receivable Backed Notes (5)</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Mar. 2020</w:t>
            </w: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Mar. 2011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Advance Receivable Backed Notes (6)</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May 2011</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May 2010</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vMerge w:val="restart"/>
          </w:tcPr>
          <w:p>
            <w:pPr>
              <w:ind w:left="140"/>
              <w:spacing w:after="0"/>
              <w:rPr>
                <w:sz w:val="20"/>
                <w:szCs w:val="20"/>
                <w:color w:val="auto"/>
              </w:rPr>
            </w:pPr>
            <w:r>
              <w:rPr>
                <w:rFonts w:ascii="Arial" w:cs="Arial" w:eastAsia="Arial" w:hAnsi="Arial"/>
                <w:sz w:val="18"/>
                <w:szCs w:val="18"/>
                <w:color w:val="auto"/>
              </w:rPr>
              <w:t>Total match funded liabilities</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1,031,515</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Fee reimbursement advance (7)</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2014</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Mar 2010</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48,000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Term note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Mar. 2014</w:t>
            </w: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Mar. 2014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1,641,600</w:t>
            </w: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1,031,515</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610,085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 Items and Other:</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Securities sold with an option to repurchase (8)</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Oct. 2012</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40" w:type="dxa"/>
            <w:vAlign w:val="bottom"/>
            <w:gridSpan w:val="3"/>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Aug. 2024</w:t>
            </w:r>
          </w:p>
        </w:tc>
        <w:tc>
          <w:tcPr>
            <w:tcW w:w="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Capital trust securities</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2027</w:t>
            </w: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40" w:type="dxa"/>
            <w:vAlign w:val="bottom"/>
            <w:gridSpan w:val="3"/>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Discount (7)</w:t>
            </w: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1,641,600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1,031,515</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6"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Unused borrowing capacity is available for use only to the extent that there are assets that have been pledged as collateral to a facility but against which no funds have been drawn. With respect to our match funded facilities, all eligible advances had been pledged to a facility at March 31, 2010. However, we had $58,423 of unused borrowing capacity readily available to us on March 31, 2010 because we had pledged collateral to, but had not fully drawn on, our facilities.</w:t>
      </w:r>
    </w:p>
    <w:p>
      <w:pPr>
        <w:spacing w:after="0" w:line="129"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12, 2010, we issued $200,000 of notes under the TALF program. These notes carry a 3.59% fixed rate of interest and enter their amortization period in February 2011.</w:t>
      </w:r>
    </w:p>
    <w:p>
      <w:pPr>
        <w:spacing w:after="0" w:line="118"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variable funding note has a maximum borrowing capacity of $100,000; however, the purchaser had no obligation to fund any borrowing under the note until January 2010, at which time the maximum funding obligation was $28,000. The maximum funding obligation under this note increases to $88,000 in November 2010 and to $100,000 in November 2011.</w:t>
      </w:r>
    </w:p>
    <w:p>
      <w:pPr>
        <w:spacing w:after="0" w:line="126"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18, 2010, we renewed and extended the amortization date of this note through February 17, 2011.</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March 19, 2010, we extended the amortization date of this note through March 18, 2011.</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April 16, 2010, we negotiated the renewal of this facility that extended the amortization date of the facility to May 5, 2011.</w:t>
      </w:r>
    </w:p>
    <w:p>
      <w:pPr>
        <w:spacing w:after="0" w:line="157" w:lineRule="exact"/>
        <w:rPr>
          <w:rFonts w:ascii="Arial" w:cs="Arial" w:eastAsia="Arial" w:hAnsi="Arial"/>
          <w:sz w:val="18"/>
          <w:szCs w:val="18"/>
          <w:color w:val="auto"/>
        </w:rPr>
      </w:pPr>
    </w:p>
    <w:p>
      <w:pPr>
        <w:jc w:val="both"/>
        <w:ind w:left="580" w:hanging="572"/>
        <w:spacing w:after="0" w:line="306"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fee reimbursement advance is payable annually in five installments of $12,000 beginning March 2010. The advance does not carry a stated rate of interest. However, we are compensating the lender for the advance of funds by forgoing payment of fees due from the lender over the five-year term of the advance. Accordingly, we recorded the advance as a zero-coupon bond issued at an initial implied discount of $14,627.</w:t>
      </w:r>
    </w:p>
    <w:p>
      <w:pPr>
        <w:spacing w:after="0" w:line="93" w:lineRule="exact"/>
        <w:rPr>
          <w:rFonts w:ascii="Arial" w:cs="Arial" w:eastAsia="Arial" w:hAnsi="Arial"/>
          <w:sz w:val="16"/>
          <w:szCs w:val="16"/>
          <w:color w:val="auto"/>
        </w:rPr>
      </w:pPr>
    </w:p>
    <w:p>
      <w:pPr>
        <w:jc w:val="both"/>
        <w:ind w:left="580" w:hanging="572"/>
        <w:spacing w:after="0" w:line="254"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October 2009, we entered into a liquidity option related to $92,850 face amount of auction rate securities. Under the terms of this agreement, we have the right to sell specific securities for cash. We also have the right to repurchase the same following the initial sale at the same price. On February 11, 2010, we exercised a portion of our option to sell auction rate securities with a par value of $88,150. We recognized the sale as a secured borrowing because of our ability to repurchase the same securities until the maturity of the liquidity option. We no longer receive cash interest income on the pledged securities nor do we pay cash interest on the secured borrowing. We continue to retain a liquidity option in respect of $3,200 par value of auction rate securities.</w:t>
      </w:r>
    </w:p>
    <w:p>
      <w:pPr>
        <w:sectPr>
          <w:pgSz w:w="11900" w:h="16838" w:orient="portrait"/>
          <w:cols w:equalWidth="0" w:num="1">
            <w:col w:w="11420"/>
          </w:cols>
          <w:pgMar w:left="240" w:top="13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jc w:val="both"/>
        <w:ind w:firstLine="467"/>
        <w:spacing w:after="0" w:line="254" w:lineRule="auto"/>
        <w:rPr>
          <w:sz w:val="20"/>
          <w:szCs w:val="20"/>
          <w:color w:val="auto"/>
        </w:rPr>
      </w:pPr>
      <w:r>
        <w:rPr>
          <w:rFonts w:ascii="Arial" w:cs="Arial" w:eastAsia="Arial" w:hAnsi="Arial"/>
          <w:sz w:val="18"/>
          <w:szCs w:val="18"/>
          <w:color w:val="auto"/>
        </w:rPr>
        <w:t>Our ability to finance servicing advances continues to be a significant factor that affects our liquidity. Three of our match funded advance facilities that are rated are subject to increases in the financing discount if deemed necessary by the rating agencies in order to maintain the minimum rating required for the facility. While several rating agencies have adjusted their methodology for rating servicer advances and advance rates for newly issued notes are lower than in the past, we do not expect future advance rate changes to have a material effect on our liquidity. Our ability to continue to pledge collateral under each advance facility depends on the performance of the collateral. Currently, the majority of our collateral qualifies for financing under the advance facility to which it is pledged.</w:t>
      </w:r>
    </w:p>
    <w:p>
      <w:pPr>
        <w:spacing w:after="0" w:line="198" w:lineRule="exact"/>
        <w:rPr>
          <w:sz w:val="20"/>
          <w:szCs w:val="20"/>
          <w:color w:val="auto"/>
        </w:rPr>
      </w:pPr>
    </w:p>
    <w:p>
      <w:pPr>
        <w:jc w:val="both"/>
        <w:ind w:firstLine="533"/>
        <w:spacing w:after="0" w:line="256"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9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8"/>
          <w:szCs w:val="18"/>
          <w:b w:val="1"/>
          <w:bCs w:val="1"/>
          <w:color w:val="auto"/>
        </w:rPr>
        <w:t xml:space="preserve">Equity financing summary. </w:t>
      </w:r>
      <w:r>
        <w:rPr>
          <w:rFonts w:ascii="Arial" w:cs="Arial" w:eastAsia="Arial" w:hAnsi="Arial"/>
          <w:sz w:val="18"/>
          <w:szCs w:val="18"/>
          <w:color w:val="auto"/>
        </w:rPr>
        <w:t>In a private placement transaction that closed on April 3, 2009, we sold 5,471,500 shares of common stock at a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$11.00 per share for $60,165 in proceeds. On the same date, we also purchased 1,000,000 shares of common stock from our Chairman of the Board at a price of $11.00 per share. These transactions generated net cash of $49,165.</w:t>
      </w:r>
    </w:p>
    <w:p>
      <w:pPr>
        <w:spacing w:after="0" w:line="192"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On August 18, 2009, we completed the public offering of 32,200,000 shares of common stock which includes 4,200,000 shares of common stock purchased by the underwriters pursuant to the full exercise of the over-allotment option granted under the underwriting agreement. We received net proceeds of $274,964 from the offering after deducting underwriting discounts and other offering costs.</w:t>
      </w:r>
    </w:p>
    <w:p>
      <w:pPr>
        <w:spacing w:after="0" w:line="188" w:lineRule="exact"/>
        <w:rPr>
          <w:sz w:val="20"/>
          <w:szCs w:val="20"/>
          <w:color w:val="auto"/>
        </w:rPr>
      </w:pPr>
    </w:p>
    <w:p>
      <w:pPr>
        <w:jc w:val="both"/>
        <w:ind w:firstLine="520"/>
        <w:spacing w:after="0" w:line="258" w:lineRule="auto"/>
        <w:rPr>
          <w:sz w:val="20"/>
          <w:szCs w:val="20"/>
          <w:color w:val="auto"/>
        </w:rPr>
      </w:pPr>
      <w:r>
        <w:rPr>
          <w:rFonts w:ascii="Arial" w:cs="Arial" w:eastAsia="Arial" w:hAnsi="Arial"/>
          <w:sz w:val="18"/>
          <w:szCs w:val="18"/>
          <w:b w:val="1"/>
          <w:bCs w:val="1"/>
          <w:color w:val="auto"/>
        </w:rPr>
        <w:t xml:space="preserve">Auction rate securities. </w:t>
      </w:r>
      <w:r>
        <w:rPr>
          <w:rFonts w:ascii="Arial" w:cs="Arial" w:eastAsia="Arial" w:hAnsi="Arial"/>
          <w:sz w:val="18"/>
          <w:szCs w:val="18"/>
          <w:color w:val="auto"/>
        </w:rPr>
        <w:t>In early 2008, we suffered a significant adverse liquidity event when the auction markets failed for our $300,000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AAA-rated securities backed by securitized Federal Family Education Loan Program student loans. We financed this investment in auction rate securities through the investment line. With the failure of the auction markets for these securities, we were unable to sell our investment because the market mechanism no longer functioned.</w:t>
      </w:r>
    </w:p>
    <w:p>
      <w:pPr>
        <w:spacing w:after="0" w:line="196"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At March 31, 2010, the fair value of this investment was $125,036 (representing $126,350 par value securities). We are successfully executing on our liquidation strategy.</w:t>
      </w:r>
    </w:p>
    <w:p>
      <w:pPr>
        <w:spacing w:after="0" w:line="199" w:lineRule="exact"/>
        <w:rPr>
          <w:sz w:val="20"/>
          <w:szCs w:val="20"/>
          <w:color w:val="auto"/>
        </w:rPr>
      </w:pPr>
    </w:p>
    <w:p>
      <w:pPr>
        <w:ind w:left="1160" w:hanging="571"/>
        <w:spacing w:after="0" w:line="332" w:lineRule="auto"/>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January 16, 2010 and March 4, 2010, we settled two of our litigation actions related to auction rate securities resulting in the sale of a combined $103,625 par value for $92,745 cash proceeds. Proceeds from one settlement were used to pay down the investment line.</w:t>
      </w:r>
    </w:p>
    <w:p>
      <w:pPr>
        <w:spacing w:after="0" w:line="71"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10, 2010, we sold $33,350 par value of securities for cash proceeds of $29,848. These proceeds were used to pay down the investment line.</w:t>
      </w:r>
    </w:p>
    <w:p>
      <w:pPr>
        <w:spacing w:after="0" w:line="118" w:lineRule="exact"/>
        <w:rPr>
          <w:rFonts w:ascii="Arial" w:cs="Arial" w:eastAsia="Arial" w:hAnsi="Arial"/>
          <w:sz w:val="18"/>
          <w:szCs w:val="18"/>
          <w:color w:val="auto"/>
        </w:rPr>
      </w:pPr>
    </w:p>
    <w:p>
      <w:pPr>
        <w:jc w:val="both"/>
        <w:ind w:left="1160" w:hanging="571"/>
        <w:spacing w:after="0" w:line="256"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11, 2010, we sold $88,150 par value of auction rate securities with the option to repurchase the same securities at the same sales price until October 2012 resulting in a secured borrowing of $74,953. Under this option, we sold the securities, but we retained the ability to benefit from future increases in the value of the securities above the sale price over the term of the option. We used these proceeds to repay the investment line.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17, 2010, we repaid, in full, the investment line.</w:t>
      </w:r>
    </w:p>
    <w:p>
      <w:pPr>
        <w:spacing w:after="0" w:line="219" w:lineRule="exact"/>
        <w:rPr>
          <w:sz w:val="20"/>
          <w:szCs w:val="20"/>
          <w:color w:val="auto"/>
        </w:rPr>
      </w:pPr>
    </w:p>
    <w:p>
      <w:pPr>
        <w:jc w:val="both"/>
        <w:ind w:firstLine="493"/>
        <w:spacing w:after="0" w:line="258" w:lineRule="auto"/>
        <w:rPr>
          <w:sz w:val="20"/>
          <w:szCs w:val="20"/>
          <w:color w:val="auto"/>
        </w:rPr>
      </w:pPr>
      <w:r>
        <w:rPr>
          <w:rFonts w:ascii="Arial" w:cs="Arial" w:eastAsia="Arial" w:hAnsi="Arial"/>
          <w:sz w:val="18"/>
          <w:szCs w:val="18"/>
          <w:b w:val="1"/>
          <w:bCs w:val="1"/>
          <w:color w:val="auto"/>
        </w:rPr>
        <w:t xml:space="preserve">Cash flows for the three months ended March 31, 2010. </w:t>
      </w:r>
      <w:r>
        <w:rPr>
          <w:rFonts w:ascii="Arial" w:cs="Arial" w:eastAsia="Arial" w:hAnsi="Arial"/>
          <w:sz w:val="18"/>
          <w:szCs w:val="18"/>
          <w:color w:val="auto"/>
        </w:rPr>
        <w:t>Our operating activities provided $225,995 of cash primarily due to our liquidation of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securities, as discussed above, and a decline in the funding requirements of our Servicing operations. Trading activities provided $123,193 of cash from sales, settlements and redemptions of auction rate securities. We collected $71,643 of net cash on advances and match funded advances while servicing liabilities declined by $17,421.</w:t>
      </w:r>
    </w:p>
    <w:p>
      <w:pPr>
        <w:spacing w:after="0" w:line="196" w:lineRule="exact"/>
        <w:rPr>
          <w:sz w:val="20"/>
          <w:szCs w:val="20"/>
          <w:color w:val="auto"/>
        </w:rPr>
      </w:pPr>
    </w:p>
    <w:p>
      <w:pPr>
        <w:jc w:val="both"/>
        <w:ind w:right="20" w:firstLine="471"/>
        <w:spacing w:after="0" w:line="268" w:lineRule="auto"/>
        <w:rPr>
          <w:sz w:val="20"/>
          <w:szCs w:val="20"/>
          <w:color w:val="auto"/>
        </w:rPr>
      </w:pPr>
      <w:r>
        <w:rPr>
          <w:rFonts w:ascii="Arial" w:cs="Arial" w:eastAsia="Arial" w:hAnsi="Arial"/>
          <w:sz w:val="18"/>
          <w:szCs w:val="18"/>
          <w:color w:val="auto"/>
        </w:rPr>
        <w:t>Our investing activities provided $2,124 cash during the first quarter of 2010. The additions to our servicing portfolio during the first quarter of 2010 were subservicing and special servicing and therefore did not result in the purchase of MSRs.</w:t>
      </w:r>
    </w:p>
    <w:p>
      <w:pPr>
        <w:spacing w:after="0" w:line="186"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Our financing activities used $19,025 cash as we repaid the investment line of $156,968, purchased Capital Trust Securities with a face value of $12,930 for $11,589 and paid the first annual installment of $12,000 on our $60,000 fee reimbursement advance. Largely offsetting these cash outflows, we received net proceeds of $90,794 from borrowings under match funded facilities and received proceeds of $74,953 from the sale of auction rate securities with the option to repurchase the same securities. We recognized the sale as a secured borrowing.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48" w:name="page49"/>
    <w:bookmarkEnd w:id="48"/>
    <w:p>
      <w:pPr>
        <w:jc w:val="both"/>
        <w:ind w:firstLine="493"/>
        <w:spacing w:after="0" w:line="339" w:lineRule="auto"/>
        <w:rPr>
          <w:sz w:val="20"/>
          <w:szCs w:val="20"/>
          <w:color w:val="auto"/>
        </w:rPr>
      </w:pPr>
      <w:r>
        <w:rPr>
          <w:rFonts w:ascii="Arial" w:cs="Arial" w:eastAsia="Arial" w:hAnsi="Arial"/>
          <w:sz w:val="16"/>
          <w:szCs w:val="16"/>
          <w:b w:val="1"/>
          <w:bCs w:val="1"/>
          <w:color w:val="auto"/>
        </w:rPr>
        <w:t xml:space="preserve">Cash flows for the three months ended March 31, 2009. </w:t>
      </w:r>
      <w:r>
        <w:rPr>
          <w:rFonts w:ascii="Arial" w:cs="Arial" w:eastAsia="Arial" w:hAnsi="Arial"/>
          <w:sz w:val="16"/>
          <w:szCs w:val="16"/>
          <w:color w:val="auto"/>
        </w:rPr>
        <w:t>Our operating activities provided $130,094 reflecting a decline in the funding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Servicing operations. We collected net cash of $148,509 on advances and match funded advances while servicing liabilities declined by $45,386.</w:t>
      </w:r>
    </w:p>
    <w:p>
      <w:pPr>
        <w:spacing w:after="0" w:line="134"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Our investing activities used $6,648 net cash primarily due to the purchase of MSRs for $10,241offset by $3,246 of distributions we received from our asset management entities.</w:t>
      </w:r>
    </w:p>
    <w:p>
      <w:pPr>
        <w:spacing w:after="0" w:line="186"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Our financing activities used $165,616 cash as we made $170,797 of net repayments of borrowings under our match funded advance facilities as a result of decline in servicing advances. Net proceeds of $67,000 from two new secured borrowings were largely offset by repayments on the investment line and repurchases of our 3.25% Convertible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23 to the Interim Consolidated Financial Statements for additional information regarding commitments and contingencies.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 In addition, through our investment in subordinate and residual securities, we provide credit support to the senior classes of securities. We have also entered into non-cancelable operating leases and have committed to invest up to an additional $33,840 in ONL and related entities.</w:t>
      </w:r>
    </w:p>
    <w:p>
      <w:pPr>
        <w:spacing w:after="0" w:line="170" w:lineRule="exact"/>
        <w:rPr>
          <w:sz w:val="20"/>
          <w:szCs w:val="20"/>
          <w:color w:val="auto"/>
        </w:rPr>
      </w:pPr>
    </w:p>
    <w:p>
      <w:pPr>
        <w:jc w:val="both"/>
        <w:ind w:firstLine="601"/>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currently use these derivatives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17 to our Interim Consolidated Financial Statements for additional information regarding derivatives.</w:t>
      </w:r>
    </w:p>
    <w:p>
      <w:pPr>
        <w:spacing w:after="0" w:line="194" w:lineRule="exact"/>
        <w:rPr>
          <w:sz w:val="20"/>
          <w:szCs w:val="20"/>
          <w:color w:val="auto"/>
        </w:rPr>
      </w:pPr>
    </w:p>
    <w:p>
      <w:pPr>
        <w:jc w:val="both"/>
        <w:ind w:right="20" w:firstLine="608"/>
        <w:spacing w:after="0" w:line="268"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86" w:lineRule="exact"/>
        <w:rPr>
          <w:sz w:val="20"/>
          <w:szCs w:val="20"/>
          <w:color w:val="auto"/>
        </w:rPr>
      </w:pPr>
    </w:p>
    <w:p>
      <w:pPr>
        <w:jc w:val="both"/>
        <w:ind w:firstLine="591"/>
        <w:spacing w:after="0" w:line="312" w:lineRule="auto"/>
        <w:rPr>
          <w:sz w:val="20"/>
          <w:szCs w:val="20"/>
          <w:color w:val="auto"/>
        </w:rPr>
      </w:pPr>
      <w:r>
        <w:rPr>
          <w:rFonts w:ascii="Arial" w:cs="Arial" w:eastAsia="Arial" w:hAnsi="Arial"/>
          <w:sz w:val="15"/>
          <w:szCs w:val="15"/>
          <w:color w:val="auto"/>
        </w:rPr>
        <w:t>Our securitizations of mortgage loans were structured as sales. The SPEs to which we transferred the mortgage loans were qualifying special purpose entities (QSPEs) and therefore were not subject to consolidation through 2009. We have retained both subordinated and residual interests in these SPEs. Where we are the servicer of the securitized loans, we generally have the right to repurchase the mortgage loans from the SPE when the costs exceed the benefits of servicing the remaining loans. As disclosed in the Recent Accounting Developments below, ASC 860 amended the current accounting standards primarily to eliminate the concept of a QSPE. Effective January 1, 2010, ASC 810 required that we reevaluate these QSPEs as well as all other potentially significant interests in other unconsolidated entities to determine if we should include them in our consolidated financial statements. We have determined that these QSPEs are VIEs and that we are the primary beneficiary of four of these QSPEs and have included them in our consolidated financial statements effective January 1, 2010.</w:t>
      </w:r>
    </w:p>
    <w:p>
      <w:pPr>
        <w:spacing w:after="0" w:line="159" w:lineRule="exact"/>
        <w:rPr>
          <w:sz w:val="20"/>
          <w:szCs w:val="20"/>
          <w:color w:val="auto"/>
        </w:rPr>
      </w:pPr>
    </w:p>
    <w:p>
      <w:pPr>
        <w:jc w:val="both"/>
        <w:ind w:firstLine="710"/>
        <w:spacing w:after="0" w:line="318" w:lineRule="auto"/>
        <w:rPr>
          <w:sz w:val="20"/>
          <w:szCs w:val="20"/>
          <w:color w:val="auto"/>
        </w:rPr>
      </w:pPr>
      <w:r>
        <w:rPr>
          <w:rFonts w:ascii="Arial" w:cs="Arial" w:eastAsia="Arial" w:hAnsi="Arial"/>
          <w:sz w:val="15"/>
          <w:szCs w:val="15"/>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54" w:lineRule="exact"/>
        <w:rPr>
          <w:sz w:val="20"/>
          <w:szCs w:val="20"/>
          <w:color w:val="auto"/>
        </w:rPr>
      </w:pPr>
    </w:p>
    <w:p>
      <w:pPr>
        <w:jc w:val="both"/>
        <w:ind w:firstLine="533"/>
        <w:spacing w:after="0" w:line="332"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 In addition to certain of our financing SPEs, we have invested in several other VIEs primarily in connection with purchases and securitizations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whole loans. If we determine that we are the primary beneficiary of a VIE, we report the VIE in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592"/>
        <w:spacing w:after="0" w:line="332" w:lineRule="auto"/>
        <w:rPr>
          <w:sz w:val="20"/>
          <w:szCs w:val="20"/>
          <w:color w:val="auto"/>
        </w:rPr>
      </w:pPr>
      <w:r>
        <w:rPr>
          <w:rFonts w:ascii="Arial" w:cs="Arial" w:eastAsia="Arial" w:hAnsi="Arial"/>
          <w:sz w:val="16"/>
          <w:szCs w:val="16"/>
          <w:color w:val="auto"/>
        </w:rPr>
        <w:t>Listed below are recent accounting pronouncements which did or are expected to have a significant impact upon adoption. For additional information regarding these and other recent accounting pronouncements, see Note 2 to our Interim Consolidated Financial Statements.</w:t>
      </w:r>
    </w:p>
    <w:p>
      <w:pPr>
        <w:spacing w:after="0" w:line="139"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i w:val="1"/>
          <w:iCs w:val="1"/>
          <w:color w:val="auto"/>
        </w:rPr>
        <w:t xml:space="preserve">ASU 2009-16 (ASC 860, Transfers and Servicing). </w:t>
      </w:r>
      <w:r>
        <w:rPr>
          <w:rFonts w:ascii="Arial" w:cs="Arial" w:eastAsia="Arial" w:hAnsi="Arial"/>
          <w:sz w:val="16"/>
          <w:szCs w:val="16"/>
          <w:color w:val="auto"/>
        </w:rPr>
        <w:t>This statement eliminates the exceptions for qualifying special purpose entities (QSPE)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guidance (ASC 810) and clarifies that the objective of the 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94" w:lineRule="exact"/>
        <w:rPr>
          <w:sz w:val="20"/>
          <w:szCs w:val="20"/>
          <w:color w:val="auto"/>
        </w:rPr>
      </w:pPr>
    </w:p>
    <w:p>
      <w:pPr>
        <w:jc w:val="both"/>
        <w:ind w:firstLine="472"/>
        <w:spacing w:after="0" w:line="33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3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i w:val="1"/>
          <w:iCs w:val="1"/>
          <w:color w:val="auto"/>
        </w:rPr>
        <w:t xml:space="preserve">ASC 810, Consolidation. </w:t>
      </w:r>
      <w:r>
        <w:rPr>
          <w:rFonts w:ascii="Arial" w:cs="Arial" w:eastAsia="Arial" w:hAnsi="Arial"/>
          <w:sz w:val="18"/>
          <w:szCs w:val="18"/>
          <w:color w:val="auto"/>
        </w:rPr>
        <w:t>This standard requires an enterprise to perform ongoing periodic assessments to determine whether the enterprise’s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interests give it a controlling financial interest in a VIE. We adopted this standard effective January 1, 2010. This analysis identifies the primary beneficiary of a VIE as the enterprise that has both of the following characteristics:</w:t>
      </w:r>
    </w:p>
    <w:p>
      <w:pPr>
        <w:spacing w:after="0" w:line="208" w:lineRule="exact"/>
        <w:rPr>
          <w:sz w:val="20"/>
          <w:szCs w:val="20"/>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jc w:val="both"/>
        <w:ind w:firstLine="637"/>
        <w:spacing w:after="0" w:line="294" w:lineRule="auto"/>
        <w:rPr>
          <w:sz w:val="20"/>
          <w:szCs w:val="20"/>
          <w:color w:val="auto"/>
        </w:rPr>
      </w:pPr>
      <w:r>
        <w:rPr>
          <w:rFonts w:ascii="Arial" w:cs="Arial" w:eastAsia="Arial" w:hAnsi="Arial"/>
          <w:sz w:val="16"/>
          <w:szCs w:val="16"/>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170"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As also disclosed in Note 1—Summary of Significant Accounting Policies,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 (DOLLARS IN THOUSANDS)</w:t>
      </w:r>
    </w:p>
    <w:p>
      <w:pPr>
        <w:spacing w:after="0" w:line="231" w:lineRule="exact"/>
        <w:rPr>
          <w:sz w:val="20"/>
          <w:szCs w:val="20"/>
          <w:color w:val="auto"/>
        </w:rPr>
      </w:pPr>
    </w:p>
    <w:p>
      <w:pPr>
        <w:jc w:val="both"/>
        <w:ind w:firstLine="451"/>
        <w:spacing w:after="0" w:line="306" w:lineRule="auto"/>
        <w:rPr>
          <w:sz w:val="20"/>
          <w:szCs w:val="20"/>
          <w:color w:val="auto"/>
        </w:rPr>
      </w:pPr>
      <w:r>
        <w:rPr>
          <w:rFonts w:ascii="Arial" w:cs="Arial" w:eastAsia="Arial" w:hAnsi="Arial"/>
          <w:sz w:val="16"/>
          <w:szCs w:val="16"/>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risk.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31" w:lineRule="exact"/>
        <w:rPr>
          <w:sz w:val="20"/>
          <w:szCs w:val="20"/>
          <w:color w:val="auto"/>
        </w:rPr>
      </w:pPr>
    </w:p>
    <w:p>
      <w:pPr>
        <w:jc w:val="both"/>
        <w:ind w:right="20" w:firstLine="588"/>
        <w:spacing w:after="0" w:line="332" w:lineRule="auto"/>
        <w:rPr>
          <w:sz w:val="20"/>
          <w:szCs w:val="20"/>
          <w:color w:val="auto"/>
        </w:rPr>
      </w:pPr>
      <w:r>
        <w:rPr>
          <w:rFonts w:ascii="Arial" w:cs="Arial" w:eastAsia="Arial" w:hAnsi="Arial"/>
          <w:sz w:val="16"/>
          <w:szCs w:val="16"/>
          <w:color w:val="auto"/>
        </w:rPr>
        <w:t>We are exposed to liquidity risk primarily because of the cash required to support the Servicing business including the requirement to make advances pursuant to servicing contracts. In general, we finance our operations through operating cash flow, match funding agreements and secured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We are exposed to interest rate risk to the extent that our interest-bearing liabilities mature or reprice at different speeds, or different bases, than interest-earning assets or when we use debt to finance assets that are non-interest earning. Our Servicing business is characterized by non-interest earning assets financed by interest-bearing liabilities. Among the more significant non-interest earning assets are servicing advances and MSRs. At March 31, 2010, we had total advances and match funded advances of $894,786. We are indirectly exposed to interest risk by our funding of advances because approximately 68% of our total advances and match funded advances are funded through borrowings, and 25% of such borrowings are variable rate debt. Earnings on float balances (assets) only partially offset this risk.</w:t>
      </w:r>
    </w:p>
    <w:p>
      <w:pPr>
        <w:spacing w:after="0" w:line="198" w:lineRule="exact"/>
        <w:rPr>
          <w:sz w:val="20"/>
          <w:szCs w:val="20"/>
          <w:color w:val="auto"/>
        </w:rPr>
      </w:pPr>
    </w:p>
    <w:p>
      <w:pPr>
        <w:jc w:val="both"/>
        <w:ind w:firstLine="617"/>
        <w:spacing w:after="0" w:line="255" w:lineRule="auto"/>
        <w:rPr>
          <w:sz w:val="20"/>
          <w:szCs w:val="20"/>
          <w:color w:val="auto"/>
        </w:rPr>
      </w:pPr>
      <w:r>
        <w:rPr>
          <w:rFonts w:ascii="Arial" w:cs="Arial" w:eastAsia="Arial" w:hAnsi="Arial"/>
          <w:sz w:val="18"/>
          <w:szCs w:val="18"/>
          <w:color w:val="auto"/>
        </w:rPr>
        <w:t>We significantly increased our ratio of interest-rate sensitive assets to interest rate sensitive liabilities during 2009 and the first quarter of 2010. This increase helps to reduce our exposure to interest rate volatility. We also expect to benefit from the increase in the duration of our funding sources. For example, our recent TALF issuances of $210,000 in December 2009 and $200,000 in February 2010 increased the maturity for 46% of our advance financing needs at fixed interest rates. The reduction in our debt levels and the issuance of the TALF notes were key factors in reducing our total variable rate debt from 53% of borrowings at December 31, 2009 to 30% at March 31, 2010.</w:t>
      </w:r>
    </w:p>
    <w:p>
      <w:pPr>
        <w:spacing w:after="0" w:line="197"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In addition, at March 31, 2010, we had interest rate caps with a notional amount of $250,000 and $83,333 to hedge our exposure to rising interest rates on the $250,000 variable-rate match funded note issued in December 2007 and the $100,000 variable-rate match funded note that was renewed in February 2008,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March 31, 2010</w:t>
            </w:r>
          </w:p>
        </w:tc>
        <w:tc>
          <w:tcPr>
            <w:tcW w:w="120" w:type="dxa"/>
            <w:vAlign w:val="bottom"/>
          </w:tcPr>
          <w:p>
            <w:pPr>
              <w:spacing w:after="0"/>
              <w:rPr>
                <w:sz w:val="19"/>
                <w:szCs w:val="19"/>
                <w:color w:val="auto"/>
              </w:rPr>
            </w:pPr>
          </w:p>
        </w:tc>
      </w:tr>
      <w:tr>
        <w:trPr>
          <w:trHeight w:val="245"/>
        </w:trPr>
        <w:tc>
          <w:tcPr>
            <w:tcW w:w="9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944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(1)(2)</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767,672</w:t>
            </w:r>
          </w:p>
        </w:tc>
        <w:tc>
          <w:tcPr>
            <w:tcW w:w="120" w:type="dxa"/>
            <w:vAlign w:val="bottom"/>
            <w:shd w:val="clear" w:color="auto" w:fill="EAF9E8"/>
          </w:tcPr>
          <w:p>
            <w:pPr>
              <w:spacing w:after="0"/>
              <w:rPr>
                <w:sz w:val="18"/>
                <w:szCs w:val="18"/>
                <w:color w:val="auto"/>
              </w:rPr>
            </w:pPr>
          </w:p>
        </w:tc>
      </w:tr>
      <w:tr>
        <w:trPr>
          <w:trHeight w:val="216"/>
        </w:trPr>
        <w:tc>
          <w:tcPr>
            <w:tcW w:w="944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540,634</w:t>
            </w:r>
          </w:p>
        </w:tc>
        <w:tc>
          <w:tcPr>
            <w:tcW w:w="120" w:type="dxa"/>
            <w:vAlign w:val="bottom"/>
          </w:tcPr>
          <w:p>
            <w:pPr>
              <w:spacing w:after="0"/>
              <w:rPr>
                <w:sz w:val="18"/>
                <w:szCs w:val="18"/>
                <w:color w:val="auto"/>
              </w:rPr>
            </w:pPr>
          </w:p>
        </w:tc>
      </w:tr>
      <w:tr>
        <w:trPr>
          <w:trHeight w:val="216"/>
        </w:trPr>
        <w:tc>
          <w:tcPr>
            <w:tcW w:w="9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227,038</w:t>
            </w:r>
          </w:p>
        </w:tc>
        <w:tc>
          <w:tcPr>
            <w:tcW w:w="120" w:type="dxa"/>
            <w:vAlign w:val="bottom"/>
            <w:shd w:val="clear" w:color="auto" w:fill="EAF9E8"/>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331,798</w:t>
            </w:r>
          </w:p>
        </w:tc>
        <w:tc>
          <w:tcPr>
            <w:tcW w:w="120" w:type="dxa"/>
            <w:vAlign w:val="bottom"/>
          </w:tcPr>
          <w:p>
            <w:pPr>
              <w:spacing w:after="0"/>
              <w:rPr>
                <w:sz w:val="18"/>
                <w:szCs w:val="18"/>
                <w:color w:val="auto"/>
              </w:rPr>
            </w:pPr>
          </w:p>
        </w:tc>
      </w:tr>
      <w:tr>
        <w:trPr>
          <w:trHeight w:val="216"/>
        </w:trPr>
        <w:tc>
          <w:tcPr>
            <w:tcW w:w="94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333,333</w:t>
            </w:r>
          </w:p>
        </w:tc>
        <w:tc>
          <w:tcPr>
            <w:tcW w:w="120" w:type="dxa"/>
            <w:vAlign w:val="bottom"/>
            <w:shd w:val="clear" w:color="auto" w:fill="EAF9E8"/>
          </w:tcPr>
          <w:p>
            <w:pPr>
              <w:spacing w:after="0"/>
              <w:rPr>
                <w:sz w:val="18"/>
                <w:szCs w:val="18"/>
                <w:color w:val="auto"/>
              </w:rPr>
            </w:pPr>
          </w:p>
        </w:tc>
      </w:tr>
    </w:tbl>
    <w:p>
      <w:pPr>
        <w:spacing w:after="0" w:line="248"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 amounts are exclusive of any related discount.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Excluding Secured borrowings – owed to securitization investors of $68,996, the holders of which have no recourse against the assets of Ocwen.</w:t>
      </w:r>
    </w:p>
    <w:p>
      <w:pPr>
        <w:spacing w:after="0" w:line="248"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Excluding Loans, net – restricted for securitization investors of $71,336, our Consolidated Balance Sheet at March 31, 2010 included interest-earning assets totaling $467,142 including $250,520 of interest-earning cash accounts, $125,036 of auction rate securities, $47,541 of debt service accounts, $32,934 of loans held for resale and $7,738 of interest-earning collateral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3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consider this risk to be insignificant.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502"/>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as of March 31, 2010. Based on this evaluation, our Chief Executive Officer and Chief Financial Officer concluded that, as of March 31, 2010,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72" w:lineRule="exact"/>
        <w:rPr>
          <w:sz w:val="20"/>
          <w:szCs w:val="20"/>
          <w:color w:val="auto"/>
        </w:rPr>
      </w:pPr>
    </w:p>
    <w:p>
      <w:pPr>
        <w:jc w:val="both"/>
        <w:ind w:firstLine="464"/>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Securities Exchange Act) occurred during the fiscal quarter ended March 31, 2010 that has materially affected, or is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 23—Commitments and Contingencies to the Interim Consolidated Financial Statements for information regarding legal proceedings.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We include a discussion of the principal risks and uncertainties that affect or could affect our business operations under Item 1A on pages 11 through 18 of our Annual Report on Form 10-K for the year ended December 31,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52" w:name="page53"/>
    <w:bookmarkEnd w:id="52"/>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66"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Separation Agreement, dated as of August 10, 2009, by and between Ocwen Financial Corporation and Altisource Portfolio Solutions S.A.</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(3)</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Form of Certificate of Common Stock (2)</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Ocwen Capital Trust I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Amended and Restated Declaration of Trust of Ocwen Capital Trust I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Capital Security of Ocwen Capital Trust I (included in Exhibit 4.4)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Indenture relating to 10.875% Junior Subordinated Debentures due 2027 of OCN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10.875% Junior Subordinated Debentures due 2027 of OCN (included in Exhibit 4.6)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Guarantee of OCN relating to the Capital Securities of Ocwen Capital Trust I (4)</w:t>
      </w:r>
    </w:p>
    <w:p>
      <w:pPr>
        <w:spacing w:after="0" w:line="158"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Indenture dated as of July 28, 2004, between OCN and the Bank of New York Trust Company, N.A., as trustee (5)</w:t>
      </w:r>
    </w:p>
    <w:p>
      <w:pPr>
        <w:spacing w:after="0" w:line="15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Tax Matters Agreement, dated as of August 10, 2009, by and between Ocwen Financial Corporation and Altisource Solutions S.à r.l. (1)</w:t>
      </w:r>
    </w:p>
    <w:p>
      <w:pPr>
        <w:spacing w:after="0" w:line="15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Transition Services Agreement, dated as of August 10, 2009, by and between Ocwen Financial Corporation and Altisource Solutions S.à r.l.</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Employee Matters Agreement, dated as of August 10, 2009, by and between Ocwen Financial Corporation and Altisource Solutions S.à r.l.</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1500" w:hanging="752"/>
        <w:spacing w:after="0" w:line="268" w:lineRule="auto"/>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Technology Products Services Agreement, dated as of August 10, 2009, by and between Ocwen Financial Corporation and Altisource Solutions S.à r.l. (1)</w:t>
      </w:r>
    </w:p>
    <w:p>
      <w:pPr>
        <w:spacing w:after="0" w:line="11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Services Agreement, dated as of August 10, 2009, by and between Ocwen Financial Corporation and Altisource Solutions S.à r.l. (1)</w:t>
      </w:r>
    </w:p>
    <w:p>
      <w:pPr>
        <w:spacing w:after="0" w:line="158" w:lineRule="exact"/>
        <w:rPr>
          <w:sz w:val="20"/>
          <w:szCs w:val="20"/>
          <w:color w:val="auto"/>
        </w:rPr>
      </w:pPr>
    </w:p>
    <w:p>
      <w:pPr>
        <w:ind w:left="1500" w:hanging="752"/>
        <w:spacing w:after="0" w:line="268" w:lineRule="auto"/>
        <w:tabs>
          <w:tab w:leader="none" w:pos="1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Data Center and Disaster Recovery Agreement, dated as of August 10, 2009, by and between Ocwen Financial Corporation and Altisource Solutions S.à r.l. (1)</w:t>
      </w:r>
    </w:p>
    <w:p>
      <w:pPr>
        <w:spacing w:after="0" w:line="11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Intellectual Property Agreement, dated as of August 10, 2009, by and between Ocwen Financial Corporation and Altisource Solutions S.à r.l.</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15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158" w:lineRule="exact"/>
        <w:rPr>
          <w:sz w:val="20"/>
          <w:szCs w:val="20"/>
          <w:color w:val="auto"/>
        </w:rPr>
      </w:pPr>
    </w:p>
    <w:p>
      <w:pPr>
        <w:ind w:left="1500" w:hanging="752"/>
        <w:spacing w:after="0" w:line="268"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spacing w:after="0" w:line="118" w:lineRule="exact"/>
        <w:rPr>
          <w:sz w:val="20"/>
          <w:szCs w:val="20"/>
          <w:color w:val="auto"/>
        </w:rPr>
      </w:pPr>
    </w:p>
    <w:p>
      <w:pPr>
        <w:ind w:left="1500" w:right="20" w:hanging="752"/>
        <w:spacing w:after="0" w:line="268"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Commission on August 12, 2009.</w:t>
      </w:r>
    </w:p>
    <w:p>
      <w:pPr>
        <w:spacing w:after="0" w:line="180"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ectPr>
          <w:pgSz w:w="11900" w:h="16838" w:orient="portrait"/>
          <w:cols w:equalWidth="0" w:num="1">
            <w:col w:w="11420"/>
          </w:cols>
          <w:pgMar w:left="240" w:top="382"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51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OCWEN FINANCIAL CORPORATION</w:t>
      </w:r>
    </w:p>
    <w:p>
      <w:pPr>
        <w:spacing w:after="0" w:line="164" w:lineRule="exact"/>
        <w:rPr>
          <w:sz w:val="20"/>
          <w:szCs w:val="20"/>
          <w:color w:val="auto"/>
        </w:rPr>
      </w:pPr>
    </w:p>
    <w:p>
      <w:pPr>
        <w:spacing w:after="0"/>
        <w:tabs>
          <w:tab w:leader="none" w:pos="640" w:val="left"/>
          <w:tab w:leader="none" w:pos="5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2010</w:t>
      </w:r>
      <w:r>
        <w:rPr>
          <w:sz w:val="20"/>
          <w:szCs w:val="20"/>
          <w:color w:val="auto"/>
        </w:rPr>
        <w:tab/>
      </w:r>
      <w:r>
        <w:rPr>
          <w:rFonts w:ascii="Arial" w:cs="Arial" w:eastAsia="Arial" w:hAnsi="Arial"/>
          <w:sz w:val="16"/>
          <w:szCs w:val="16"/>
          <w:color w:val="auto"/>
        </w:rPr>
        <w:t>By: /s/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165735</wp:posOffset>
            </wp:positionV>
            <wp:extent cx="26073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158"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571"/>
        <w:spacing w:after="0" w:line="332"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hanging="571"/>
        <w:spacing w:after="0" w:line="268"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90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2010</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158"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571"/>
        <w:spacing w:after="0" w:line="332" w:lineRule="auto"/>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hanging="571"/>
        <w:spacing w:after="0" w:line="268"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86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2010</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2169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 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239"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2010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/s/ William C. Erbey</w:t>
            </w:r>
          </w:p>
        </w:tc>
        <w:tc>
          <w:tcPr>
            <w:tcW w:w="6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640" w:type="dxa"/>
            <w:vAlign w:val="bottom"/>
            <w:tcBorders>
              <w:bottom w:val="single" w:sz="8" w:color="auto"/>
            </w:tcBorders>
          </w:tcPr>
          <w:p>
            <w:pPr>
              <w:spacing w:after="0"/>
              <w:rPr>
                <w:sz w:val="21"/>
                <w:szCs w:val="21"/>
                <w:color w:val="auto"/>
              </w:rPr>
            </w:pPr>
          </w:p>
        </w:tc>
        <w:tc>
          <w:tcPr>
            <w:tcW w:w="6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Chairman and Chief Executive Officer</w:t>
            </w:r>
          </w:p>
        </w:tc>
        <w:tc>
          <w:tcPr>
            <w:tcW w:w="6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spacing w:after="0"/>
              <w:rPr>
                <w:sz w:val="20"/>
                <w:szCs w:val="20"/>
                <w:color w:val="auto"/>
              </w:rPr>
            </w:pPr>
            <w:r>
              <w:rPr>
                <w:rFonts w:ascii="Arial" w:cs="Arial" w:eastAsia="Arial" w:hAnsi="Arial"/>
                <w:sz w:val="18"/>
                <w:szCs w:val="18"/>
                <w:color w:val="auto"/>
              </w:rPr>
              <w:t>May 7, 2010</w:t>
            </w:r>
          </w:p>
        </w:tc>
        <w:tc>
          <w:tcPr>
            <w:tcW w:w="6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16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7" w:name="page58"/>
    <w:bookmarkEnd w:id="57"/>
    <w:p>
      <w:pPr>
        <w:ind w:left="103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239"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2010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10280" w:type="dxa"/>
            <w:vAlign w:val="bottom"/>
            <w:gridSpan w:val="2"/>
          </w:tcPr>
          <w:p>
            <w:pPr>
              <w:spacing w:after="0"/>
              <w:rPr>
                <w:sz w:val="20"/>
                <w:szCs w:val="20"/>
                <w:color w:val="auto"/>
              </w:rPr>
            </w:pPr>
            <w:r>
              <w:rPr>
                <w:rFonts w:ascii="Arial" w:cs="Arial" w:eastAsia="Arial" w:hAnsi="Arial"/>
                <w:sz w:val="18"/>
                <w:szCs w:val="18"/>
                <w:color w:val="auto"/>
              </w:rPr>
              <w:t>/s/ David J. Gunter</w:t>
            </w:r>
          </w:p>
        </w:tc>
        <w:tc>
          <w:tcPr>
            <w:tcW w:w="0" w:type="dxa"/>
            <w:vAlign w:val="bottom"/>
          </w:tcPr>
          <w:p>
            <w:pPr>
              <w:spacing w:after="0"/>
              <w:rPr>
                <w:sz w:val="1"/>
                <w:szCs w:val="1"/>
                <w:color w:val="auto"/>
              </w:rPr>
            </w:pPr>
          </w:p>
        </w:tc>
      </w:tr>
      <w:tr>
        <w:trPr>
          <w:trHeight w:val="245"/>
        </w:trPr>
        <w:tc>
          <w:tcPr>
            <w:tcW w:w="11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02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2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Executive Vice President, Chief Financial</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Officer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10280" w:type="dxa"/>
            <w:vAlign w:val="bottom"/>
            <w:gridSpan w:val="2"/>
          </w:tcPr>
          <w:p>
            <w:pPr>
              <w:spacing w:after="0"/>
              <w:rPr>
                <w:sz w:val="20"/>
                <w:szCs w:val="20"/>
                <w:color w:val="auto"/>
              </w:rPr>
            </w:pPr>
            <w:r>
              <w:rPr>
                <w:rFonts w:ascii="Arial" w:cs="Arial" w:eastAsia="Arial" w:hAnsi="Arial"/>
                <w:sz w:val="18"/>
                <w:szCs w:val="18"/>
                <w:color w:val="auto"/>
              </w:rPr>
              <w:t>May 7, 2010</w:t>
            </w:r>
          </w:p>
        </w:tc>
        <w:tc>
          <w:tcPr>
            <w:tcW w:w="0" w:type="dxa"/>
            <w:vAlign w:val="bottom"/>
          </w:tcPr>
          <w:p>
            <w:pPr>
              <w:spacing w:after="0"/>
              <w:rPr>
                <w:sz w:val="1"/>
                <w:szCs w:val="1"/>
                <w:color w:val="auto"/>
              </w:rPr>
            </w:pPr>
          </w:p>
        </w:tc>
      </w:tr>
      <w:tr>
        <w:trPr>
          <w:trHeight w:val="363"/>
        </w:trPr>
        <w:tc>
          <w:tcPr>
            <w:tcW w:w="116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2"/>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3"/>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
      <w:numFmt w:val="bullet"/>
      <w:start w:val="1"/>
    </w:lvl>
  </w:abstractNum>
  <w:abstractNum w:abstractNumId="56">
    <w:nsid w:val="1CF10FD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2019-12-10T09:22:17Z</dcterms:created>
  <dcterms:modified xsi:type="dcterms:W3CDTF">2019-12-10T09:22:17Z</dcterms:modified>
</cp:coreProperties>
</file>