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457200</wp:posOffset>
            </wp:positionV>
            <wp:extent cx="715645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6450" cy="13970"/>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rPr>
          <w:sz w:val="20"/>
          <w:szCs w:val="20"/>
          <w:color w:val="auto"/>
        </w:rPr>
      </w:pPr>
      <w:r>
        <w:rPr>
          <w:rFonts w:ascii="Arial" w:cs="Arial" w:eastAsia="Arial" w:hAnsi="Arial"/>
          <w:sz w:val="15"/>
          <w:szCs w:val="15"/>
          <w:color w:val="auto"/>
        </w:rPr>
        <w:t>(Mark one)</w:t>
      </w:r>
    </w:p>
    <w:p>
      <w:pPr>
        <w:spacing w:after="0" w:line="86" w:lineRule="exact"/>
        <w:rPr>
          <w:sz w:val="24"/>
          <w:szCs w:val="24"/>
          <w:color w:val="auto"/>
        </w:rPr>
      </w:pPr>
    </w:p>
    <w:p>
      <w:pPr>
        <w:ind w:left="260" w:hanging="236"/>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For the quarterly period ended September 30, 2021</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OR</w:t>
      </w:r>
    </w:p>
    <w:p>
      <w:pPr>
        <w:spacing w:after="0" w:line="109" w:lineRule="exact"/>
        <w:rPr>
          <w:sz w:val="24"/>
          <w:szCs w:val="24"/>
          <w:color w:val="auto"/>
        </w:rPr>
      </w:pPr>
    </w:p>
    <w:p>
      <w:pPr>
        <w:ind w:left="420" w:hanging="396"/>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____________________ to ____________________</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Commission File No. 1-13219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OCWEN FINANCIAL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Borders>
              <w:bottom w:val="single" w:sz="8" w:color="auto"/>
            </w:tcBorders>
          </w:tcPr>
          <w:p>
            <w:pPr>
              <w:jc w:val="center"/>
              <w:ind w:left="1186"/>
              <w:spacing w:after="0"/>
              <w:rPr>
                <w:sz w:val="20"/>
                <w:szCs w:val="20"/>
                <w:color w:val="auto"/>
              </w:rPr>
            </w:pPr>
            <w:r>
              <w:rPr>
                <w:rFonts w:ascii="Arial" w:cs="Arial" w:eastAsia="Arial" w:hAnsi="Arial"/>
                <w:sz w:val="15"/>
                <w:szCs w:val="15"/>
                <w:b w:val="1"/>
                <w:bCs w:val="1"/>
                <w:color w:val="auto"/>
                <w:w w:val="95"/>
              </w:rPr>
              <w:t>Florida</w:t>
            </w: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106"/>
              <w:spacing w:after="0"/>
              <w:rPr>
                <w:sz w:val="20"/>
                <w:szCs w:val="20"/>
                <w:color w:val="auto"/>
              </w:rPr>
            </w:pPr>
            <w:r>
              <w:rPr>
                <w:rFonts w:ascii="Arial" w:cs="Arial" w:eastAsia="Arial" w:hAnsi="Arial"/>
                <w:sz w:val="15"/>
                <w:szCs w:val="15"/>
                <w:b w:val="1"/>
                <w:bCs w:val="1"/>
                <w:color w:val="auto"/>
              </w:rPr>
              <w:t>65-0039856</w:t>
            </w:r>
          </w:p>
        </w:tc>
      </w:tr>
      <w:tr>
        <w:trPr>
          <w:trHeight w:val="180"/>
        </w:trPr>
        <w:tc>
          <w:tcPr>
            <w:tcW w:w="7420" w:type="dxa"/>
            <w:vAlign w:val="bottom"/>
            <w:gridSpan w:val="6"/>
          </w:tcPr>
          <w:p>
            <w:pPr>
              <w:jc w:val="center"/>
              <w:ind w:right="2260"/>
              <w:spacing w:after="0"/>
              <w:rPr>
                <w:sz w:val="20"/>
                <w:szCs w:val="20"/>
                <w:color w:val="auto"/>
              </w:rPr>
            </w:pPr>
            <w:r>
              <w:rPr>
                <w:rFonts w:ascii="Arial" w:cs="Arial" w:eastAsia="Arial" w:hAnsi="Arial"/>
                <w:sz w:val="15"/>
                <w:szCs w:val="15"/>
                <w:color w:val="auto"/>
                <w:w w:val="92"/>
              </w:rPr>
              <w:t>(State or other jurisdiction of incorporation or organization)</w:t>
            </w:r>
          </w:p>
        </w:tc>
        <w:tc>
          <w:tcPr>
            <w:tcW w:w="3840" w:type="dxa"/>
            <w:vAlign w:val="bottom"/>
          </w:tcPr>
          <w:p>
            <w:pPr>
              <w:jc w:val="center"/>
              <w:ind w:right="1166"/>
              <w:spacing w:after="0"/>
              <w:rPr>
                <w:sz w:val="20"/>
                <w:szCs w:val="20"/>
                <w:color w:val="auto"/>
              </w:rPr>
            </w:pPr>
            <w:r>
              <w:rPr>
                <w:rFonts w:ascii="Arial" w:cs="Arial" w:eastAsia="Arial" w:hAnsi="Arial"/>
                <w:sz w:val="15"/>
                <w:szCs w:val="15"/>
                <w:color w:val="auto"/>
                <w:w w:val="93"/>
              </w:rPr>
              <w:t>(I.R.S. Employer Identification No.)</w:t>
            </w:r>
          </w:p>
        </w:tc>
      </w:tr>
      <w:tr>
        <w:trPr>
          <w:trHeight w:val="223"/>
        </w:trPr>
        <w:tc>
          <w:tcPr>
            <w:tcW w:w="3900" w:type="dxa"/>
            <w:vAlign w:val="bottom"/>
          </w:tcPr>
          <w:p>
            <w:pPr>
              <w:jc w:val="center"/>
              <w:ind w:left="1186"/>
              <w:spacing w:after="0"/>
              <w:rPr>
                <w:sz w:val="20"/>
                <w:szCs w:val="20"/>
                <w:color w:val="auto"/>
              </w:rPr>
            </w:pPr>
            <w:r>
              <w:rPr>
                <w:rFonts w:ascii="Arial" w:cs="Arial" w:eastAsia="Arial" w:hAnsi="Arial"/>
                <w:sz w:val="15"/>
                <w:szCs w:val="15"/>
                <w:b w:val="1"/>
                <w:bCs w:val="1"/>
                <w:color w:val="auto"/>
                <w:w w:val="90"/>
              </w:rPr>
              <w:t>1661 Worthington Road, Suite 100</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12"/>
        </w:trPr>
        <w:tc>
          <w:tcPr>
            <w:tcW w:w="3900" w:type="dxa"/>
            <w:vAlign w:val="bottom"/>
            <w:tcBorders>
              <w:bottom w:val="single" w:sz="8" w:color="auto"/>
            </w:tcBorders>
          </w:tcPr>
          <w:p>
            <w:pPr>
              <w:ind w:left="1840"/>
              <w:spacing w:after="0"/>
              <w:rPr>
                <w:sz w:val="20"/>
                <w:szCs w:val="20"/>
                <w:color w:val="auto"/>
              </w:rPr>
            </w:pPr>
            <w:r>
              <w:rPr>
                <w:rFonts w:ascii="Arial" w:cs="Arial" w:eastAsia="Arial" w:hAnsi="Arial"/>
                <w:sz w:val="15"/>
                <w:szCs w:val="15"/>
                <w:b w:val="1"/>
                <w:bCs w:val="1"/>
                <w:color w:val="auto"/>
              </w:rPr>
              <w:t>West Palm Beach, Florida</w:t>
            </w:r>
          </w:p>
        </w:tc>
        <w:tc>
          <w:tcPr>
            <w:tcW w:w="1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286"/>
              <w:spacing w:after="0"/>
              <w:rPr>
                <w:sz w:val="20"/>
                <w:szCs w:val="20"/>
                <w:color w:val="auto"/>
              </w:rPr>
            </w:pPr>
            <w:r>
              <w:rPr>
                <w:rFonts w:ascii="Arial" w:cs="Arial" w:eastAsia="Arial" w:hAnsi="Arial"/>
                <w:sz w:val="15"/>
                <w:szCs w:val="15"/>
                <w:b w:val="1"/>
                <w:bCs w:val="1"/>
                <w:color w:val="auto"/>
              </w:rPr>
              <w:t>33409</w:t>
            </w:r>
          </w:p>
        </w:tc>
      </w:tr>
      <w:tr>
        <w:trPr>
          <w:trHeight w:val="180"/>
        </w:trPr>
        <w:tc>
          <w:tcPr>
            <w:tcW w:w="3900" w:type="dxa"/>
            <w:vAlign w:val="bottom"/>
          </w:tcPr>
          <w:p>
            <w:pPr>
              <w:jc w:val="center"/>
              <w:ind w:left="1166"/>
              <w:spacing w:after="0"/>
              <w:rPr>
                <w:sz w:val="20"/>
                <w:szCs w:val="20"/>
                <w:color w:val="auto"/>
              </w:rPr>
            </w:pPr>
            <w:r>
              <w:rPr>
                <w:rFonts w:ascii="Arial" w:cs="Arial" w:eastAsia="Arial" w:hAnsi="Arial"/>
                <w:sz w:val="15"/>
                <w:szCs w:val="15"/>
                <w:color w:val="auto"/>
                <w:w w:val="92"/>
              </w:rPr>
              <w:t>(Address of principal executive office)</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40" w:type="dxa"/>
            <w:vAlign w:val="bottom"/>
          </w:tcPr>
          <w:p>
            <w:pPr>
              <w:jc w:val="center"/>
              <w:ind w:right="1186"/>
              <w:spacing w:after="0"/>
              <w:rPr>
                <w:sz w:val="20"/>
                <w:szCs w:val="20"/>
                <w:color w:val="auto"/>
              </w:rPr>
            </w:pPr>
            <w:r>
              <w:rPr>
                <w:rFonts w:ascii="Arial" w:cs="Arial" w:eastAsia="Arial" w:hAnsi="Arial"/>
                <w:sz w:val="15"/>
                <w:szCs w:val="15"/>
                <w:color w:val="auto"/>
                <w:w w:val="93"/>
              </w:rPr>
              <w:t>(Zip Code)</w:t>
            </w:r>
          </w:p>
        </w:tc>
      </w:tr>
      <w:tr>
        <w:trPr>
          <w:trHeight w:val="268"/>
        </w:trPr>
        <w:tc>
          <w:tcPr>
            <w:tcW w:w="3900" w:type="dxa"/>
            <w:vAlign w:val="bottom"/>
          </w:tcPr>
          <w:p>
            <w:pPr>
              <w:spacing w:after="0"/>
              <w:rPr>
                <w:sz w:val="23"/>
                <w:szCs w:val="23"/>
                <w:color w:val="auto"/>
              </w:rPr>
            </w:pPr>
          </w:p>
        </w:tc>
        <w:tc>
          <w:tcPr>
            <w:tcW w:w="2200" w:type="dxa"/>
            <w:vAlign w:val="bottom"/>
            <w:gridSpan w:val="3"/>
          </w:tcPr>
          <w:p>
            <w:pPr>
              <w:jc w:val="center"/>
              <w:ind w:left="1206"/>
              <w:spacing w:after="0"/>
              <w:rPr>
                <w:sz w:val="20"/>
                <w:szCs w:val="20"/>
                <w:color w:val="auto"/>
              </w:rPr>
            </w:pPr>
            <w:r>
              <w:rPr>
                <w:rFonts w:ascii="Arial" w:cs="Arial" w:eastAsia="Arial" w:hAnsi="Arial"/>
                <w:sz w:val="15"/>
                <w:szCs w:val="15"/>
                <w:b w:val="1"/>
                <w:bCs w:val="1"/>
                <w:color w:val="auto"/>
                <w:w w:val="89"/>
              </w:rPr>
              <w:t>(561) 682-8000</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0"/>
        </w:trPr>
        <w:tc>
          <w:tcPr>
            <w:tcW w:w="39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1"/>
        </w:trPr>
        <w:tc>
          <w:tcPr>
            <w:tcW w:w="3900" w:type="dxa"/>
            <w:vAlign w:val="bottom"/>
          </w:tcPr>
          <w:p>
            <w:pPr>
              <w:spacing w:after="0"/>
              <w:rPr>
                <w:sz w:val="16"/>
                <w:szCs w:val="16"/>
                <w:color w:val="auto"/>
              </w:rPr>
            </w:pPr>
          </w:p>
        </w:tc>
        <w:tc>
          <w:tcPr>
            <w:tcW w:w="3520" w:type="dxa"/>
            <w:vAlign w:val="bottom"/>
            <w:gridSpan w:val="5"/>
          </w:tcPr>
          <w:p>
            <w:pPr>
              <w:ind w:left="180"/>
              <w:spacing w:after="0"/>
              <w:rPr>
                <w:sz w:val="20"/>
                <w:szCs w:val="20"/>
                <w:color w:val="auto"/>
              </w:rPr>
            </w:pPr>
            <w:r>
              <w:rPr>
                <w:rFonts w:ascii="Arial" w:cs="Arial" w:eastAsia="Arial" w:hAnsi="Arial"/>
                <w:sz w:val="15"/>
                <w:szCs w:val="15"/>
                <w:color w:val="auto"/>
                <w:w w:val="94"/>
              </w:rPr>
              <w:t>(Registrant’s telephone number, including area code)</w:t>
            </w:r>
          </w:p>
        </w:tc>
        <w:tc>
          <w:tcPr>
            <w:tcW w:w="3840" w:type="dxa"/>
            <w:vAlign w:val="bottom"/>
          </w:tcPr>
          <w:p>
            <w:pPr>
              <w:spacing w:after="0"/>
              <w:rPr>
                <w:sz w:val="16"/>
                <w:szCs w:val="16"/>
                <w:color w:val="auto"/>
              </w:rPr>
            </w:pPr>
          </w:p>
        </w:tc>
      </w:tr>
      <w:tr>
        <w:trPr>
          <w:trHeight w:val="312"/>
        </w:trPr>
        <w:tc>
          <w:tcPr>
            <w:tcW w:w="39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79"/>
        </w:trPr>
        <w:tc>
          <w:tcPr>
            <w:tcW w:w="3900" w:type="dxa"/>
            <w:vAlign w:val="bottom"/>
          </w:tcPr>
          <w:p>
            <w:pPr>
              <w:jc w:val="center"/>
              <w:ind w:left="366"/>
              <w:spacing w:after="0"/>
              <w:rPr>
                <w:sz w:val="20"/>
                <w:szCs w:val="20"/>
                <w:color w:val="auto"/>
              </w:rPr>
            </w:pPr>
            <w:r>
              <w:rPr>
                <w:rFonts w:ascii="Arial" w:cs="Arial" w:eastAsia="Arial" w:hAnsi="Arial"/>
                <w:sz w:val="15"/>
                <w:szCs w:val="15"/>
                <w:b w:val="1"/>
                <w:bCs w:val="1"/>
                <w:color w:val="auto"/>
                <w:w w:val="85"/>
              </w:rPr>
              <w:t>Title of each class</w:t>
            </w:r>
          </w:p>
        </w:tc>
        <w:tc>
          <w:tcPr>
            <w:tcW w:w="3520" w:type="dxa"/>
            <w:vAlign w:val="bottom"/>
            <w:gridSpan w:val="5"/>
          </w:tcPr>
          <w:p>
            <w:pPr>
              <w:jc w:val="center"/>
              <w:ind w:right="60"/>
              <w:spacing w:after="0"/>
              <w:rPr>
                <w:sz w:val="20"/>
                <w:szCs w:val="20"/>
                <w:color w:val="auto"/>
              </w:rPr>
            </w:pPr>
            <w:r>
              <w:rPr>
                <w:rFonts w:ascii="Arial" w:cs="Arial" w:eastAsia="Arial" w:hAnsi="Arial"/>
                <w:sz w:val="15"/>
                <w:szCs w:val="15"/>
                <w:b w:val="1"/>
                <w:bCs w:val="1"/>
                <w:color w:val="auto"/>
                <w:w w:val="89"/>
              </w:rPr>
              <w:t>Trading Symbol(s)</w:t>
            </w:r>
          </w:p>
        </w:tc>
        <w:tc>
          <w:tcPr>
            <w:tcW w:w="3840" w:type="dxa"/>
            <w:vAlign w:val="bottom"/>
          </w:tcPr>
          <w:p>
            <w:pPr>
              <w:jc w:val="center"/>
              <w:ind w:right="406"/>
              <w:spacing w:after="0"/>
              <w:rPr>
                <w:sz w:val="20"/>
                <w:szCs w:val="20"/>
                <w:color w:val="auto"/>
              </w:rPr>
            </w:pPr>
            <w:r>
              <w:rPr>
                <w:rFonts w:ascii="Arial" w:cs="Arial" w:eastAsia="Arial" w:hAnsi="Arial"/>
                <w:sz w:val="15"/>
                <w:szCs w:val="15"/>
                <w:b w:val="1"/>
                <w:bCs w:val="1"/>
                <w:color w:val="auto"/>
                <w:w w:val="87"/>
              </w:rPr>
              <w:t>Name of each exchange on which registered</w:t>
            </w:r>
          </w:p>
        </w:tc>
      </w:tr>
      <w:tr>
        <w:trPr>
          <w:trHeight w:val="189"/>
        </w:trPr>
        <w:tc>
          <w:tcPr>
            <w:tcW w:w="3900" w:type="dxa"/>
            <w:vAlign w:val="bottom"/>
          </w:tcPr>
          <w:p>
            <w:pPr>
              <w:jc w:val="center"/>
              <w:ind w:left="366"/>
              <w:spacing w:after="0"/>
              <w:rPr>
                <w:sz w:val="20"/>
                <w:szCs w:val="20"/>
                <w:color w:val="auto"/>
              </w:rPr>
            </w:pPr>
            <w:r>
              <w:rPr>
                <w:rFonts w:ascii="Arial" w:cs="Arial" w:eastAsia="Arial" w:hAnsi="Arial"/>
                <w:sz w:val="15"/>
                <w:szCs w:val="15"/>
                <w:color w:val="auto"/>
                <w:w w:val="88"/>
              </w:rPr>
              <w:t>Common Stock, $0.01 Par Value</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gridSpan w:val="3"/>
          </w:tcPr>
          <w:p>
            <w:pPr>
              <w:jc w:val="center"/>
              <w:ind w:right="1360"/>
              <w:spacing w:after="0"/>
              <w:rPr>
                <w:sz w:val="20"/>
                <w:szCs w:val="20"/>
                <w:color w:val="auto"/>
              </w:rPr>
            </w:pPr>
            <w:r>
              <w:rPr>
                <w:rFonts w:ascii="Arial" w:cs="Arial" w:eastAsia="Arial" w:hAnsi="Arial"/>
                <w:sz w:val="15"/>
                <w:szCs w:val="15"/>
                <w:color w:val="auto"/>
                <w:w w:val="95"/>
              </w:rPr>
              <w:t>OCN</w:t>
            </w:r>
          </w:p>
        </w:tc>
        <w:tc>
          <w:tcPr>
            <w:tcW w:w="3840" w:type="dxa"/>
            <w:vAlign w:val="bottom"/>
          </w:tcPr>
          <w:p>
            <w:pPr>
              <w:jc w:val="center"/>
              <w:ind w:right="406"/>
              <w:spacing w:after="0"/>
              <w:rPr>
                <w:sz w:val="20"/>
                <w:szCs w:val="20"/>
                <w:color w:val="auto"/>
              </w:rPr>
            </w:pPr>
            <w:r>
              <w:rPr>
                <w:rFonts w:ascii="Arial" w:cs="Arial" w:eastAsia="Arial" w:hAnsi="Arial"/>
                <w:sz w:val="15"/>
                <w:szCs w:val="15"/>
                <w:color w:val="auto"/>
                <w:w w:val="90"/>
              </w:rPr>
              <w:t>New York Stock Exchange</w:t>
            </w:r>
          </w:p>
        </w:tc>
      </w:tr>
    </w:tbl>
    <w:p>
      <w:pPr>
        <w:spacing w:after="0" w:line="157" w:lineRule="exact"/>
        <w:rPr>
          <w:sz w:val="24"/>
          <w:szCs w:val="24"/>
          <w:color w:val="auto"/>
        </w:rPr>
      </w:pPr>
    </w:p>
    <w:p>
      <w:pPr>
        <w:ind w:right="80"/>
        <w:spacing w:after="0" w:line="30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ind w:right="260"/>
        <w:spacing w:after="0" w:line="27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8" w:lineRule="exact"/>
        <w:rPr>
          <w:sz w:val="24"/>
          <w:szCs w:val="24"/>
          <w:color w:val="auto"/>
        </w:rPr>
      </w:pPr>
    </w:p>
    <w:p>
      <w:pPr>
        <w:ind w:right="120"/>
        <w:spacing w:after="0" w:line="30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42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60" w:type="dxa"/>
            <w:vAlign w:val="bottom"/>
          </w:tcPr>
          <w:p>
            <w:pPr>
              <w:ind w:left="520"/>
              <w:spacing w:after="0"/>
              <w:rPr>
                <w:sz w:val="20"/>
                <w:szCs w:val="20"/>
                <w:color w:val="auto"/>
              </w:rPr>
            </w:pPr>
            <w:r>
              <w:rPr>
                <w:rFonts w:ascii="Arial" w:cs="Arial" w:eastAsia="Arial" w:hAnsi="Arial"/>
                <w:sz w:val="15"/>
                <w:szCs w:val="15"/>
                <w:color w:val="auto"/>
              </w:rPr>
              <w:t>Accelerated filer</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189"/>
        </w:trPr>
        <w:tc>
          <w:tcPr>
            <w:tcW w:w="3100" w:type="dxa"/>
            <w:vAlign w:val="bottom"/>
          </w:tcPr>
          <w:p>
            <w:pPr>
              <w:spacing w:after="0"/>
              <w:rPr>
                <w:sz w:val="20"/>
                <w:szCs w:val="20"/>
                <w:color w:val="auto"/>
              </w:rPr>
            </w:pPr>
            <w:r>
              <w:rPr>
                <w:rFonts w:ascii="Arial" w:cs="Arial" w:eastAsia="Arial" w:hAnsi="Arial"/>
                <w:sz w:val="15"/>
                <w:szCs w:val="15"/>
                <w:color w:val="auto"/>
              </w:rPr>
              <w:t>Non-accelerated filer</w:t>
            </w:r>
          </w:p>
        </w:tc>
        <w:tc>
          <w:tcPr>
            <w:tcW w:w="242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60" w:type="dxa"/>
            <w:vAlign w:val="bottom"/>
          </w:tcPr>
          <w:p>
            <w:pPr>
              <w:ind w:left="520"/>
              <w:spacing w:after="0"/>
              <w:rPr>
                <w:sz w:val="20"/>
                <w:szCs w:val="20"/>
                <w:color w:val="auto"/>
              </w:rPr>
            </w:pPr>
            <w:r>
              <w:rPr>
                <w:rFonts w:ascii="Arial" w:cs="Arial" w:eastAsia="Arial" w:hAnsi="Arial"/>
                <w:sz w:val="15"/>
                <w:szCs w:val="15"/>
                <w:color w:val="auto"/>
              </w:rPr>
              <w:t>Smaller reporting company</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232"/>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760" w:type="dxa"/>
            <w:vAlign w:val="bottom"/>
          </w:tcPr>
          <w:p>
            <w:pPr>
              <w:ind w:left="520"/>
              <w:spacing w:after="0"/>
              <w:rPr>
                <w:sz w:val="20"/>
                <w:szCs w:val="20"/>
                <w:color w:val="auto"/>
              </w:rPr>
            </w:pPr>
            <w:r>
              <w:rPr>
                <w:rFonts w:ascii="Arial" w:cs="Arial" w:eastAsia="Arial" w:hAnsi="Arial"/>
                <w:sz w:val="15"/>
                <w:szCs w:val="15"/>
                <w:color w:val="auto"/>
              </w:rPr>
              <w:t>Emerging growth company</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bl>
    <w:p>
      <w:pPr>
        <w:spacing w:after="0" w:line="130" w:lineRule="exact"/>
        <w:rPr>
          <w:sz w:val="24"/>
          <w:szCs w:val="24"/>
          <w:color w:val="auto"/>
        </w:rPr>
      </w:pPr>
    </w:p>
    <w:p>
      <w:pPr>
        <w:ind w:right="240"/>
        <w:spacing w:after="0" w:line="27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right="4400"/>
        <w:spacing w:after="0" w:line="24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Number of shares of common stock outstanding as of October 29, 2021: 9,200,752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483235</wp:posOffset>
            </wp:positionV>
            <wp:extent cx="718185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185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715645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6450" cy="13970"/>
                    </a:xfrm>
                    <a:prstGeom prst="rect">
                      <a:avLst/>
                    </a:prstGeom>
                    <a:noFill/>
                  </pic:spPr>
                </pic:pic>
              </a:graphicData>
            </a:graphic>
          </wp:anchor>
        </w:drawing>
      </w:r>
    </w:p>
    <w:p>
      <w:pPr>
        <w:sectPr>
          <w:pgSz w:w="11900" w:h="16838" w:orient="portrait"/>
          <w:cols w:equalWidth="0" w:num="1">
            <w:col w:w="11260"/>
          </w:cols>
          <w:pgMar w:left="300" w:top="80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OCWEN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80" w:type="dxa"/>
            <w:vAlign w:val="bottom"/>
            <w:gridSpan w:val="2"/>
            <w:vMerge w:val="restart"/>
          </w:tcPr>
          <w:p>
            <w:pPr>
              <w:ind w:left="20"/>
              <w:spacing w:after="0"/>
              <w:rPr>
                <w:rFonts w:ascii="Arial" w:cs="Arial" w:eastAsia="Arial" w:hAnsi="Arial"/>
                <w:sz w:val="15"/>
                <w:szCs w:val="15"/>
                <w:b w:val="1"/>
                <w:bCs w:val="1"/>
                <w:color w:val="auto"/>
              </w:rPr>
            </w:pPr>
            <w:hyperlink w:anchor="page4">
              <w:r>
                <w:rPr>
                  <w:rFonts w:ascii="Arial" w:cs="Arial" w:eastAsia="Arial" w:hAnsi="Arial"/>
                  <w:sz w:val="15"/>
                  <w:szCs w:val="15"/>
                  <w:b w:val="1"/>
                  <w:bCs w:val="1"/>
                  <w:color w:val="auto"/>
                </w:rPr>
                <w:t>PART I - FINANCIAL INFORMATION</w:t>
              </w:r>
            </w:hyperlink>
          </w:p>
        </w:tc>
        <w:tc>
          <w:tcPr>
            <w:tcW w:w="800" w:type="dxa"/>
            <w:vAlign w:val="bottom"/>
            <w:gridSpan w:val="2"/>
          </w:tcPr>
          <w:p>
            <w:pPr>
              <w:ind w:left="20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2"/>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4">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Consolidated Balance Sheets at September 30, 2021 and December 31, 2020</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5">
              <w:r>
                <w:rPr>
                  <w:rFonts w:ascii="Arial" w:cs="Arial" w:eastAsia="Arial" w:hAnsi="Arial"/>
                  <w:sz w:val="15"/>
                  <w:szCs w:val="15"/>
                  <w:color w:val="auto"/>
                </w:rPr>
                <w:t xml:space="preserve">Consolidated Statements of Operations for the Three and Nine Months Ended September 30,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5">
              <w:r>
                <w:rPr>
                  <w:rFonts w:ascii="Arial" w:cs="Arial" w:eastAsia="Arial" w:hAnsi="Arial"/>
                  <w:sz w:val="15"/>
                  <w:szCs w:val="15"/>
                  <w:color w:val="auto"/>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6">
              <w:r>
                <w:rPr>
                  <w:rFonts w:ascii="Arial" w:cs="Arial" w:eastAsia="Arial" w:hAnsi="Arial"/>
                  <w:sz w:val="15"/>
                  <w:szCs w:val="15"/>
                  <w:color w:val="auto"/>
                </w:rPr>
                <w:t>Consolidated Statements of Comprehensive Income (Loss) for the Three and Nine Months Ended September 30, 2021 and 2020</w:t>
              </w:r>
            </w:hyperlink>
          </w:p>
        </w:tc>
        <w:tc>
          <w:tcPr>
            <w:tcW w:w="780" w:type="dxa"/>
            <w:vAlign w:val="bottom"/>
          </w:tcPr>
          <w:p>
            <w:pPr>
              <w:jc w:val="right"/>
              <w:spacing w:after="0"/>
              <w:rPr>
                <w:rFonts w:ascii="Arial" w:cs="Arial" w:eastAsia="Arial" w:hAnsi="Arial"/>
                <w:sz w:val="15"/>
                <w:szCs w:val="15"/>
                <w:color w:val="auto"/>
              </w:rPr>
            </w:pPr>
            <w:hyperlink w:anchor="page6">
              <w:r>
                <w:rPr>
                  <w:rFonts w:ascii="Arial" w:cs="Arial" w:eastAsia="Arial" w:hAnsi="Arial"/>
                  <w:sz w:val="15"/>
                  <w:szCs w:val="15"/>
                  <w:color w:val="auto"/>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7">
              <w:r>
                <w:rPr>
                  <w:rFonts w:ascii="Arial" w:cs="Arial" w:eastAsia="Arial" w:hAnsi="Arial"/>
                  <w:sz w:val="15"/>
                  <w:szCs w:val="15"/>
                  <w:color w:val="auto"/>
                </w:rPr>
                <w:t>Consolidated Statements of Changes in Equity for the Three and Nine Months Ended September 30, 2021 and 2020</w:t>
              </w:r>
            </w:hyperlink>
          </w:p>
        </w:tc>
        <w:tc>
          <w:tcPr>
            <w:tcW w:w="780" w:type="dxa"/>
            <w:vAlign w:val="bottom"/>
          </w:tcPr>
          <w:p>
            <w:pPr>
              <w:jc w:val="right"/>
              <w:spacing w:after="0"/>
              <w:rPr>
                <w:rFonts w:ascii="Arial" w:cs="Arial" w:eastAsia="Arial" w:hAnsi="Arial"/>
                <w:sz w:val="15"/>
                <w:szCs w:val="15"/>
                <w:color w:val="auto"/>
              </w:rPr>
            </w:pPr>
            <w:hyperlink w:anchor="page7">
              <w:r>
                <w:rPr>
                  <w:rFonts w:ascii="Arial" w:cs="Arial" w:eastAsia="Arial" w:hAnsi="Arial"/>
                  <w:sz w:val="15"/>
                  <w:szCs w:val="15"/>
                  <w:color w:val="auto"/>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9">
              <w:r>
                <w:rPr>
                  <w:rFonts w:ascii="Arial" w:cs="Arial" w:eastAsia="Arial" w:hAnsi="Arial"/>
                  <w:sz w:val="15"/>
                  <w:szCs w:val="15"/>
                  <w:color w:val="auto"/>
                </w:rPr>
                <w:t xml:space="preserve">Consolidated Statements of Cash Flows for the Nine Months Ended September 30,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9">
              <w:r>
                <w:rPr>
                  <w:rFonts w:ascii="Arial" w:cs="Arial" w:eastAsia="Arial" w:hAnsi="Arial"/>
                  <w:sz w:val="15"/>
                  <w:szCs w:val="15"/>
                  <w:color w:val="auto"/>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11">
              <w:r>
                <w:rPr>
                  <w:rFonts w:ascii="Arial" w:cs="Arial" w:eastAsia="Arial" w:hAnsi="Arial"/>
                  <w:sz w:val="15"/>
                  <w:szCs w:val="15"/>
                  <w:color w:val="auto"/>
                </w:rPr>
                <w:t>Notes to 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11">
              <w:r>
                <w:rPr>
                  <w:rFonts w:ascii="Arial" w:cs="Arial" w:eastAsia="Arial" w:hAnsi="Arial"/>
                  <w:sz w:val="15"/>
                  <w:szCs w:val="15"/>
                  <w:color w:val="auto"/>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ind w:left="20"/>
              <w:spacing w:after="0"/>
              <w:rPr>
                <w:rFonts w:ascii="Arial" w:cs="Arial" w:eastAsia="Arial" w:hAnsi="Arial"/>
                <w:sz w:val="15"/>
                <w:szCs w:val="15"/>
                <w:color w:val="auto"/>
              </w:rPr>
            </w:pPr>
            <w:hyperlink w:anchor="page62">
              <w:r>
                <w:rPr>
                  <w:rFonts w:ascii="Arial" w:cs="Arial" w:eastAsia="Arial" w:hAnsi="Arial"/>
                  <w:sz w:val="15"/>
                  <w:szCs w:val="15"/>
                  <w:color w:val="auto"/>
                </w:rPr>
                <w:t>Item 2.</w:t>
              </w:r>
            </w:hyperlink>
          </w:p>
        </w:tc>
        <w:tc>
          <w:tcPr>
            <w:tcW w:w="9640" w:type="dxa"/>
            <w:vAlign w:val="bottom"/>
          </w:tcPr>
          <w:p>
            <w:pPr>
              <w:ind w:left="200"/>
              <w:spacing w:after="0"/>
              <w:rPr>
                <w:rFonts w:ascii="Arial" w:cs="Arial" w:eastAsia="Arial" w:hAnsi="Arial"/>
                <w:sz w:val="15"/>
                <w:szCs w:val="15"/>
                <w:color w:val="auto"/>
              </w:rPr>
            </w:pPr>
            <w:hyperlink w:anchor="page62">
              <w:r>
                <w:rPr>
                  <w:rFonts w:ascii="Arial" w:cs="Arial" w:eastAsia="Arial" w:hAnsi="Arial"/>
                  <w:sz w:val="15"/>
                  <w:szCs w:val="15"/>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5"/>
                <w:szCs w:val="15"/>
                <w:color w:val="auto"/>
              </w:rPr>
            </w:pPr>
            <w:hyperlink w:anchor="page62">
              <w:r>
                <w:rPr>
                  <w:rFonts w:ascii="Arial" w:cs="Arial" w:eastAsia="Arial" w:hAnsi="Arial"/>
                  <w:sz w:val="15"/>
                  <w:szCs w:val="15"/>
                  <w:color w:val="auto"/>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106">
              <w:r>
                <w:rPr>
                  <w:rFonts w:ascii="Arial" w:cs="Arial" w:eastAsia="Arial" w:hAnsi="Arial"/>
                  <w:sz w:val="15"/>
                  <w:szCs w:val="15"/>
                  <w:color w:val="auto"/>
                </w:rPr>
                <w:t>Item 3.</w:t>
              </w:r>
            </w:hyperlink>
          </w:p>
        </w:tc>
        <w:tc>
          <w:tcPr>
            <w:tcW w:w="9640" w:type="dxa"/>
            <w:vAlign w:val="bottom"/>
          </w:tcPr>
          <w:p>
            <w:pPr>
              <w:ind w:left="200"/>
              <w:spacing w:after="0"/>
              <w:rPr>
                <w:rFonts w:ascii="Arial" w:cs="Arial" w:eastAsia="Arial" w:hAnsi="Arial"/>
                <w:sz w:val="15"/>
                <w:szCs w:val="15"/>
                <w:color w:val="auto"/>
              </w:rPr>
            </w:pPr>
            <w:hyperlink w:anchor="page106">
              <w:r>
                <w:rPr>
                  <w:rFonts w:ascii="Arial" w:cs="Arial" w:eastAsia="Arial" w:hAnsi="Arial"/>
                  <w:sz w:val="15"/>
                  <w:szCs w:val="15"/>
                  <w:color w:val="auto"/>
                </w:rPr>
                <w:t>Quantitative and Qualitative Disclosures about Market Risk</w:t>
              </w:r>
            </w:hyperlink>
          </w:p>
        </w:tc>
        <w:tc>
          <w:tcPr>
            <w:tcW w:w="780" w:type="dxa"/>
            <w:vAlign w:val="bottom"/>
          </w:tcPr>
          <w:p>
            <w:pPr>
              <w:jc w:val="right"/>
              <w:spacing w:after="0"/>
              <w:rPr>
                <w:rFonts w:ascii="Arial" w:cs="Arial" w:eastAsia="Arial" w:hAnsi="Arial"/>
                <w:sz w:val="15"/>
                <w:szCs w:val="15"/>
                <w:color w:val="auto"/>
              </w:rPr>
            </w:pPr>
            <w:hyperlink w:anchor="page106">
              <w:r>
                <w:rPr>
                  <w:rFonts w:ascii="Arial" w:cs="Arial" w:eastAsia="Arial" w:hAnsi="Arial"/>
                  <w:sz w:val="15"/>
                  <w:szCs w:val="15"/>
                  <w:color w:val="auto"/>
                </w:rPr>
                <w:t>105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110">
              <w:r>
                <w:rPr>
                  <w:rFonts w:ascii="Arial" w:cs="Arial" w:eastAsia="Arial" w:hAnsi="Arial"/>
                  <w:sz w:val="15"/>
                  <w:szCs w:val="15"/>
                  <w:color w:val="auto"/>
                </w:rPr>
                <w:t>Item 4.</w:t>
              </w:r>
            </w:hyperlink>
          </w:p>
        </w:tc>
        <w:tc>
          <w:tcPr>
            <w:tcW w:w="9640" w:type="dxa"/>
            <w:vAlign w:val="bottom"/>
          </w:tcPr>
          <w:p>
            <w:pPr>
              <w:ind w:left="200"/>
              <w:spacing w:after="0"/>
              <w:rPr>
                <w:rFonts w:ascii="Arial" w:cs="Arial" w:eastAsia="Arial" w:hAnsi="Arial"/>
                <w:sz w:val="15"/>
                <w:szCs w:val="15"/>
                <w:color w:val="auto"/>
              </w:rPr>
            </w:pPr>
            <w:hyperlink w:anchor="page110">
              <w:r>
                <w:rPr>
                  <w:rFonts w:ascii="Arial" w:cs="Arial" w:eastAsia="Arial" w:hAnsi="Arial"/>
                  <w:sz w:val="15"/>
                  <w:szCs w:val="15"/>
                  <w:color w:val="auto"/>
                </w:rPr>
                <w:t>Controls and Procedures</w:t>
              </w:r>
            </w:hyperlink>
          </w:p>
        </w:tc>
        <w:tc>
          <w:tcPr>
            <w:tcW w:w="780" w:type="dxa"/>
            <w:vAlign w:val="bottom"/>
          </w:tcPr>
          <w:p>
            <w:pPr>
              <w:jc w:val="right"/>
              <w:spacing w:after="0"/>
              <w:rPr>
                <w:rFonts w:ascii="Arial" w:cs="Arial" w:eastAsia="Arial" w:hAnsi="Arial"/>
                <w:sz w:val="15"/>
                <w:szCs w:val="15"/>
                <w:color w:val="auto"/>
              </w:rPr>
            </w:pPr>
            <w:hyperlink w:anchor="page110">
              <w:r>
                <w:rPr>
                  <w:rFonts w:ascii="Arial" w:cs="Arial" w:eastAsia="Arial" w:hAnsi="Arial"/>
                  <w:sz w:val="15"/>
                  <w:szCs w:val="15"/>
                  <w:color w:val="auto"/>
                </w:rPr>
                <w:t>109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480" w:type="dxa"/>
            <w:vAlign w:val="bottom"/>
            <w:gridSpan w:val="2"/>
          </w:tcPr>
          <w:p>
            <w:pPr>
              <w:ind w:left="20"/>
              <w:spacing w:after="0"/>
              <w:rPr>
                <w:rFonts w:ascii="Arial" w:cs="Arial" w:eastAsia="Arial" w:hAnsi="Arial"/>
                <w:sz w:val="15"/>
                <w:szCs w:val="15"/>
                <w:b w:val="1"/>
                <w:bCs w:val="1"/>
                <w:color w:val="auto"/>
              </w:rPr>
            </w:pPr>
            <w:hyperlink w:anchor="page111">
              <w:r>
                <w:rPr>
                  <w:rFonts w:ascii="Arial" w:cs="Arial" w:eastAsia="Arial" w:hAnsi="Arial"/>
                  <w:sz w:val="15"/>
                  <w:szCs w:val="15"/>
                  <w:b w:val="1"/>
                  <w:bCs w:val="1"/>
                  <w:color w:val="auto"/>
                </w:rPr>
                <w:t>PART II -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111">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111">
              <w:r>
                <w:rPr>
                  <w:rFonts w:ascii="Arial" w:cs="Arial" w:eastAsia="Arial" w:hAnsi="Arial"/>
                  <w:sz w:val="15"/>
                  <w:szCs w:val="15"/>
                  <w:color w:val="auto"/>
                </w:rPr>
                <w:t>Legal Proceedings</w:t>
              </w:r>
            </w:hyperlink>
          </w:p>
        </w:tc>
        <w:tc>
          <w:tcPr>
            <w:tcW w:w="780" w:type="dxa"/>
            <w:vAlign w:val="bottom"/>
          </w:tcPr>
          <w:p>
            <w:pPr>
              <w:jc w:val="right"/>
              <w:spacing w:after="0"/>
              <w:rPr>
                <w:rFonts w:ascii="Arial" w:cs="Arial" w:eastAsia="Arial" w:hAnsi="Arial"/>
                <w:sz w:val="15"/>
                <w:szCs w:val="15"/>
                <w:color w:val="auto"/>
              </w:rPr>
            </w:pPr>
            <w:hyperlink w:anchor="page111">
              <w:r>
                <w:rPr>
                  <w:rFonts w:ascii="Arial" w:cs="Arial" w:eastAsia="Arial" w:hAnsi="Arial"/>
                  <w:sz w:val="15"/>
                  <w:szCs w:val="15"/>
                  <w:color w:val="auto"/>
                </w:rPr>
                <w:t>110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111">
              <w:r>
                <w:rPr>
                  <w:rFonts w:ascii="Arial" w:cs="Arial" w:eastAsia="Arial" w:hAnsi="Arial"/>
                  <w:sz w:val="15"/>
                  <w:szCs w:val="15"/>
                  <w:color w:val="auto"/>
                </w:rPr>
                <w:t>Item 1A.</w:t>
              </w:r>
            </w:hyperlink>
          </w:p>
        </w:tc>
        <w:tc>
          <w:tcPr>
            <w:tcW w:w="9640" w:type="dxa"/>
            <w:vAlign w:val="bottom"/>
          </w:tcPr>
          <w:p>
            <w:pPr>
              <w:ind w:left="200"/>
              <w:spacing w:after="0"/>
              <w:rPr>
                <w:rFonts w:ascii="Arial" w:cs="Arial" w:eastAsia="Arial" w:hAnsi="Arial"/>
                <w:sz w:val="15"/>
                <w:szCs w:val="15"/>
                <w:color w:val="auto"/>
              </w:rPr>
            </w:pPr>
            <w:hyperlink w:anchor="page111">
              <w:r>
                <w:rPr>
                  <w:rFonts w:ascii="Arial" w:cs="Arial" w:eastAsia="Arial" w:hAnsi="Arial"/>
                  <w:sz w:val="15"/>
                  <w:szCs w:val="15"/>
                  <w:color w:val="auto"/>
                </w:rPr>
                <w:t>Risk Factors</w:t>
              </w:r>
            </w:hyperlink>
          </w:p>
        </w:tc>
        <w:tc>
          <w:tcPr>
            <w:tcW w:w="780" w:type="dxa"/>
            <w:vAlign w:val="bottom"/>
          </w:tcPr>
          <w:p>
            <w:pPr>
              <w:jc w:val="right"/>
              <w:spacing w:after="0"/>
              <w:rPr>
                <w:rFonts w:ascii="Arial" w:cs="Arial" w:eastAsia="Arial" w:hAnsi="Arial"/>
                <w:sz w:val="15"/>
                <w:szCs w:val="15"/>
                <w:color w:val="auto"/>
              </w:rPr>
            </w:pPr>
            <w:hyperlink w:anchor="page111">
              <w:r>
                <w:rPr>
                  <w:rFonts w:ascii="Arial" w:cs="Arial" w:eastAsia="Arial" w:hAnsi="Arial"/>
                  <w:sz w:val="15"/>
                  <w:szCs w:val="15"/>
                  <w:color w:val="auto"/>
                </w:rPr>
                <w:t>110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ind w:left="20"/>
              <w:spacing w:after="0"/>
              <w:rPr>
                <w:rFonts w:ascii="Arial" w:cs="Arial" w:eastAsia="Arial" w:hAnsi="Arial"/>
                <w:sz w:val="15"/>
                <w:szCs w:val="15"/>
                <w:color w:val="auto"/>
              </w:rPr>
            </w:pPr>
            <w:hyperlink w:anchor="page111">
              <w:r>
                <w:rPr>
                  <w:rFonts w:ascii="Arial" w:cs="Arial" w:eastAsia="Arial" w:hAnsi="Arial"/>
                  <w:sz w:val="15"/>
                  <w:szCs w:val="15"/>
                  <w:color w:val="auto"/>
                </w:rPr>
                <w:t>Item 6.</w:t>
              </w:r>
            </w:hyperlink>
          </w:p>
        </w:tc>
        <w:tc>
          <w:tcPr>
            <w:tcW w:w="9640" w:type="dxa"/>
            <w:vAlign w:val="bottom"/>
          </w:tcPr>
          <w:p>
            <w:pPr>
              <w:ind w:left="200"/>
              <w:spacing w:after="0"/>
              <w:rPr>
                <w:rFonts w:ascii="Arial" w:cs="Arial" w:eastAsia="Arial" w:hAnsi="Arial"/>
                <w:sz w:val="15"/>
                <w:szCs w:val="15"/>
                <w:color w:val="auto"/>
              </w:rPr>
            </w:pPr>
            <w:hyperlink w:anchor="page111">
              <w:r>
                <w:rPr>
                  <w:rFonts w:ascii="Arial" w:cs="Arial" w:eastAsia="Arial" w:hAnsi="Arial"/>
                  <w:sz w:val="15"/>
                  <w:szCs w:val="15"/>
                  <w:color w:val="auto"/>
                </w:rPr>
                <w:t>Exhibits</w:t>
              </w:r>
            </w:hyperlink>
          </w:p>
        </w:tc>
        <w:tc>
          <w:tcPr>
            <w:tcW w:w="780" w:type="dxa"/>
            <w:vAlign w:val="bottom"/>
          </w:tcPr>
          <w:p>
            <w:pPr>
              <w:jc w:val="right"/>
              <w:spacing w:after="0"/>
              <w:rPr>
                <w:rFonts w:ascii="Arial" w:cs="Arial" w:eastAsia="Arial" w:hAnsi="Arial"/>
                <w:sz w:val="15"/>
                <w:szCs w:val="15"/>
                <w:color w:val="auto"/>
              </w:rPr>
            </w:pPr>
            <w:hyperlink w:anchor="page111">
              <w:r>
                <w:rPr>
                  <w:rFonts w:ascii="Arial" w:cs="Arial" w:eastAsia="Arial" w:hAnsi="Arial"/>
                  <w:sz w:val="15"/>
                  <w:szCs w:val="15"/>
                  <w:color w:val="auto"/>
                </w:rPr>
                <w:t>110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111">
              <w:r>
                <w:rPr>
                  <w:rFonts w:ascii="Arial" w:cs="Arial" w:eastAsia="Arial" w:hAnsi="Arial"/>
                  <w:sz w:val="15"/>
                  <w:szCs w:val="15"/>
                  <w:color w:val="auto"/>
                </w:rPr>
                <w:t>Signatures</w:t>
              </w:r>
            </w:hyperlink>
          </w:p>
        </w:tc>
        <w:tc>
          <w:tcPr>
            <w:tcW w:w="964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5"/>
                <w:szCs w:val="15"/>
                <w:color w:val="auto"/>
              </w:rPr>
            </w:pPr>
            <w:hyperlink w:anchor="page111">
              <w:r>
                <w:rPr>
                  <w:rFonts w:ascii="Arial" w:cs="Arial" w:eastAsia="Arial" w:hAnsi="Arial"/>
                  <w:sz w:val="15"/>
                  <w:szCs w:val="15"/>
                  <w:color w:val="auto"/>
                </w:rPr>
                <w:t>111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3"/>
        </w:trPr>
        <w:tc>
          <w:tcPr>
            <w:tcW w:w="840" w:type="dxa"/>
            <w:vAlign w:val="bottom"/>
          </w:tcPr>
          <w:p>
            <w:pPr>
              <w:spacing w:after="0"/>
              <w:rPr>
                <w:sz w:val="24"/>
                <w:szCs w:val="24"/>
                <w:color w:val="auto"/>
              </w:rPr>
            </w:pPr>
          </w:p>
        </w:tc>
        <w:tc>
          <w:tcPr>
            <w:tcW w:w="9640" w:type="dxa"/>
            <w:vAlign w:val="bottom"/>
          </w:tcPr>
          <w:p>
            <w:pPr>
              <w:ind w:left="4760"/>
              <w:spacing w:after="0"/>
              <w:rPr>
                <w:sz w:val="20"/>
                <w:szCs w:val="20"/>
                <w:color w:val="auto"/>
              </w:rPr>
            </w:pPr>
            <w:r>
              <w:rPr>
                <w:rFonts w:ascii="Arial" w:cs="Arial" w:eastAsia="Arial" w:hAnsi="Arial"/>
                <w:sz w:val="15"/>
                <w:szCs w:val="15"/>
                <w:color w:val="auto"/>
              </w:rPr>
              <w:t>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40" w:type="dxa"/>
            <w:vAlign w:val="bottom"/>
            <w:tcBorders>
              <w:bottom w:val="single" w:sz="8" w:color="9A9A9A"/>
            </w:tcBorders>
          </w:tcPr>
          <w:p>
            <w:pPr>
              <w:spacing w:after="0"/>
              <w:rPr>
                <w:sz w:val="8"/>
                <w:szCs w:val="8"/>
                <w:color w:val="auto"/>
              </w:rPr>
            </w:pPr>
          </w:p>
        </w:tc>
        <w:tc>
          <w:tcPr>
            <w:tcW w:w="9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FORWARD-LOOKING STATEMENTS</w:t>
      </w:r>
    </w:p>
    <w:p>
      <w:pPr>
        <w:spacing w:after="0" w:line="99" w:lineRule="exact"/>
        <w:rPr>
          <w:sz w:val="20"/>
          <w:szCs w:val="20"/>
          <w:color w:val="auto"/>
        </w:rPr>
      </w:pPr>
    </w:p>
    <w:p>
      <w:pPr>
        <w:ind w:right="140" w:firstLine="268"/>
        <w:spacing w:after="0" w:line="259" w:lineRule="auto"/>
        <w:rPr>
          <w:sz w:val="20"/>
          <w:szCs w:val="20"/>
          <w:color w:val="auto"/>
        </w:rPr>
      </w:pPr>
      <w:r>
        <w:rPr>
          <w:rFonts w:ascii="Arial" w:cs="Arial" w:eastAsia="Arial" w:hAnsi="Arial"/>
          <w:sz w:val="15"/>
          <w:szCs w:val="15"/>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6"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Part II, Item 1A, Risk Factors of this report and the following:</w:t>
      </w:r>
    </w:p>
    <w:p>
      <w:pPr>
        <w:spacing w:after="0" w:line="60" w:lineRule="exact"/>
        <w:rPr>
          <w:sz w:val="20"/>
          <w:szCs w:val="20"/>
          <w:color w:val="auto"/>
        </w:rPr>
      </w:pPr>
    </w:p>
    <w:p>
      <w:pPr>
        <w:ind w:left="540" w:right="80" w:hanging="263"/>
        <w:spacing w:after="0" w:line="23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relating to the continuing impacts of the Coronavirus 2019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ind w:left="540" w:right="380" w:hanging="263"/>
        <w:spacing w:after="0" w:line="246"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for ongoing COVID-19 related disruption in the financial markets and in commercial activity generally, increased unemployment, and other financial difficulties facing our borrowers;</w:t>
      </w:r>
    </w:p>
    <w:p>
      <w:pPr>
        <w:spacing w:after="0" w:line="1" w:lineRule="exact"/>
        <w:rPr>
          <w:rFonts w:ascii="Arial" w:cs="Arial" w:eastAsia="Arial" w:hAnsi="Arial"/>
          <w:sz w:val="15"/>
          <w:szCs w:val="15"/>
          <w:color w:val="auto"/>
        </w:rPr>
      </w:pPr>
    </w:p>
    <w:p>
      <w:pPr>
        <w:ind w:left="540" w:hanging="263"/>
        <w:spacing w:after="0" w:line="235"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proportion of borrowers who enter into forbearance plans, the financial ability of borrowers to resume repayment and their timing for doing so;</w:t>
      </w:r>
    </w:p>
    <w:p>
      <w:pPr>
        <w:ind w:left="540" w:right="20" w:hanging="263"/>
        <w:spacing w:after="0" w:line="224"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extent to which our mortgage servicing right (MSR) joint venture with Oaktree Capital Management L.P. and its affiliates (Oaktree), other recent transactions and our enterprise sales initiatives will generate additional subservicing volume and result in increased profitability;</w:t>
      </w:r>
    </w:p>
    <w:p>
      <w:pPr>
        <w:spacing w:after="0" w:line="1" w:lineRule="exact"/>
        <w:rPr>
          <w:rFonts w:ascii="Arial" w:cs="Arial" w:eastAsia="Arial" w:hAnsi="Arial"/>
          <w:sz w:val="15"/>
          <w:szCs w:val="15"/>
          <w:color w:val="auto"/>
        </w:rPr>
      </w:pPr>
    </w:p>
    <w:p>
      <w:pPr>
        <w:ind w:left="540" w:hanging="263"/>
        <w:spacing w:after="0" w:line="232"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deploy the proceeds of the senior secured notes in suitable investments at appropriate returns;</w:t>
      </w:r>
    </w:p>
    <w:p>
      <w:pPr>
        <w:ind w:left="540" w:hanging="263"/>
        <w:spacing w:after="0" w:line="217"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close acquisitions of MSRs and other transactions, including the ability to obtain regulatory approvals, enter into definitive financing arrangements, and satisfy closing conditions, and the timing for doing so;</w:t>
      </w:r>
    </w:p>
    <w:p>
      <w:pPr>
        <w:ind w:left="540" w:right="260" w:hanging="263"/>
        <w:spacing w:after="0" w:line="231"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efficiently integrate the operations, assets and employees of Reverse Mortgage Solutions, Inc. (RMS) following our acquisition of certain assets of RMS related to reverse mortgage subservicing, including subservicing contracts and related foreclosed properties;</w:t>
      </w:r>
    </w:p>
    <w:p>
      <w:pPr>
        <w:ind w:left="540" w:hanging="263"/>
        <w:spacing w:after="0" w:line="21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5"/>
          <w:szCs w:val="15"/>
          <w:color w:val="auto"/>
        </w:rPr>
        <w:t>our ability to obtain the necessary counterparty approvals to begin servicing our owned reverse servicing portfolio, and the timing for doing so;</w:t>
      </w:r>
    </w:p>
    <w:p>
      <w:pPr>
        <w:spacing w:after="0" w:line="8" w:lineRule="exact"/>
        <w:rPr>
          <w:rFonts w:ascii="Arial" w:cs="Arial" w:eastAsia="Arial" w:hAnsi="Arial"/>
          <w:sz w:val="18"/>
          <w:szCs w:val="18"/>
          <w:color w:val="auto"/>
        </w:rPr>
      </w:pPr>
    </w:p>
    <w:p>
      <w:pPr>
        <w:ind w:left="540" w:right="240" w:hanging="263"/>
        <w:spacing w:after="0" w:line="213" w:lineRule="auto"/>
        <w:tabs>
          <w:tab w:leader="none" w:pos="536" w:val="left"/>
        </w:tabs>
        <w:numPr>
          <w:ilvl w:val="0"/>
          <w:numId w:val="3"/>
        </w:numPr>
        <w:rPr>
          <w:rFonts w:ascii="Arial" w:cs="Arial" w:eastAsia="Arial" w:hAnsi="Arial"/>
          <w:sz w:val="18"/>
          <w:szCs w:val="18"/>
          <w:color w:val="auto"/>
        </w:rPr>
      </w:pPr>
      <w:r>
        <w:rPr>
          <w:rFonts w:ascii="Arial" w:cs="Arial" w:eastAsia="Arial" w:hAnsi="Arial"/>
          <w:sz w:val="15"/>
          <w:szCs w:val="15"/>
          <w:color w:val="auto"/>
        </w:rPr>
        <w:t>our ability to retain the customers and employees acquired from Texas Capital Bank, and the extent to which this acquisition and our other correspondent lending initiatives will contribute to achieving our growth objectives;</w:t>
      </w:r>
    </w:p>
    <w:p>
      <w:pPr>
        <w:ind w:left="540" w:hanging="263"/>
        <w:spacing w:after="0" w:line="20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5"/>
          <w:szCs w:val="15"/>
          <w:color w:val="auto"/>
        </w:rPr>
        <w:t>the extent to which we will be able to execute call rights transactions, and whether such transactions will generate the returns anticipated;</w:t>
      </w:r>
    </w:p>
    <w:p>
      <w:pPr>
        <w:ind w:left="540" w:right="140" w:hanging="263"/>
        <w:spacing w:after="0" w:line="264" w:lineRule="auto"/>
        <w:tabs>
          <w:tab w:leader="none" w:pos="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4"/>
          <w:szCs w:val="14"/>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servicing costs based on rising borrower delinquency levels or other factors;</w:t>
      </w:r>
    </w:p>
    <w:p>
      <w:pPr>
        <w:spacing w:after="0" w:line="5" w:lineRule="exact"/>
        <w:rPr>
          <w:rFonts w:ascii="Arial" w:cs="Arial" w:eastAsia="Arial" w:hAnsi="Arial"/>
          <w:sz w:val="15"/>
          <w:szCs w:val="15"/>
          <w:color w:val="auto"/>
        </w:rPr>
      </w:pPr>
    </w:p>
    <w:p>
      <w:pPr>
        <w:ind w:left="540" w:right="240" w:hanging="263"/>
        <w:spacing w:after="0" w:line="24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reduced collection of servicing fees and ancillary income and delayed collection of servicing revenue as a result of forbearance plans and moratoria on evictions and foreclosure proceedings;</w:t>
      </w:r>
    </w:p>
    <w:p>
      <w:pPr>
        <w:ind w:left="540" w:hanging="263"/>
        <w:spacing w:after="0" w:line="235"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grow our lending business and increase our lending volumes in a competitive market and uncertain interest rate environment;</w:t>
      </w:r>
    </w:p>
    <w:p>
      <w:pPr>
        <w:ind w:left="540" w:right="400" w:hanging="263"/>
        <w:spacing w:after="0" w:line="224"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our long-term relationship and remaining agreements with New Residential Investment Corp. (NRZ), our largest servicing client, including whether our subservicing agreements will renew or terminate in July 2022;</w:t>
      </w:r>
    </w:p>
    <w:p>
      <w:pPr>
        <w:spacing w:after="0" w:line="1" w:lineRule="exact"/>
        <w:rPr>
          <w:rFonts w:ascii="Arial" w:cs="Arial" w:eastAsia="Arial" w:hAnsi="Arial"/>
          <w:sz w:val="15"/>
          <w:szCs w:val="15"/>
          <w:color w:val="auto"/>
        </w:rPr>
      </w:pPr>
    </w:p>
    <w:p>
      <w:pPr>
        <w:ind w:left="540" w:right="340" w:hanging="263"/>
        <w:spacing w:after="0" w:line="249"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3" w:name="page4"/>
    <w:bookmarkEnd w:id="3"/>
    <w:p>
      <w:pPr>
        <w:ind w:left="540" w:right="160" w:hanging="263"/>
        <w:spacing w:after="0" w:line="241"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adverse effects on our business as a result of regulatory investigations, litigation, cease and desist orders or settlements and the reactions of key counterparties, including lenders, the GSEs and Ginnie Mae;</w:t>
      </w: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comply with the terms of our settlements with regulatory agencies and the costs of doing so;</w:t>
      </w:r>
    </w:p>
    <w:p>
      <w:pPr>
        <w:spacing w:after="0" w:line="3"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adverse developments in existing legal proceedings or the initiation of new legal proceedings;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effectively manage our regulatory and contractual compliance obligations;</w:t>
      </w:r>
    </w:p>
    <w:p>
      <w:pPr>
        <w:spacing w:after="0" w:line="5" w:lineRule="exact"/>
        <w:rPr>
          <w:rFonts w:ascii="Arial" w:cs="Arial" w:eastAsia="Arial" w:hAnsi="Arial"/>
          <w:sz w:val="15"/>
          <w:szCs w:val="15"/>
          <w:color w:val="auto"/>
        </w:rPr>
      </w:pPr>
    </w:p>
    <w:p>
      <w:pPr>
        <w:ind w:left="540" w:right="260" w:hanging="263"/>
        <w:spacing w:after="0" w:line="234"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changes in legislation, regulations, government programs and policies, industry initiatives, best servicing and lending practices, and media scrutiny of our business and industry;</w:t>
      </w:r>
    </w:p>
    <w:p>
      <w:pPr>
        <w:ind w:left="540" w:right="20" w:hanging="263"/>
        <w:spacing w:after="0" w:line="232"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to which a recent judicial interpretation of the Fair Debt Collection Practices Act may require us to modify our business practices and expose us to increased expense and litigation risk;</w:t>
      </w:r>
    </w:p>
    <w:p>
      <w:pPr>
        <w:ind w:left="540" w:right="120" w:hanging="263"/>
        <w:spacing w:after="0" w:line="24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interpret correctly and comply with liquidity, net worth and other financial and other requirements of regulators, the GSEs and Ginnie Mae, as well as those set forth in our debt and other agreements;</w:t>
      </w:r>
    </w:p>
    <w:p>
      <w:pPr>
        <w:spacing w:after="0" w:line="1" w:lineRule="exact"/>
        <w:rPr>
          <w:rFonts w:ascii="Arial" w:cs="Arial" w:eastAsia="Arial" w:hAnsi="Arial"/>
          <w:sz w:val="15"/>
          <w:szCs w:val="15"/>
          <w:color w:val="auto"/>
        </w:rPr>
      </w:pPr>
    </w:p>
    <w:p>
      <w:pPr>
        <w:ind w:left="54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comply with our servicing agreements, including our ability to comply with our agreements with, and the requirements of, the GSEs and Ginnie Mae and maintain our seller/servicer and other statuses with them;</w:t>
      </w:r>
    </w:p>
    <w:p>
      <w:pPr>
        <w:ind w:left="540" w:hanging="263"/>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servicer and credit ratings as well as other actions from various rating agencies, including the impact of prior or future downgrades of our servicer and credit ratings;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our information technology or other security systems or breach of our privacy protections, including any failure to protect customers’ data;</w:t>
      </w:r>
    </w:p>
    <w:p>
      <w:pPr>
        <w:spacing w:after="0" w:line="5" w:lineRule="exact"/>
        <w:rPr>
          <w:rFonts w:ascii="Arial" w:cs="Arial" w:eastAsia="Arial" w:hAnsi="Arial"/>
          <w:sz w:val="15"/>
          <w:szCs w:val="15"/>
          <w:color w:val="auto"/>
        </w:rPr>
      </w:pPr>
    </w:p>
    <w:p>
      <w:pPr>
        <w:ind w:left="540" w:right="280" w:hanging="263"/>
        <w:spacing w:after="0" w:line="265" w:lineRule="auto"/>
        <w:tabs>
          <w:tab w:leader="none" w:pos="5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loss of the services of our senior managers and key employees;</w:t>
      </w:r>
    </w:p>
    <w:p>
      <w:pPr>
        <w:spacing w:after="0" w:line="5" w:lineRule="exact"/>
        <w:rPr>
          <w:rFonts w:ascii="Arial" w:cs="Arial" w:eastAsia="Arial" w:hAnsi="Arial"/>
          <w:sz w:val="15"/>
          <w:szCs w:val="15"/>
          <w:color w:val="auto"/>
        </w:rPr>
      </w:pPr>
    </w:p>
    <w:p>
      <w:pPr>
        <w:ind w:left="540" w:right="34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actions of loan owners and guarantors, including mortgage-backed securities investors, the GSEs, Ginnie Mae and trustees regarding loan put-backs, penalties and legal actions;</w:t>
      </w:r>
    </w:p>
    <w:p>
      <w:pPr>
        <w:ind w:left="540" w:right="40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ability to continue to collect certain expedited payment or convenience fees and potential liability for charging such fees;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reserves, valuations, provisions and anticipated realization of assets;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ability of third-party obligors and financing sources to fund servicing advances on a timely basis on loans serviced by us;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characteristics of our servicing portfolio, including prepayment speeds along with delinquency and advance rates;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successfully modify delinquent loans, manage foreclosures and sell foreclosed properties;</w:t>
      </w:r>
    </w:p>
    <w:p>
      <w:pPr>
        <w:spacing w:after="0" w:line="5" w:lineRule="exact"/>
        <w:rPr>
          <w:rFonts w:ascii="Arial" w:cs="Arial" w:eastAsia="Arial" w:hAnsi="Arial"/>
          <w:sz w:val="15"/>
          <w:szCs w:val="15"/>
          <w:color w:val="auto"/>
        </w:rPr>
      </w:pPr>
    </w:p>
    <w:p>
      <w:pPr>
        <w:ind w:left="540" w:right="60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processes for judicial and non-judicial foreclosure proceedings, including potential additional costs or delays or moratoria in the future or claims pertaining to past practices;</w:t>
      </w: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adequately manage and maintain real estate owned (REO) properties and vacant properties collateralizing loans that we service;</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realize anticipated future gains from future draws on existing loans in our reverse mortgage portfolio;</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effectively manage our exposure to interest rate changes and foreign exchange fluctuations;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effectively transform our operations in response to changing business needs, including our ability to do so without unanticipated adverse tax consequences;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political or economic stability of the United States and of the foreign countries in which we have operations;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maintain positive relationships with our large shareholders and obtain their support for management proposals requiring shareholder approval.</w:t>
      </w:r>
    </w:p>
    <w:p>
      <w:pPr>
        <w:spacing w:after="0" w:line="85" w:lineRule="exact"/>
        <w:rPr>
          <w:sz w:val="20"/>
          <w:szCs w:val="20"/>
          <w:color w:val="auto"/>
        </w:rPr>
      </w:pPr>
    </w:p>
    <w:p>
      <w:pPr>
        <w:jc w:val="both"/>
        <w:ind w:right="40" w:firstLine="268"/>
        <w:spacing w:after="0" w:line="286" w:lineRule="auto"/>
        <w:rPr>
          <w:sz w:val="20"/>
          <w:szCs w:val="20"/>
          <w:color w:val="auto"/>
        </w:rPr>
      </w:pPr>
      <w:r>
        <w:rPr>
          <w:rFonts w:ascii="Arial" w:cs="Arial" w:eastAsia="Arial" w:hAnsi="Arial"/>
          <w:sz w:val="14"/>
          <w:szCs w:val="14"/>
          <w:color w:val="auto"/>
        </w:rPr>
        <w:t>Further information on the risks specific to our business is detailed within this report and our other reports and filings with the SEC including our Annual Report on Form 10-K for the year ended December 31, 2020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764"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5"/>
          <w:szCs w:val="15"/>
          <w:b w:val="1"/>
          <w:bCs w:val="1"/>
          <w:color w:val="auto"/>
        </w:rPr>
        <w:t>PART I – FINANCIAL INFORMATION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ITEM 1. UNAUDITED CONSOLIDATED FINANCIAL STATEMENTS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6"/>
                <w:szCs w:val="16"/>
                <w:color w:val="auto"/>
              </w:rPr>
            </w:pPr>
          </w:p>
        </w:tc>
        <w:tc>
          <w:tcPr>
            <w:tcW w:w="1420" w:type="dxa"/>
            <w:vAlign w:val="bottom"/>
          </w:tcPr>
          <w:p>
            <w:pPr>
              <w:jc w:val="right"/>
              <w:ind w:right="106"/>
              <w:spacing w:after="0"/>
              <w:rPr>
                <w:sz w:val="20"/>
                <w:szCs w:val="20"/>
                <w:color w:val="auto"/>
              </w:rPr>
            </w:pPr>
            <w:r>
              <w:rPr>
                <w:rFonts w:ascii="Arial" w:cs="Arial" w:eastAsia="Arial" w:hAnsi="Arial"/>
                <w:sz w:val="15"/>
                <w:szCs w:val="15"/>
                <w:b w:val="1"/>
                <w:bCs w:val="1"/>
                <w:color w:val="auto"/>
                <w:w w:val="90"/>
              </w:rPr>
              <w:t>December 31, 2020</w:t>
            </w:r>
          </w:p>
        </w:tc>
        <w:tc>
          <w:tcPr>
            <w:tcW w:w="0" w:type="dxa"/>
            <w:vAlign w:val="bottom"/>
          </w:tcPr>
          <w:p>
            <w:pPr>
              <w:spacing w:after="0"/>
              <w:rPr>
                <w:sz w:val="1"/>
                <w:szCs w:val="1"/>
                <w:color w:val="auto"/>
              </w:rPr>
            </w:pPr>
          </w:p>
        </w:tc>
      </w:tr>
      <w:tr>
        <w:trPr>
          <w:trHeight w:val="181"/>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236,072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284,802</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cash (amounts related to variable interest entities (VIEs) of $9,417 and $16,791)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72,463</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Mortgage servicing rights (MSRs), at fair value</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2,176,260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1,294,817</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Advances, net (amounts related to VIEs of $594,645 and $651,576)</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739,596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828,239</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Loans held for sale ($921,621 and $366,364 carried at fair value) (amounts related to VIEs of $461,827 and $0)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933,700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387,836</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 at fair value (amounts related to VIEs of $8,004 and $9,770)</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7,108,730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7,006,897</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Receivables,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183,090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187,665</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Premises and equipment, net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16,925</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Investment in equity method investee</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19,794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assets ($22,158 and $25,476 carried at fair value) (amounts related to VIEs of $1,988 and $4,544)</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542,597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571,483</w:t>
            </w:r>
          </w:p>
        </w:tc>
        <w:tc>
          <w:tcPr>
            <w:tcW w:w="0" w:type="dxa"/>
            <w:vAlign w:val="bottom"/>
          </w:tcPr>
          <w:p>
            <w:pPr>
              <w:spacing w:after="0"/>
              <w:rPr>
                <w:sz w:val="1"/>
                <w:szCs w:val="1"/>
                <w:color w:val="auto"/>
              </w:rPr>
            </w:pPr>
          </w:p>
        </w:tc>
      </w:tr>
      <w:tr>
        <w:trPr>
          <w:trHeight w:val="181"/>
        </w:trPr>
        <w:tc>
          <w:tcPr>
            <w:tcW w:w="8080" w:type="dxa"/>
            <w:vAlign w:val="bottom"/>
          </w:tcPr>
          <w:p>
            <w:pPr>
              <w:ind w:left="20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12,040,238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Liabilities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40"/>
              <w:spacing w:after="0"/>
              <w:rPr>
                <w:sz w:val="20"/>
                <w:szCs w:val="20"/>
                <w:color w:val="auto"/>
              </w:rPr>
            </w:pPr>
            <w:r>
              <w:rPr>
                <w:rFonts w:ascii="Arial" w:cs="Arial" w:eastAsia="Arial" w:hAnsi="Arial"/>
                <w:sz w:val="15"/>
                <w:szCs w:val="15"/>
                <w:color w:val="auto"/>
              </w:rPr>
              <w:t>Home Equity Conversion Mortgage-Backed Securities (HMBS) related borrowings,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6,782,564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6,772,711</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financing liabilities, at fair value (amounts related to VIEs of $8,004 and $9,770)</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710,911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576,722</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Advance match funded liabilities (related to VIEs)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516,572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Mortgage loan warehouse facilities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451,713</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MSR financing facilities,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945,744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437,672</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Senior secured term loan, net</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Senior notes,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612,658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liabilities ($20,518 and $4,638 carried at fair value)</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932,748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923,975</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11,570,367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10,235,755</w:t>
            </w:r>
          </w:p>
        </w:tc>
        <w:tc>
          <w:tcPr>
            <w:tcW w:w="0" w:type="dxa"/>
            <w:vAlign w:val="bottom"/>
          </w:tcPr>
          <w:p>
            <w:pPr>
              <w:spacing w:after="0"/>
              <w:rPr>
                <w:sz w:val="1"/>
                <w:szCs w:val="1"/>
                <w:color w:val="auto"/>
              </w:rPr>
            </w:pPr>
          </w:p>
        </w:tc>
      </w:tr>
      <w:tr>
        <w:trPr>
          <w:trHeight w:val="114"/>
        </w:trPr>
        <w:tc>
          <w:tcPr>
            <w:tcW w:w="8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b w:val="1"/>
                <w:bCs w:val="1"/>
                <w:color w:val="auto"/>
              </w:rPr>
              <w:t>Commitments and Contingencies (Notes 21 and 22)</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b w:val="1"/>
                <w:bCs w:val="1"/>
                <w:color w:val="auto"/>
              </w:rPr>
              <w:t>Stockholders’ Equity</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80" w:type="dxa"/>
            <w:vAlign w:val="bottom"/>
            <w:shd w:val="clear" w:color="auto" w:fill="CCEEFF"/>
          </w:tcPr>
          <w:p>
            <w:pPr>
              <w:ind w:left="140"/>
              <w:spacing w:after="0" w:line="146" w:lineRule="exact"/>
              <w:rPr>
                <w:sz w:val="20"/>
                <w:szCs w:val="20"/>
                <w:color w:val="auto"/>
              </w:rPr>
            </w:pPr>
            <w:r>
              <w:rPr>
                <w:rFonts w:ascii="Arial" w:cs="Arial" w:eastAsia="Arial" w:hAnsi="Arial"/>
                <w:sz w:val="15"/>
                <w:szCs w:val="15"/>
                <w:color w:val="auto"/>
                <w:w w:val="97"/>
              </w:rPr>
              <w:t>Common stock, $.01 par value; 13,333,333 shares authorized; 9,189,030 and 8,687,750 shares issued and outstanding at</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September 30, 2021 and December 31, 2020,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591,839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556,062</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(131,682)</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other comprehensive loss, net of income taxes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(10,151)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(9,095)</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469,871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415,372</w:t>
            </w:r>
          </w:p>
        </w:tc>
        <w:tc>
          <w:tcPr>
            <w:tcW w:w="0" w:type="dxa"/>
            <w:vAlign w:val="bottom"/>
          </w:tcPr>
          <w:p>
            <w:pPr>
              <w:spacing w:after="0"/>
              <w:rPr>
                <w:sz w:val="1"/>
                <w:szCs w:val="1"/>
                <w:color w:val="auto"/>
              </w:rPr>
            </w:pPr>
          </w:p>
        </w:tc>
      </w:tr>
      <w:tr>
        <w:trPr>
          <w:trHeight w:val="181"/>
        </w:trPr>
        <w:tc>
          <w:tcPr>
            <w:tcW w:w="8080" w:type="dxa"/>
            <w:vAlign w:val="bottom"/>
          </w:tcPr>
          <w:p>
            <w:pPr>
              <w:ind w:left="200"/>
              <w:spacing w:after="0"/>
              <w:rPr>
                <w:sz w:val="20"/>
                <w:szCs w:val="20"/>
                <w:color w:val="auto"/>
              </w:rPr>
            </w:pPr>
            <w:r>
              <w:rPr>
                <w:rFonts w:ascii="Arial" w:cs="Arial" w:eastAsia="Arial" w:hAnsi="Arial"/>
                <w:sz w:val="15"/>
                <w:szCs w:val="15"/>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12,040,238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40"/>
              <w:spacing w:after="0"/>
              <w:rPr>
                <w:sz w:val="20"/>
                <w:szCs w:val="20"/>
                <w:color w:val="auto"/>
              </w:rPr>
            </w:pPr>
            <w:r>
              <w:rPr>
                <w:rFonts w:ascii="Arial" w:cs="Arial" w:eastAsia="Arial" w:hAnsi="Arial"/>
                <w:sz w:val="15"/>
                <w:szCs w:val="15"/>
                <w:b w:val="1"/>
                <w:bCs w:val="1"/>
                <w:color w:val="auto"/>
                <w:w w:val="98"/>
              </w:rPr>
              <w:t>For the Three Months Ended September 30,</w:t>
            </w:r>
          </w:p>
        </w:tc>
        <w:tc>
          <w:tcPr>
            <w:tcW w:w="160" w:type="dxa"/>
            <w:vAlign w:val="bottom"/>
          </w:tcPr>
          <w:p>
            <w:pPr>
              <w:spacing w:after="0"/>
              <w:rPr>
                <w:sz w:val="16"/>
                <w:szCs w:val="16"/>
                <w:color w:val="auto"/>
              </w:rPr>
            </w:pPr>
          </w:p>
        </w:tc>
        <w:tc>
          <w:tcPr>
            <w:tcW w:w="3020" w:type="dxa"/>
            <w:vAlign w:val="bottom"/>
            <w:gridSpan w:val="4"/>
          </w:tcPr>
          <w:p>
            <w:pPr>
              <w:jc w:val="right"/>
              <w:ind w:right="146"/>
              <w:spacing w:after="0"/>
              <w:rPr>
                <w:sz w:val="20"/>
                <w:szCs w:val="20"/>
                <w:color w:val="auto"/>
              </w:rPr>
            </w:pPr>
            <w:r>
              <w:rPr>
                <w:rFonts w:ascii="Arial" w:cs="Arial" w:eastAsia="Arial" w:hAnsi="Arial"/>
                <w:sz w:val="15"/>
                <w:szCs w:val="15"/>
                <w:b w:val="1"/>
                <w:bCs w:val="1"/>
                <w:color w:val="auto"/>
                <w:w w:val="92"/>
              </w:rPr>
              <w:t>For the Nine Months Ended September 30,</w:t>
            </w:r>
          </w:p>
        </w:tc>
      </w:tr>
      <w:tr>
        <w:trPr>
          <w:trHeight w:val="181"/>
        </w:trPr>
        <w:tc>
          <w:tcPr>
            <w:tcW w:w="48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69"/>
        </w:trPr>
        <w:tc>
          <w:tcPr>
            <w:tcW w:w="48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206,585</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181,722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562,764</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568,445</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51,055</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59,702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45,886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108,136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92,764</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 net</w:t>
            </w: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11,779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29,078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17,637</w:t>
            </w:r>
          </w:p>
        </w:tc>
      </w:tr>
      <w:tr>
        <w:trPr>
          <w:trHeight w:val="180"/>
        </w:trPr>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283,101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249,035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756,140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729,901</w:t>
            </w:r>
          </w:p>
        </w:tc>
      </w:tr>
      <w:tr>
        <w:trPr>
          <w:trHeight w:val="114"/>
        </w:trPr>
        <w:tc>
          <w:tcPr>
            <w:tcW w:w="4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(33,814)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(57,562)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(231,368)</w:t>
            </w:r>
          </w:p>
        </w:tc>
      </w:tr>
      <w:tr>
        <w:trPr>
          <w:trHeight w:val="134"/>
        </w:trPr>
        <w:tc>
          <w:tcPr>
            <w:tcW w:w="4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209,413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195,393</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Servicing and origination</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27,932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22,930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82,044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60,547</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18,379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77,816</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14,737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15,850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41,050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47,154</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Occupancy and equipment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37,677</w:t>
            </w:r>
          </w:p>
        </w:tc>
      </w:tr>
      <w:tr>
        <w:trPr>
          <w:trHeight w:val="189"/>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12,958</w:t>
            </w:r>
          </w:p>
        </w:tc>
      </w:tr>
      <w:tr>
        <w:trPr>
          <w:trHeight w:val="181"/>
        </w:trPr>
        <w:tc>
          <w:tcPr>
            <w:tcW w:w="4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145,436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149,522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434,873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431,545</w:t>
            </w:r>
          </w:p>
        </w:tc>
      </w:tr>
      <w:tr>
        <w:trPr>
          <w:trHeight w:val="114"/>
        </w:trPr>
        <w:tc>
          <w:tcPr>
            <w:tcW w:w="4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7,869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15,993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12,762</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(83,557)</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Pledged MSR liability expense</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(91,160)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(57,404)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(168,820)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(105,684)</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Earnings of equity method investee</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4,616</w:t>
            </w:r>
          </w:p>
        </w:tc>
      </w:tr>
      <w:tr>
        <w:trPr>
          <w:trHeight w:val="180"/>
        </w:trPr>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other expense, net</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(77,073)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(264,040)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(171,863)</w:t>
            </w:r>
          </w:p>
        </w:tc>
      </w:tr>
      <w:tr>
        <w:trPr>
          <w:trHeight w:val="114"/>
        </w:trPr>
        <w:tc>
          <w:tcPr>
            <w:tcW w:w="4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10,263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(11,374)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(104,875)</w:t>
            </w: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(20,108)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(71,920)</w:t>
            </w:r>
          </w:p>
        </w:tc>
      </w:tr>
      <w:tr>
        <w:trPr>
          <w:trHeight w:val="158"/>
        </w:trPr>
        <w:tc>
          <w:tcPr>
            <w:tcW w:w="4840" w:type="dxa"/>
            <w:vAlign w:val="bottom"/>
          </w:tcPr>
          <w:p>
            <w:pPr>
              <w:ind w:left="200"/>
              <w:spacing w:after="0" w:line="159" w:lineRule="exact"/>
              <w:rPr>
                <w:sz w:val="20"/>
                <w:szCs w:val="20"/>
                <w:color w:val="auto"/>
              </w:rPr>
            </w:pPr>
            <w:r>
              <w:rPr>
                <w:rFonts w:ascii="Arial" w:cs="Arial" w:eastAsia="Arial" w:hAnsi="Arial"/>
                <w:sz w:val="15"/>
                <w:szCs w:val="15"/>
                <w:b w:val="1"/>
                <w:bCs w:val="1"/>
                <w:color w:val="auto"/>
              </w:rPr>
              <w:t>Net income (loss)</w:t>
            </w: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21,552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6"/>
              <w:spacing w:after="0" w:line="15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(9,420)</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19,773</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06"/>
              <w:spacing w:after="0" w:line="15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(32,955)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6"/>
        </w:trPr>
        <w:tc>
          <w:tcPr>
            <w:tcW w:w="4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Earnings (loss) per share</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(3.76)</w:t>
            </w:r>
          </w:p>
        </w:tc>
      </w:tr>
      <w:tr>
        <w:trPr>
          <w:trHeight w:val="134"/>
        </w:trPr>
        <w:tc>
          <w:tcPr>
            <w:tcW w:w="4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9,189,030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8,669,550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8,960,696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8,770,102</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9,401,858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8,669,550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9,270,751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8,770,102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26" w:right="319" w:bottom="1440" w:gutter="0" w:footer="0" w:header="0"/>
        </w:sectPr>
      </w:pPr>
    </w:p>
    <w:bookmarkStart w:id="6" w:name="page7"/>
    <w:bookmarkEnd w:id="6"/>
    <w:p>
      <w:pPr>
        <w:jc w:val="center"/>
        <w:spacing w:after="0" w:line="262" w:lineRule="auto"/>
        <w:rPr>
          <w:sz w:val="20"/>
          <w:szCs w:val="20"/>
          <w:color w:val="auto"/>
        </w:rPr>
      </w:pPr>
      <w:r>
        <w:rPr>
          <w:rFonts w:ascii="Arial" w:cs="Arial" w:eastAsia="Arial" w:hAnsi="Arial"/>
          <w:sz w:val="15"/>
          <w:szCs w:val="15"/>
          <w:b w:val="1"/>
          <w:bCs w:val="1"/>
          <w:color w:val="auto"/>
        </w:rPr>
        <w:t>OCWEN FINANCIAL CORPORATION AND SUBSIDIARIES UNAUDITED CONSOLIDATED STATEMENTS OF COMPREHENSIVE INCOME (LOSS) (Dollars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3260" w:type="dxa"/>
            <w:vAlign w:val="bottom"/>
            <w:gridSpan w:val="6"/>
          </w:tcPr>
          <w:p>
            <w:pPr>
              <w:ind w:left="180"/>
              <w:spacing w:after="0"/>
              <w:rPr>
                <w:sz w:val="20"/>
                <w:szCs w:val="20"/>
                <w:color w:val="auto"/>
              </w:rPr>
            </w:pPr>
            <w:r>
              <w:rPr>
                <w:rFonts w:ascii="Arial" w:cs="Arial" w:eastAsia="Arial" w:hAnsi="Arial"/>
                <w:sz w:val="15"/>
                <w:szCs w:val="15"/>
                <w:b w:val="1"/>
                <w:bCs w:val="1"/>
                <w:color w:val="auto"/>
                <w:w w:val="98"/>
              </w:rPr>
              <w:t>For the Three Months Ended September 30,</w:t>
            </w:r>
          </w:p>
        </w:tc>
        <w:tc>
          <w:tcPr>
            <w:tcW w:w="160" w:type="dxa"/>
            <w:vAlign w:val="bottom"/>
          </w:tcPr>
          <w:p>
            <w:pPr>
              <w:spacing w:after="0"/>
              <w:rPr>
                <w:sz w:val="16"/>
                <w:szCs w:val="16"/>
                <w:color w:val="auto"/>
              </w:rPr>
            </w:pPr>
          </w:p>
        </w:tc>
        <w:tc>
          <w:tcPr>
            <w:tcW w:w="3020" w:type="dxa"/>
            <w:vAlign w:val="bottom"/>
            <w:gridSpan w:val="4"/>
          </w:tcPr>
          <w:p>
            <w:pPr>
              <w:jc w:val="right"/>
              <w:ind w:right="146"/>
              <w:spacing w:after="0"/>
              <w:rPr>
                <w:sz w:val="20"/>
                <w:szCs w:val="20"/>
                <w:color w:val="auto"/>
              </w:rPr>
            </w:pPr>
            <w:r>
              <w:rPr>
                <w:rFonts w:ascii="Arial" w:cs="Arial" w:eastAsia="Arial" w:hAnsi="Arial"/>
                <w:sz w:val="15"/>
                <w:szCs w:val="15"/>
                <w:b w:val="1"/>
                <w:bCs w:val="1"/>
                <w:color w:val="auto"/>
                <w:w w:val="92"/>
              </w:rPr>
              <w:t>For the Nine Months Ended September 30,</w:t>
            </w:r>
          </w:p>
        </w:tc>
      </w:tr>
      <w:tr>
        <w:trPr>
          <w:trHeight w:val="181"/>
        </w:trPr>
        <w:tc>
          <w:tcPr>
            <w:tcW w:w="484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(32,955)</w:t>
            </w:r>
          </w:p>
        </w:tc>
      </w:tr>
      <w:tr>
        <w:trPr>
          <w:trHeight w:val="134"/>
        </w:trPr>
        <w:tc>
          <w:tcPr>
            <w:tcW w:w="4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net of income taxes: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Change in unfunded pension plan obligation liability</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181"/>
        </w:trPr>
        <w:tc>
          <w:tcPr>
            <w:tcW w:w="4840" w:type="dxa"/>
            <w:vAlign w:val="bottom"/>
          </w:tcPr>
          <w:p>
            <w:pPr>
              <w:ind w:left="20"/>
              <w:spacing w:after="0"/>
              <w:rPr>
                <w:sz w:val="20"/>
                <w:szCs w:val="20"/>
                <w:color w:val="auto"/>
              </w:rPr>
            </w:pPr>
            <w:r>
              <w:rPr>
                <w:rFonts w:ascii="Arial" w:cs="Arial" w:eastAsia="Arial" w:hAnsi="Arial"/>
                <w:sz w:val="15"/>
                <w:szCs w:val="15"/>
                <w:color w:val="auto"/>
              </w:rPr>
              <w:t>Comprehensive income (loss)</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21,184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18,717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(32,698)</w:t>
            </w:r>
          </w:p>
        </w:tc>
      </w:tr>
      <w:tr>
        <w:trPr>
          <w:trHeight w:val="20"/>
        </w:trPr>
        <w:tc>
          <w:tcPr>
            <w:tcW w:w="4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2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 CONSOLIDATED STATEMENTS OF CHANGES IN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THREE MONTHS ENDED SEPTEMBER 30, 2021 AND 2020</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gridSpan w:val="3"/>
            <w:vMerge w:val="restart"/>
          </w:tcPr>
          <w:p>
            <w:pPr>
              <w:jc w:val="right"/>
              <w:ind w:right="426"/>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Additional Paid-in</w:t>
            </w:r>
          </w:p>
        </w:tc>
        <w:tc>
          <w:tcPr>
            <w:tcW w:w="80" w:type="dxa"/>
            <w:vAlign w:val="bottom"/>
          </w:tcPr>
          <w:p>
            <w:pPr>
              <w:spacing w:after="0"/>
              <w:rPr>
                <w:sz w:val="9"/>
                <w:szCs w:val="9"/>
                <w:color w:val="auto"/>
              </w:rPr>
            </w:pPr>
          </w:p>
        </w:tc>
        <w:tc>
          <w:tcPr>
            <w:tcW w:w="114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9"/>
                <w:szCs w:val="9"/>
                <w:color w:val="auto"/>
              </w:rPr>
            </w:pPr>
          </w:p>
        </w:tc>
        <w:tc>
          <w:tcPr>
            <w:tcW w:w="112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2"/>
              </w:rPr>
              <w:t>Comprehensive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860" w:type="dxa"/>
            <w:vAlign w:val="bottom"/>
            <w:vMerge w:val="restart"/>
          </w:tcPr>
          <w:p>
            <w:pPr>
              <w:jc w:val="right"/>
              <w:ind w:right="26"/>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Deficit) Retained</w:t>
            </w:r>
          </w:p>
        </w:tc>
        <w:tc>
          <w:tcPr>
            <w:tcW w:w="122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9"/>
              </w:rPr>
              <w:t>Income (Loss), Net</w:t>
            </w:r>
          </w:p>
        </w:tc>
        <w:tc>
          <w:tcPr>
            <w:tcW w:w="240" w:type="dxa"/>
            <w:vAlign w:val="bottom"/>
          </w:tcPr>
          <w:p>
            <w:pPr>
              <w:spacing w:after="0"/>
              <w:rPr>
                <w:sz w:val="11"/>
                <w:szCs w:val="11"/>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of Income Taxes</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gridSpan w:val="3"/>
            <w:shd w:val="clear" w:color="auto" w:fill="CCEEFF"/>
          </w:tcPr>
          <w:p>
            <w:pPr>
              <w:ind w:left="20"/>
              <w:spacing w:after="0" w:line="138" w:lineRule="exact"/>
              <w:rPr>
                <w:sz w:val="20"/>
                <w:szCs w:val="20"/>
                <w:color w:val="auto"/>
              </w:rPr>
            </w:pPr>
            <w:r>
              <w:rPr>
                <w:rFonts w:ascii="Arial" w:cs="Arial" w:eastAsia="Arial" w:hAnsi="Arial"/>
                <w:sz w:val="15"/>
                <w:szCs w:val="15"/>
                <w:b w:val="1"/>
                <w:bCs w:val="1"/>
                <w:color w:val="auto"/>
              </w:rPr>
              <w:t>Three Months Ended September 30, 2021 and 2020</w:t>
            </w: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324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Balance at June 30, 2021</w:t>
            </w:r>
          </w:p>
        </w:tc>
        <w:tc>
          <w:tcPr>
            <w:tcW w:w="7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9,189,030</w:t>
            </w: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92</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590,252</w:t>
            </w: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(133,461)</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(9,783)</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447,100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ind w:left="160"/>
              <w:spacing w:after="0"/>
              <w:rPr>
                <w:sz w:val="20"/>
                <w:szCs w:val="20"/>
                <w:color w:val="auto"/>
              </w:rPr>
            </w:pPr>
            <w:r>
              <w:rPr>
                <w:rFonts w:ascii="Arial" w:cs="Arial" w:eastAsia="Arial" w:hAnsi="Arial"/>
                <w:sz w:val="13"/>
                <w:szCs w:val="13"/>
                <w:color w:val="auto"/>
              </w:rPr>
              <w:t>Equity-based compensation and other</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Other comprehensive loss, net of income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 at September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9,189,030</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591,839</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(111,909)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(10,151)</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469,871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 at June 30, 2020</w:t>
            </w:r>
          </w:p>
        </w:tc>
        <w:tc>
          <w:tcPr>
            <w:tcW w:w="1140" w:type="dxa"/>
            <w:vAlign w:val="bottom"/>
          </w:tcPr>
          <w:p>
            <w:pPr>
              <w:jc w:val="right"/>
              <w:spacing w:after="0"/>
              <w:rPr>
                <w:sz w:val="20"/>
                <w:szCs w:val="20"/>
                <w:color w:val="auto"/>
              </w:rPr>
            </w:pPr>
            <w:r>
              <w:rPr>
                <w:rFonts w:ascii="Arial" w:cs="Arial" w:eastAsia="Arial" w:hAnsi="Arial"/>
                <w:sz w:val="13"/>
                <w:szCs w:val="13"/>
                <w:color w:val="auto"/>
              </w:rPr>
              <w:t>8,667,260</w:t>
            </w:r>
          </w:p>
        </w:tc>
        <w:tc>
          <w:tcPr>
            <w:tcW w:w="80" w:type="dxa"/>
            <w:vAlign w:val="bottom"/>
          </w:tcPr>
          <w:p>
            <w:pPr>
              <w:spacing w:after="0"/>
              <w:rPr>
                <w:sz w:val="15"/>
                <w:szCs w:val="15"/>
                <w:color w:val="auto"/>
              </w:rPr>
            </w:pPr>
          </w:p>
        </w:tc>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555,147</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(115,039)</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(7,426)</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432,769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ind w:left="160"/>
              <w:spacing w:after="0"/>
              <w:rPr>
                <w:sz w:val="20"/>
                <w:szCs w:val="20"/>
                <w:color w:val="auto"/>
              </w:rPr>
            </w:pPr>
            <w:r>
              <w:rPr>
                <w:rFonts w:ascii="Arial" w:cs="Arial" w:eastAsia="Arial" w:hAnsi="Arial"/>
                <w:sz w:val="13"/>
                <w:szCs w:val="13"/>
                <w:color w:val="auto"/>
              </w:rPr>
              <w:t>Additional shares issued on reverse stock split rounding</w:t>
            </w:r>
          </w:p>
        </w:tc>
        <w:tc>
          <w:tcPr>
            <w:tcW w:w="1140" w:type="dxa"/>
            <w:vAlign w:val="bottom"/>
          </w:tcPr>
          <w:p>
            <w:pPr>
              <w:jc w:val="right"/>
              <w:spacing w:after="0"/>
              <w:rPr>
                <w:sz w:val="20"/>
                <w:szCs w:val="20"/>
                <w:color w:val="auto"/>
              </w:rPr>
            </w:pPr>
            <w:r>
              <w:rPr>
                <w:rFonts w:ascii="Arial" w:cs="Arial" w:eastAsia="Arial" w:hAnsi="Arial"/>
                <w:sz w:val="13"/>
                <w:szCs w:val="13"/>
                <w:color w:val="auto"/>
              </w:rPr>
              <w:t>4,692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Equity-based compensation and other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ind w:left="160"/>
              <w:spacing w:after="0"/>
              <w:rPr>
                <w:sz w:val="20"/>
                <w:szCs w:val="20"/>
                <w:color w:val="auto"/>
              </w:rPr>
            </w:pPr>
            <w:r>
              <w:rPr>
                <w:rFonts w:ascii="Arial" w:cs="Arial" w:eastAsia="Arial" w:hAnsi="Arial"/>
                <w:sz w:val="13"/>
                <w:szCs w:val="13"/>
                <w:color w:val="auto"/>
              </w:rPr>
              <w:t>Other comprehensive income, net of income taxes</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ind w:left="840"/>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Balance at September 30,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8,672,272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556,176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(124,459)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54610</wp:posOffset>
            </wp:positionV>
            <wp:extent cx="718185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 CONSOLIDATED STATEMENTS OF CHANGES IN EQUITY</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FOR THE NINE MONTHS ENDED SEPTEMBER 30, 2021 AND 2020</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60" w:type="dxa"/>
            <w:vAlign w:val="bottom"/>
            <w:gridSpan w:val="3"/>
            <w:vMerge w:val="restart"/>
          </w:tcPr>
          <w:p>
            <w:pPr>
              <w:jc w:val="right"/>
              <w:ind w:right="39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0"/>
              </w:rPr>
              <w:t>Comprehensive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6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jc w:val="center"/>
              <w:ind w:right="80"/>
              <w:spacing w:after="0" w:line="134" w:lineRule="exact"/>
              <w:rPr>
                <w:sz w:val="20"/>
                <w:szCs w:val="20"/>
                <w:color w:val="auto"/>
              </w:rPr>
            </w:pPr>
            <w:r>
              <w:rPr>
                <w:rFonts w:ascii="Arial" w:cs="Arial" w:eastAsia="Arial" w:hAnsi="Arial"/>
                <w:sz w:val="13"/>
                <w:szCs w:val="13"/>
                <w:b w:val="1"/>
                <w:bCs w:val="1"/>
                <w:color w:val="auto"/>
                <w:w w:val="95"/>
              </w:rPr>
              <w:t>Additional Paid-in</w:t>
            </w:r>
          </w:p>
        </w:tc>
        <w:tc>
          <w:tcPr>
            <w:tcW w:w="80" w:type="dxa"/>
            <w:vAlign w:val="bottom"/>
          </w:tcPr>
          <w:p>
            <w:pPr>
              <w:spacing w:after="0"/>
              <w:rPr>
                <w:sz w:val="7"/>
                <w:szCs w:val="7"/>
                <w:color w:val="auto"/>
              </w:rPr>
            </w:pPr>
          </w:p>
        </w:tc>
        <w:tc>
          <w:tcPr>
            <w:tcW w:w="1140" w:type="dxa"/>
            <w:vAlign w:val="bottom"/>
            <w:gridSpan w:val="2"/>
            <w:vMerge w:val="restart"/>
          </w:tcPr>
          <w:p>
            <w:pPr>
              <w:jc w:val="center"/>
              <w:ind w:right="180"/>
              <w:spacing w:after="0" w:line="134" w:lineRule="exact"/>
              <w:rPr>
                <w:sz w:val="20"/>
                <w:szCs w:val="20"/>
                <w:color w:val="auto"/>
              </w:rPr>
            </w:pPr>
            <w:r>
              <w:rPr>
                <w:rFonts w:ascii="Arial" w:cs="Arial" w:eastAsia="Arial" w:hAnsi="Arial"/>
                <w:sz w:val="13"/>
                <w:szCs w:val="13"/>
                <w:b w:val="1"/>
                <w:bCs w:val="1"/>
                <w:color w:val="auto"/>
                <w:w w:val="93"/>
              </w:rPr>
              <w:t>Deficit) Retained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80"/>
              <w:spacing w:after="0" w:line="134" w:lineRule="exact"/>
              <w:rPr>
                <w:sz w:val="20"/>
                <w:szCs w:val="20"/>
                <w:color w:val="auto"/>
              </w:rPr>
            </w:pPr>
            <w:r>
              <w:rPr>
                <w:rFonts w:ascii="Arial" w:cs="Arial" w:eastAsia="Arial" w:hAnsi="Arial"/>
                <w:sz w:val="13"/>
                <w:szCs w:val="13"/>
                <w:b w:val="1"/>
                <w:bCs w:val="1"/>
                <w:color w:val="auto"/>
                <w:w w:val="91"/>
              </w:rPr>
              <w:t>Loss, Net of</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Income Taxes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5"/>
                <w:szCs w:val="15"/>
                <w:b w:val="1"/>
                <w:bCs w:val="1"/>
                <w:color w:val="auto"/>
              </w:rPr>
              <w:t>Nine Months Ended September 30, 2021 and 2020</w:t>
            </w: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316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Balance at December 31, 2020</w:t>
            </w:r>
          </w:p>
        </w:tc>
        <w:tc>
          <w:tcPr>
            <w:tcW w:w="8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8,687,750</w:t>
            </w: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71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87</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556,062</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(131,682)</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(9,095)</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415,372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Arial" w:cs="Arial" w:eastAsia="Arial" w:hAnsi="Arial"/>
                <w:sz w:val="13"/>
                <w:szCs w:val="13"/>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426,705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12,169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Issuance of common stock warrants, net of issuance costs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Arial" w:cs="Arial" w:eastAsia="Arial" w:hAnsi="Arial"/>
                <w:sz w:val="13"/>
                <w:szCs w:val="13"/>
                <w:color w:val="auto"/>
              </w:rPr>
              <w:t>Equity-based compensation and other</w:t>
            </w:r>
          </w:p>
        </w:tc>
        <w:tc>
          <w:tcPr>
            <w:tcW w:w="1120" w:type="dxa"/>
            <w:vAlign w:val="bottom"/>
          </w:tcPr>
          <w:p>
            <w:pPr>
              <w:jc w:val="right"/>
              <w:spacing w:after="0"/>
              <w:rPr>
                <w:sz w:val="20"/>
                <w:szCs w:val="20"/>
                <w:color w:val="auto"/>
              </w:rPr>
            </w:pPr>
            <w:r>
              <w:rPr>
                <w:rFonts w:ascii="Arial" w:cs="Arial" w:eastAsia="Arial" w:hAnsi="Arial"/>
                <w:sz w:val="13"/>
                <w:szCs w:val="13"/>
                <w:color w:val="auto"/>
              </w:rPr>
              <w:t>74,575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3,657</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 at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9,189,030</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591,839</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(111,909)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(10,151)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469,871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 at December 31, 2019</w:t>
            </w:r>
          </w:p>
        </w:tc>
        <w:tc>
          <w:tcPr>
            <w:tcW w:w="1120" w:type="dxa"/>
            <w:vAlign w:val="bottom"/>
          </w:tcPr>
          <w:p>
            <w:pPr>
              <w:jc w:val="right"/>
              <w:spacing w:after="0"/>
              <w:rPr>
                <w:sz w:val="20"/>
                <w:szCs w:val="20"/>
                <w:color w:val="auto"/>
              </w:rPr>
            </w:pPr>
            <w:r>
              <w:rPr>
                <w:rFonts w:ascii="Arial" w:cs="Arial" w:eastAsia="Arial" w:hAnsi="Arial"/>
                <w:sz w:val="13"/>
                <w:szCs w:val="13"/>
                <w:color w:val="auto"/>
              </w:rPr>
              <w:t>8,990,816</w:t>
            </w:r>
          </w:p>
        </w:tc>
        <w:tc>
          <w:tcPr>
            <w:tcW w:w="80" w:type="dxa"/>
            <w:vAlign w:val="bottom"/>
          </w:tcPr>
          <w:p>
            <w:pPr>
              <w:spacing w:after="0"/>
              <w:rPr>
                <w:sz w:val="15"/>
                <w:szCs w:val="15"/>
                <w:color w:val="auto"/>
              </w:rPr>
            </w:pPr>
          </w:p>
        </w:tc>
        <w:tc>
          <w:tcPr>
            <w:tcW w:w="860" w:type="dxa"/>
            <w:vAlign w:val="bottom"/>
          </w:tcPr>
          <w:p>
            <w:pPr>
              <w:jc w:val="right"/>
              <w:ind w:right="713"/>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558,057</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(138,542)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(7,594)</w:t>
            </w:r>
          </w:p>
        </w:tc>
        <w:tc>
          <w:tcPr>
            <w:tcW w:w="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412,011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(32,955)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20" w:type="dxa"/>
            <w:vAlign w:val="bottom"/>
            <w:gridSpan w:val="2"/>
          </w:tcPr>
          <w:p>
            <w:pPr>
              <w:ind w:left="180"/>
              <w:spacing w:after="0" w:line="136" w:lineRule="exact"/>
              <w:rPr>
                <w:sz w:val="20"/>
                <w:szCs w:val="20"/>
                <w:color w:val="auto"/>
              </w:rPr>
            </w:pPr>
            <w:r>
              <w:rPr>
                <w:rFonts w:ascii="Arial" w:cs="Arial" w:eastAsia="Arial" w:hAnsi="Arial"/>
                <w:sz w:val="13"/>
                <w:szCs w:val="13"/>
                <w:color w:val="auto"/>
              </w:rPr>
              <w:t>Cumulative effect of adoption of Financial Accounting Standards</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47,038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47,038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gridSpan w:val="2"/>
          </w:tcPr>
          <w:p>
            <w:pPr>
              <w:ind w:left="300"/>
              <w:spacing w:after="0"/>
              <w:rPr>
                <w:sz w:val="20"/>
                <w:szCs w:val="20"/>
                <w:color w:val="auto"/>
              </w:rPr>
            </w:pPr>
            <w:r>
              <w:rPr>
                <w:rFonts w:ascii="Arial" w:cs="Arial" w:eastAsia="Arial" w:hAnsi="Arial"/>
                <w:sz w:val="13"/>
                <w:szCs w:val="13"/>
                <w:color w:val="auto"/>
                <w:w w:val="99"/>
              </w:rPr>
              <w:t>Board (FASB) Accounting Standards Update (ASU) No. 2016-13</w:t>
            </w:r>
          </w:p>
        </w:tc>
        <w:tc>
          <w:tcPr>
            <w:tcW w:w="120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(377,484)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Arial" w:cs="Arial" w:eastAsia="Arial" w:hAnsi="Arial"/>
                <w:sz w:val="13"/>
                <w:szCs w:val="13"/>
                <w:color w:val="auto"/>
              </w:rPr>
              <w:t>Additional shares issued on reverse stock split rounding</w:t>
            </w:r>
          </w:p>
        </w:tc>
        <w:tc>
          <w:tcPr>
            <w:tcW w:w="1120" w:type="dxa"/>
            <w:vAlign w:val="bottom"/>
          </w:tcPr>
          <w:p>
            <w:pPr>
              <w:jc w:val="right"/>
              <w:spacing w:after="0"/>
              <w:rPr>
                <w:sz w:val="20"/>
                <w:szCs w:val="20"/>
                <w:color w:val="auto"/>
              </w:rPr>
            </w:pPr>
            <w:r>
              <w:rPr>
                <w:rFonts w:ascii="Arial" w:cs="Arial" w:eastAsia="Arial" w:hAnsi="Arial"/>
                <w:sz w:val="13"/>
                <w:szCs w:val="13"/>
                <w:color w:val="auto"/>
              </w:rPr>
              <w:t>4,692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Equity-based compensation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54,248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Arial" w:cs="Arial" w:eastAsia="Arial" w:hAnsi="Arial"/>
                <w:sz w:val="13"/>
                <w:szCs w:val="13"/>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Balance at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8,672,272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556,176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(124,459)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00" w:top="86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5"/>
                <w:szCs w:val="15"/>
                <w:b w:val="1"/>
                <w:bCs w:val="1"/>
                <w:color w:val="auto"/>
                <w:w w:val="92"/>
              </w:rPr>
              <w:t>For the Nine Months Ended September 30,</w:t>
            </w:r>
          </w:p>
        </w:tc>
        <w:tc>
          <w:tcPr>
            <w:tcW w:w="0" w:type="dxa"/>
            <w:vAlign w:val="bottom"/>
          </w:tcPr>
          <w:p>
            <w:pPr>
              <w:spacing w:after="0"/>
              <w:rPr>
                <w:sz w:val="1"/>
                <w:szCs w:val="1"/>
                <w:color w:val="auto"/>
              </w:rPr>
            </w:pPr>
          </w:p>
        </w:tc>
      </w:tr>
      <w:tr>
        <w:trPr>
          <w:trHeight w:val="181"/>
        </w:trPr>
        <w:tc>
          <w:tcPr>
            <w:tcW w:w="8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19,773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(32,955)</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(loss) to net cash (used in) provided by operating activities: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MSR valuation adjustments, net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57,562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231,368</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(gain) on sale of MSRs, net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Provision for bad debts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16,069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18,801</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Depreciation</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15,398</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Amortization of debt issuance costs and discount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5,438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5,335</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Equity-based compensation expense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(gain) on valuation of Pledged MSR financing liability</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71,273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(21,314)</w:t>
            </w:r>
          </w:p>
        </w:tc>
        <w:tc>
          <w:tcPr>
            <w:tcW w:w="0" w:type="dxa"/>
            <w:vAlign w:val="bottom"/>
          </w:tcPr>
          <w:p>
            <w:pPr>
              <w:spacing w:after="0"/>
              <w:rPr>
                <w:sz w:val="1"/>
                <w:szCs w:val="1"/>
                <w:color w:val="auto"/>
              </w:rPr>
            </w:pPr>
          </w:p>
        </w:tc>
      </w:tr>
      <w:tr>
        <w:trPr>
          <w:trHeight w:val="223"/>
        </w:trPr>
        <w:tc>
          <w:tcPr>
            <w:tcW w:w="8100" w:type="dxa"/>
            <w:vAlign w:val="bottom"/>
          </w:tcPr>
          <w:p>
            <w:pPr>
              <w:ind w:left="200"/>
              <w:spacing w:after="0"/>
              <w:rPr>
                <w:sz w:val="20"/>
                <w:szCs w:val="20"/>
                <w:color w:val="auto"/>
              </w:rPr>
            </w:pPr>
            <w:r>
              <w:rPr>
                <w:rFonts w:ascii="Arial" w:cs="Arial" w:eastAsia="Arial" w:hAnsi="Arial"/>
                <w:sz w:val="15"/>
                <w:szCs w:val="15"/>
                <w:color w:val="auto"/>
              </w:rPr>
              <w:t>Net gain on valuation of loans held for investment and HMBS-related borrowings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(14,410)</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Earnings of equity method investee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Gain on loans held for sale, net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(108,136)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(92,764)</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 and purchase of loans held for sale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(12,987,522)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(4,378,999)</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Proceeds from sale and collections of loans held for sale</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12,411,398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4,259,127</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assets and liabilities: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Decrease in advances, net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69,868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210,688</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Decrease in receivables and other assets, net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105,023</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Decrease (increase) in other liabilities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9,582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(47,981)</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(11,622)</w:t>
            </w:r>
          </w:p>
        </w:tc>
        <w:tc>
          <w:tcPr>
            <w:tcW w:w="0" w:type="dxa"/>
            <w:vAlign w:val="bottom"/>
          </w:tcPr>
          <w:p>
            <w:pPr>
              <w:spacing w:after="0"/>
              <w:rPr>
                <w:sz w:val="1"/>
                <w:szCs w:val="1"/>
                <w:color w:val="auto"/>
              </w:rPr>
            </w:pPr>
          </w:p>
        </w:tc>
      </w:tr>
      <w:tr>
        <w:trPr>
          <w:trHeight w:val="180"/>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cash (used in) provided by operating activities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(412,836)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248,039</w:t>
            </w:r>
          </w:p>
        </w:tc>
        <w:tc>
          <w:tcPr>
            <w:tcW w:w="0" w:type="dxa"/>
            <w:vAlign w:val="bottom"/>
          </w:tcPr>
          <w:p>
            <w:pPr>
              <w:spacing w:after="0"/>
              <w:rPr>
                <w:sz w:val="1"/>
                <w:szCs w:val="1"/>
                <w:color w:val="auto"/>
              </w:rPr>
            </w:pPr>
          </w:p>
        </w:tc>
      </w:tr>
      <w:tr>
        <w:trPr>
          <w:trHeight w:val="114"/>
        </w:trPr>
        <w:tc>
          <w:tcPr>
            <w:tcW w:w="8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 of loans held for investment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(1,214,772)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(867,702)</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Principal payments received on loans held for investment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1,172,011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619,486</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MSRs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(785,194)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(82,990)</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Investment in equity method investee</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(18,512)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3,090</w:t>
            </w:r>
          </w:p>
        </w:tc>
        <w:tc>
          <w:tcPr>
            <w:tcW w:w="0" w:type="dxa"/>
            <w:vAlign w:val="bottom"/>
          </w:tcPr>
          <w:p>
            <w:pPr>
              <w:spacing w:after="0"/>
              <w:rPr>
                <w:sz w:val="1"/>
                <w:szCs w:val="1"/>
                <w:color w:val="auto"/>
              </w:rPr>
            </w:pPr>
          </w:p>
        </w:tc>
      </w:tr>
      <w:tr>
        <w:trPr>
          <w:trHeight w:val="180"/>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(845,381)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(328,116)</w:t>
            </w:r>
          </w:p>
        </w:tc>
        <w:tc>
          <w:tcPr>
            <w:tcW w:w="0" w:type="dxa"/>
            <w:vAlign w:val="bottom"/>
          </w:tcPr>
          <w:p>
            <w:pPr>
              <w:spacing w:after="0"/>
              <w:rPr>
                <w:sz w:val="1"/>
                <w:szCs w:val="1"/>
                <w:color w:val="auto"/>
              </w:rPr>
            </w:pPr>
          </w:p>
        </w:tc>
      </w:tr>
      <w:tr>
        <w:trPr>
          <w:trHeight w:val="114"/>
        </w:trPr>
        <w:tc>
          <w:tcPr>
            <w:tcW w:w="8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advance match funded liabilities, net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(99,031)</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other financing liabilities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(62,076)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(84,185)</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mortgage loan warehouse facilities, net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617,457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109,538</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Proceeds from MSR financing facilities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680,711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128,641</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MSR financing facilities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(208,996)</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Senior notes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(319,156)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issuance of Senior notes and warrants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647,944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senior secured term loan (SSTL) borrowings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(188,700)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(136,066)</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 of debt issuance costs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(16,173)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(7,522)</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Proceeds from sale of MSRs accounted for as secured financing</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130,024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8100" w:type="dxa"/>
            <w:vAlign w:val="bottom"/>
            <w:shd w:val="clear" w:color="auto" w:fill="CCEEFF"/>
          </w:tcPr>
          <w:p>
            <w:pPr>
              <w:ind w:left="120"/>
              <w:spacing w:after="0" w:line="146" w:lineRule="exact"/>
              <w:rPr>
                <w:sz w:val="20"/>
                <w:szCs w:val="20"/>
                <w:color w:val="auto"/>
              </w:rPr>
            </w:pPr>
            <w:r>
              <w:rPr>
                <w:rFonts w:ascii="Arial" w:cs="Arial" w:eastAsia="Arial" w:hAnsi="Arial"/>
                <w:sz w:val="15"/>
                <w:szCs w:val="15"/>
                <w:color w:val="auto"/>
                <w:w w:val="93"/>
              </w:rPr>
              <w:t>Proceeds from sale of Home Equity Conversion Mortgages (HECM, or reverse mortgages) accounted for as a financing (HMBS-</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1,119,742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885,987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related borrowings)</w:t>
            </w:r>
          </w:p>
        </w:tc>
        <w:tc>
          <w:tcPr>
            <w:tcW w:w="16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HMBS-related borrowings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(1,161,609)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(613,026)</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Issuance of common stock</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Repurchase of common stock</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(4,605)</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0"/>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1,222,301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(29,297)</w:t>
            </w:r>
          </w:p>
        </w:tc>
        <w:tc>
          <w:tcPr>
            <w:tcW w:w="0" w:type="dxa"/>
            <w:vAlign w:val="bottom"/>
          </w:tcPr>
          <w:p>
            <w:pPr>
              <w:spacing w:after="0"/>
              <w:rPr>
                <w:sz w:val="1"/>
                <w:szCs w:val="1"/>
                <w:color w:val="auto"/>
              </w:rPr>
            </w:pPr>
          </w:p>
        </w:tc>
      </w:tr>
      <w:tr>
        <w:trPr>
          <w:trHeight w:val="114"/>
        </w:trPr>
        <w:tc>
          <w:tcPr>
            <w:tcW w:w="8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(35,916)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(109,374)</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357,265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492,340</w:t>
            </w:r>
          </w:p>
        </w:tc>
        <w:tc>
          <w:tcPr>
            <w:tcW w:w="0" w:type="dxa"/>
            <w:vAlign w:val="bottom"/>
          </w:tcPr>
          <w:p>
            <w:pPr>
              <w:spacing w:after="0"/>
              <w:rPr>
                <w:sz w:val="1"/>
                <w:szCs w:val="1"/>
                <w:color w:val="auto"/>
              </w:rPr>
            </w:pPr>
          </w:p>
        </w:tc>
      </w:tr>
      <w:tr>
        <w:trPr>
          <w:trHeight w:val="181"/>
        </w:trPr>
        <w:tc>
          <w:tcPr>
            <w:tcW w:w="810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321,349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382,966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Supplemental non-cash investing and financing activities: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Recognition of gross right-of-use asset and lease liability:</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Right-of-use asset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2,608</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Lease liability</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2,597</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Transfers of loans held for sale to real estate owned (REO)</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2,554</w:t>
            </w:r>
          </w:p>
        </w:tc>
        <w:tc>
          <w:tcPr>
            <w:tcW w:w="0" w:type="dxa"/>
            <w:vAlign w:val="bottom"/>
          </w:tcPr>
          <w:p>
            <w:pPr>
              <w:spacing w:after="0"/>
              <w:rPr>
                <w:sz w:val="1"/>
                <w:szCs w:val="1"/>
                <w:color w:val="auto"/>
              </w:rPr>
            </w:pPr>
          </w:p>
        </w:tc>
      </w:tr>
      <w:tr>
        <w:trPr>
          <w:trHeight w:val="189"/>
        </w:trPr>
        <w:tc>
          <w:tcPr>
            <w:tcW w:w="8100" w:type="dxa"/>
            <w:vAlign w:val="bottom"/>
          </w:tcPr>
          <w:p>
            <w:pPr>
              <w:ind w:left="40"/>
              <w:spacing w:after="0"/>
              <w:rPr>
                <w:sz w:val="20"/>
                <w:szCs w:val="20"/>
                <w:color w:val="auto"/>
              </w:rPr>
            </w:pPr>
            <w:r>
              <w:rPr>
                <w:rFonts w:ascii="Arial" w:cs="Arial" w:eastAsia="Arial" w:hAnsi="Arial"/>
                <w:sz w:val="15"/>
                <w:szCs w:val="15"/>
                <w:color w:val="auto"/>
              </w:rPr>
              <w:t>Transfer from loans held for investment to loans held for sale</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1,900</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Derecognition of MSRs and financing liabilities: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MSRs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liability - MSRs pledged</w:t>
            </w: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Deconsolidation of mortgage-backed securitization trusts (VIEs)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Other financing liabilities</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(9,519)</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Recognition of future draw commitments for HECM loans at fair value upon adoption of FASB ASU No. 2016-13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47,038</w:t>
            </w:r>
          </w:p>
        </w:tc>
        <w:tc>
          <w:tcPr>
            <w:tcW w:w="0" w:type="dxa"/>
            <w:vAlign w:val="bottom"/>
          </w:tcPr>
          <w:p>
            <w:pPr>
              <w:spacing w:after="0"/>
              <w:rPr>
                <w:sz w:val="1"/>
                <w:szCs w:val="1"/>
                <w:color w:val="auto"/>
              </w:rPr>
            </w:pPr>
          </w:p>
        </w:tc>
      </w:tr>
      <w:tr>
        <w:trPr>
          <w:trHeight w:val="134"/>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information - Sale and deconsolidation of subsidiary</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Cash proceeds received</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4,409</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Equity / cash balance held by subsidiary upon sale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580"/>
        <w:spacing w:after="0" w:line="270" w:lineRule="auto"/>
        <w:rPr>
          <w:sz w:val="20"/>
          <w:szCs w:val="20"/>
          <w:color w:val="auto"/>
        </w:rPr>
      </w:pPr>
      <w:r>
        <w:rPr>
          <w:rFonts w:ascii="Arial" w:cs="Arial" w:eastAsia="Arial" w:hAnsi="Arial"/>
          <w:sz w:val="15"/>
          <w:szCs w:val="15"/>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80"/>
          </w:cols>
          <w:pgMar w:left="300" w:top="326" w:right="319" w:bottom="463"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6"/>
                <w:szCs w:val="16"/>
                <w:color w:val="auto"/>
              </w:rPr>
            </w:pPr>
          </w:p>
        </w:tc>
        <w:tc>
          <w:tcPr>
            <w:tcW w:w="142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September 30, 2020</w:t>
            </w:r>
          </w:p>
        </w:tc>
      </w:tr>
      <w:tr>
        <w:trPr>
          <w:trHeight w:val="181"/>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236,072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321,455</w:t>
            </w:r>
          </w:p>
        </w:tc>
      </w:tr>
      <w:tr>
        <w:trPr>
          <w:trHeight w:val="189"/>
        </w:trPr>
        <w:tc>
          <w:tcPr>
            <w:tcW w:w="8080" w:type="dxa"/>
            <w:vAlign w:val="bottom"/>
          </w:tcPr>
          <w:p>
            <w:pPr>
              <w:ind w:left="20"/>
              <w:spacing w:after="0"/>
              <w:rPr>
                <w:sz w:val="20"/>
                <w:szCs w:val="20"/>
                <w:color w:val="auto"/>
              </w:rPr>
            </w:pPr>
            <w:r>
              <w:rPr>
                <w:rFonts w:ascii="Arial" w:cs="Arial" w:eastAsia="Arial" w:hAnsi="Arial"/>
                <w:sz w:val="15"/>
                <w:szCs w:val="15"/>
                <w:color w:val="auto"/>
              </w:rPr>
              <w:t>Restricted cash and equivalents: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 service accounts</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14,873</w:t>
            </w:r>
          </w:p>
        </w:tc>
      </w:tr>
      <w:tr>
        <w:trPr>
          <w:trHeight w:val="18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restricted cash</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46,638</w:t>
            </w:r>
          </w:p>
        </w:tc>
      </w:tr>
      <w:tr>
        <w:trPr>
          <w:trHeight w:val="20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 reported in the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321,349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382,966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54610</wp:posOffset>
            </wp:positionV>
            <wp:extent cx="718185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data and unless otherwise indicated)</w:t>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69850</wp:posOffset>
            </wp:positionV>
            <wp:extent cx="68681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8160" cy="69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w:t>
      </w:r>
    </w:p>
    <w:p>
      <w:pPr>
        <w:spacing w:after="0" w:line="99"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Ocwen Financial Corporation (NYSE: OCN) (Ocwen, OFC,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66" w:lineRule="exact"/>
        <w:rPr>
          <w:sz w:val="20"/>
          <w:szCs w:val="20"/>
          <w:color w:val="auto"/>
        </w:rPr>
      </w:pPr>
    </w:p>
    <w:p>
      <w:pPr>
        <w:jc w:val="both"/>
        <w:ind w:right="20" w:firstLine="268"/>
        <w:spacing w:after="0" w:line="317" w:lineRule="auto"/>
        <w:rPr>
          <w:sz w:val="20"/>
          <w:szCs w:val="20"/>
          <w:color w:val="auto"/>
        </w:rPr>
      </w:pPr>
      <w:r>
        <w:rPr>
          <w:rFonts w:ascii="Arial" w:cs="Arial" w:eastAsia="Arial" w:hAnsi="Arial"/>
          <w:sz w:val="13"/>
          <w:szCs w:val="13"/>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for additional information.</w:t>
      </w:r>
    </w:p>
    <w:p>
      <w:pPr>
        <w:spacing w:after="0" w:line="32" w:lineRule="exact"/>
        <w:rPr>
          <w:sz w:val="20"/>
          <w:szCs w:val="20"/>
          <w:color w:val="auto"/>
        </w:rPr>
      </w:pPr>
    </w:p>
    <w:p>
      <w:pPr>
        <w:ind w:firstLine="268"/>
        <w:spacing w:after="0" w:line="295" w:lineRule="auto"/>
        <w:rPr>
          <w:sz w:val="20"/>
          <w:szCs w:val="20"/>
          <w:color w:val="auto"/>
        </w:rPr>
      </w:pPr>
      <w:r>
        <w:rPr>
          <w:rFonts w:ascii="Arial" w:cs="Arial" w:eastAsia="Arial" w:hAnsi="Arial"/>
          <w:sz w:val="13"/>
          <w:szCs w:val="13"/>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46" w:lineRule="exact"/>
        <w:rPr>
          <w:sz w:val="20"/>
          <w:szCs w:val="20"/>
          <w:color w:val="auto"/>
        </w:rPr>
      </w:pPr>
    </w:p>
    <w:p>
      <w:pPr>
        <w:ind w:right="60" w:firstLine="268"/>
        <w:spacing w:after="0" w:line="276" w:lineRule="auto"/>
        <w:rPr>
          <w:sz w:val="20"/>
          <w:szCs w:val="20"/>
          <w:color w:val="auto"/>
        </w:rPr>
      </w:pPr>
      <w:r>
        <w:rPr>
          <w:rFonts w:ascii="Arial" w:cs="Arial" w:eastAsia="Arial" w:hAnsi="Arial"/>
          <w:sz w:val="14"/>
          <w:szCs w:val="14"/>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55"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We had a total of approximately 5,200 employees at September 30, 2021 of which approximately 3,200 were located in India and approximately 400 were based in the Philippines. Our operations in India and the Philippines primarily provide internal support services, principally to our loan servicing business and our corporate functions. Of our foreign-based employees, approximately 67% were engaged in supporting our loan servicing operations as of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99"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2021 are not necessarily indicative of the results that may be expected for any other interim period or for the year ending December 31, 2021. The unaudited consolidated financial statements presented herein should be read in conjunction with the audited consolidated financial statements and related notes thereto included in our Annual Report on Form 10-K for the year ended December 31, 2020.</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12" w:name="page13"/>
    <w:bookmarkEnd w:id="12"/>
    <w:p>
      <w:pPr>
        <w:ind w:firstLine="268"/>
        <w:spacing w:after="0" w:line="286" w:lineRule="auto"/>
        <w:rPr>
          <w:sz w:val="20"/>
          <w:szCs w:val="20"/>
          <w:color w:val="auto"/>
        </w:rPr>
      </w:pPr>
      <w:r>
        <w:rPr>
          <w:rFonts w:ascii="Arial" w:cs="Arial" w:eastAsia="Arial" w:hAnsi="Arial"/>
          <w:sz w:val="14"/>
          <w:szCs w:val="14"/>
          <w:color w:val="auto"/>
        </w:rPr>
        <w:t>In August 2020, Ocwen implemented a reverse stock split of its shares of common stock in a ratio of one-for-15. The number of shares, loss per share amounts, repurchase price per share amounts, and Common stock and Additional paid-in capital balances have been retroactively adjusted for all periods presented in this Quarterly Report on Form 10-Q to give effect to the reverse stock split as if it occurred at the beginning of the first period presented. See Note 14 – Equity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and Assumptions</w:t>
      </w:r>
    </w:p>
    <w:p>
      <w:pPr>
        <w:spacing w:after="0" w:line="99" w:lineRule="exact"/>
        <w:rPr>
          <w:sz w:val="20"/>
          <w:szCs w:val="20"/>
          <w:color w:val="auto"/>
        </w:rPr>
      </w:pPr>
    </w:p>
    <w:p>
      <w:pPr>
        <w:ind w:right="80" w:firstLine="268"/>
        <w:spacing w:after="0" w:line="307" w:lineRule="auto"/>
        <w:rPr>
          <w:sz w:val="20"/>
          <w:szCs w:val="20"/>
          <w:color w:val="auto"/>
        </w:rPr>
      </w:pPr>
      <w:r>
        <w:rPr>
          <w:rFonts w:ascii="Arial" w:cs="Arial" w:eastAsia="Arial" w:hAnsi="Arial"/>
          <w:sz w:val="13"/>
          <w:szCs w:val="13"/>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Income Taxes (ASC Topic 740): Simplifying the Accounting for Income Taxes (ASU 2019-12)</w:t>
      </w:r>
    </w:p>
    <w:p>
      <w:pPr>
        <w:spacing w:after="0" w:line="54" w:lineRule="exact"/>
        <w:rPr>
          <w:sz w:val="20"/>
          <w:szCs w:val="20"/>
          <w:color w:val="auto"/>
        </w:rPr>
      </w:pPr>
    </w:p>
    <w:p>
      <w:pPr>
        <w:ind w:right="140" w:firstLine="268"/>
        <w:spacing w:after="0" w:line="253" w:lineRule="auto"/>
        <w:rPr>
          <w:sz w:val="20"/>
          <w:szCs w:val="20"/>
          <w:color w:val="auto"/>
        </w:rPr>
      </w:pPr>
      <w:r>
        <w:rPr>
          <w:rFonts w:ascii="Arial" w:cs="Arial" w:eastAsia="Arial" w:hAnsi="Arial"/>
          <w:sz w:val="15"/>
          <w:szCs w:val="15"/>
          <w:color w:val="auto"/>
        </w:rPr>
        <w:t>The FASB issued this ASU to Accounting Standards Codification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Topic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adoption of this standard on January 1, 2021 did not have a material impact on our consolidated financial statements.</w:t>
      </w:r>
    </w:p>
    <w:p>
      <w:pPr>
        <w:spacing w:after="0" w:line="91" w:lineRule="exact"/>
        <w:rPr>
          <w:sz w:val="20"/>
          <w:szCs w:val="20"/>
          <w:color w:val="auto"/>
        </w:rPr>
      </w:pPr>
    </w:p>
    <w:p>
      <w:pPr>
        <w:ind w:right="40" w:firstLine="268"/>
        <w:spacing w:after="0" w:line="275" w:lineRule="auto"/>
        <w:rPr>
          <w:sz w:val="20"/>
          <w:szCs w:val="20"/>
          <w:color w:val="auto"/>
        </w:rPr>
      </w:pPr>
      <w:r>
        <w:rPr>
          <w:rFonts w:ascii="Arial" w:cs="Arial" w:eastAsia="Arial" w:hAnsi="Arial"/>
          <w:sz w:val="15"/>
          <w:szCs w:val="15"/>
          <w:b w:val="1"/>
          <w:bCs w:val="1"/>
          <w:color w:val="auto"/>
        </w:rPr>
        <w:t>Debt—Debt with Conversion and Other Options and Derivatives and Hedging—Contracts in Entity's Own Equity—Accounting for Convertible Instruments and Contracts in an Entity's Own Equity (ASU 2020-06)</w:t>
      </w:r>
    </w:p>
    <w:p>
      <w:pPr>
        <w:spacing w:after="0" w:line="55" w:lineRule="exact"/>
        <w:rPr>
          <w:sz w:val="20"/>
          <w:szCs w:val="20"/>
          <w:color w:val="auto"/>
        </w:rPr>
      </w:pPr>
    </w:p>
    <w:p>
      <w:pPr>
        <w:ind w:right="200" w:firstLine="268"/>
        <w:spacing w:after="0" w:line="286" w:lineRule="auto"/>
        <w:rPr>
          <w:sz w:val="20"/>
          <w:szCs w:val="20"/>
          <w:color w:val="auto"/>
        </w:rPr>
      </w:pPr>
      <w:r>
        <w:rPr>
          <w:rFonts w:ascii="Arial" w:cs="Arial" w:eastAsia="Arial" w:hAnsi="Arial"/>
          <w:sz w:val="14"/>
          <w:szCs w:val="14"/>
          <w:color w:val="auto"/>
        </w:rPr>
        <w:t>The amendments in this ASU simplify the accounting for certain financial instruments with characteristics of liabilities and equity by reducing the number of accounting models for convertible debt and convertible preferred stock instruments. In addition, this ASU amended the derivative guidance for the “own stock” scope exception and certain aspects when calculating earnings per share. The amendments in this ASU affect entities that issue convertible instruments and/or contracts in an entity’s own equity.</w:t>
      </w:r>
    </w:p>
    <w:p>
      <w:pPr>
        <w:spacing w:after="0" w:line="49" w:lineRule="exact"/>
        <w:rPr>
          <w:sz w:val="20"/>
          <w:szCs w:val="20"/>
          <w:color w:val="auto"/>
        </w:rPr>
      </w:pPr>
    </w:p>
    <w:p>
      <w:pPr>
        <w:ind w:right="20" w:firstLine="268"/>
        <w:spacing w:after="0" w:line="254" w:lineRule="auto"/>
        <w:rPr>
          <w:sz w:val="20"/>
          <w:szCs w:val="20"/>
          <w:color w:val="auto"/>
        </w:rPr>
      </w:pPr>
      <w:r>
        <w:rPr>
          <w:rFonts w:ascii="Arial" w:cs="Arial" w:eastAsia="Arial" w:hAnsi="Arial"/>
          <w:sz w:val="15"/>
          <w:szCs w:val="15"/>
          <w:color w:val="auto"/>
        </w:rPr>
        <w:t>The amendments in this ASU are effective on January 1, 2022, with early adoption permitted on January 1, 2021. Our early adoption of this standard on January 1, 2021 did not have a material impact on our consolidated financial statements.</w:t>
      </w:r>
    </w:p>
    <w:p>
      <w:pPr>
        <w:spacing w:after="0" w:line="54" w:lineRule="exact"/>
        <w:rPr>
          <w:sz w:val="20"/>
          <w:szCs w:val="20"/>
          <w:color w:val="auto"/>
        </w:rPr>
      </w:pPr>
    </w:p>
    <w:p>
      <w:pPr>
        <w:ind w:right="200" w:firstLine="268"/>
        <w:spacing w:after="0" w:line="275" w:lineRule="auto"/>
        <w:rPr>
          <w:sz w:val="20"/>
          <w:szCs w:val="20"/>
          <w:color w:val="auto"/>
        </w:rPr>
      </w:pPr>
      <w:r>
        <w:rPr>
          <w:rFonts w:ascii="Arial" w:cs="Arial" w:eastAsia="Arial" w:hAnsi="Arial"/>
          <w:sz w:val="15"/>
          <w:szCs w:val="15"/>
          <w:b w:val="1"/>
          <w:bCs w:val="1"/>
          <w:color w:val="auto"/>
        </w:rPr>
        <w:t>Investments—Equity Securities (ASC Topic 321), Investments—Equity Method and Joint Ventures (ASC Topic 323), and Derivatives and Hedging (ASC Topic 815) (ASU 2020-01)</w:t>
      </w:r>
    </w:p>
    <w:p>
      <w:pPr>
        <w:spacing w:after="0" w:line="55" w:lineRule="exact"/>
        <w:rPr>
          <w:sz w:val="20"/>
          <w:szCs w:val="20"/>
          <w:color w:val="auto"/>
        </w:rPr>
      </w:pPr>
    </w:p>
    <w:p>
      <w:pPr>
        <w:ind w:right="120" w:firstLine="268"/>
        <w:spacing w:after="0" w:line="272" w:lineRule="auto"/>
        <w:rPr>
          <w:sz w:val="20"/>
          <w:szCs w:val="20"/>
          <w:color w:val="auto"/>
        </w:rPr>
      </w:pPr>
      <w:r>
        <w:rPr>
          <w:rFonts w:ascii="Arial" w:cs="Arial" w:eastAsia="Arial" w:hAnsi="Arial"/>
          <w:sz w:val="14"/>
          <w:szCs w:val="14"/>
          <w:color w:val="auto"/>
        </w:rPr>
        <w:t>The amendments in this ASU affect all entities that apply the guidance in ASC Topics 321, 323, and 815 and (1) elect to apply the measurement alternative or (2) enter into a forward contract or purchase an option to purchase securities that, upon settlement of the forward contract or exercise of the purchased option, would be accounted for under the equity method of accounting. The amendments clarify that forward or option contracts to purchase investments that will be accounted for using the equity method that do not meet the definition of a derivative under ASC Topic 815 are in the scope of ASC Topic 321. Therefore, when the purchase contract is considered a forward or option contract in the scope of this guidance, the investor would account for changes in the contract’s fair value prior to closing through earnings, unless the contract qualifies for the measurement alternative and it is elected. If the measurement alternative is elected, the change in the fair value of the contract would be reflected in earnings upon closing. In addition, if there are observable transactions or impairments before closing, the guidance would require remeasurement of the contract to fair value.</w:t>
      </w:r>
    </w:p>
    <w:p>
      <w:pPr>
        <w:spacing w:after="0" w:line="60" w:lineRule="exact"/>
        <w:rPr>
          <w:sz w:val="20"/>
          <w:szCs w:val="20"/>
          <w:color w:val="auto"/>
        </w:rPr>
      </w:pPr>
    </w:p>
    <w:p>
      <w:pPr>
        <w:ind w:right="3820" w:firstLine="268"/>
        <w:spacing w:after="0" w:line="259" w:lineRule="auto"/>
        <w:rPr>
          <w:sz w:val="20"/>
          <w:szCs w:val="20"/>
          <w:color w:val="auto"/>
        </w:rPr>
      </w:pPr>
      <w:r>
        <w:rPr>
          <w:rFonts w:ascii="Arial" w:cs="Arial" w:eastAsia="Arial" w:hAnsi="Arial"/>
          <w:sz w:val="15"/>
          <w:szCs w:val="15"/>
          <w:color w:val="auto"/>
        </w:rPr>
        <w:t>The guidance in this ASU also specifies that when applying the measurement alternative in ASC Topic 321, observable transactions include those transactions by the investor that result in the application or discontinuation of the equity method of accounting.</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amendments under this ASU are effective prospectively. Our adoption of this standard on January 1, 2021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853" w:right="39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Accounting Standards Issued but Not Yet Adopted</w:t>
      </w:r>
    </w:p>
    <w:p>
      <w:pPr>
        <w:spacing w:after="0" w:line="95" w:lineRule="exact"/>
        <w:rPr>
          <w:sz w:val="20"/>
          <w:szCs w:val="20"/>
          <w:color w:val="auto"/>
        </w:rPr>
      </w:pPr>
    </w:p>
    <w:p>
      <w:pPr>
        <w:ind w:right="400" w:firstLine="268"/>
        <w:spacing w:after="0" w:line="262" w:lineRule="auto"/>
        <w:rPr>
          <w:sz w:val="20"/>
          <w:szCs w:val="20"/>
          <w:color w:val="auto"/>
        </w:rPr>
      </w:pPr>
      <w:r>
        <w:rPr>
          <w:rFonts w:ascii="Arial" w:cs="Arial" w:eastAsia="Arial" w:hAnsi="Arial"/>
          <w:sz w:val="15"/>
          <w:szCs w:val="15"/>
          <w:b w:val="1"/>
          <w:b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(ASU 2021-04)</w:t>
      </w:r>
    </w:p>
    <w:p>
      <w:pPr>
        <w:spacing w:after="0" w:line="63" w:lineRule="exact"/>
        <w:rPr>
          <w:sz w:val="20"/>
          <w:szCs w:val="20"/>
          <w:color w:val="auto"/>
        </w:rPr>
      </w:pPr>
    </w:p>
    <w:p>
      <w:pPr>
        <w:ind w:right="140" w:firstLine="268"/>
        <w:spacing w:after="0" w:line="274" w:lineRule="auto"/>
        <w:rPr>
          <w:sz w:val="20"/>
          <w:szCs w:val="20"/>
          <w:color w:val="auto"/>
        </w:rPr>
      </w:pPr>
      <w:r>
        <w:rPr>
          <w:rFonts w:ascii="Arial" w:cs="Arial" w:eastAsia="Arial" w:hAnsi="Arial"/>
          <w:sz w:val="14"/>
          <w:szCs w:val="14"/>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 Topic 718. In a multiple-element transaction (for example, one that includes both debt financing and equity financing), the total effect of the modification should be allocated to the respective elements in the transaction.</w:t>
      </w:r>
    </w:p>
    <w:p>
      <w:pPr>
        <w:spacing w:after="0" w:line="56" w:lineRule="exact"/>
        <w:rPr>
          <w:sz w:val="20"/>
          <w:szCs w:val="20"/>
          <w:color w:val="auto"/>
        </w:rPr>
      </w:pPr>
    </w:p>
    <w:p>
      <w:pPr>
        <w:ind w:right="220" w:firstLine="268"/>
        <w:spacing w:after="0" w:line="270" w:lineRule="auto"/>
        <w:rPr>
          <w:sz w:val="20"/>
          <w:szCs w:val="20"/>
          <w:color w:val="auto"/>
        </w:rPr>
      </w:pPr>
      <w:r>
        <w:rPr>
          <w:rFonts w:ascii="Arial" w:cs="Arial" w:eastAsia="Arial" w:hAnsi="Arial"/>
          <w:sz w:val="15"/>
          <w:szCs w:val="15"/>
          <w:color w:val="auto"/>
        </w:rPr>
        <w:t>The amendments in this ASU are effective for us on January 1, 2022. We do not anticipate that the adoption of this standard will have a material impact on our consolidated financial statements.</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12 – Borrowings.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Securitizations of Residential Mortgage Loans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Transfers of Forward Loans</w:t>
      </w:r>
    </w:p>
    <w:p>
      <w:pPr>
        <w:spacing w:after="0" w:line="95" w:lineRule="exact"/>
        <w:rPr>
          <w:sz w:val="20"/>
          <w:szCs w:val="20"/>
          <w:color w:val="auto"/>
        </w:rPr>
      </w:pPr>
    </w:p>
    <w:p>
      <w:pPr>
        <w:ind w:right="180" w:firstLine="268"/>
        <w:spacing w:after="0" w:line="259" w:lineRule="auto"/>
        <w:rPr>
          <w:sz w:val="20"/>
          <w:szCs w:val="20"/>
          <w:color w:val="auto"/>
        </w:rPr>
      </w:pPr>
      <w:r>
        <w:rPr>
          <w:rFonts w:ascii="Arial" w:cs="Arial" w:eastAsia="Arial" w:hAnsi="Arial"/>
          <w:sz w:val="15"/>
          <w:szCs w:val="15"/>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presents a summary of cash flows received from and paid to securitization trusts related to transfers of loans accounted for as sales that were outstanding: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92"/>
        </w:trPr>
        <w:tc>
          <w:tcPr>
            <w:tcW w:w="48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received from securitizations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5,823,765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2,364,829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12,220,596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4,256,082</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Servicing fees collected (1)</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12,561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43,968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35,204</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Purchases of previously transferred assets, net of claims reimbursed</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(6,338)</w:t>
            </w:r>
          </w:p>
        </w:tc>
      </w:tr>
      <w:tr>
        <w:trPr>
          <w:trHeight w:val="181"/>
        </w:trPr>
        <w:tc>
          <w:tcPr>
            <w:tcW w:w="484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5,834,140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2,375,329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12,248,479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4,284,948</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460" w:hanging="271"/>
        <w:spacing w:after="0" w:line="285" w:lineRule="auto"/>
        <w:tabs>
          <w:tab w:leader="none" w:pos="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servicing fees based upon the securitized loan balances and certain ancillary fees, all of which are reported in Servicing and subservicing fees in the unaudited consolidated statements of operations.</w:t>
      </w:r>
    </w:p>
    <w:p>
      <w:pPr>
        <w:spacing w:after="0" w:line="44" w:lineRule="exact"/>
        <w:rPr>
          <w:sz w:val="20"/>
          <w:szCs w:val="20"/>
          <w:color w:val="auto"/>
        </w:rPr>
      </w:pPr>
    </w:p>
    <w:p>
      <w:pPr>
        <w:jc w:val="both"/>
        <w:ind w:right="140" w:firstLine="268"/>
        <w:spacing w:after="0" w:line="259" w:lineRule="auto"/>
        <w:rPr>
          <w:sz w:val="20"/>
          <w:szCs w:val="20"/>
          <w:color w:val="auto"/>
        </w:rPr>
      </w:pPr>
      <w:r>
        <w:rPr>
          <w:rFonts w:ascii="Arial" w:cs="Arial" w:eastAsia="Arial" w:hAnsi="Arial"/>
          <w:sz w:val="15"/>
          <w:szCs w:val="15"/>
          <w:color w:val="auto"/>
        </w:rPr>
        <w:t>In connection with these transfers, we retained MSRs of $66.4 million and $136.5 million during the three and nine months ended September 30, 2021, respectively, and $22.1 million and $37.8 million during the three and nine months ended September 30, 2020, respectively. We securitize forward residential mortgage loans involving the GSEs and loans insured by the FHA or VA through Ginnie Mae.</w:t>
      </w:r>
    </w:p>
    <w:p>
      <w:pPr>
        <w:spacing w:after="0" w:line="66" w:lineRule="exact"/>
        <w:rPr>
          <w:sz w:val="20"/>
          <w:szCs w:val="20"/>
          <w:color w:val="auto"/>
        </w:rPr>
      </w:pPr>
    </w:p>
    <w:p>
      <w:pPr>
        <w:ind w:right="220" w:firstLine="268"/>
        <w:spacing w:after="0" w:line="270" w:lineRule="auto"/>
        <w:rPr>
          <w:sz w:val="20"/>
          <w:szCs w:val="20"/>
          <w:color w:val="auto"/>
        </w:rPr>
      </w:pPr>
      <w:r>
        <w:rPr>
          <w:rFonts w:ascii="Arial" w:cs="Arial" w:eastAsia="Arial" w:hAnsi="Arial"/>
          <w:sz w:val="15"/>
          <w:szCs w:val="15"/>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14" w:name="page15"/>
    <w:bookmarkEnd w:id="14"/>
    <w:p>
      <w:pPr>
        <w:ind w:right="200" w:firstLine="268"/>
        <w:spacing w:after="0" w:line="270" w:lineRule="auto"/>
        <w:rPr>
          <w:sz w:val="20"/>
          <w:szCs w:val="20"/>
          <w:color w:val="auto"/>
        </w:rPr>
      </w:pPr>
      <w:r>
        <w:rPr>
          <w:rFonts w:ascii="Arial" w:cs="Arial" w:eastAsia="Arial" w:hAnsi="Arial"/>
          <w:sz w:val="15"/>
          <w:szCs w:val="15"/>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70"/>
        </w:trPr>
        <w:tc>
          <w:tcPr>
            <w:tcW w:w="80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Carrying value of assets</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MSRs,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281,161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137,029</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Advances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143,361</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UPB of loans transferred (1)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26,724,676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18,062,856</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Maximum exposure to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27,139,831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18,343,246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right="200" w:hanging="271"/>
        <w:spacing w:after="0" w:line="285" w:lineRule="auto"/>
        <w:tabs>
          <w:tab w:leader="none" w:pos="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$5.3 billion and $4.1 billion of loans delivered to Ginnie Mae as of September 30, 2021 and December 31, 2020, respectively, and includes loan modifications delivered through the Ginnie Mae Early Buyout Program (EBO).</w:t>
      </w:r>
    </w:p>
    <w:p>
      <w:pPr>
        <w:spacing w:after="0" w:line="44" w:lineRule="exact"/>
        <w:rPr>
          <w:sz w:val="20"/>
          <w:szCs w:val="20"/>
          <w:color w:val="auto"/>
        </w:rPr>
      </w:pPr>
    </w:p>
    <w:p>
      <w:pPr>
        <w:ind w:right="220" w:firstLine="268"/>
        <w:spacing w:after="0" w:line="306" w:lineRule="auto"/>
        <w:rPr>
          <w:sz w:val="20"/>
          <w:szCs w:val="20"/>
          <w:color w:val="auto"/>
        </w:rPr>
      </w:pPr>
      <w:r>
        <w:rPr>
          <w:rFonts w:ascii="Arial" w:cs="Arial" w:eastAsia="Arial" w:hAnsi="Arial"/>
          <w:sz w:val="14"/>
          <w:szCs w:val="14"/>
          <w:color w:val="auto"/>
        </w:rPr>
        <w:t>At September 30, 2021 and December 31, 2020, 4.3% and 6.8%, respectively, of the transferred residential loans that we service were 60 days or more past due, including 60 days or more past due loans under forbearance. This includes 13.1% and 17.1%, respectively, of loans delivered to Ginnie Mae that are 60 days or more past due.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Transfers of Reverse Mortgages</w:t>
      </w:r>
    </w:p>
    <w:p>
      <w:pPr>
        <w:spacing w:after="0" w:line="95" w:lineRule="exact"/>
        <w:rPr>
          <w:sz w:val="20"/>
          <w:szCs w:val="20"/>
          <w:color w:val="auto"/>
        </w:rPr>
      </w:pPr>
    </w:p>
    <w:p>
      <w:pPr>
        <w:ind w:right="20" w:firstLine="268"/>
        <w:spacing w:after="0" w:line="252" w:lineRule="auto"/>
        <w:rPr>
          <w:sz w:val="20"/>
          <w:szCs w:val="20"/>
          <w:color w:val="auto"/>
        </w:rPr>
      </w:pPr>
      <w:r>
        <w:rPr>
          <w:rFonts w:ascii="Arial" w:cs="Arial" w:eastAsia="Arial" w:hAnsi="Arial"/>
          <w:sz w:val="15"/>
          <w:szCs w:val="15"/>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of Loans Held for Sale using SPEs</w:t>
      </w:r>
    </w:p>
    <w:p>
      <w:pPr>
        <w:spacing w:after="0" w:line="99" w:lineRule="exact"/>
        <w:rPr>
          <w:sz w:val="20"/>
          <w:szCs w:val="20"/>
          <w:color w:val="auto"/>
        </w:rPr>
      </w:pPr>
    </w:p>
    <w:p>
      <w:pPr>
        <w:ind w:right="140" w:firstLine="268"/>
        <w:spacing w:after="0" w:line="286" w:lineRule="auto"/>
        <w:rPr>
          <w:sz w:val="20"/>
          <w:szCs w:val="20"/>
          <w:color w:val="auto"/>
        </w:rPr>
      </w:pPr>
      <w:r>
        <w:rPr>
          <w:rFonts w:ascii="Arial" w:cs="Arial" w:eastAsia="Arial" w:hAnsi="Arial"/>
          <w:sz w:val="14"/>
          <w:szCs w:val="14"/>
          <w:color w:val="auto"/>
        </w:rPr>
        <w:t>We entered into a warehouse mortgage loan financing facility with a third-party lender involving an SPE (trust). This facility is structured as a gestation repurchase facility whereby Agency mortgage loans are transferred by PMC to the trust for collateralization purposes. We have designed the trust to facilitate the third party financing facility and have determined that the trust is a VIE for which we are the primary beneficiary. Therefore, we have included the trust in our consolidated financial statements.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ind w:left="28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loans held for sale financing facility:</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01"/>
        </w:trPr>
        <w:tc>
          <w:tcPr>
            <w:tcW w:w="93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w w:val="97"/>
              </w:rPr>
              <w:t>September 30, 2021</w:t>
            </w:r>
          </w:p>
        </w:tc>
      </w:tr>
      <w:tr>
        <w:trPr>
          <w:trHeight w:val="181"/>
        </w:trPr>
        <w:tc>
          <w:tcPr>
            <w:tcW w:w="9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(Loans held for sale, at fair value)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461,827</w:t>
            </w:r>
          </w:p>
        </w:tc>
      </w:tr>
      <w:tr>
        <w:trPr>
          <w:trHeight w:val="189"/>
        </w:trPr>
        <w:tc>
          <w:tcPr>
            <w:tcW w:w="9300" w:type="dxa"/>
            <w:vAlign w:val="bottom"/>
          </w:tcPr>
          <w:p>
            <w:pPr>
              <w:ind w:left="20"/>
              <w:spacing w:after="0"/>
              <w:rPr>
                <w:sz w:val="20"/>
                <w:szCs w:val="20"/>
                <w:color w:val="auto"/>
              </w:rPr>
            </w:pPr>
            <w:r>
              <w:rPr>
                <w:rFonts w:ascii="Arial" w:cs="Arial" w:eastAsia="Arial" w:hAnsi="Arial"/>
                <w:sz w:val="15"/>
                <w:szCs w:val="15"/>
                <w:color w:val="auto"/>
              </w:rPr>
              <w:t>Outstanding borrowings (Mortgage loan warehouse facilities)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465,018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Financings of Advances using SPEs</w:t>
      </w:r>
    </w:p>
    <w:p>
      <w:pPr>
        <w:spacing w:after="0" w:line="99" w:lineRule="exact"/>
        <w:rPr>
          <w:sz w:val="20"/>
          <w:szCs w:val="20"/>
          <w:color w:val="auto"/>
        </w:rPr>
      </w:pPr>
    </w:p>
    <w:p>
      <w:pPr>
        <w:ind w:right="260" w:firstLine="268"/>
        <w:spacing w:after="0" w:line="317" w:lineRule="auto"/>
        <w:rPr>
          <w:sz w:val="20"/>
          <w:szCs w:val="20"/>
          <w:color w:val="auto"/>
        </w:rPr>
      </w:pPr>
      <w:r>
        <w:rPr>
          <w:rFonts w:ascii="Arial" w:cs="Arial" w:eastAsia="Arial" w:hAnsi="Arial"/>
          <w:sz w:val="13"/>
          <w:szCs w:val="13"/>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8"/>
        </w:trPr>
        <w:tc>
          <w:tcPr>
            <w:tcW w:w="8100" w:type="dxa"/>
            <w:vAlign w:val="bottom"/>
          </w:tcPr>
          <w:p>
            <w:pPr>
              <w:ind w:left="280"/>
              <w:spacing w:after="0"/>
              <w:rPr>
                <w:sz w:val="20"/>
                <w:szCs w:val="20"/>
                <w:color w:val="auto"/>
              </w:rPr>
            </w:pPr>
            <w:r>
              <w:rPr>
                <w:rFonts w:ascii="Arial" w:cs="Arial" w:eastAsia="Arial" w:hAnsi="Arial"/>
                <w:sz w:val="15"/>
                <w:szCs w:val="15"/>
                <w:color w:val="auto"/>
                <w:w w:val="95"/>
              </w:rPr>
              <w:t>The table below presents the carrying value and classification of the assets and liabilities of the advance financing facilities: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1"/>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24"/>
                <w:szCs w:val="24"/>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r>
      <w:tr>
        <w:trPr>
          <w:trHeight w:val="181"/>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Match funded advances (Advances,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594,645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651,576</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Debt service accounts (Restricted cash)</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14,195</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Unamortized deferred lender fees (Other assets)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Prepaid interest (Other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 match funded liabilities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516,572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581,288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 Financings using SPEs</w:t>
      </w:r>
    </w:p>
    <w:p>
      <w:pPr>
        <w:spacing w:after="0" w:line="99" w:lineRule="exact"/>
        <w:rPr>
          <w:sz w:val="20"/>
          <w:szCs w:val="20"/>
          <w:color w:val="auto"/>
        </w:rPr>
      </w:pPr>
    </w:p>
    <w:p>
      <w:pPr>
        <w:ind w:right="680" w:firstLine="268"/>
        <w:spacing w:after="0" w:line="270" w:lineRule="auto"/>
        <w:rPr>
          <w:sz w:val="20"/>
          <w:szCs w:val="20"/>
          <w:color w:val="auto"/>
        </w:rPr>
      </w:pPr>
      <w:r>
        <w:rPr>
          <w:rFonts w:ascii="Arial" w:cs="Arial" w:eastAsia="Arial" w:hAnsi="Arial"/>
          <w:sz w:val="15"/>
          <w:szCs w:val="15"/>
          <w:color w:val="auto"/>
        </w:rPr>
        <w:t>In 2019, we entered into a financing facility with a third-party secured by certain Fannie Mae and Freddie Mac MSRs (Agency MSRs). Two SPEs (trusts) were established in connection with this facility.</w:t>
      </w:r>
    </w:p>
    <w:p>
      <w:pPr>
        <w:spacing w:after="0" w:line="58"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Agency MSR financing facility: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6"/>
                <w:szCs w:val="16"/>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r>
      <w:tr>
        <w:trPr>
          <w:trHeight w:val="181"/>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MSRs pledged (MSRs, at fair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649,202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476,371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Unamortized deferred lender fees (Other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1,183</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service account (Restricted cash)</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Outstanding borrowings (MSR financing facilities,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349,298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210,755</w:t>
            </w:r>
          </w:p>
        </w:tc>
      </w:tr>
    </w:tbl>
    <w:p>
      <w:pPr>
        <w:spacing w:after="0" w:line="168" w:lineRule="exact"/>
        <w:rPr>
          <w:sz w:val="20"/>
          <w:szCs w:val="20"/>
          <w:color w:val="auto"/>
        </w:rPr>
      </w:pPr>
    </w:p>
    <w:p>
      <w:pPr>
        <w:ind w:right="180" w:firstLine="268"/>
        <w:spacing w:after="0" w:line="348" w:lineRule="auto"/>
        <w:rPr>
          <w:sz w:val="20"/>
          <w:szCs w:val="20"/>
          <w:color w:val="auto"/>
        </w:rPr>
      </w:pPr>
      <w:r>
        <w:rPr>
          <w:rFonts w:ascii="Arial" w:cs="Arial" w:eastAsia="Arial" w:hAnsi="Arial"/>
          <w:sz w:val="13"/>
          <w:szCs w:val="13"/>
          <w:color w:val="auto"/>
        </w:rPr>
        <w:t>In 2019, we issued Ocwen Excess Spread-Collateralized Notes, Series 2019-PLS1 Class A (PLS Notes) secured by certain of PMC’s private label MSRs (PLS MSRs). An SPE, PMC PLS ESR Issuer LLC (PLS Issuer), was established in this connection as a wholly owned subsidiary of PMC. Ocwen guarantees the obligations of PLS Issuer under the facility.</w:t>
      </w:r>
    </w:p>
    <w:p>
      <w:pPr>
        <w:spacing w:after="0" w:line="12" w:lineRule="exact"/>
        <w:rPr>
          <w:sz w:val="20"/>
          <w:szCs w:val="20"/>
          <w:color w:val="auto"/>
        </w:rPr>
      </w:pPr>
    </w:p>
    <w:p>
      <w:pPr>
        <w:ind w:right="100" w:firstLine="268"/>
        <w:spacing w:after="0" w:line="307" w:lineRule="auto"/>
        <w:rPr>
          <w:sz w:val="20"/>
          <w:szCs w:val="20"/>
          <w:color w:val="auto"/>
        </w:rPr>
      </w:pPr>
      <w:r>
        <w:rPr>
          <w:rFonts w:ascii="Arial" w:cs="Arial" w:eastAsia="Arial" w:hAnsi="Arial"/>
          <w:sz w:val="13"/>
          <w:szCs w:val="13"/>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PLS Notes facility:</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81"/>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MSRs pledged (MSRs, at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103,082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129,204</w:t>
            </w: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Debt service account (Restricted cash)</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2,385</w:t>
            </w:r>
          </w:p>
        </w:tc>
      </w:tr>
      <w:tr>
        <w:trPr>
          <w:trHeight w:val="190"/>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Outstanding borrowings (MSR financing facilities, net)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68,313</w:t>
            </w: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Unamortized debt issuance costs (MSR financing facilities, net)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894</w:t>
            </w:r>
          </w:p>
        </w:tc>
      </w:tr>
    </w:tbl>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jc w:val="both"/>
        <w:ind w:right="340" w:firstLine="268"/>
        <w:spacing w:after="0" w:line="286" w:lineRule="auto"/>
        <w:rPr>
          <w:sz w:val="20"/>
          <w:szCs w:val="20"/>
          <w:color w:val="auto"/>
        </w:rPr>
      </w:pPr>
      <w:r>
        <w:rPr>
          <w:rFonts w:ascii="Arial" w:cs="Arial" w:eastAsia="Arial" w:hAnsi="Arial"/>
          <w:sz w:val="14"/>
          <w:szCs w:val="14"/>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6" w:name="page17"/>
    <w:bookmarkEnd w:id="16"/>
    <w:p>
      <w:pPr>
        <w:ind w:right="220"/>
        <w:spacing w:after="0" w:line="270" w:lineRule="auto"/>
        <w:rPr>
          <w:sz w:val="20"/>
          <w:szCs w:val="20"/>
          <w:color w:val="auto"/>
        </w:rPr>
      </w:pPr>
      <w:r>
        <w:rPr>
          <w:rFonts w:ascii="Arial" w:cs="Arial" w:eastAsia="Arial" w:hAnsi="Arial"/>
          <w:sz w:val="15"/>
          <w:szCs w:val="15"/>
          <w:color w:val="auto"/>
        </w:rPr>
        <w:t>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8" w:lineRule="exact"/>
        <w:rPr>
          <w:sz w:val="20"/>
          <w:szCs w:val="20"/>
          <w:color w:val="auto"/>
        </w:rPr>
      </w:pPr>
    </w:p>
    <w:p>
      <w:pPr>
        <w:ind w:right="300" w:firstLine="268"/>
        <w:spacing w:after="0" w:line="270" w:lineRule="auto"/>
        <w:rPr>
          <w:sz w:val="20"/>
          <w:szCs w:val="20"/>
          <w:color w:val="auto"/>
        </w:rPr>
      </w:pPr>
      <w:r>
        <w:rPr>
          <w:rFonts w:ascii="Arial" w:cs="Arial" w:eastAsia="Arial" w:hAnsi="Arial"/>
          <w:sz w:val="15"/>
          <w:szCs w:val="15"/>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0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2840" w:type="dxa"/>
            <w:vAlign w:val="bottom"/>
            <w:gridSpan w:val="5"/>
          </w:tcPr>
          <w:p>
            <w:pPr>
              <w:ind w:left="740"/>
              <w:spacing w:after="0"/>
              <w:rPr>
                <w:sz w:val="20"/>
                <w:szCs w:val="20"/>
                <w:color w:val="auto"/>
              </w:rPr>
            </w:pPr>
            <w:r>
              <w:rPr>
                <w:rFonts w:ascii="Arial" w:cs="Arial" w:eastAsia="Arial" w:hAnsi="Arial"/>
                <w:sz w:val="15"/>
                <w:szCs w:val="15"/>
                <w:b w:val="1"/>
                <w:bCs w:val="1"/>
                <w:color w:val="auto"/>
              </w:rPr>
              <w:t>December 31, 2020</w:t>
            </w:r>
          </w:p>
        </w:tc>
      </w:tr>
      <w:tr>
        <w:trPr>
          <w:trHeight w:val="181"/>
        </w:trPr>
        <w:tc>
          <w:tcPr>
            <w:tcW w:w="436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20" w:type="dxa"/>
            <w:vAlign w:val="bottom"/>
          </w:tcPr>
          <w:p>
            <w:pPr>
              <w:spacing w:after="0"/>
              <w:rPr>
                <w:sz w:val="15"/>
                <w:szCs w:val="15"/>
                <w:color w:val="auto"/>
              </w:rPr>
            </w:pPr>
          </w:p>
        </w:tc>
      </w:tr>
      <w:tr>
        <w:trPr>
          <w:trHeight w:val="18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Financial assets</w:t>
            </w: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Loans held for sale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sale, at fair value (a) (e)</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3, 2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921,621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921,621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20" w:type="dxa"/>
            <w:vAlign w:val="bottom"/>
          </w:tcPr>
          <w:p>
            <w:pPr>
              <w:spacing w:after="0"/>
              <w:rPr>
                <w:sz w:val="16"/>
                <w:szCs w:val="16"/>
                <w:color w:val="auto"/>
              </w:rPr>
            </w:pPr>
          </w:p>
        </w:tc>
      </w:tr>
      <w:tr>
        <w:trPr>
          <w:trHeight w:val="189"/>
        </w:trPr>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Loans held for sale, at lower of cost or fair value (b)</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20" w:type="dxa"/>
            <w:vAlign w:val="bottom"/>
          </w:tcPr>
          <w:p>
            <w:pPr>
              <w:spacing w:after="0"/>
              <w:rPr>
                <w:sz w:val="16"/>
                <w:szCs w:val="16"/>
                <w:color w:val="auto"/>
              </w:rPr>
            </w:pPr>
          </w:p>
        </w:tc>
      </w:tr>
      <w:tr>
        <w:trPr>
          <w:trHeight w:val="206"/>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Loans held for sale</w:t>
            </w: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933,700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933,700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20" w:type="dxa"/>
            <w:vAlign w:val="bottom"/>
          </w:tcPr>
          <w:p>
            <w:pPr>
              <w:spacing w:after="0"/>
              <w:rPr>
                <w:sz w:val="17"/>
                <w:szCs w:val="17"/>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
        </w:trPr>
        <w:tc>
          <w:tcPr>
            <w:tcW w:w="4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360" w:type="dxa"/>
            <w:vAlign w:val="bottom"/>
          </w:tcPr>
          <w:p>
            <w:pPr>
              <w:ind w:left="200"/>
              <w:spacing w:after="0"/>
              <w:rPr>
                <w:sz w:val="20"/>
                <w:szCs w:val="20"/>
                <w:color w:val="auto"/>
              </w:rPr>
            </w:pPr>
            <w:r>
              <w:rPr>
                <w:rFonts w:ascii="Arial" w:cs="Arial" w:eastAsia="Arial" w:hAnsi="Arial"/>
                <w:sz w:val="15"/>
                <w:szCs w:val="15"/>
                <w:color w:val="auto"/>
              </w:rPr>
              <w:t>Loans held for investment - Reverse mortgages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7,100,726</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7,100,726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6,997,127</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6,997,127</w:t>
            </w:r>
          </w:p>
        </w:tc>
        <w:tc>
          <w:tcPr>
            <w:tcW w:w="20" w:type="dxa"/>
            <w:vAlign w:val="bottom"/>
          </w:tcPr>
          <w:p>
            <w:pPr>
              <w:spacing w:after="0"/>
              <w:rPr>
                <w:sz w:val="16"/>
                <w:szCs w:val="16"/>
                <w:color w:val="auto"/>
              </w:rPr>
            </w:pPr>
          </w:p>
        </w:tc>
      </w:tr>
      <w:tr>
        <w:trPr>
          <w:trHeight w:val="189"/>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1"/>
              </w:rPr>
              <w:t>Loans held for investment - Restricted for securitization investors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6"/>
                <w:szCs w:val="16"/>
                <w:color w:val="auto"/>
              </w:rPr>
            </w:pPr>
          </w:p>
        </w:tc>
      </w:tr>
      <w:tr>
        <w:trPr>
          <w:trHeight w:val="181"/>
        </w:trPr>
        <w:tc>
          <w:tcPr>
            <w:tcW w:w="4360" w:type="dxa"/>
            <w:vAlign w:val="bottom"/>
          </w:tcPr>
          <w:p>
            <w:pPr>
              <w:ind w:left="300"/>
              <w:spacing w:after="0"/>
              <w:rPr>
                <w:sz w:val="20"/>
                <w:szCs w:val="20"/>
                <w:color w:val="auto"/>
              </w:rPr>
            </w:pPr>
            <w:r>
              <w:rPr>
                <w:rFonts w:ascii="Arial" w:cs="Arial" w:eastAsia="Arial" w:hAnsi="Arial"/>
                <w:sz w:val="15"/>
                <w:szCs w:val="15"/>
                <w:color w:val="auto"/>
              </w:rPr>
              <w:t>Total loans held for investment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7,108,730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7,108,730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20" w:type="dxa"/>
            <w:vAlign w:val="bottom"/>
          </w:tcPr>
          <w:p>
            <w:pPr>
              <w:spacing w:after="0"/>
              <w:rPr>
                <w:sz w:val="15"/>
                <w:szCs w:val="15"/>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4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Advances, net (c)</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739,596</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739,596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828,239</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828,239</w:t>
            </w: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Receivables, net (c)</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c>
          <w:tcPr>
            <w:tcW w:w="20" w:type="dxa"/>
            <w:vAlign w:val="bottom"/>
          </w:tcPr>
          <w:p>
            <w:pPr>
              <w:spacing w:after="0"/>
              <w:rPr>
                <w:sz w:val="16"/>
                <w:szCs w:val="16"/>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Mortgage-backed securities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2,019</w:t>
            </w: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bonds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20" w:type="dxa"/>
            <w:vAlign w:val="bottom"/>
          </w:tcPr>
          <w:p>
            <w:pPr>
              <w:spacing w:after="0"/>
              <w:rPr>
                <w:sz w:val="16"/>
                <w:szCs w:val="16"/>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Investment in equity method investee (c)</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19,794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19,794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34"/>
        </w:trPr>
        <w:tc>
          <w:tcPr>
            <w:tcW w:w="4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5"/>
                <w:szCs w:val="15"/>
                <w:color w:val="auto"/>
              </w:rPr>
              <w:t>Financial liabilities: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Advance match funded liabilities (c)</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516,572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515,405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581,997</w:t>
            </w:r>
          </w:p>
        </w:tc>
        <w:tc>
          <w:tcPr>
            <w:tcW w:w="20" w:type="dxa"/>
            <w:vAlign w:val="bottom"/>
          </w:tcPr>
          <w:p>
            <w:pPr>
              <w:spacing w:after="0"/>
              <w:rPr>
                <w:sz w:val="16"/>
                <w:szCs w:val="16"/>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Financing liabilities: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HMBS-related borrowings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6,782,564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6,782,564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20" w:type="dxa"/>
            <w:vAlign w:val="bottom"/>
          </w:tcPr>
          <w:p>
            <w:pPr>
              <w:spacing w:after="0"/>
              <w:rPr>
                <w:sz w:val="16"/>
                <w:szCs w:val="16"/>
                <w:color w:val="auto"/>
              </w:rPr>
            </w:pPr>
          </w:p>
        </w:tc>
      </w:tr>
      <w:tr>
        <w:trPr>
          <w:trHeight w:val="189"/>
        </w:trPr>
        <w:tc>
          <w:tcPr>
            <w:tcW w:w="4360" w:type="dxa"/>
            <w:vAlign w:val="bottom"/>
          </w:tcPr>
          <w:p>
            <w:pPr>
              <w:ind w:left="200"/>
              <w:spacing w:after="0"/>
              <w:rPr>
                <w:sz w:val="20"/>
                <w:szCs w:val="20"/>
                <w:color w:val="auto"/>
              </w:rPr>
            </w:pPr>
            <w:r>
              <w:rPr>
                <w:rFonts w:ascii="Arial" w:cs="Arial" w:eastAsia="Arial" w:hAnsi="Arial"/>
                <w:sz w:val="15"/>
                <w:szCs w:val="15"/>
                <w:color w:val="auto"/>
              </w:rPr>
              <w:t>Other financing liabilities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Financing liability -Transferred MSR liability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702,907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702,907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20" w:type="dxa"/>
            <w:vAlign w:val="bottom"/>
          </w:tcPr>
          <w:p>
            <w:pPr>
              <w:spacing w:after="0"/>
              <w:rPr>
                <w:sz w:val="16"/>
                <w:szCs w:val="16"/>
                <w:color w:val="auto"/>
              </w:rPr>
            </w:pPr>
          </w:p>
        </w:tc>
      </w:tr>
      <w:tr>
        <w:trPr>
          <w:trHeight w:val="189"/>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Financing liability - Owed to securitization investors (a)</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6"/>
                <w:szCs w:val="16"/>
                <w:color w:val="auto"/>
              </w:rPr>
            </w:pPr>
          </w:p>
        </w:tc>
      </w:tr>
      <w:tr>
        <w:trPr>
          <w:trHeight w:val="184"/>
        </w:trPr>
        <w:tc>
          <w:tcPr>
            <w:tcW w:w="4360" w:type="dxa"/>
            <w:vAlign w:val="bottom"/>
            <w:tcBorders>
              <w:bottom w:val="single" w:sz="8" w:color="CCEEFF"/>
            </w:tcBorders>
            <w:shd w:val="clear" w:color="auto" w:fill="CCEEFF"/>
          </w:tcPr>
          <w:p>
            <w:pPr>
              <w:ind w:left="380"/>
              <w:spacing w:after="0" w:line="159" w:lineRule="exact"/>
              <w:rPr>
                <w:sz w:val="20"/>
                <w:szCs w:val="20"/>
                <w:color w:val="auto"/>
              </w:rPr>
            </w:pPr>
            <w:r>
              <w:rPr>
                <w:rFonts w:ascii="Arial" w:cs="Arial" w:eastAsia="Arial" w:hAnsi="Arial"/>
                <w:sz w:val="15"/>
                <w:szCs w:val="15"/>
                <w:color w:val="auto"/>
              </w:rPr>
              <w:t>Total Other financing liabilities</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710,911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710,911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576,722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576,722</w:t>
            </w:r>
          </w:p>
        </w:tc>
        <w:tc>
          <w:tcPr>
            <w:tcW w:w="20" w:type="dxa"/>
            <w:vAlign w:val="bottom"/>
          </w:tcPr>
          <w:p>
            <w:pPr>
              <w:spacing w:after="0"/>
              <w:rPr>
                <w:sz w:val="15"/>
                <w:szCs w:val="15"/>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4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Senior secured term loan (c) (d)</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184,639</w:t>
            </w:r>
          </w:p>
        </w:tc>
        <w:tc>
          <w:tcPr>
            <w:tcW w:w="20" w:type="dxa"/>
            <w:vAlign w:val="bottom"/>
          </w:tcPr>
          <w:p>
            <w:pPr>
              <w:spacing w:after="0"/>
              <w:rPr>
                <w:sz w:val="16"/>
                <w:szCs w:val="16"/>
                <w:color w:val="auto"/>
              </w:rPr>
            </w:pPr>
          </w:p>
        </w:tc>
      </w:tr>
      <w:tr>
        <w:trPr>
          <w:trHeight w:val="189"/>
        </w:trPr>
        <w:tc>
          <w:tcPr>
            <w:tcW w:w="4360" w:type="dxa"/>
            <w:vAlign w:val="bottom"/>
          </w:tcPr>
          <w:p>
            <w:pPr>
              <w:ind w:left="200"/>
              <w:spacing w:after="0"/>
              <w:rPr>
                <w:sz w:val="20"/>
                <w:szCs w:val="20"/>
                <w:color w:val="auto"/>
              </w:rPr>
            </w:pPr>
            <w:r>
              <w:rPr>
                <w:rFonts w:ascii="Arial" w:cs="Arial" w:eastAsia="Arial" w:hAnsi="Arial"/>
                <w:sz w:val="15"/>
                <w:szCs w:val="15"/>
                <w:color w:val="auto"/>
              </w:rPr>
              <w:t>Mortgage loan warehouse facilities (c)</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1,069,170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1,069,170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451,713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451,713</w:t>
            </w: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MSR financing facilities (c) (d)</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945,744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918,217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437,672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406,860</w:t>
            </w:r>
          </w:p>
        </w:tc>
        <w:tc>
          <w:tcPr>
            <w:tcW w:w="20" w:type="dxa"/>
            <w:vAlign w:val="bottom"/>
          </w:tcPr>
          <w:p>
            <w:pPr>
              <w:spacing w:after="0"/>
              <w:rPr>
                <w:sz w:val="16"/>
                <w:szCs w:val="16"/>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5"/>
                <w:szCs w:val="15"/>
                <w:color w:val="auto"/>
              </w:rPr>
              <w:t>Senior notes: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Senior notes (c) (d) (f)</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392,190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403,490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320,879</w:t>
            </w:r>
          </w:p>
        </w:tc>
        <w:tc>
          <w:tcPr>
            <w:tcW w:w="20" w:type="dxa"/>
            <w:vAlign w:val="bottom"/>
          </w:tcPr>
          <w:p>
            <w:pPr>
              <w:spacing w:after="0"/>
              <w:rPr>
                <w:sz w:val="16"/>
                <w:szCs w:val="16"/>
                <w:color w:val="auto"/>
              </w:rPr>
            </w:pPr>
          </w:p>
        </w:tc>
      </w:tr>
      <w:tr>
        <w:trPr>
          <w:trHeight w:val="189"/>
        </w:trPr>
        <w:tc>
          <w:tcPr>
            <w:tcW w:w="4360" w:type="dxa"/>
            <w:vAlign w:val="bottom"/>
          </w:tcPr>
          <w:p>
            <w:pPr>
              <w:ind w:left="280"/>
              <w:spacing w:after="0"/>
              <w:rPr>
                <w:sz w:val="20"/>
                <w:szCs w:val="20"/>
                <w:color w:val="auto"/>
              </w:rPr>
            </w:pPr>
            <w:r>
              <w:rPr>
                <w:rFonts w:ascii="Arial" w:cs="Arial" w:eastAsia="Arial" w:hAnsi="Arial"/>
                <w:sz w:val="15"/>
                <w:szCs w:val="15"/>
                <w:color w:val="auto"/>
              </w:rPr>
              <w:t>OFC Senior notes due 2027 (c) (d) (f)</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220,468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258,805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06"/>
        </w:trPr>
        <w:tc>
          <w:tcPr>
            <w:tcW w:w="4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Senior notes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612,658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320,879</w:t>
            </w:r>
          </w:p>
        </w:tc>
        <w:tc>
          <w:tcPr>
            <w:tcW w:w="20" w:type="dxa"/>
            <w:vAlign w:val="bottom"/>
          </w:tcPr>
          <w:p>
            <w:pPr>
              <w:spacing w:after="0"/>
              <w:rPr>
                <w:sz w:val="17"/>
                <w:szCs w:val="17"/>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9"/>
        </w:trPr>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86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4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00"/>
              <w:spacing w:after="0"/>
              <w:rPr>
                <w:sz w:val="20"/>
                <w:szCs w:val="20"/>
                <w:color w:val="auto"/>
              </w:rPr>
            </w:pPr>
            <w:r>
              <w:rPr>
                <w:rFonts w:ascii="Arial" w:cs="Arial" w:eastAsia="Arial" w:hAnsi="Arial"/>
                <w:sz w:val="15"/>
                <w:szCs w:val="15"/>
                <w:b w:val="1"/>
                <w:bCs w:val="1"/>
                <w:color w:val="auto"/>
              </w:rPr>
              <w:t>September 30, 2021</w:t>
            </w:r>
          </w:p>
        </w:tc>
        <w:tc>
          <w:tcPr>
            <w:tcW w:w="160" w:type="dxa"/>
            <w:vAlign w:val="bottom"/>
          </w:tcPr>
          <w:p>
            <w:pPr>
              <w:spacing w:after="0"/>
              <w:rPr>
                <w:sz w:val="16"/>
                <w:szCs w:val="16"/>
                <w:color w:val="auto"/>
              </w:rPr>
            </w:pPr>
          </w:p>
        </w:tc>
        <w:tc>
          <w:tcPr>
            <w:tcW w:w="2820" w:type="dxa"/>
            <w:vAlign w:val="bottom"/>
            <w:gridSpan w:val="4"/>
          </w:tcPr>
          <w:p>
            <w:pPr>
              <w:jc w:val="right"/>
              <w:ind w:right="826"/>
              <w:spacing w:after="0"/>
              <w:rPr>
                <w:sz w:val="20"/>
                <w:szCs w:val="20"/>
                <w:color w:val="auto"/>
              </w:rPr>
            </w:pPr>
            <w:r>
              <w:rPr>
                <w:rFonts w:ascii="Arial" w:cs="Arial" w:eastAsia="Arial" w:hAnsi="Arial"/>
                <w:sz w:val="15"/>
                <w:szCs w:val="15"/>
                <w:b w:val="1"/>
                <w:bCs w:val="1"/>
                <w:color w:val="auto"/>
              </w:rPr>
              <w:t>December 31, 2020</w:t>
            </w:r>
          </w:p>
        </w:tc>
      </w:tr>
      <w:tr>
        <w:trPr>
          <w:trHeight w:val="181"/>
        </w:trPr>
        <w:tc>
          <w:tcPr>
            <w:tcW w:w="434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Level</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r>
      <w:tr>
        <w:trPr>
          <w:trHeight w:val="18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 financial instrument assets (liabilities)</w:t>
            </w: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Interest rate lock commitments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14,030</w:t>
            </w:r>
          </w:p>
        </w:tc>
        <w:tc>
          <w:tcPr>
            <w:tcW w:w="1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14,030</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22,706</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22,706</w:t>
            </w: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trades - Loans held for sale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TBA / Forward mortgage-backed securities (MBS) trades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(11,227)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(4,554)</w:t>
            </w: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rate swap futures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TBA forward Pipeline trades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5,262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34"/>
        </w:trPr>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2,176,260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2,176,260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1,294,817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1,294,817</w:t>
            </w:r>
          </w:p>
        </w:tc>
      </w:tr>
    </w:tbl>
    <w:p>
      <w:pPr>
        <w:spacing w:after="0" w:line="103" w:lineRule="exact"/>
        <w:rPr>
          <w:sz w:val="20"/>
          <w:szCs w:val="20"/>
          <w:color w:val="auto"/>
        </w:rPr>
      </w:pPr>
    </w:p>
    <w:p>
      <w:pPr>
        <w:ind w:left="260" w:hanging="251"/>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Measured at fair value on a recurring basis.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Measured at fair value on a non-recurring basis.</w:t>
      </w:r>
    </w:p>
    <w:p>
      <w:pPr>
        <w:spacing w:after="0" w:line="6" w:lineRule="exact"/>
        <w:rPr>
          <w:rFonts w:ascii="Arial" w:cs="Arial" w:eastAsia="Arial" w:hAnsi="Arial"/>
          <w:sz w:val="13"/>
          <w:szCs w:val="13"/>
          <w:color w:val="auto"/>
        </w:rPr>
      </w:pPr>
    </w:p>
    <w:p>
      <w:pPr>
        <w:ind w:left="260" w:hanging="251"/>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Disclosed, but not measured, at fair value.</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values are net of unamortized debt issuance costs and discount. See Note 12 – Borrowings for additional information</w:t>
      </w:r>
      <w:r>
        <w:rPr>
          <w:rFonts w:ascii="Arial" w:cs="Arial" w:eastAsia="Arial" w:hAnsi="Arial"/>
          <w:sz w:val="13"/>
          <w:szCs w:val="13"/>
          <w:b w:val="1"/>
          <w:bCs w:val="1"/>
          <w:color w:val="auto"/>
        </w:rPr>
        <w:t>.</w:t>
      </w:r>
    </w:p>
    <w:p>
      <w:pPr>
        <w:spacing w:after="0" w:line="6" w:lineRule="exact"/>
        <w:rPr>
          <w:rFonts w:ascii="Arial" w:cs="Arial" w:eastAsia="Arial" w:hAnsi="Arial"/>
          <w:sz w:val="13"/>
          <w:szCs w:val="13"/>
          <w:color w:val="auto"/>
        </w:rPr>
      </w:pPr>
    </w:p>
    <w:p>
      <w:pPr>
        <w:ind w:left="280" w:right="500" w:hanging="271"/>
        <w:spacing w:after="0" w:line="250" w:lineRule="auto"/>
        <w:tabs>
          <w:tab w:leader="none" w:pos="272" w:val="left"/>
        </w:tabs>
        <w:numPr>
          <w:ilvl w:val="0"/>
          <w:numId w:val="7"/>
        </w:numPr>
        <w:rPr>
          <w:rFonts w:ascii="Arial" w:cs="Arial" w:eastAsia="Arial" w:hAnsi="Arial"/>
          <w:sz w:val="13"/>
          <w:szCs w:val="13"/>
          <w:color w:val="auto"/>
        </w:rPr>
      </w:pPr>
      <w:r>
        <w:rPr>
          <w:rFonts w:ascii="Arial" w:cs="Arial" w:eastAsia="Arial" w:hAnsi="Arial"/>
          <w:sz w:val="13"/>
          <w:szCs w:val="13"/>
          <w:color w:val="auto"/>
        </w:rPr>
        <w:t>Loans repurchased from Ginnie Mae securitizations with a fair value of $210.8 million and $51.1 million at September 30, 2021 and December 31, 2020, respectively, are classified as Level 3. The remaining balance of loans held for sale at fair value is classified as Level 2.</w:t>
      </w:r>
    </w:p>
    <w:p>
      <w:pPr>
        <w:ind w:left="280" w:right="380" w:hanging="271"/>
        <w:spacing w:after="0" w:line="258" w:lineRule="auto"/>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March 4, 2021, PMC completed the issuance and sale of $400.0 million aggregate principal amount of senior secured notes. Fair value is based on valuation data obtained from a pricing service. Therefore, these notes are classified as Level 2. Additionally on March 4, 2021 and May 3, 2021, Ocwen completed the private placement of $199.5 million and $85.5 million, respectively, aggregate principal amount of senior secured second lien notes. These notes are classified as Level 3. See Note 12 – Borrowings for additional information.</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following tables present a reconciliation of the changes in fair value of Level 3 assets and liabilities that we measure at fair value on a recurring basis: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2"/>
              </w:rPr>
              <w:t>Financing Liability -</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Mortgage-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20" w:type="dxa"/>
            <w:vAlign w:val="bottom"/>
            <w:gridSpan w:val="3"/>
          </w:tcPr>
          <w:p>
            <w:pPr>
              <w:jc w:val="center"/>
              <w:ind w:right="100"/>
              <w:spacing w:after="0" w:line="145" w:lineRule="exact"/>
              <w:rPr>
                <w:sz w:val="20"/>
                <w:szCs w:val="20"/>
                <w:color w:val="auto"/>
              </w:rPr>
            </w:pPr>
            <w:r>
              <w:rPr>
                <w:rFonts w:ascii="Arial" w:cs="Arial" w:eastAsia="Arial" w:hAnsi="Arial"/>
                <w:sz w:val="15"/>
                <w:szCs w:val="15"/>
                <w:b w:val="1"/>
                <w:bCs w:val="1"/>
                <w:color w:val="auto"/>
                <w:w w:val="89"/>
              </w:rPr>
              <w:t>Investment - Restricted</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91"/>
              </w:rPr>
              <w:t>Owed to</w:t>
            </w:r>
          </w:p>
        </w:tc>
        <w:tc>
          <w:tcPr>
            <w:tcW w:w="122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Loans Held for</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5" w:lineRule="exact"/>
              <w:rPr>
                <w:sz w:val="20"/>
                <w:szCs w:val="20"/>
                <w:color w:val="auto"/>
              </w:rPr>
            </w:pPr>
            <w:r>
              <w:rPr>
                <w:rFonts w:ascii="Arial" w:cs="Arial" w:eastAsia="Arial" w:hAnsi="Arial"/>
                <w:sz w:val="15"/>
                <w:szCs w:val="15"/>
                <w:b w:val="1"/>
                <w:bCs w:val="1"/>
                <w:color w:val="auto"/>
                <w:w w:val="89"/>
              </w:rPr>
              <w:t>for Securitization</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89"/>
              </w:rPr>
              <w:t>Backed</w:t>
            </w:r>
          </w:p>
        </w:tc>
        <w:tc>
          <w:tcPr>
            <w:tcW w:w="200" w:type="dxa"/>
            <w:vAlign w:val="bottom"/>
          </w:tcPr>
          <w:p>
            <w:pPr>
              <w:spacing w:after="0"/>
              <w:rPr>
                <w:sz w:val="12"/>
                <w:szCs w:val="12"/>
                <w:color w:val="auto"/>
              </w:rPr>
            </w:pPr>
          </w:p>
        </w:tc>
        <w:tc>
          <w:tcPr>
            <w:tcW w:w="900" w:type="dxa"/>
            <w:vAlign w:val="bottom"/>
            <w:vMerge w:val="restart"/>
          </w:tcPr>
          <w:p>
            <w:pPr>
              <w:jc w:val="right"/>
              <w:ind w:right="26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September 30, 2021</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Investors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Investors</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Sale - Fair Value</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Securities</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Cumulative effect of fair value election</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tcPr>
          <w:p>
            <w:pPr>
              <w:ind w:left="200"/>
              <w:spacing w:after="0"/>
              <w:rPr>
                <w:sz w:val="20"/>
                <w:szCs w:val="20"/>
                <w:color w:val="auto"/>
              </w:rPr>
            </w:pPr>
            <w:r>
              <w:rPr>
                <w:rFonts w:ascii="Arial" w:cs="Arial" w:eastAsia="Arial" w:hAnsi="Arial"/>
                <w:sz w:val="15"/>
                <w:szCs w:val="15"/>
                <w:color w:val="auto"/>
              </w:rPr>
              <w:t>Purchases</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136,996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Issuances</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184,995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tcPr>
          <w:p>
            <w:pPr>
              <w:ind w:left="200"/>
              <w:spacing w:after="0"/>
              <w:rPr>
                <w:sz w:val="20"/>
                <w:szCs w:val="20"/>
                <w:color w:val="auto"/>
              </w:rPr>
            </w:pPr>
            <w:r>
              <w:rPr>
                <w:rFonts w:ascii="Arial" w:cs="Arial" w:eastAsia="Arial" w:hAnsi="Arial"/>
                <w:sz w:val="15"/>
                <w:szCs w:val="15"/>
                <w:color w:val="auto"/>
              </w:rPr>
              <w:t>Sales</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(64,032)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Settlements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tcPr>
          <w:p>
            <w:pPr>
              <w:ind w:left="100"/>
              <w:spacing w:after="0"/>
              <w:rPr>
                <w:sz w:val="20"/>
                <w:szCs w:val="20"/>
                <w:color w:val="auto"/>
              </w:rPr>
            </w:pPr>
            <w:r>
              <w:rPr>
                <w:rFonts w:ascii="Arial" w:cs="Arial" w:eastAsia="Arial" w:hAnsi="Arial"/>
                <w:sz w:val="15"/>
                <w:szCs w:val="15"/>
                <w:color w:val="auto"/>
              </w:rPr>
              <w:t>Transfers (to) from:</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Loans held for sale, at fair value</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(182,783)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Receivables, net</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Transfers in and / or out of Level 3</w:t>
            </w:r>
          </w:p>
        </w:tc>
        <w:tc>
          <w:tcPr>
            <w:tcW w:w="1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b w:val="1"/>
                <w:bCs w:val="1"/>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210,752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326"/>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Financing Liability -</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0"/>
              </w:rPr>
              <w:t>Mortgage-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40" w:type="dxa"/>
            <w:vAlign w:val="bottom"/>
            <w:gridSpan w:val="3"/>
          </w:tcPr>
          <w:p>
            <w:pPr>
              <w:jc w:val="center"/>
              <w:ind w:right="100"/>
              <w:spacing w:after="0" w:line="145" w:lineRule="exact"/>
              <w:rPr>
                <w:sz w:val="20"/>
                <w:szCs w:val="20"/>
                <w:color w:val="auto"/>
              </w:rPr>
            </w:pPr>
            <w:r>
              <w:rPr>
                <w:rFonts w:ascii="Arial" w:cs="Arial" w:eastAsia="Arial" w:hAnsi="Arial"/>
                <w:sz w:val="15"/>
                <w:szCs w:val="15"/>
                <w:b w:val="1"/>
                <w:bCs w:val="1"/>
                <w:color w:val="auto"/>
                <w:w w:val="90"/>
              </w:rPr>
              <w:t>Investment - Restricted</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87"/>
              </w:rPr>
              <w:t>Owed to</w:t>
            </w:r>
          </w:p>
        </w:tc>
        <w:tc>
          <w:tcPr>
            <w:tcW w:w="11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Loans Held for</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89"/>
              </w:rPr>
              <w:t>for Securitization</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86"/>
              </w:rPr>
              <w:t>Backed</w:t>
            </w:r>
          </w:p>
        </w:tc>
        <w:tc>
          <w:tcPr>
            <w:tcW w:w="240" w:type="dxa"/>
            <w:vAlign w:val="bottom"/>
          </w:tcPr>
          <w:p>
            <w:pPr>
              <w:spacing w:after="0"/>
              <w:rPr>
                <w:sz w:val="12"/>
                <w:szCs w:val="12"/>
                <w:color w:val="auto"/>
              </w:rPr>
            </w:pPr>
          </w:p>
        </w:tc>
        <w:tc>
          <w:tcPr>
            <w:tcW w:w="100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September 30, 2020</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Investors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Investors</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Sale - Fair Value</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Securities</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Purchases</w:t>
            </w: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200"/>
              <w:spacing w:after="0"/>
              <w:rPr>
                <w:sz w:val="20"/>
                <w:szCs w:val="20"/>
                <w:color w:val="auto"/>
              </w:rPr>
            </w:pPr>
            <w:r>
              <w:rPr>
                <w:rFonts w:ascii="Arial" w:cs="Arial" w:eastAsia="Arial" w:hAnsi="Arial"/>
                <w:sz w:val="15"/>
                <w:szCs w:val="15"/>
                <w:color w:val="auto"/>
              </w:rPr>
              <w:t>Issuances</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87,311</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Sales</w:t>
            </w: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80"/>
              <w:spacing w:after="0"/>
              <w:rPr>
                <w:sz w:val="20"/>
                <w:szCs w:val="20"/>
                <w:color w:val="auto"/>
              </w:rPr>
            </w:pPr>
            <w:r>
              <w:rPr>
                <w:rFonts w:ascii="Arial" w:cs="Arial" w:eastAsia="Arial" w:hAnsi="Arial"/>
                <w:sz w:val="15"/>
                <w:szCs w:val="15"/>
                <w:color w:val="auto"/>
              </w:rPr>
              <w:t>Settlements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(77,785)</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Transfers (to) from:</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Receivables, net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(4,665)</w:t>
            </w:r>
          </w:p>
        </w:tc>
        <w:tc>
          <w:tcPr>
            <w:tcW w:w="0" w:type="dxa"/>
            <w:vAlign w:val="bottom"/>
          </w:tcPr>
          <w:p>
            <w:pPr>
              <w:spacing w:after="0"/>
              <w:rPr>
                <w:sz w:val="1"/>
                <w:szCs w:val="1"/>
                <w:color w:val="auto"/>
              </w:rPr>
            </w:pPr>
          </w:p>
        </w:tc>
      </w:tr>
      <w:tr>
        <w:trPr>
          <w:trHeight w:val="20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2"/>
              </w:rPr>
              <w:t>Financing Liability -</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Mortgage-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gridSpan w:val="3"/>
          </w:tcPr>
          <w:p>
            <w:pPr>
              <w:jc w:val="center"/>
              <w:ind w:right="100"/>
              <w:spacing w:after="0" w:line="145" w:lineRule="exact"/>
              <w:rPr>
                <w:sz w:val="20"/>
                <w:szCs w:val="20"/>
                <w:color w:val="auto"/>
              </w:rPr>
            </w:pPr>
            <w:r>
              <w:rPr>
                <w:rFonts w:ascii="Arial" w:cs="Arial" w:eastAsia="Arial" w:hAnsi="Arial"/>
                <w:sz w:val="15"/>
                <w:szCs w:val="15"/>
                <w:b w:val="1"/>
                <w:bCs w:val="1"/>
                <w:color w:val="auto"/>
                <w:w w:val="89"/>
              </w:rPr>
              <w:t>Investment - Restricted</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91"/>
              </w:rPr>
              <w:t>Owed to</w:t>
            </w:r>
          </w:p>
        </w:tc>
        <w:tc>
          <w:tcPr>
            <w:tcW w:w="122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Loans Held for</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91"/>
              </w:rPr>
              <w:t>for Securitization</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85"/>
              </w:rPr>
              <w:t>backed</w:t>
            </w:r>
          </w:p>
        </w:tc>
        <w:tc>
          <w:tcPr>
            <w:tcW w:w="260" w:type="dxa"/>
            <w:vAlign w:val="bottom"/>
          </w:tcPr>
          <w:p>
            <w:pPr>
              <w:spacing w:after="0"/>
              <w:rPr>
                <w:sz w:val="12"/>
                <w:szCs w:val="12"/>
                <w:color w:val="auto"/>
              </w:rPr>
            </w:pPr>
          </w:p>
        </w:tc>
        <w:tc>
          <w:tcPr>
            <w:tcW w:w="1040" w:type="dxa"/>
            <w:vAlign w:val="bottom"/>
            <w:vMerge w:val="restart"/>
          </w:tcPr>
          <w:p>
            <w:pPr>
              <w:jc w:val="right"/>
              <w:ind w:right="36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vMerge w:val="restart"/>
          </w:tcPr>
          <w:p>
            <w:pPr>
              <w:spacing w:after="0"/>
              <w:rPr>
                <w:sz w:val="20"/>
                <w:szCs w:val="20"/>
                <w:color w:val="auto"/>
              </w:rPr>
            </w:pPr>
            <w:r>
              <w:rPr>
                <w:rFonts w:ascii="Arial" w:cs="Arial" w:eastAsia="Arial" w:hAnsi="Arial"/>
                <w:sz w:val="15"/>
                <w:szCs w:val="15"/>
                <w:b w:val="1"/>
                <w:bCs w:val="1"/>
                <w:color w:val="auto"/>
                <w:w w:val="89"/>
              </w:rPr>
              <w:t>Nine Months Ended September 30, 2021</w:t>
            </w:r>
          </w:p>
        </w:tc>
        <w:tc>
          <w:tcPr>
            <w:tcW w:w="18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Investors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Investors</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Sale - Fair Value</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Borders>
              <w:bottom w:val="single" w:sz="8" w:color="auto"/>
            </w:tcBorders>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Purchases</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303,117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2"/>
          </w:tcPr>
          <w:p>
            <w:pPr>
              <w:ind w:left="180"/>
              <w:spacing w:after="0"/>
              <w:rPr>
                <w:sz w:val="20"/>
                <w:szCs w:val="20"/>
                <w:color w:val="auto"/>
              </w:rPr>
            </w:pPr>
            <w:r>
              <w:rPr>
                <w:rFonts w:ascii="Arial" w:cs="Arial" w:eastAsia="Arial" w:hAnsi="Arial"/>
                <w:sz w:val="15"/>
                <w:szCs w:val="15"/>
                <w:color w:val="auto"/>
              </w:rPr>
              <w:t>Issuances</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446,751</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Sales</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2"/>
          </w:tcPr>
          <w:p>
            <w:pPr>
              <w:ind w:left="180"/>
              <w:spacing w:after="0"/>
              <w:rPr>
                <w:sz w:val="20"/>
                <w:szCs w:val="20"/>
                <w:color w:val="auto"/>
              </w:rPr>
            </w:pPr>
            <w:r>
              <w:rPr>
                <w:rFonts w:ascii="Arial" w:cs="Arial" w:eastAsia="Arial" w:hAnsi="Arial"/>
                <w:sz w:val="15"/>
                <w:szCs w:val="15"/>
                <w:color w:val="auto"/>
              </w:rPr>
              <w:t>Settlements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Transfers (to) from:</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2"/>
          </w:tcPr>
          <w:p>
            <w:pPr>
              <w:ind w:left="180"/>
              <w:spacing w:after="0"/>
              <w:rPr>
                <w:sz w:val="20"/>
                <w:szCs w:val="20"/>
                <w:color w:val="auto"/>
              </w:rPr>
            </w:pPr>
            <w:r>
              <w:rPr>
                <w:rFonts w:ascii="Arial" w:cs="Arial" w:eastAsia="Arial" w:hAnsi="Arial"/>
                <w:sz w:val="15"/>
                <w:szCs w:val="15"/>
                <w:color w:val="auto"/>
              </w:rPr>
              <w:t>Loans held for sale, at fair value</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(425,169)</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Receivables, net</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(6,859)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(30,258)</w:t>
            </w:r>
          </w:p>
        </w:tc>
        <w:tc>
          <w:tcPr>
            <w:tcW w:w="0" w:type="dxa"/>
            <w:vAlign w:val="bottom"/>
          </w:tcPr>
          <w:p>
            <w:pPr>
              <w:spacing w:after="0"/>
              <w:rPr>
                <w:sz w:val="1"/>
                <w:szCs w:val="1"/>
                <w:color w:val="auto"/>
              </w:rPr>
            </w:pPr>
          </w:p>
        </w:tc>
      </w:tr>
      <w:tr>
        <w:trPr>
          <w:trHeight w:val="20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Loans Held for</w:t>
            </w: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2"/>
              </w:rPr>
              <w:t>Financing Liability -</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5"/>
                <w:szCs w:val="15"/>
                <w:b w:val="1"/>
                <w:bCs w:val="1"/>
                <w:color w:val="auto"/>
                <w:w w:val="88"/>
              </w:rPr>
              <w:t>Investment -</w:t>
            </w:r>
          </w:p>
        </w:tc>
        <w:tc>
          <w:tcPr>
            <w:tcW w:w="15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5"/>
                <w:szCs w:val="15"/>
                <w:b w:val="1"/>
                <w:bCs w:val="1"/>
                <w:color w:val="auto"/>
                <w:w w:val="88"/>
              </w:rPr>
              <w:t>Restricted for</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87"/>
              </w:rPr>
              <w:t>Owed to</w:t>
            </w:r>
          </w:p>
        </w:tc>
        <w:tc>
          <w:tcPr>
            <w:tcW w:w="146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5"/>
              </w:rPr>
              <w:t>Loans Held for Sale -</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0"/>
              </w:rPr>
              <w:t>Mortgage-backed</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5"/>
                <w:szCs w:val="15"/>
                <w:b w:val="1"/>
                <w:bCs w:val="1"/>
                <w:color w:val="auto"/>
                <w:w w:val="91"/>
              </w:rPr>
              <w:t>Securitization</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40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vMerge w:val="restart"/>
          </w:tcPr>
          <w:p>
            <w:pPr>
              <w:spacing w:after="0"/>
              <w:rPr>
                <w:sz w:val="20"/>
                <w:szCs w:val="20"/>
                <w:color w:val="auto"/>
              </w:rPr>
            </w:pPr>
            <w:r>
              <w:rPr>
                <w:rFonts w:ascii="Arial" w:cs="Arial" w:eastAsia="Arial" w:hAnsi="Arial"/>
                <w:sz w:val="15"/>
                <w:szCs w:val="15"/>
                <w:b w:val="1"/>
                <w:bCs w:val="1"/>
                <w:color w:val="auto"/>
                <w:w w:val="89"/>
              </w:rPr>
              <w:t>Nine Months Ended September 30, 2020</w:t>
            </w:r>
          </w:p>
        </w:tc>
        <w:tc>
          <w:tcPr>
            <w:tcW w:w="136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Investors</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Investors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5"/>
                <w:szCs w:val="15"/>
                <w:b w:val="1"/>
                <w:bCs w:val="1"/>
                <w:color w:val="auto"/>
              </w:rPr>
              <w:t>Fair Value</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Securities</w:t>
            </w: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Borders>
              <w:bottom w:val="single" w:sz="8" w:color="auto"/>
            </w:tcBorders>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103,955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5"/>
                <w:szCs w:val="15"/>
                <w:color w:val="auto"/>
              </w:rPr>
              <w:t>Issuances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144,931</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8"/>
              </w:rPr>
              <w:t>Deconsolidation of mortgage-backed securitization trusts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5"/>
                <w:szCs w:val="15"/>
                <w:color w:val="auto"/>
              </w:rPr>
              <w:t>Sales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(104,273)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Settlements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00"/>
              <w:spacing w:after="0"/>
              <w:rPr>
                <w:sz w:val="20"/>
                <w:szCs w:val="20"/>
                <w:color w:val="auto"/>
              </w:rPr>
            </w:pPr>
            <w:r>
              <w:rPr>
                <w:rFonts w:ascii="Arial" w:cs="Arial" w:eastAsia="Arial" w:hAnsi="Arial"/>
                <w:sz w:val="15"/>
                <w:szCs w:val="15"/>
                <w:color w:val="auto"/>
              </w:rPr>
              <w:t>Transfers (to) from:</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Loans held for sale, at fair value</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(128,224)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Receivables, net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(4,506)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Transfers in and / or out of Level 3</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20" w:type="dxa"/>
            <w:vAlign w:val="bottom"/>
            <w:gridSpan w:val="2"/>
          </w:tcPr>
          <w:p>
            <w:pPr>
              <w:spacing w:after="0"/>
              <w:rPr>
                <w:sz w:val="20"/>
                <w:szCs w:val="20"/>
                <w:color w:val="auto"/>
              </w:rPr>
            </w:pPr>
            <w:r>
              <w:rPr>
                <w:rFonts w:ascii="Arial" w:cs="Arial" w:eastAsia="Arial" w:hAnsi="Arial"/>
                <w:sz w:val="15"/>
                <w:szCs w:val="15"/>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11,012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(11,012)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26,409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firstLine="268"/>
        <w:spacing w:after="0" w:line="286" w:lineRule="auto"/>
        <w:rPr>
          <w:sz w:val="20"/>
          <w:szCs w:val="20"/>
          <w:color w:val="auto"/>
        </w:rPr>
      </w:pPr>
      <w:r>
        <w:rPr>
          <w:rFonts w:ascii="Arial" w:cs="Arial" w:eastAsia="Arial" w:hAnsi="Arial"/>
          <w:sz w:val="13"/>
          <w:szCs w:val="13"/>
          <w:color w:val="auto"/>
        </w:rPr>
        <w:t xml:space="preserve">A </w:t>
      </w:r>
      <w:r>
        <w:rPr>
          <w:rFonts w:ascii="Arial" w:cs="Arial" w:eastAsia="Arial" w:hAnsi="Arial"/>
          <w:sz w:val="14"/>
          <w:szCs w:val="14"/>
          <w:color w:val="auto"/>
        </w:rPr>
        <w:t>rollforward of the beginning and ending balances of Loans Held for Investment and HMBS-related borrowings, MSRs and Financing liability - MSRs pledged that we measure at fair</w:t>
      </w:r>
      <w:r>
        <w:rPr>
          <w:rFonts w:ascii="Arial" w:cs="Arial" w:eastAsia="Arial" w:hAnsi="Arial"/>
          <w:sz w:val="13"/>
          <w:szCs w:val="13"/>
          <w:color w:val="auto"/>
        </w:rPr>
        <w:t xml:space="preserve"> </w:t>
      </w:r>
      <w:r>
        <w:rPr>
          <w:rFonts w:ascii="Arial" w:cs="Arial" w:eastAsia="Arial" w:hAnsi="Arial"/>
          <w:sz w:val="14"/>
          <w:szCs w:val="14"/>
          <w:color w:val="auto"/>
        </w:rPr>
        <w:t>value on a recurring and non-recurring basis is provided in Note 5 – Reverse Mortgages, Note 7 – Mortgage Servicing and Note 8 — MSR Transfers Not Qualifying for Sale Accounting, respectively.</w:t>
      </w:r>
    </w:p>
    <w:p>
      <w:pPr>
        <w:spacing w:after="0" w:line="49" w:lineRule="exact"/>
        <w:rPr>
          <w:sz w:val="20"/>
          <w:szCs w:val="20"/>
          <w:color w:val="auto"/>
        </w:rPr>
      </w:pPr>
    </w:p>
    <w:p>
      <w:pPr>
        <w:ind w:right="380" w:firstLine="268"/>
        <w:spacing w:after="0" w:line="286" w:lineRule="auto"/>
        <w:rPr>
          <w:sz w:val="20"/>
          <w:szCs w:val="20"/>
          <w:color w:val="auto"/>
        </w:rPr>
      </w:pPr>
      <w:r>
        <w:rPr>
          <w:rFonts w:ascii="Arial" w:cs="Arial" w:eastAsia="Arial" w:hAnsi="Arial"/>
          <w:sz w:val="14"/>
          <w:szCs w:val="14"/>
          <w:color w:val="auto"/>
        </w:rPr>
        <w:t>During the nine months ended September 30, 2021, there have been no changes to the methodologies that we use in estimating fair values or classifications under the valuation hierarchy as disclosed in our Annual Report on Form 10-K for the year ended December 31, 2020. The significant unobservable assumptions that we make to estimate the fair value of significant assets and liabilities classified as Level 3 and measured at fair value on a recurring or non-recurring basis are provided below.</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Sale</w:t>
      </w:r>
    </w:p>
    <w:p>
      <w:pPr>
        <w:spacing w:after="0" w:line="132"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 Reverse Mortgages</w:t>
      </w:r>
    </w:p>
    <w:p>
      <w:pPr>
        <w:spacing w:after="0" w:line="99" w:lineRule="exact"/>
        <w:rPr>
          <w:sz w:val="20"/>
          <w:szCs w:val="20"/>
          <w:color w:val="auto"/>
        </w:rPr>
      </w:pPr>
    </w:p>
    <w:p>
      <w:pPr>
        <w:ind w:right="200" w:firstLine="268"/>
        <w:spacing w:after="0" w:line="255" w:lineRule="auto"/>
        <w:rPr>
          <w:sz w:val="20"/>
          <w:szCs w:val="20"/>
          <w:color w:val="auto"/>
        </w:rPr>
      </w:pPr>
      <w:r>
        <w:rPr>
          <w:rFonts w:ascii="Arial" w:cs="Arial" w:eastAsia="Arial" w:hAnsi="Arial"/>
          <w:sz w:val="15"/>
          <w:szCs w:val="15"/>
          <w:color w:val="auto"/>
        </w:rPr>
        <w:t>Reverse mortgage loans held for investment are carried at fair value and classified as Level 3 within the valuation hierarchy. Significant unobservable assumptions include voluntary prepayment speeds, defaults and discount rate. The conditional prepayment speed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ectPr>
          <w:pgSz w:w="11900" w:h="16838" w:orient="portrait"/>
          <w:cols w:equalWidth="0" w:num="1">
            <w:col w:w="11280"/>
          </w:cols>
          <w:pgMar w:left="300" w:top="770" w:right="319" w:bottom="93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70" w:right="319" w:bottom="935" w:gutter="0" w:footer="0" w:header="0"/>
          <w:type w:val="continuous"/>
        </w:sectPr>
      </w:pPr>
    </w:p>
    <w:bookmarkStart w:id="19" w:name="page20"/>
    <w:bookmarkEnd w:id="19"/>
    <w:tbl>
      <w:tblPr>
        <w:tblLayout w:type="fixed"/>
        <w:tblInd w:w="40" w:type="dxa"/>
        <w:tblCellMar>
          <w:top w:w="0" w:type="dxa"/>
          <w:left w:w="0" w:type="dxa"/>
          <w:bottom w:w="0" w:type="dxa"/>
          <w:right w:w="0" w:type="dxa"/>
        </w:tblCellMar>
      </w:tblPr>
      <w:tr>
        <w:trPr>
          <w:trHeight w:val="172"/>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20" w:type="dxa"/>
            <w:vAlign w:val="bottom"/>
            <w:gridSpan w:val="2"/>
          </w:tcPr>
          <w:p>
            <w:pPr>
              <w:ind w:left="360"/>
              <w:spacing w:after="0"/>
              <w:rPr>
                <w:sz w:val="20"/>
                <w:szCs w:val="20"/>
                <w:color w:val="auto"/>
              </w:rPr>
            </w:pPr>
            <w:r>
              <w:rPr>
                <w:rFonts w:ascii="Arial" w:cs="Arial" w:eastAsia="Arial" w:hAnsi="Arial"/>
                <w:sz w:val="15"/>
                <w:szCs w:val="15"/>
                <w:b w:val="1"/>
                <w:bCs w:val="1"/>
                <w:color w:val="auto"/>
              </w:rPr>
              <w:t>September 30,</w:t>
            </w:r>
          </w:p>
        </w:tc>
        <w:tc>
          <w:tcPr>
            <w:tcW w:w="164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Life in years</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1.1 to 8.0</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5"/>
                <w:szCs w:val="15"/>
                <w:color w:val="auto"/>
              </w:rPr>
              <w:t>Conditional prepayment rate, including voluntary and involuntary prepayments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 to 35.5%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tcPr>
          <w:p>
            <w:pPr>
              <w:jc w:val="right"/>
              <w:spacing w:after="0"/>
              <w:rPr>
                <w:sz w:val="20"/>
                <w:szCs w:val="20"/>
                <w:color w:val="auto"/>
              </w:rPr>
            </w:pPr>
            <w:r>
              <w:rPr>
                <w:rFonts w:ascii="Arial" w:cs="Arial" w:eastAsia="Arial" w:hAnsi="Arial"/>
                <w:sz w:val="15"/>
                <w:szCs w:val="15"/>
                <w:color w:val="auto"/>
              </w:rPr>
              <w:t>16.2 %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80" w:firstLine="268"/>
        <w:spacing w:after="0" w:line="259"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MSRs</w:t>
      </w:r>
    </w:p>
    <w:p>
      <w:pPr>
        <w:spacing w:after="0" w:line="99"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6" w:lineRule="exact"/>
        <w:rPr>
          <w:sz w:val="20"/>
          <w:szCs w:val="20"/>
          <w:color w:val="auto"/>
        </w:rPr>
      </w:pPr>
    </w:p>
    <w:p>
      <w:pPr>
        <w:ind w:right="280" w:firstLine="268"/>
        <w:spacing w:after="0" w:line="286" w:lineRule="auto"/>
        <w:rPr>
          <w:sz w:val="20"/>
          <w:szCs w:val="20"/>
          <w:color w:val="auto"/>
        </w:rPr>
      </w:pPr>
      <w:r>
        <w:rPr>
          <w:rFonts w:ascii="Arial" w:cs="Arial" w:eastAsia="Arial" w:hAnsi="Arial"/>
          <w:sz w:val="14"/>
          <w:szCs w:val="14"/>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46"/>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966"/>
              <w:spacing w:after="0"/>
              <w:rPr>
                <w:sz w:val="20"/>
                <w:szCs w:val="20"/>
                <w:color w:val="auto"/>
              </w:rPr>
            </w:pPr>
            <w:r>
              <w:rPr>
                <w:rFonts w:ascii="Arial" w:cs="Arial" w:eastAsia="Arial" w:hAnsi="Arial"/>
                <w:sz w:val="15"/>
                <w:szCs w:val="15"/>
                <w:b w:val="1"/>
                <w:bCs w:val="1"/>
                <w:color w:val="auto"/>
                <w:w w:val="87"/>
              </w:rPr>
              <w:t>December 31, 2020</w:t>
            </w:r>
          </w:p>
        </w:tc>
      </w:tr>
      <w:tr>
        <w:trPr>
          <w:trHeight w:val="203"/>
        </w:trPr>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Significant unobservable assumptions</w:t>
            </w:r>
          </w:p>
        </w:tc>
        <w:tc>
          <w:tcPr>
            <w:tcW w:w="32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b w:val="1"/>
                <w:bCs w:val="1"/>
                <w:color w:val="auto"/>
              </w:rPr>
              <w:t>Agency</w:t>
            </w:r>
          </w:p>
        </w:tc>
        <w:tc>
          <w:tcPr>
            <w:tcW w:w="2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5"/>
                <w:szCs w:val="15"/>
                <w:b w:val="1"/>
                <w:bCs w:val="1"/>
                <w:color w:val="auto"/>
              </w:rPr>
              <w:t>Non-Agency</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Agency</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326"/>
              <w:spacing w:after="0"/>
              <w:rPr>
                <w:sz w:val="20"/>
                <w:szCs w:val="20"/>
                <w:color w:val="auto"/>
              </w:rPr>
            </w:pPr>
            <w:r>
              <w:rPr>
                <w:rFonts w:ascii="Arial" w:cs="Arial" w:eastAsia="Arial" w:hAnsi="Arial"/>
                <w:sz w:val="15"/>
                <w:szCs w:val="15"/>
                <w:b w:val="1"/>
                <w:bCs w:val="1"/>
                <w:color w:val="auto"/>
              </w:rPr>
              <w:t>Non-Agency</w:t>
            </w:r>
          </w:p>
        </w:tc>
      </w:tr>
      <w:tr>
        <w:trPr>
          <w:trHeight w:val="181"/>
        </w:trPr>
        <w:tc>
          <w:tcPr>
            <w:tcW w:w="4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Weighted average prepayment speed</w:t>
            </w:r>
          </w:p>
        </w:tc>
        <w:tc>
          <w:tcPr>
            <w:tcW w:w="3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12.0 %</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11.5 %</w:t>
            </w:r>
          </w:p>
        </w:tc>
      </w:tr>
      <w:tr>
        <w:trPr>
          <w:trHeight w:val="189"/>
        </w:trPr>
        <w:tc>
          <w:tcPr>
            <w:tcW w:w="4540" w:type="dxa"/>
            <w:vAlign w:val="bottom"/>
          </w:tcPr>
          <w:p>
            <w:pPr>
              <w:ind w:left="120"/>
              <w:spacing w:after="0"/>
              <w:rPr>
                <w:sz w:val="20"/>
                <w:szCs w:val="20"/>
                <w:color w:val="auto"/>
              </w:rPr>
            </w:pPr>
            <w:r>
              <w:rPr>
                <w:rFonts w:ascii="Arial" w:cs="Arial" w:eastAsia="Arial" w:hAnsi="Arial"/>
                <w:sz w:val="15"/>
                <w:szCs w:val="15"/>
                <w:color w:val="auto"/>
              </w:rPr>
              <w:t>Weighted average lifetime delinquency rate</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12.8 %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190"/>
        </w:trPr>
        <w:tc>
          <w:tcPr>
            <w:tcW w:w="4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discount rate</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189"/>
        </w:trPr>
        <w:tc>
          <w:tcPr>
            <w:tcW w:w="4540" w:type="dxa"/>
            <w:vAlign w:val="bottom"/>
          </w:tcPr>
          <w:p>
            <w:pPr>
              <w:ind w:left="120"/>
              <w:spacing w:after="0"/>
              <w:rPr>
                <w:sz w:val="20"/>
                <w:szCs w:val="20"/>
                <w:color w:val="auto"/>
              </w:rPr>
            </w:pPr>
            <w:r>
              <w:rPr>
                <w:rFonts w:ascii="Arial" w:cs="Arial" w:eastAsia="Arial" w:hAnsi="Arial"/>
                <w:sz w:val="15"/>
                <w:szCs w:val="15"/>
                <w:color w:val="auto"/>
              </w:rPr>
              <w:t>Weighted average cost to service (in dollars)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6"/>
                <w:szCs w:val="16"/>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2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270</w:t>
            </w:r>
          </w:p>
        </w:tc>
      </w:tr>
    </w:tbl>
    <w:p>
      <w:pPr>
        <w:spacing w:after="0" w:line="157" w:lineRule="exact"/>
        <w:rPr>
          <w:sz w:val="20"/>
          <w:szCs w:val="20"/>
          <w:color w:val="auto"/>
        </w:rPr>
      </w:pPr>
    </w:p>
    <w:p>
      <w:pPr>
        <w:ind w:right="280" w:firstLine="268"/>
        <w:spacing w:after="0" w:line="255" w:lineRule="auto"/>
        <w:rPr>
          <w:sz w:val="20"/>
          <w:szCs w:val="20"/>
          <w:color w:val="auto"/>
        </w:rPr>
      </w:pPr>
      <w:r>
        <w:rPr>
          <w:rFonts w:ascii="Arial" w:cs="Arial" w:eastAsia="Arial" w:hAnsi="Arial"/>
          <w:sz w:val="15"/>
          <w:szCs w:val="15"/>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September 30, 2021 given hypothetical increases in lifetime prepayments and yield assumptions: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Adverse change in fair value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w:t>
            </w:r>
          </w:p>
        </w:tc>
      </w:tr>
      <w:tr>
        <w:trPr>
          <w:trHeight w:val="181"/>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prepayment speeds</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(128,151)</w:t>
            </w:r>
          </w:p>
        </w:tc>
      </w:tr>
      <w:tr>
        <w:trPr>
          <w:trHeight w:val="189"/>
        </w:trPr>
        <w:tc>
          <w:tcPr>
            <w:tcW w:w="8000" w:type="dxa"/>
            <w:vAlign w:val="bottom"/>
          </w:tcPr>
          <w:p>
            <w:pPr>
              <w:spacing w:after="0"/>
              <w:rPr>
                <w:sz w:val="20"/>
                <w:szCs w:val="20"/>
                <w:color w:val="auto"/>
              </w:rPr>
            </w:pPr>
            <w:r>
              <w:rPr>
                <w:rFonts w:ascii="Arial" w:cs="Arial" w:eastAsia="Arial" w:hAnsi="Arial"/>
                <w:sz w:val="15"/>
                <w:szCs w:val="15"/>
                <w:color w:val="auto"/>
              </w:rPr>
              <w:t>Weighted average discount rate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(53,571)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(103,573)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 Equity Method Investee</w:t>
      </w:r>
    </w:p>
    <w:p>
      <w:pPr>
        <w:spacing w:after="0" w:line="99" w:lineRule="exact"/>
        <w:rPr>
          <w:sz w:val="20"/>
          <w:szCs w:val="20"/>
          <w:color w:val="auto"/>
        </w:rPr>
      </w:pPr>
    </w:p>
    <w:p>
      <w:pPr>
        <w:ind w:right="300" w:firstLine="268"/>
        <w:spacing w:after="0" w:line="255" w:lineRule="auto"/>
        <w:rPr>
          <w:sz w:val="20"/>
          <w:szCs w:val="20"/>
          <w:color w:val="auto"/>
        </w:rPr>
      </w:pPr>
      <w:r>
        <w:rPr>
          <w:rFonts w:ascii="Arial" w:cs="Arial" w:eastAsia="Arial" w:hAnsi="Arial"/>
          <w:sz w:val="15"/>
          <w:szCs w:val="15"/>
          <w:color w:val="auto"/>
        </w:rPr>
        <w:t>Our investment in equity method investee is accounted for using the equity method and classified as Level 3 within the valuation hierarchy. The assets, including MSRs and MSR related assets, and liabilities of the investee are carried at fair value or a value that approximates fair value. Accordingly, the investee’s net asset value approximates its fair value, and its earnings or losses reflect the change in its net asset value, resulting in our recorded investment approximating fair value. See Note 10 - Investment in Equity Method Investee for further details.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HMBS-Related Borrowings</w:t>
      </w:r>
    </w:p>
    <w:p>
      <w:pPr>
        <w:spacing w:after="0" w:line="95"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HMBS-related borrowings are carried at fair value and classified as Level 3 within the valuation hierarchy. These borrowings are not actively traded, and therefore, quoted market prices are not available.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20" w:name="page21"/>
    <w:bookmarkEnd w:id="20"/>
    <w:p>
      <w:pPr>
        <w:ind w:right="60" w:firstLine="268"/>
        <w:spacing w:after="0" w:line="270" w:lineRule="auto"/>
        <w:rPr>
          <w:sz w:val="20"/>
          <w:szCs w:val="20"/>
          <w:color w:val="auto"/>
        </w:rPr>
      </w:pPr>
      <w:r>
        <w:rPr>
          <w:rFonts w:ascii="Arial" w:cs="Arial" w:eastAsia="Arial" w:hAnsi="Arial"/>
          <w:sz w:val="15"/>
          <w:szCs w:val="15"/>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20" w:type="dxa"/>
            <w:vAlign w:val="bottom"/>
            <w:gridSpan w:val="2"/>
          </w:tcPr>
          <w:p>
            <w:pPr>
              <w:ind w:left="360"/>
              <w:spacing w:after="0"/>
              <w:rPr>
                <w:sz w:val="20"/>
                <w:szCs w:val="20"/>
                <w:color w:val="auto"/>
              </w:rPr>
            </w:pPr>
            <w:r>
              <w:rPr>
                <w:rFonts w:ascii="Arial" w:cs="Arial" w:eastAsia="Arial" w:hAnsi="Arial"/>
                <w:sz w:val="15"/>
                <w:szCs w:val="15"/>
                <w:b w:val="1"/>
                <w:bCs w:val="1"/>
                <w:color w:val="auto"/>
              </w:rPr>
              <w:t>September 30,</w:t>
            </w:r>
          </w:p>
        </w:tc>
        <w:tc>
          <w:tcPr>
            <w:tcW w:w="164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Life in years</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1.1 to 8.0</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5"/>
                <w:szCs w:val="15"/>
                <w:color w:val="auto"/>
              </w:rPr>
              <w:t>Conditional prepayment rate</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 to 35.5%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tcPr>
          <w:p>
            <w:pPr>
              <w:jc w:val="right"/>
              <w:spacing w:after="0"/>
              <w:rPr>
                <w:sz w:val="20"/>
                <w:szCs w:val="20"/>
                <w:color w:val="auto"/>
              </w:rPr>
            </w:pPr>
            <w:r>
              <w:rPr>
                <w:rFonts w:ascii="Arial" w:cs="Arial" w:eastAsia="Arial" w:hAnsi="Arial"/>
                <w:sz w:val="15"/>
                <w:szCs w:val="15"/>
                <w:color w:val="auto"/>
              </w:rPr>
              <w:t>16.2 %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300" w:firstLine="268"/>
        <w:spacing w:after="0" w:line="259"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MSRs Pledged Liabilities</w:t>
      </w:r>
    </w:p>
    <w:p>
      <w:pPr>
        <w:spacing w:after="0" w:line="95"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These MSR pledged liabilities carried at fair value and classified as Level 3 within the valuation hierarchy. We determine the fair value of the pledged MSR liability consistent with the mid-point of the range of prices provided by third-party valuation experts for the related MSR, considering retained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Significant unobservable assumptions</w:t>
            </w:r>
          </w:p>
        </w:tc>
        <w:tc>
          <w:tcPr>
            <w:tcW w:w="24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prepayment speed</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0" w:type="dxa"/>
            <w:vAlign w:val="bottom"/>
          </w:tcPr>
          <w:p>
            <w:pPr>
              <w:spacing w:after="0"/>
              <w:rPr>
                <w:sz w:val="1"/>
                <w:szCs w:val="1"/>
                <w:color w:val="auto"/>
              </w:rPr>
            </w:pPr>
          </w:p>
        </w:tc>
      </w:tr>
      <w:tr>
        <w:trPr>
          <w:trHeight w:val="189"/>
        </w:trPr>
        <w:tc>
          <w:tcPr>
            <w:tcW w:w="7860" w:type="dxa"/>
            <w:vAlign w:val="bottom"/>
          </w:tcPr>
          <w:p>
            <w:pPr>
              <w:ind w:left="120"/>
              <w:spacing w:after="0"/>
              <w:rPr>
                <w:sz w:val="20"/>
                <w:szCs w:val="20"/>
                <w:color w:val="auto"/>
              </w:rPr>
            </w:pPr>
            <w:r>
              <w:rPr>
                <w:rFonts w:ascii="Arial" w:cs="Arial" w:eastAsia="Arial" w:hAnsi="Arial"/>
                <w:sz w:val="15"/>
                <w:szCs w:val="15"/>
                <w:color w:val="auto"/>
              </w:rPr>
              <w:t>Weighted average delinquency rate</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29.8 %</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discount rate</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0" w:type="dxa"/>
            <w:vAlign w:val="bottom"/>
          </w:tcPr>
          <w:p>
            <w:pPr>
              <w:spacing w:after="0"/>
              <w:rPr>
                <w:sz w:val="1"/>
                <w:szCs w:val="1"/>
                <w:color w:val="auto"/>
              </w:rPr>
            </w:pPr>
          </w:p>
        </w:tc>
      </w:tr>
      <w:tr>
        <w:trPr>
          <w:trHeight w:val="189"/>
        </w:trPr>
        <w:tc>
          <w:tcPr>
            <w:tcW w:w="7860" w:type="dxa"/>
            <w:vAlign w:val="bottom"/>
          </w:tcPr>
          <w:p>
            <w:pPr>
              <w:ind w:left="120"/>
              <w:spacing w:after="0"/>
              <w:rPr>
                <w:sz w:val="20"/>
                <w:szCs w:val="20"/>
                <w:color w:val="auto"/>
              </w:rPr>
            </w:pPr>
            <w:r>
              <w:rPr>
                <w:rFonts w:ascii="Arial" w:cs="Arial" w:eastAsia="Arial" w:hAnsi="Arial"/>
                <w:sz w:val="15"/>
                <w:szCs w:val="15"/>
                <w:color w:val="auto"/>
              </w:rPr>
              <w:t>Weighted average cost to service (in dollars)</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Significant increases or decreases in these assumptions in isolation would result in a significantly higher or lower fair value.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Financial Instruments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rate lock commitments (IRLCs) are classified as Level 3 assets as fallout rates were determined to be significant unobservable assumptions.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5"/>
          <w:szCs w:val="15"/>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9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Loans Held for Sale - Fair Value</w:t>
            </w: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680,866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253,037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208,752</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Originations and purchases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6,366,795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2,429,977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12,987,522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4,378,999</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(6,098,495)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(2,317,579)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(12,362,149)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(4,190,355)</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Principal collections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(22,334)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(39,037)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(21,479)</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Transfers from (to):</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4840" w:type="dxa"/>
            <w:vAlign w:val="bottom"/>
          </w:tcPr>
          <w:p>
            <w:pPr>
              <w:ind w:left="200"/>
              <w:spacing w:after="0"/>
              <w:rPr>
                <w:sz w:val="20"/>
                <w:szCs w:val="20"/>
                <w:color w:val="auto"/>
              </w:rPr>
            </w:pPr>
            <w:r>
              <w:rPr>
                <w:rFonts w:ascii="Arial" w:cs="Arial" w:eastAsia="Arial" w:hAnsi="Arial"/>
                <w:sz w:val="15"/>
                <w:szCs w:val="15"/>
                <w:color w:val="auto"/>
              </w:rPr>
              <w:t>Loans held for investment, at fair value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2,898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1,900</w:t>
            </w:r>
          </w:p>
        </w:tc>
      </w:tr>
      <w:tr>
        <w:trPr>
          <w:trHeight w:val="190"/>
        </w:trPr>
        <w:tc>
          <w:tcPr>
            <w:tcW w:w="4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Receivables, net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(62,949)</w:t>
            </w:r>
          </w:p>
        </w:tc>
      </w:tr>
      <w:tr>
        <w:trPr>
          <w:trHeight w:val="189"/>
        </w:trPr>
        <w:tc>
          <w:tcPr>
            <w:tcW w:w="4840" w:type="dxa"/>
            <w:vAlign w:val="bottom"/>
          </w:tcPr>
          <w:p>
            <w:pPr>
              <w:ind w:left="200"/>
              <w:spacing w:after="0"/>
              <w:rPr>
                <w:sz w:val="20"/>
                <w:szCs w:val="20"/>
                <w:color w:val="auto"/>
              </w:rPr>
            </w:pPr>
            <w:r>
              <w:rPr>
                <w:rFonts w:ascii="Arial" w:cs="Arial" w:eastAsia="Arial" w:hAnsi="Arial"/>
                <w:sz w:val="15"/>
                <w:szCs w:val="15"/>
                <w:color w:val="auto"/>
              </w:rPr>
              <w:t>REO (Other assets)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(5,312)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(2,554)</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(loss) on sale of loans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45,762</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Increase (decrease) in fair value of loans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(5,336)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1,925</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6,965</w:t>
            </w:r>
          </w:p>
        </w:tc>
      </w:tr>
      <w:tr>
        <w:trPr>
          <w:trHeight w:val="181"/>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 xml:space="preserve">Ending balance </w:t>
            </w:r>
            <w:r>
              <w:rPr>
                <w:rFonts w:ascii="Arial" w:cs="Arial" w:eastAsia="Arial" w:hAnsi="Arial"/>
                <w:sz w:val="15"/>
                <w:szCs w:val="15"/>
                <w:color w:val="auto"/>
              </w:rPr>
              <w:t>(1)</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921,621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366,966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921,621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366,966</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At September 30, 2021 and 2020, the balances include $(9.3) million and $(5.8) million, respectively, of fair value adjustments.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88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6"/>
              </w:rPr>
              <w:t>Nine Months Ended September 30,</w:t>
            </w:r>
          </w:p>
        </w:tc>
      </w:tr>
      <w:tr>
        <w:trPr>
          <w:trHeight w:val="192"/>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Loans Held for Sale - Lower of Cost or Fair Value</w:t>
            </w: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 - before Valuation Allowance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73,160</w:t>
            </w:r>
          </w:p>
        </w:tc>
      </w:tr>
      <w:tr>
        <w:trPr>
          <w:trHeight w:val="189"/>
        </w:trPr>
        <w:tc>
          <w:tcPr>
            <w:tcW w:w="4860" w:type="dxa"/>
            <w:vAlign w:val="bottom"/>
          </w:tcPr>
          <w:p>
            <w:pPr>
              <w:ind w:left="120"/>
              <w:spacing w:after="0"/>
              <w:rPr>
                <w:sz w:val="20"/>
                <w:szCs w:val="20"/>
                <w:color w:val="auto"/>
              </w:rPr>
            </w:pPr>
            <w:r>
              <w:rPr>
                <w:rFonts w:ascii="Arial" w:cs="Arial" w:eastAsia="Arial" w:hAnsi="Arial"/>
                <w:sz w:val="15"/>
                <w:szCs w:val="15"/>
                <w:color w:val="auto"/>
              </w:rPr>
              <w:t>Proceeds from sales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(2,916)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(9,583)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(45,974)</w:t>
            </w:r>
          </w:p>
        </w:tc>
      </w:tr>
      <w:tr>
        <w:trPr>
          <w:trHeight w:val="190"/>
        </w:trPr>
        <w:tc>
          <w:tcPr>
            <w:tcW w:w="4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Principal collections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w:t>
            </w:r>
          </w:p>
        </w:tc>
      </w:tr>
      <w:tr>
        <w:trPr>
          <w:trHeight w:val="189"/>
        </w:trPr>
        <w:tc>
          <w:tcPr>
            <w:tcW w:w="4860" w:type="dxa"/>
            <w:vAlign w:val="bottom"/>
          </w:tcPr>
          <w:p>
            <w:pPr>
              <w:ind w:left="120"/>
              <w:spacing w:after="0"/>
              <w:rPr>
                <w:sz w:val="20"/>
                <w:szCs w:val="20"/>
                <w:color w:val="auto"/>
              </w:rPr>
            </w:pPr>
            <w:r>
              <w:rPr>
                <w:rFonts w:ascii="Arial" w:cs="Arial" w:eastAsia="Arial" w:hAnsi="Arial"/>
                <w:sz w:val="15"/>
                <w:szCs w:val="15"/>
                <w:color w:val="auto"/>
              </w:rPr>
              <w:t>Transfers from (to):</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Receivables, net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189"/>
        </w:trPr>
        <w:tc>
          <w:tcPr>
            <w:tcW w:w="4860" w:type="dxa"/>
            <w:vAlign w:val="bottom"/>
          </w:tcPr>
          <w:p>
            <w:pPr>
              <w:ind w:left="120"/>
              <w:spacing w:after="0"/>
              <w:rPr>
                <w:sz w:val="20"/>
                <w:szCs w:val="20"/>
                <w:color w:val="auto"/>
              </w:rPr>
            </w:pPr>
            <w:r>
              <w:rPr>
                <w:rFonts w:ascii="Arial" w:cs="Arial" w:eastAsia="Arial" w:hAnsi="Arial"/>
                <w:sz w:val="15"/>
                <w:szCs w:val="15"/>
                <w:color w:val="auto"/>
              </w:rPr>
              <w:t>Gain (loss) on sale of loans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474</w:t>
            </w:r>
          </w:p>
        </w:tc>
      </w:tr>
      <w:tr>
        <w:trPr>
          <w:trHeight w:val="190"/>
        </w:trPr>
        <w:tc>
          <w:tcPr>
            <w:tcW w:w="4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3,494</w:t>
            </w:r>
          </w:p>
        </w:tc>
      </w:tr>
      <w:tr>
        <w:trPr>
          <w:trHeight w:val="24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Ending balance - before Valuation Allowance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29,896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29,896</w:t>
            </w:r>
          </w:p>
        </w:tc>
      </w:tr>
      <w:tr>
        <w:trPr>
          <w:trHeight w:val="189"/>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Beginning balance - Valuation Allowance</w:t>
            </w:r>
          </w:p>
        </w:tc>
        <w:tc>
          <w:tcPr>
            <w:tcW w:w="260" w:type="dxa"/>
            <w:vAlign w:val="bottom"/>
            <w:tcBorders>
              <w:top w:val="single" w:sz="8" w:color="CCEEFF"/>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(5,124)</w:t>
            </w: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(6,400)</w:t>
            </w: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(6,180)</w:t>
            </w: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(6,643)</w:t>
            </w:r>
          </w:p>
        </w:tc>
      </w:tr>
      <w:tr>
        <w:trPr>
          <w:trHeight w:val="189"/>
        </w:trPr>
        <w:tc>
          <w:tcPr>
            <w:tcW w:w="4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(Provision for) reversal of valuation allowance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w:t>
            </w:r>
          </w:p>
        </w:tc>
      </w:tr>
      <w:tr>
        <w:trPr>
          <w:trHeight w:val="189"/>
        </w:trPr>
        <w:tc>
          <w:tcPr>
            <w:tcW w:w="4860" w:type="dxa"/>
            <w:vAlign w:val="bottom"/>
          </w:tcPr>
          <w:p>
            <w:pPr>
              <w:ind w:left="120"/>
              <w:spacing w:after="0"/>
              <w:rPr>
                <w:sz w:val="20"/>
                <w:szCs w:val="20"/>
                <w:color w:val="auto"/>
              </w:rPr>
            </w:pPr>
            <w:r>
              <w:rPr>
                <w:rFonts w:ascii="Arial" w:cs="Arial" w:eastAsia="Arial" w:hAnsi="Arial"/>
                <w:sz w:val="15"/>
                <w:szCs w:val="15"/>
                <w:color w:val="auto"/>
                <w:w w:val="97"/>
              </w:rPr>
              <w:t>Transfer to (from) Liability for indemnification obligations (Other liabilities)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190"/>
        </w:trPr>
        <w:tc>
          <w:tcPr>
            <w:tcW w:w="4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 of loans</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w:t>
            </w:r>
          </w:p>
        </w:tc>
      </w:tr>
      <w:tr>
        <w:trPr>
          <w:trHeight w:val="18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Ending balance - Valuation Allowance</w:t>
            </w: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(4,582)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(6,231)</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(4,582)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(6,231)</w:t>
            </w:r>
          </w:p>
        </w:tc>
      </w:tr>
      <w:tr>
        <w:trPr>
          <w:trHeight w:val="69"/>
        </w:trPr>
        <w:tc>
          <w:tcPr>
            <w:tcW w:w="48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r>
      <w:tr>
        <w:trPr>
          <w:trHeight w:val="181"/>
        </w:trPr>
        <w:tc>
          <w:tcPr>
            <w:tcW w:w="4860" w:type="dxa"/>
            <w:vAlign w:val="bottom"/>
          </w:tcPr>
          <w:p>
            <w:pPr>
              <w:ind w:left="20"/>
              <w:spacing w:after="0"/>
              <w:rPr>
                <w:sz w:val="20"/>
                <w:szCs w:val="20"/>
                <w:color w:val="auto"/>
              </w:rPr>
            </w:pPr>
            <w:r>
              <w:rPr>
                <w:rFonts w:ascii="Arial" w:cs="Arial" w:eastAsia="Arial" w:hAnsi="Arial"/>
                <w:sz w:val="15"/>
                <w:szCs w:val="15"/>
                <w:b w:val="1"/>
                <w:bCs w:val="1"/>
                <w:color w:val="auto"/>
              </w:rPr>
              <w:t>Ending balance, net</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12,079</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23,665</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97"/>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86"/>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2"/>
        </w:trPr>
        <w:tc>
          <w:tcPr>
            <w:tcW w:w="4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9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Gain on Loans Held for Sale, Net</w:t>
            </w: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48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Gain on sales of loans, net</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MSRs retained on transfers of forward mortgage loans</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66,420</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22,096</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136,482</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37,785</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(loss) on sale of forward mortgage loans (1)</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35,201</w:t>
            </w:r>
          </w:p>
        </w:tc>
      </w:tr>
      <w:tr>
        <w:trPr>
          <w:trHeight w:val="189"/>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Gain on sale of repurchased Ginnie Mae loans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11,036</w:t>
            </w:r>
          </w:p>
        </w:tc>
      </w:tr>
      <w:tr>
        <w:trPr>
          <w:trHeight w:val="181"/>
        </w:trPr>
        <w:tc>
          <w:tcPr>
            <w:tcW w:w="4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84,022</w:t>
            </w: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color w:val="auto"/>
              </w:rPr>
              <w:t>Change in fair value of IRLCs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(9,225)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16,876</w:t>
            </w: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fair value of loans held for sale</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3,367</w:t>
            </w: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color w:val="auto"/>
              </w:rPr>
              <w:t>Loss on economic hedge instruments (2)</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(10,141)</w:t>
            </w: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(1,360)</w:t>
            </w:r>
          </w:p>
        </w:tc>
      </w:tr>
      <w:tr>
        <w:trPr>
          <w:trHeight w:val="181"/>
        </w:trPr>
        <w:tc>
          <w:tcPr>
            <w:tcW w:w="484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59,702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45,886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108,136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92,764</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100" w:hanging="271"/>
        <w:spacing w:after="0" w:line="260" w:lineRule="auto"/>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$22.5 million gain in the three and nine months ended September 30, 2021 related to loans purchased through the exercise of our servicer call rights with respect to certain Non-Agency trusts and sold, servicing release, in the three months ended September 30, 2021.</w:t>
      </w:r>
    </w:p>
    <w:p>
      <w:pPr>
        <w:ind w:left="280" w:right="20" w:hanging="271"/>
        <w:spacing w:after="0" w:line="255" w:lineRule="auto"/>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gains of $1.5 million and $25.5 million on inter-segment economic hedge derivative presented within MSR valuation adjustments, net for the three and nine months ended September 30, 2021, respectively, and a loss of $7.8 million for the three and nine months ended September 30, 2020.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19 – Business Segment Reporting.</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1390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3905" cy="698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5"/>
                <w:szCs w:val="15"/>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2020</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6"/>
              <w:spacing w:after="0" w:line="136" w:lineRule="exact"/>
              <w:rPr>
                <w:sz w:val="20"/>
                <w:szCs w:val="20"/>
                <w:color w:val="auto"/>
              </w:rPr>
            </w:pPr>
            <w:r>
              <w:rPr>
                <w:rFonts w:ascii="Arial" w:cs="Arial" w:eastAsia="Arial" w:hAnsi="Arial"/>
                <w:sz w:val="15"/>
                <w:szCs w:val="15"/>
                <w:b w:val="1"/>
                <w:bCs w:val="1"/>
                <w:color w:val="auto"/>
                <w:w w:val="89"/>
              </w:rPr>
              <w:t>Loans Held for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HMBS - Related</w:t>
            </w:r>
          </w:p>
        </w:tc>
        <w:tc>
          <w:tcPr>
            <w:tcW w:w="120" w:type="dxa"/>
            <w:vAlign w:val="bottom"/>
          </w:tcPr>
          <w:p>
            <w:pPr>
              <w:spacing w:after="0"/>
              <w:rPr>
                <w:sz w:val="11"/>
                <w:szCs w:val="11"/>
                <w:color w:val="auto"/>
              </w:rPr>
            </w:pPr>
          </w:p>
        </w:tc>
        <w:tc>
          <w:tcPr>
            <w:tcW w:w="154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91"/>
              </w:rPr>
              <w:t>Loans Held for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restart"/>
          </w:tcPr>
          <w:p>
            <w:pPr>
              <w:jc w:val="right"/>
              <w:ind w:right="226"/>
              <w:spacing w:after="0"/>
              <w:rPr>
                <w:sz w:val="20"/>
                <w:szCs w:val="20"/>
                <w:color w:val="auto"/>
              </w:rPr>
            </w:pPr>
            <w:r>
              <w:rPr>
                <w:rFonts w:ascii="Arial" w:cs="Arial" w:eastAsia="Arial" w:hAnsi="Arial"/>
                <w:sz w:val="15"/>
                <w:szCs w:val="15"/>
                <w:b w:val="1"/>
                <w:bCs w:val="1"/>
                <w:color w:val="auto"/>
              </w:rPr>
              <w:t>HMBS - Related</w:t>
            </w: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6"/>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Mortgages</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7,112,273</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6,718,992</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(6,477,616)</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494,330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299,628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Securitization of HECM loans accounted for as a financing</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(295,347)</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Additional proceeds from securitization of HECM loans and tails</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(7,751)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(12,407)</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Repayments (principal payments received)</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(449,236)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446,277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(249,372)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247,793</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Transfers to:</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200"/>
              <w:spacing w:after="0"/>
              <w:rPr>
                <w:sz w:val="20"/>
                <w:szCs w:val="20"/>
                <w:color w:val="auto"/>
              </w:rPr>
            </w:pPr>
            <w:r>
              <w:rPr>
                <w:rFonts w:ascii="Arial" w:cs="Arial" w:eastAsia="Arial" w:hAnsi="Arial"/>
                <w:sz w:val="15"/>
                <w:szCs w:val="15"/>
                <w:color w:val="auto"/>
              </w:rPr>
              <w:t>Receivables, net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Change in fair value included in earnings</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(55,216)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55,083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81,396</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(68,966)</w:t>
            </w:r>
          </w:p>
        </w:tc>
        <w:tc>
          <w:tcPr>
            <w:tcW w:w="0" w:type="dxa"/>
            <w:vAlign w:val="bottom"/>
          </w:tcPr>
          <w:p>
            <w:pPr>
              <w:spacing w:after="0"/>
              <w:rPr>
                <w:sz w:val="1"/>
                <w:szCs w:val="1"/>
                <w:color w:val="auto"/>
              </w:rPr>
            </w:pPr>
          </w:p>
        </w:tc>
      </w:tr>
      <w:tr>
        <w:trPr>
          <w:trHeight w:val="201"/>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7,100,726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(6,782,564)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6,849,930</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(6,606,543)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120"/>
              <w:spacing w:after="0"/>
              <w:rPr>
                <w:sz w:val="20"/>
                <w:szCs w:val="20"/>
                <w:color w:val="auto"/>
              </w:rPr>
            </w:pPr>
            <w:r>
              <w:rPr>
                <w:rFonts w:ascii="Arial" w:cs="Arial" w:eastAsia="Arial" w:hAnsi="Arial"/>
                <w:sz w:val="15"/>
                <w:szCs w:val="15"/>
                <w:color w:val="auto"/>
              </w:rPr>
              <w:t>Securitized loans (pledged to HMBS-Related Borrowings)</w:t>
            </w: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40" w:type="dxa"/>
            <w:vAlign w:val="bottom"/>
            <w:vMerge w:val="continue"/>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line="154" w:lineRule="exact"/>
              <w:rPr>
                <w:sz w:val="20"/>
                <w:szCs w:val="20"/>
                <w:color w:val="auto"/>
              </w:rPr>
            </w:pPr>
            <w:r>
              <w:rPr>
                <w:rFonts w:ascii="Arial" w:cs="Arial" w:eastAsia="Arial" w:hAnsi="Arial"/>
                <w:sz w:val="15"/>
                <w:szCs w:val="15"/>
                <w:color w:val="auto"/>
              </w:rPr>
              <w:t>6,874,025</w:t>
            </w:r>
          </w:p>
        </w:tc>
        <w:tc>
          <w:tcPr>
            <w:tcW w:w="280" w:type="dxa"/>
            <w:vAlign w:val="bottom"/>
            <w:gridSpan w:val="2"/>
          </w:tcPr>
          <w:p>
            <w:pPr>
              <w:jc w:val="right"/>
              <w:ind w:right="46"/>
              <w:spacing w:after="0" w:line="154"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4" w:lineRule="exact"/>
              <w:rPr>
                <w:sz w:val="20"/>
                <w:szCs w:val="20"/>
                <w:color w:val="auto"/>
              </w:rPr>
            </w:pPr>
            <w:r>
              <w:rPr>
                <w:rFonts w:ascii="Arial" w:cs="Arial" w:eastAsia="Arial" w:hAnsi="Arial"/>
                <w:sz w:val="15"/>
                <w:szCs w:val="15"/>
                <w:color w:val="auto"/>
              </w:rPr>
              <w:t>(6,782,564)</w:t>
            </w:r>
          </w:p>
        </w:tc>
        <w:tc>
          <w:tcPr>
            <w:tcW w:w="8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line="154" w:lineRule="exact"/>
              <w:rPr>
                <w:sz w:val="20"/>
                <w:szCs w:val="20"/>
                <w:color w:val="auto"/>
              </w:rPr>
            </w:pPr>
            <w:r>
              <w:rPr>
                <w:rFonts w:ascii="Arial" w:cs="Arial" w:eastAsia="Arial" w:hAnsi="Arial"/>
                <w:sz w:val="15"/>
                <w:szCs w:val="15"/>
                <w:color w:val="auto"/>
              </w:rPr>
              <w:t>6,715,093</w:t>
            </w:r>
          </w:p>
        </w:tc>
        <w:tc>
          <w:tcPr>
            <w:tcW w:w="280" w:type="dxa"/>
            <w:vAlign w:val="bottom"/>
            <w:gridSpan w:val="2"/>
          </w:tcPr>
          <w:p>
            <w:pPr>
              <w:jc w:val="right"/>
              <w:ind w:right="46"/>
              <w:spacing w:after="0" w:line="154"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4" w:lineRule="exact"/>
              <w:rPr>
                <w:sz w:val="20"/>
                <w:szCs w:val="20"/>
                <w:color w:val="auto"/>
              </w:rPr>
            </w:pPr>
            <w:r>
              <w:rPr>
                <w:rFonts w:ascii="Arial" w:cs="Arial" w:eastAsia="Arial" w:hAnsi="Arial"/>
                <w:sz w:val="15"/>
                <w:szCs w:val="15"/>
                <w:color w:val="auto"/>
              </w:rPr>
              <w:t>(6,606,543)</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Unsecuritized loans</w:t>
            </w: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226,701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134,837</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440" w:type="dxa"/>
            <w:vAlign w:val="bottom"/>
          </w:tcPr>
          <w:p>
            <w:pPr>
              <w:ind w:left="20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7,100,726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6,849,930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306"/>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994"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Nine Months Ended September 30,</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2020</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6"/>
              <w:spacing w:after="0" w:line="136" w:lineRule="exact"/>
              <w:rPr>
                <w:sz w:val="20"/>
                <w:szCs w:val="20"/>
                <w:color w:val="auto"/>
              </w:rPr>
            </w:pPr>
            <w:r>
              <w:rPr>
                <w:rFonts w:ascii="Arial" w:cs="Arial" w:eastAsia="Arial" w:hAnsi="Arial"/>
                <w:sz w:val="15"/>
                <w:szCs w:val="15"/>
                <w:b w:val="1"/>
                <w:bCs w:val="1"/>
                <w:color w:val="auto"/>
                <w:w w:val="89"/>
              </w:rPr>
              <w:t>Loans Held for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HMBS - Related</w:t>
            </w:r>
          </w:p>
        </w:tc>
        <w:tc>
          <w:tcPr>
            <w:tcW w:w="120" w:type="dxa"/>
            <w:vAlign w:val="bottom"/>
          </w:tcPr>
          <w:p>
            <w:pPr>
              <w:spacing w:after="0"/>
              <w:rPr>
                <w:sz w:val="11"/>
                <w:szCs w:val="11"/>
                <w:color w:val="auto"/>
              </w:rPr>
            </w:pPr>
          </w:p>
        </w:tc>
        <w:tc>
          <w:tcPr>
            <w:tcW w:w="154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91"/>
              </w:rPr>
              <w:t>Loans Held for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restart"/>
          </w:tcPr>
          <w:p>
            <w:pPr>
              <w:jc w:val="right"/>
              <w:ind w:right="226"/>
              <w:spacing w:after="0"/>
              <w:rPr>
                <w:sz w:val="20"/>
                <w:szCs w:val="20"/>
                <w:color w:val="auto"/>
              </w:rPr>
            </w:pPr>
            <w:r>
              <w:rPr>
                <w:rFonts w:ascii="Arial" w:cs="Arial" w:eastAsia="Arial" w:hAnsi="Arial"/>
                <w:sz w:val="15"/>
                <w:szCs w:val="15"/>
                <w:b w:val="1"/>
                <w:bCs w:val="1"/>
                <w:color w:val="auto"/>
              </w:rPr>
              <w:t>HMBS - Related</w:t>
            </w: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6"/>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Mortgages</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6,997,127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6,269,596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(6,063,435)</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Cumulative effect of fair value election (1)</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47,038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Originations</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1,214,772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867,702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440" w:type="dxa"/>
            <w:vAlign w:val="bottom"/>
          </w:tcPr>
          <w:p>
            <w:pPr>
              <w:ind w:left="120"/>
              <w:spacing w:after="0" w:line="146" w:lineRule="exact"/>
              <w:rPr>
                <w:sz w:val="20"/>
                <w:szCs w:val="20"/>
                <w:color w:val="auto"/>
              </w:rPr>
            </w:pPr>
            <w:r>
              <w:rPr>
                <w:rFonts w:ascii="Arial" w:cs="Arial" w:eastAsia="Arial" w:hAnsi="Arial"/>
                <w:sz w:val="15"/>
                <w:szCs w:val="15"/>
                <w:color w:val="auto"/>
              </w:rPr>
              <w:t>Securitization of HECM loans accounted for as a financing (incl.</w:t>
            </w:r>
          </w:p>
        </w:tc>
        <w:tc>
          <w:tcPr>
            <w:tcW w:w="1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(1,119,742)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(885,987)</w:t>
            </w:r>
          </w:p>
        </w:tc>
        <w:tc>
          <w:tcPr>
            <w:tcW w:w="0" w:type="dxa"/>
            <w:vAlign w:val="bottom"/>
          </w:tcPr>
          <w:p>
            <w:pPr>
              <w:spacing w:after="0"/>
              <w:rPr>
                <w:sz w:val="1"/>
                <w:szCs w:val="1"/>
                <w:color w:val="auto"/>
              </w:rPr>
            </w:pPr>
          </w:p>
        </w:tc>
      </w:tr>
      <w:tr>
        <w:trPr>
          <w:trHeight w:val="189"/>
        </w:trPr>
        <w:tc>
          <w:tcPr>
            <w:tcW w:w="4440" w:type="dxa"/>
            <w:vAlign w:val="bottom"/>
          </w:tcPr>
          <w:p>
            <w:pPr>
              <w:ind w:left="240"/>
              <w:spacing w:after="0"/>
              <w:rPr>
                <w:sz w:val="20"/>
                <w:szCs w:val="20"/>
                <w:color w:val="auto"/>
              </w:rPr>
            </w:pPr>
            <w:r>
              <w:rPr>
                <w:rFonts w:ascii="Arial" w:cs="Arial" w:eastAsia="Arial" w:hAnsi="Arial"/>
                <w:sz w:val="15"/>
                <w:szCs w:val="15"/>
                <w:color w:val="auto"/>
              </w:rPr>
              <w:t>realized fair value changes)</w:t>
            </w: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proceeds from securitization of HECM loans and tails</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(28,572)</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Repayments (principal payments received)</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(1,170,245)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1,161,609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(619,486)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613,026</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Transfers to:</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(1,900)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Receivables, net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200"/>
              <w:spacing w:after="0"/>
              <w:rPr>
                <w:sz w:val="20"/>
                <w:szCs w:val="20"/>
                <w:color w:val="auto"/>
              </w:rPr>
            </w:pPr>
            <w:r>
              <w:rPr>
                <w:rFonts w:ascii="Arial" w:cs="Arial" w:eastAsia="Arial" w:hAnsi="Arial"/>
                <w:sz w:val="15"/>
                <w:szCs w:val="15"/>
                <w:color w:val="auto"/>
              </w:rPr>
              <w:t>REO (Other assets)</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 in fair value</w:t>
            </w: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62,455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(16,802)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287,564</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(241,575)</w:t>
            </w:r>
          </w:p>
        </w:tc>
        <w:tc>
          <w:tcPr>
            <w:tcW w:w="0" w:type="dxa"/>
            <w:vAlign w:val="bottom"/>
          </w:tcPr>
          <w:p>
            <w:pPr>
              <w:spacing w:after="0"/>
              <w:rPr>
                <w:sz w:val="1"/>
                <w:szCs w:val="1"/>
                <w:color w:val="auto"/>
              </w:rPr>
            </w:pPr>
          </w:p>
        </w:tc>
      </w:tr>
      <w:tr>
        <w:trPr>
          <w:trHeight w:val="181"/>
        </w:trPr>
        <w:tc>
          <w:tcPr>
            <w:tcW w:w="444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7,100,726</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(6,782,564)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6,849,930</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(6,606,543)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6,874,025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(6,782,564)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6,715,093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(6,606,543)</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Unsecuritized</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226,701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134,837</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7,100,726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6,849,930</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80" w:right="320" w:hanging="271"/>
        <w:spacing w:after="0" w:line="285" w:lineRule="auto"/>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ind w:left="20"/>
              <w:spacing w:after="0"/>
              <w:rPr>
                <w:sz w:val="20"/>
                <w:szCs w:val="20"/>
                <w:color w:val="auto"/>
              </w:rPr>
            </w:pPr>
            <w:r>
              <w:rPr>
                <w:rFonts w:ascii="Arial" w:cs="Arial" w:eastAsia="Arial" w:hAnsi="Arial"/>
                <w:sz w:val="15"/>
                <w:szCs w:val="15"/>
                <w:b w:val="1"/>
                <w:bCs w:val="1"/>
                <w:color w:val="auto"/>
              </w:rPr>
              <w:t>Reverse Mortgage Revenue, net</w:t>
            </w: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88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6"/>
              </w:rPr>
              <w:t>Nine Months Ended September 30,</w:t>
            </w:r>
          </w:p>
        </w:tc>
        <w:tc>
          <w:tcPr>
            <w:tcW w:w="0" w:type="dxa"/>
            <w:vAlign w:val="bottom"/>
          </w:tcPr>
          <w:p>
            <w:pPr>
              <w:spacing w:after="0"/>
              <w:rPr>
                <w:sz w:val="1"/>
                <w:szCs w:val="1"/>
                <w:color w:val="auto"/>
              </w:rPr>
            </w:pPr>
          </w:p>
        </w:tc>
      </w:tr>
      <w:tr>
        <w:trPr>
          <w:trHeight w:val="181"/>
        </w:trPr>
        <w:tc>
          <w:tcPr>
            <w:tcW w:w="48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Gain on new originations (1)</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33,156</w:t>
            </w:r>
          </w:p>
        </w:tc>
        <w:tc>
          <w:tcPr>
            <w:tcW w:w="0" w:type="dxa"/>
            <w:vAlign w:val="bottom"/>
          </w:tcPr>
          <w:p>
            <w:pPr>
              <w:spacing w:after="0"/>
              <w:rPr>
                <w:sz w:val="1"/>
                <w:szCs w:val="1"/>
                <w:color w:val="auto"/>
              </w:rPr>
            </w:pPr>
          </w:p>
        </w:tc>
      </w:tr>
      <w:tr>
        <w:trPr>
          <w:trHeight w:val="145"/>
        </w:trPr>
        <w:tc>
          <w:tcPr>
            <w:tcW w:w="4860" w:type="dxa"/>
            <w:vAlign w:val="bottom"/>
          </w:tcPr>
          <w:p>
            <w:pPr>
              <w:ind w:left="20"/>
              <w:spacing w:after="0" w:line="146" w:lineRule="exact"/>
              <w:rPr>
                <w:sz w:val="20"/>
                <w:szCs w:val="20"/>
                <w:color w:val="auto"/>
              </w:rPr>
            </w:pPr>
            <w:r>
              <w:rPr>
                <w:rFonts w:ascii="Arial" w:cs="Arial" w:eastAsia="Arial" w:hAnsi="Arial"/>
                <w:sz w:val="15"/>
                <w:szCs w:val="15"/>
                <w:color w:val="auto"/>
                <w:w w:val="91"/>
              </w:rPr>
              <w:t>Change in fair value of securitized loans held for investment and HMBS-related</w:t>
            </w: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(13,033)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(517)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12,833</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borrowings, net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200"/>
              <w:spacing w:after="0" w:line="169" w:lineRule="exact"/>
              <w:rPr>
                <w:sz w:val="20"/>
                <w:szCs w:val="20"/>
                <w:color w:val="auto"/>
              </w:rPr>
            </w:pPr>
            <w:r>
              <w:rPr>
                <w:rFonts w:ascii="Arial" w:cs="Arial" w:eastAsia="Arial" w:hAnsi="Arial"/>
                <w:sz w:val="15"/>
                <w:szCs w:val="15"/>
                <w:color w:val="auto"/>
              </w:rPr>
              <w:t>Change in fair value included in earnings, net</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45,989</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Loan fees and other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5,066</w:t>
            </w:r>
          </w:p>
        </w:tc>
        <w:tc>
          <w:tcPr>
            <w:tcW w:w="0" w:type="dxa"/>
            <w:vAlign w:val="bottom"/>
          </w:tcPr>
          <w:p>
            <w:pPr>
              <w:spacing w:after="0"/>
              <w:rPr>
                <w:sz w:val="1"/>
                <w:szCs w:val="1"/>
                <w:color w:val="auto"/>
              </w:rPr>
            </w:pPr>
          </w:p>
        </w:tc>
      </w:tr>
      <w:tr>
        <w:trPr>
          <w:trHeight w:val="206"/>
        </w:trPr>
        <w:tc>
          <w:tcPr>
            <w:tcW w:w="4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56,162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51,055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the changes in fair value of newly originated loans held for investment in the period through securitization date.</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89"/>
              </w:rPr>
              <w:t>September 30, 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and interest</w:t>
            </w: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5"/>
                <w:szCs w:val="15"/>
                <w:color w:val="auto"/>
              </w:rPr>
              <w:t>Taxes and insurance</w:t>
            </w:r>
          </w:p>
        </w:tc>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331,013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364,593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Foreclosures, bankruptcy, REO and other</w:t>
            </w:r>
          </w:p>
        </w:tc>
        <w:tc>
          <w:tcPr>
            <w:tcW w:w="40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177,189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746,273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834,512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Allowance for losses</w:t>
            </w:r>
          </w:p>
        </w:tc>
        <w:tc>
          <w:tcPr>
            <w:tcW w:w="40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20" w:type="dxa"/>
            <w:vAlign w:val="bottom"/>
          </w:tcPr>
          <w:p>
            <w:pPr>
              <w:ind w:left="20"/>
              <w:spacing w:after="0"/>
              <w:rPr>
                <w:sz w:val="20"/>
                <w:szCs w:val="20"/>
                <w:color w:val="auto"/>
              </w:rPr>
            </w:pPr>
            <w:r>
              <w:rPr>
                <w:rFonts w:ascii="Arial" w:cs="Arial" w:eastAsia="Arial" w:hAnsi="Arial"/>
                <w:sz w:val="15"/>
                <w:szCs w:val="15"/>
                <w:color w:val="auto"/>
              </w:rPr>
              <w:t>Advances, net</w:t>
            </w:r>
          </w:p>
        </w:tc>
        <w:tc>
          <w:tcPr>
            <w:tcW w:w="4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739,596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828,239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40" w:type="dxa"/>
            <w:vAlign w:val="bottom"/>
            <w:vMerge w:val="restart"/>
          </w:tcPr>
          <w:p>
            <w:pPr>
              <w:jc w:val="right"/>
              <w:ind w:right="2266"/>
              <w:spacing w:after="0"/>
              <w:rPr>
                <w:sz w:val="20"/>
                <w:szCs w:val="20"/>
                <w:color w:val="auto"/>
              </w:rPr>
            </w:pPr>
            <w:r>
              <w:rPr>
                <w:rFonts w:ascii="Arial" w:cs="Arial" w:eastAsia="Arial" w:hAnsi="Arial"/>
                <w:sz w:val="15"/>
                <w:szCs w:val="15"/>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40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94"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8"/>
        </w:trPr>
        <w:tc>
          <w:tcPr>
            <w:tcW w:w="4880" w:type="dxa"/>
            <w:vAlign w:val="bottom"/>
          </w:tcPr>
          <w:p>
            <w:pPr>
              <w:ind w:left="280"/>
              <w:spacing w:after="0"/>
              <w:rPr>
                <w:sz w:val="20"/>
                <w:szCs w:val="20"/>
                <w:color w:val="auto"/>
              </w:rPr>
            </w:pPr>
            <w:r>
              <w:rPr>
                <w:rFonts w:ascii="Arial" w:cs="Arial" w:eastAsia="Arial" w:hAnsi="Arial"/>
                <w:sz w:val="15"/>
                <w:szCs w:val="15"/>
                <w:color w:val="auto"/>
              </w:rPr>
              <w:t>The following table summarizes the activity in net advances: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90"/>
        </w:trPr>
        <w:tc>
          <w:tcPr>
            <w:tcW w:w="4880" w:type="dxa"/>
            <w:vAlign w:val="bottom"/>
          </w:tcPr>
          <w:p>
            <w:pPr>
              <w:spacing w:after="0"/>
              <w:rPr>
                <w:sz w:val="24"/>
                <w:szCs w:val="24"/>
                <w:color w:val="auto"/>
              </w:rPr>
            </w:pPr>
          </w:p>
        </w:tc>
        <w:tc>
          <w:tcPr>
            <w:tcW w:w="3220" w:type="dxa"/>
            <w:vAlign w:val="bottom"/>
            <w:gridSpan w:val="6"/>
          </w:tcPr>
          <w:p>
            <w:pPr>
              <w:ind w:left="42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24"/>
                <w:szCs w:val="24"/>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81"/>
        </w:trPr>
        <w:tc>
          <w:tcPr>
            <w:tcW w:w="48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 - before Allowance for Losses</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768,864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908,829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834,512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1,066,448</w:t>
            </w:r>
          </w:p>
        </w:tc>
      </w:tr>
      <w:tr>
        <w:trPr>
          <w:trHeight w:val="189"/>
        </w:trPr>
        <w:tc>
          <w:tcPr>
            <w:tcW w:w="4880" w:type="dxa"/>
            <w:vAlign w:val="bottom"/>
          </w:tcPr>
          <w:p>
            <w:pPr>
              <w:ind w:left="120"/>
              <w:spacing w:after="0"/>
              <w:rPr>
                <w:sz w:val="20"/>
                <w:szCs w:val="20"/>
                <w:color w:val="auto"/>
              </w:rPr>
            </w:pPr>
            <w:r>
              <w:rPr>
                <w:rFonts w:ascii="Arial" w:cs="Arial" w:eastAsia="Arial" w:hAnsi="Arial"/>
                <w:sz w:val="15"/>
                <w:szCs w:val="15"/>
                <w:color w:val="auto"/>
              </w:rPr>
              <w:t>Acquisition of advances in connection with the purchase of MSRs</w:t>
            </w:r>
          </w:p>
        </w:tc>
        <w:tc>
          <w:tcPr>
            <w:tcW w:w="9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90"/>
        </w:trPr>
        <w:tc>
          <w:tcPr>
            <w:tcW w:w="4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New advances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181,567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198,549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565,284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667,577</w:t>
            </w:r>
          </w:p>
        </w:tc>
      </w:tr>
      <w:tr>
        <w:trPr>
          <w:trHeight w:val="189"/>
        </w:trPr>
        <w:tc>
          <w:tcPr>
            <w:tcW w:w="4880" w:type="dxa"/>
            <w:vAlign w:val="bottom"/>
          </w:tcPr>
          <w:p>
            <w:pPr>
              <w:ind w:left="120"/>
              <w:spacing w:after="0"/>
              <w:rPr>
                <w:sz w:val="20"/>
                <w:szCs w:val="20"/>
                <w:color w:val="auto"/>
              </w:rPr>
            </w:pPr>
            <w:r>
              <w:rPr>
                <w:rFonts w:ascii="Arial" w:cs="Arial" w:eastAsia="Arial" w:hAnsi="Arial"/>
                <w:sz w:val="15"/>
                <w:szCs w:val="15"/>
                <w:color w:val="auto"/>
              </w:rPr>
              <w:t>Sales of advances</w:t>
            </w: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(604)</w:t>
            </w:r>
          </w:p>
        </w:tc>
      </w:tr>
      <w:tr>
        <w:trPr>
          <w:trHeight w:val="190"/>
        </w:trPr>
        <w:tc>
          <w:tcPr>
            <w:tcW w:w="4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Collections of advances and other</w:t>
            </w: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(204,078)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(268,560)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(657,690)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(894,753)</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Ending balance - before Allowance for Losses</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746,273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838,682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746,273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838,682</w:t>
            </w:r>
          </w:p>
        </w:tc>
      </w:tr>
      <w:tr>
        <w:trPr>
          <w:trHeight w:val="69"/>
        </w:trPr>
        <w:tc>
          <w:tcPr>
            <w:tcW w:w="48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Beginning balance - Allowance for Losses</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(6,891)</w:t>
            </w:r>
          </w:p>
        </w:tc>
        <w:tc>
          <w:tcPr>
            <w:tcW w:w="8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(7,820)</w:t>
            </w:r>
          </w:p>
        </w:tc>
        <w:tc>
          <w:tcPr>
            <w:tcW w:w="8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(6,273)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(9,925)</w:t>
            </w:r>
          </w:p>
        </w:tc>
      </w:tr>
      <w:tr>
        <w:trPr>
          <w:trHeight w:val="189"/>
        </w:trPr>
        <w:tc>
          <w:tcPr>
            <w:tcW w:w="4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Provision</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(5,944)</w:t>
            </w:r>
          </w:p>
        </w:tc>
      </w:tr>
      <w:tr>
        <w:trPr>
          <w:trHeight w:val="189"/>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charge-offs and other</w:t>
            </w: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9,791</w:t>
            </w:r>
          </w:p>
        </w:tc>
      </w:tr>
      <w:tr>
        <w:trPr>
          <w:trHeight w:val="181"/>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 - Allowance for Losses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(6,078)</w:t>
            </w:r>
          </w:p>
        </w:tc>
      </w:tr>
      <w:tr>
        <w:trPr>
          <w:trHeight w:val="103"/>
        </w:trPr>
        <w:tc>
          <w:tcPr>
            <w:tcW w:w="488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20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 net</w:t>
            </w: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739,596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832,604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739,596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832,604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11"/>
        </w:trPr>
        <w:tc>
          <w:tcPr>
            <w:tcW w:w="488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2"/>
        </w:trPr>
        <w:tc>
          <w:tcPr>
            <w:tcW w:w="48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25" w:name="page26"/>
    <w:bookmarkEnd w:id="25"/>
    <w:p>
      <w:pPr>
        <w:ind w:left="11"/>
        <w:spacing w:after="0"/>
        <w:rPr>
          <w:sz w:val="20"/>
          <w:szCs w:val="20"/>
          <w:color w:val="auto"/>
        </w:rPr>
      </w:pPr>
      <w:r>
        <w:rPr>
          <w:rFonts w:ascii="Arial" w:cs="Arial" w:eastAsia="Arial" w:hAnsi="Arial"/>
          <w:sz w:val="15"/>
          <w:szCs w:val="15"/>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309" w:lineRule="exact"/>
        <w:rPr>
          <w:sz w:val="20"/>
          <w:szCs w:val="20"/>
          <w:color w:val="auto"/>
        </w:rPr>
      </w:pPr>
    </w:p>
    <w:tbl>
      <w:tblPr>
        <w:tblLayout w:type="fixed"/>
        <w:tblInd w:w="31"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720" w:type="dxa"/>
            <w:vAlign w:val="bottom"/>
            <w:vMerge w:val="restart"/>
          </w:tcPr>
          <w:p>
            <w:pPr>
              <w:spacing w:after="0"/>
              <w:rPr>
                <w:sz w:val="20"/>
                <w:szCs w:val="20"/>
                <w:color w:val="auto"/>
              </w:rPr>
            </w:pPr>
            <w:r>
              <w:rPr>
                <w:rFonts w:ascii="Arial" w:cs="Arial" w:eastAsia="Arial" w:hAnsi="Arial"/>
                <w:sz w:val="15"/>
                <w:szCs w:val="15"/>
                <w:b w:val="1"/>
                <w:bCs w:val="1"/>
                <w:color w:val="auto"/>
              </w:rPr>
              <w:t>MSRs – At Fair Value</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5"/>
                <w:szCs w:val="15"/>
                <w:b w:val="1"/>
                <w:bCs w:val="1"/>
                <w:color w:val="auto"/>
                <w:w w:val="90"/>
              </w:rPr>
              <w:t>Three Months Ended September 30,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right"/>
              <w:ind w:right="446"/>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right"/>
              <w:ind w:right="44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140"/>
              <w:spacing w:after="0"/>
              <w:rPr>
                <w:sz w:val="20"/>
                <w:szCs w:val="20"/>
                <w:color w:val="auto"/>
              </w:rPr>
            </w:pPr>
            <w:r>
              <w:rPr>
                <w:rFonts w:ascii="Arial" w:cs="Arial" w:eastAsia="Arial" w:hAnsi="Arial"/>
                <w:sz w:val="15"/>
                <w:szCs w:val="15"/>
                <w:b w:val="1"/>
                <w:bCs w:val="1"/>
                <w:color w:val="auto"/>
              </w:rPr>
              <w:t>Agency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b w:val="1"/>
                <w:bCs w:val="1"/>
                <w:color w:val="auto"/>
              </w:rPr>
              <w:t>Non-Agency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6"/>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160"/>
              <w:spacing w:after="0"/>
              <w:rPr>
                <w:sz w:val="20"/>
                <w:szCs w:val="20"/>
                <w:color w:val="auto"/>
              </w:rPr>
            </w:pPr>
            <w:r>
              <w:rPr>
                <w:rFonts w:ascii="Arial" w:cs="Arial" w:eastAsia="Arial" w:hAnsi="Arial"/>
                <w:sz w:val="15"/>
                <w:szCs w:val="15"/>
                <w:b w:val="1"/>
                <w:bCs w:val="1"/>
                <w:color w:val="auto"/>
              </w:rPr>
              <w:t>Agency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Non-Agency</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26"/>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1,408,420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664,098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2,072,518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305,085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739,829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1,044,914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5"/>
                <w:szCs w:val="15"/>
                <w:color w:val="auto"/>
              </w:rPr>
              <w:t>Sales and other transfers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Additions: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rPr>
              <w:t>Recognized on the sale of residential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66,420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66,420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22,096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ind w:left="240"/>
              <w:spacing w:after="0"/>
              <w:rPr>
                <w:sz w:val="20"/>
                <w:szCs w:val="20"/>
                <w:color w:val="auto"/>
              </w:rPr>
            </w:pPr>
            <w:r>
              <w:rPr>
                <w:rFonts w:ascii="Arial" w:cs="Arial" w:eastAsia="Arial" w:hAnsi="Arial"/>
                <w:sz w:val="15"/>
                <w:szCs w:val="15"/>
                <w:color w:val="auto"/>
              </w:rPr>
              <w:t>mortgage loans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of MSRs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36,153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36,153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5"/>
                <w:szCs w:val="15"/>
                <w:color w:val="auto"/>
              </w:rPr>
              <w:t>Servicing transfers and adjustments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w w:val="89"/>
              </w:rPr>
              <w:t>Changes in valuation inputs or assumptions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6,983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67,836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74,819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(4,731)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13,496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ind w:left="26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Realization of expected cash flows (2)</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(38,186)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(30,758)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(68,944)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(15,051)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1,479,807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696,453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2,176,260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339,664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729,349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MSRs – At Fair Value</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5"/>
                <w:szCs w:val="15"/>
                <w:b w:val="1"/>
                <w:bCs w:val="1"/>
                <w:color w:val="auto"/>
                <w:w w:val="94"/>
              </w:rPr>
              <w:t>Nine Months Ended September 30,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right"/>
              <w:ind w:right="42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rPr>
              <w:t>Agency</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w w:val="99"/>
              </w:rPr>
              <w:t>Non-Agency</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Agency</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Non-Agency</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Total</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578,957</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715,860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1,294,817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714,006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772,389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1,486,395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Sales and other transfers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rPr>
              <w:t>Recognized on the sale of residential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136,482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136,482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37,785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37,785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ind w:left="220"/>
              <w:spacing w:after="0"/>
              <w:rPr>
                <w:sz w:val="20"/>
                <w:szCs w:val="20"/>
                <w:color w:val="auto"/>
              </w:rPr>
            </w:pPr>
            <w:r>
              <w:rPr>
                <w:rFonts w:ascii="Arial" w:cs="Arial" w:eastAsia="Arial" w:hAnsi="Arial"/>
                <w:sz w:val="15"/>
                <w:szCs w:val="15"/>
                <w:color w:val="auto"/>
              </w:rPr>
              <w:t>mortgage loans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of MSRs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806,469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806,469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78,994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Servicing transfers and adjustments (1)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73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(6,913)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(6,840)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(263,830)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(263,427)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Changes in fair value: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w w:val="89"/>
              </w:rPr>
              <w:t>Changes in valuation inputs or assumptions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47,132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73,306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120,438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(166,546)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23,839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(142,707)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ind w:left="24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Realization of expected cash flows (2)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(89,306)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(85,800)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(175,106)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(60,745)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(67,174)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(127,919)</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1,479,807</w:t>
            </w:r>
          </w:p>
        </w:tc>
        <w:tc>
          <w:tcPr>
            <w:tcW w:w="4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696,453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2,176,260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339,664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729,349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1,069,013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71" w:right="80" w:hanging="271"/>
        <w:spacing w:after="0" w:line="260" w:lineRule="auto"/>
        <w:tabs>
          <w:tab w:leader="none" w:pos="271"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Servicing transfers and adjustments include a $263.7 million derecognition of MSRs effective with the February 20, 2020 notice of termination of the subservicing agreement between NRZ and PMC. See Note 8 — MSR Transfers Not Qualifying for Sale Accounting for further information.</w:t>
      </w:r>
    </w:p>
    <w:p>
      <w:pPr>
        <w:ind w:left="271" w:right="40" w:hanging="271"/>
        <w:spacing w:after="0" w:line="258" w:lineRule="auto"/>
        <w:tabs>
          <w:tab w:leader="none" w:pos="271" w:val="left"/>
        </w:tabs>
        <w:numPr>
          <w:ilvl w:val="0"/>
          <w:numId w:val="10"/>
        </w:numPr>
        <w:rPr>
          <w:rFonts w:ascii="Arial" w:cs="Arial" w:eastAsia="Arial" w:hAnsi="Arial"/>
          <w:sz w:val="13"/>
          <w:szCs w:val="13"/>
          <w:color w:val="auto"/>
        </w:rPr>
      </w:pPr>
      <w:r>
        <w:rPr>
          <w:rFonts w:ascii="Arial" w:cs="Arial" w:eastAsia="Arial" w:hAnsi="Arial"/>
          <w:sz w:val="13"/>
          <w:szCs w:val="13"/>
          <w:color w:val="auto"/>
        </w:rPr>
        <w:t>Effective January 1, 2021, changes in fair value due to actual vs. model variances are presented as Changes in valuation inputs or assumptions. Activity for the three and nine months ended September 30, 2020 in the table above has been recast to conform to current year disclosure, resulting in a $9.1 million and $4.0 million gain, respectively, reclassified from Realization of expected cash flows to Changes in valuation inputs or assumptions.</w:t>
      </w:r>
    </w:p>
    <w:p>
      <w:pPr>
        <w:spacing w:after="0" w:line="200" w:lineRule="exact"/>
        <w:rPr>
          <w:sz w:val="20"/>
          <w:szCs w:val="20"/>
          <w:color w:val="auto"/>
        </w:rPr>
      </w:pPr>
    </w:p>
    <w:p>
      <w:pPr>
        <w:spacing w:after="0" w:line="318"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8185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51"/>
          </w:cols>
          <w:pgMar w:left="309" w:top="107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20"/>
                <w:szCs w:val="20"/>
                <w:color w:val="auto"/>
              </w:rPr>
            </w:pPr>
            <w:r>
              <w:rPr>
                <w:rFonts w:ascii="Arial" w:cs="Arial" w:eastAsia="Arial" w:hAnsi="Arial"/>
                <w:sz w:val="15"/>
                <w:szCs w:val="15"/>
                <w:b w:val="1"/>
                <w:bCs w:val="1"/>
                <w:color w:val="auto"/>
              </w:rPr>
              <w:t>MSR UPB</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7"/>
        </w:trPr>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22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120" w:type="dxa"/>
            <w:vAlign w:val="bottom"/>
          </w:tcPr>
          <w:p>
            <w:pPr>
              <w:spacing w:after="0"/>
              <w:rPr>
                <w:sz w:val="22"/>
                <w:szCs w:val="22"/>
                <w:color w:val="auto"/>
              </w:rPr>
            </w:pPr>
          </w:p>
        </w:tc>
        <w:tc>
          <w:tcPr>
            <w:tcW w:w="142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September 30, 2020</w:t>
            </w:r>
          </w:p>
        </w:tc>
      </w:tr>
      <w:tr>
        <w:trPr>
          <w:trHeight w:val="181"/>
        </w:trPr>
        <w:tc>
          <w:tcPr>
            <w:tcW w:w="4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Owned MSRs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136,316,900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148,882,743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90,174,495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71,301,427</w:t>
            </w:r>
          </w:p>
        </w:tc>
      </w:tr>
      <w:tr>
        <w:trPr>
          <w:trHeight w:val="189"/>
        </w:trPr>
        <w:tc>
          <w:tcPr>
            <w:tcW w:w="4820" w:type="dxa"/>
            <w:vAlign w:val="bottom"/>
          </w:tcPr>
          <w:p>
            <w:pPr>
              <w:ind w:left="40"/>
              <w:spacing w:after="0"/>
              <w:rPr>
                <w:sz w:val="20"/>
                <w:szCs w:val="20"/>
                <w:color w:val="auto"/>
              </w:rPr>
            </w:pPr>
            <w:r>
              <w:rPr>
                <w:rFonts w:ascii="Arial" w:cs="Arial" w:eastAsia="Arial" w:hAnsi="Arial"/>
                <w:sz w:val="15"/>
                <w:szCs w:val="15"/>
                <w:color w:val="auto"/>
              </w:rPr>
              <w:t>NRZ pledged MSRs (1)</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56,141,289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59,038,668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64,061,198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66,782,351</w:t>
            </w:r>
          </w:p>
        </w:tc>
      </w:tr>
      <w:tr>
        <w:trPr>
          <w:trHeight w:val="189"/>
        </w:trPr>
        <w:tc>
          <w:tcPr>
            <w:tcW w:w="48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MAV pledged MSRs (1)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13,570,892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4820" w:type="dxa"/>
            <w:vAlign w:val="bottom"/>
          </w:tcPr>
          <w:p>
            <w:pPr>
              <w:ind w:left="120"/>
              <w:spacing w:after="0"/>
              <w:rPr>
                <w:sz w:val="20"/>
                <w:szCs w:val="20"/>
                <w:color w:val="auto"/>
              </w:rPr>
            </w:pPr>
            <w:r>
              <w:rPr>
                <w:rFonts w:ascii="Arial" w:cs="Arial" w:eastAsia="Arial" w:hAnsi="Arial"/>
                <w:sz w:val="15"/>
                <w:szCs w:val="15"/>
                <w:color w:val="auto"/>
              </w:rPr>
              <w:t>Total MSR UPB</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206,029,081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207,921,411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154,235,693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138,083,778</w:t>
            </w: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MSRs subject to sale agreements with NRZ and MAV that do not meet sale accounting criteria. See Note 8 — MSR Transfers Not Qualifying for Sale Accounting.</w:t>
      </w:r>
    </w:p>
    <w:p>
      <w:pPr>
        <w:spacing w:after="0" w:line="94" w:lineRule="exact"/>
        <w:rPr>
          <w:sz w:val="20"/>
          <w:szCs w:val="20"/>
          <w:color w:val="auto"/>
        </w:rPr>
      </w:pPr>
    </w:p>
    <w:p>
      <w:pPr>
        <w:ind w:right="80" w:firstLine="268"/>
        <w:spacing w:after="0" w:line="255" w:lineRule="auto"/>
        <w:rPr>
          <w:sz w:val="20"/>
          <w:szCs w:val="20"/>
          <w:color w:val="auto"/>
        </w:rPr>
      </w:pPr>
      <w:r>
        <w:rPr>
          <w:rFonts w:ascii="Arial" w:cs="Arial" w:eastAsia="Arial" w:hAnsi="Arial"/>
          <w:sz w:val="15"/>
          <w:szCs w:val="15"/>
          <w:color w:val="auto"/>
        </w:rPr>
        <w:t>We purchased MSRs with a UPB of $72.2 billion and $9.9 billion during the nine months ended September 30, 2021 and 2020, respectively. Purchases during the nine months ended September 30, 2021 include a bulk MSR acquisition of performing GSE loans from an unrelated third party effective June 1, 2021, with a UPB and fair value of $46.8 billion and $575.3 million, respectively. We sold MSRs with a UPB of $18.0 million and $55.7 million during the nine months ended September 30, 2021 and 2020, respectively, mostly to Freddie Mac under the Voluntary Partial Cancellation (VPC) program for delinquent loans.</w:t>
      </w:r>
    </w:p>
    <w:p>
      <w:pPr>
        <w:spacing w:after="0" w:line="70" w:lineRule="exact"/>
        <w:rPr>
          <w:sz w:val="20"/>
          <w:szCs w:val="20"/>
          <w:color w:val="auto"/>
        </w:rPr>
      </w:pPr>
    </w:p>
    <w:p>
      <w:pPr>
        <w:ind w:right="20" w:firstLine="268"/>
        <w:spacing w:after="0" w:line="294" w:lineRule="auto"/>
        <w:rPr>
          <w:sz w:val="20"/>
          <w:szCs w:val="20"/>
          <w:color w:val="auto"/>
        </w:rPr>
      </w:pPr>
      <w:r>
        <w:rPr>
          <w:rFonts w:ascii="Arial" w:cs="Arial" w:eastAsia="Arial" w:hAnsi="Arial"/>
          <w:sz w:val="13"/>
          <w:szCs w:val="13"/>
          <w:color w:val="auto"/>
        </w:rPr>
        <w:t>At September 30, 2021, the S&amp;P Global Ratings, Inc.’s (S&amp;P’s) servicer ratings outlook for PMC is stable.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amongst other factors mentioned by S&amp;P. On September 28, 2021, Moody’s upgraded the servicer quality (SQ) assessment for PMC as a master servicer of residential mortgage loans from SQ3 to SQ3+, reflecting solid reporting and remitting processes and proactive servicer oversight. On March 24, 2020, Fitch Ratings, Inc. (Fitch) placed all U.S Residential Mortgage Backed Securities (RMBS) servicer ratings on Outlook Negative,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9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Servicing Revenue</w:t>
            </w: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48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Loan servicing and subservicing fees</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Servicing</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103,094</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53,410</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246,363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161,154</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Subservicing</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26,143</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MAV</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NRZ</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91,015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233,135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299,089</w:t>
            </w:r>
          </w:p>
        </w:tc>
      </w:tr>
      <w:tr>
        <w:trPr>
          <w:trHeight w:val="181"/>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182,570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154,749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490,044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486,386</w:t>
            </w: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Ancillary income</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Late charges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10,656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31,335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38,323</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Recording fees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9,828</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Loan collection fees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8,568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10,048</w:t>
            </w:r>
          </w:p>
        </w:tc>
      </w:tr>
      <w:tr>
        <w:trPr>
          <w:trHeight w:val="190"/>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Boarding and deboarding fees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5,619</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Custodial accounts (float earnings)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3,547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8,787</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9,454</w:t>
            </w:r>
          </w:p>
        </w:tc>
      </w:tr>
      <w:tr>
        <w:trPr>
          <w:trHeight w:val="181"/>
        </w:trPr>
        <w:tc>
          <w:tcPr>
            <w:tcW w:w="48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26,973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72,720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82,059</w:t>
            </w:r>
          </w:p>
        </w:tc>
      </w:tr>
      <w:tr>
        <w:trPr>
          <w:trHeight w:val="206"/>
        </w:trPr>
        <w:tc>
          <w:tcPr>
            <w:tcW w:w="4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206,585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181,722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562,764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568,445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280" w:firstLine="268"/>
        <w:spacing w:after="0" w:line="259" w:lineRule="auto"/>
        <w:rPr>
          <w:sz w:val="20"/>
          <w:szCs w:val="20"/>
          <w:color w:val="auto"/>
        </w:rPr>
      </w:pPr>
      <w:r>
        <w:rPr>
          <w:rFonts w:ascii="Arial" w:cs="Arial" w:eastAsia="Arial" w:hAnsi="Arial"/>
          <w:sz w:val="15"/>
          <w:szCs w:val="15"/>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$3.3 billion, $1.7 billion and $2.0 billion at September 30, 2021, December 31, 2020 and September 30, 2020,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5"/>
          <w:szCs w:val="15"/>
          <w:b w:val="1"/>
          <w:bCs w:val="1"/>
          <w:color w:val="auto"/>
        </w:rPr>
        <w:t>Note 8 — MSR Transfers Not Qualifying for Sale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MSRs transferred or sold in transactions which did not initially qualify for sale accounting treatment are accounted for as secured financings. Until such time as the transaction qualifies as a sale for accounting purposes, we continue to recognize the MSRs and related financing liability on our unaudited consolidated balance sheets, as well as the full amount of servicing fee collected as revenue and the servicing fee remitted as pledged MSR liability expense in our unaudited consolidated statements of operations. In addition, changes in fair value of the transferred MSRs are recognized in MSR valuation adjustments, net in the unaudited consolidated statements of operations, while changes in fair value of the related MSR financing liability are reported in Pledged MSR liability expense.</w:t>
      </w:r>
    </w:p>
    <w:p>
      <w:pPr>
        <w:spacing w:after="0" w:line="72" w:lineRule="exact"/>
        <w:rPr>
          <w:sz w:val="20"/>
          <w:szCs w:val="20"/>
          <w:color w:val="auto"/>
        </w:rPr>
      </w:pPr>
    </w:p>
    <w:p>
      <w:pPr>
        <w:ind w:right="240" w:firstLine="268"/>
        <w:spacing w:after="0" w:line="259" w:lineRule="auto"/>
        <w:rPr>
          <w:sz w:val="20"/>
          <w:szCs w:val="20"/>
          <w:color w:val="auto"/>
        </w:rPr>
      </w:pPr>
      <w:r>
        <w:rPr>
          <w:rFonts w:ascii="Arial" w:cs="Arial" w:eastAsia="Arial" w:hAnsi="Arial"/>
          <w:sz w:val="15"/>
          <w:szCs w:val="15"/>
          <w:color w:val="auto"/>
        </w:rPr>
        <w:t>In June and September 2021, PMC entered into agreements to sell MSR portfolios to MAV. In each such agreement, PMC has been retained as subservicer for the sold portfolio in accordance with the terms of the subservicing agreement entered into on May 3, 2021. The transactions do not qualify for sale accounting treatment predominantly due to the termination restrictions of the subservicing agreement. See Note 10 - Investment in Equity Method Investee.</w:t>
      </w:r>
    </w:p>
    <w:p>
      <w:pPr>
        <w:spacing w:after="0" w:line="66"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Starting in 2012, Ocwen and PMC entered into agreements to sell MSRs or Rights to MSRs and the related servicing advances to NRZ, and in all cases have been retained by NRZ as subservicer. Due to the length of the non-cancellable term of the subservicing agreements, the transactions did not initially qualify for sale accounting treatment which resulted in such transactions being accounted for as secured financings. In the case of Rights to MSRs transactions with NRZ, legal title was retained by Ocwen, causing the transactions to be accounted for as secured financings.</w:t>
      </w:r>
    </w:p>
    <w:p>
      <w:pPr>
        <w:spacing w:after="0" w:line="70"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The following table presents selected assets and liabilities recorded on our unaudited consolidated balance sheets in connection with the MSR transfer agreements with NRZ and MAV that do not qualify for sale accounting.</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060" w:type="dxa"/>
            <w:vAlign w:val="bottom"/>
          </w:tcPr>
          <w:p>
            <w:pPr>
              <w:spacing w:after="0"/>
              <w:rPr>
                <w:sz w:val="20"/>
                <w:szCs w:val="20"/>
                <w:color w:val="auto"/>
              </w:rPr>
            </w:pPr>
            <w:r>
              <w:rPr>
                <w:rFonts w:ascii="Arial" w:cs="Arial" w:eastAsia="Arial" w:hAnsi="Arial"/>
                <w:sz w:val="15"/>
                <w:szCs w:val="15"/>
                <w:b w:val="1"/>
                <w:bCs w:val="1"/>
                <w:color w:val="auto"/>
              </w:rPr>
              <w:t>Balance Sheets</w:t>
            </w:r>
          </w:p>
        </w:tc>
        <w:tc>
          <w:tcPr>
            <w:tcW w:w="10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70"/>
        </w:trPr>
        <w:tc>
          <w:tcPr>
            <w:tcW w:w="8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Transferred MSRs, at fair value</w:t>
            </w: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9"/>
        </w:trPr>
        <w:tc>
          <w:tcPr>
            <w:tcW w:w="8060" w:type="dxa"/>
            <w:vAlign w:val="bottom"/>
          </w:tcPr>
          <w:p>
            <w:pPr>
              <w:ind w:left="100"/>
              <w:spacing w:after="0"/>
              <w:rPr>
                <w:sz w:val="20"/>
                <w:szCs w:val="20"/>
                <w:color w:val="auto"/>
              </w:rPr>
            </w:pPr>
            <w:r>
              <w:rPr>
                <w:rFonts w:ascii="Arial" w:cs="Arial" w:eastAsia="Arial" w:hAnsi="Arial"/>
                <w:sz w:val="15"/>
                <w:szCs w:val="15"/>
                <w:color w:val="auto"/>
              </w:rPr>
              <w:t>NRZ</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574,020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566,952</w:t>
            </w:r>
          </w:p>
        </w:tc>
      </w:tr>
      <w:tr>
        <w:trPr>
          <w:trHeight w:val="189"/>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MAV</w:t>
            </w: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144,893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59"/>
        </w:trPr>
        <w:tc>
          <w:tcPr>
            <w:tcW w:w="80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718,913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566,952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6"/>
        </w:trPr>
        <w:tc>
          <w:tcPr>
            <w:tcW w:w="8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Other financing liability - Transferred MSR liability (1), at fair value</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0"/>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NRZ</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r>
      <w:tr>
        <w:trPr>
          <w:trHeight w:val="189"/>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MAV</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702,907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566,952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Due from NRZ (Receivables) - Subservicing fees and reimbursable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4,611</w:t>
            </w: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Due to NRZ (Other liabilities) - Advance collections, servicing fees and other</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92,188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bl>
    <w:p>
      <w:pPr>
        <w:spacing w:after="0" w:line="115"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Also referred to as Pledged MSR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8" w:name="page29"/>
    <w:bookmarkEnd w:id="28"/>
    <w:p>
      <w:pPr>
        <w:ind w:right="300" w:firstLine="268"/>
        <w:spacing w:after="0" w:line="270" w:lineRule="auto"/>
        <w:rPr>
          <w:sz w:val="20"/>
          <w:szCs w:val="20"/>
          <w:color w:val="auto"/>
        </w:rPr>
      </w:pPr>
      <w:r>
        <w:rPr>
          <w:rFonts w:ascii="Arial" w:cs="Arial" w:eastAsia="Arial" w:hAnsi="Arial"/>
          <w:sz w:val="15"/>
          <w:szCs w:val="15"/>
          <w:color w:val="auto"/>
        </w:rPr>
        <w:t>The following tables present the activity of the transferred MSR liability recorded in connection with the MSR transfer agreements with NRZ and MAV that do not qualify for sale accounting.</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5"/>
                <w:szCs w:val="15"/>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8"/>
          </w:tcPr>
          <w:p>
            <w:pPr>
              <w:ind w:left="80"/>
              <w:spacing w:after="0"/>
              <w:rPr>
                <w:sz w:val="20"/>
                <w:szCs w:val="20"/>
                <w:color w:val="auto"/>
              </w:rPr>
            </w:pPr>
            <w:r>
              <w:rPr>
                <w:rFonts w:ascii="Arial" w:cs="Arial" w:eastAsia="Arial" w:hAnsi="Arial"/>
                <w:sz w:val="15"/>
                <w:szCs w:val="15"/>
                <w:b w:val="1"/>
                <w:bCs w:val="1"/>
                <w:color w:val="auto"/>
                <w:w w:val="99"/>
              </w:rPr>
              <w:t>September 30, 2021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7"/>
              </w:rPr>
              <w:t>September 30, 2020</w:t>
            </w:r>
          </w:p>
        </w:tc>
        <w:tc>
          <w:tcPr>
            <w:tcW w:w="0" w:type="dxa"/>
            <w:vAlign w:val="bottom"/>
          </w:tcPr>
          <w:p>
            <w:pPr>
              <w:spacing w:after="0"/>
              <w:rPr>
                <w:sz w:val="1"/>
                <w:szCs w:val="1"/>
                <w:color w:val="auto"/>
              </w:rPr>
            </w:pPr>
          </w:p>
        </w:tc>
      </w:tr>
      <w:tr>
        <w:trPr>
          <w:trHeight w:val="136"/>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6"/>
              <w:spacing w:after="0" w:line="136" w:lineRule="exact"/>
              <w:rPr>
                <w:sz w:val="20"/>
                <w:szCs w:val="20"/>
                <w:color w:val="auto"/>
              </w:rPr>
            </w:pPr>
            <w:r>
              <w:rPr>
                <w:rFonts w:ascii="Arial" w:cs="Arial" w:eastAsia="Arial" w:hAnsi="Arial"/>
                <w:sz w:val="15"/>
                <w:szCs w:val="15"/>
                <w:b w:val="1"/>
                <w:bCs w:val="1"/>
                <w:color w:val="auto"/>
                <w:w w:val="90"/>
              </w:rPr>
              <w:t>Original Rights to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3"/>
          </w:tcPr>
          <w:p>
            <w:pPr>
              <w:jc w:val="right"/>
              <w:ind w:right="106"/>
              <w:spacing w:after="0" w:line="136" w:lineRule="exact"/>
              <w:rPr>
                <w:sz w:val="20"/>
                <w:szCs w:val="20"/>
                <w:color w:val="auto"/>
              </w:rPr>
            </w:pPr>
            <w:r>
              <w:rPr>
                <w:rFonts w:ascii="Arial" w:cs="Arial" w:eastAsia="Arial" w:hAnsi="Arial"/>
                <w:sz w:val="15"/>
                <w:szCs w:val="15"/>
                <w:b w:val="1"/>
                <w:bCs w:val="1"/>
                <w:color w:val="auto"/>
                <w:w w:val="93"/>
              </w:rPr>
              <w:t>Original Rights to</w:t>
            </w:r>
          </w:p>
        </w:tc>
        <w:tc>
          <w:tcPr>
            <w:tcW w:w="0" w:type="dxa"/>
            <w:vAlign w:val="bottom"/>
          </w:tcPr>
          <w:p>
            <w:pPr>
              <w:spacing w:after="0"/>
              <w:rPr>
                <w:sz w:val="1"/>
                <w:szCs w:val="1"/>
                <w:color w:val="auto"/>
              </w:rPr>
            </w:pPr>
          </w:p>
        </w:tc>
      </w:tr>
      <w:tr>
        <w:trPr>
          <w:trHeight w:val="145"/>
        </w:trPr>
        <w:tc>
          <w:tcPr>
            <w:tcW w:w="5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Transferred MSR Liability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6"/>
              <w:spacing w:after="0" w:line="145" w:lineRule="exact"/>
              <w:rPr>
                <w:sz w:val="20"/>
                <w:szCs w:val="20"/>
                <w:color w:val="auto"/>
              </w:rPr>
            </w:pPr>
            <w:r>
              <w:rPr>
                <w:rFonts w:ascii="Arial" w:cs="Arial" w:eastAsia="Arial" w:hAnsi="Arial"/>
                <w:sz w:val="15"/>
                <w:szCs w:val="15"/>
                <w:b w:val="1"/>
                <w:bCs w:val="1"/>
                <w:color w:val="auto"/>
                <w:w w:val="88"/>
              </w:rPr>
              <w:t>MSRs Agreements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5"/>
                <w:szCs w:val="15"/>
                <w:b w:val="1"/>
                <w:bCs w:val="1"/>
                <w:color w:val="auto"/>
                <w:w w:val="94"/>
              </w:rPr>
              <w:t>MAV Agreements</w:t>
            </w:r>
          </w:p>
        </w:tc>
        <w:tc>
          <w:tcPr>
            <w:tcW w:w="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406"/>
              <w:spacing w:after="0"/>
              <w:rPr>
                <w:sz w:val="20"/>
                <w:szCs w:val="20"/>
                <w:color w:val="auto"/>
              </w:rPr>
            </w:pPr>
            <w:r>
              <w:rPr>
                <w:rFonts w:ascii="Arial" w:cs="Arial" w:eastAsia="Arial" w:hAnsi="Arial"/>
                <w:sz w:val="15"/>
                <w:szCs w:val="15"/>
                <w:b w:val="1"/>
                <w:bCs w:val="1"/>
                <w:color w:val="auto"/>
              </w:rPr>
              <w:t>Total</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spacing w:after="0" w:line="145" w:lineRule="exact"/>
              <w:rPr>
                <w:sz w:val="20"/>
                <w:szCs w:val="20"/>
                <w:color w:val="auto"/>
              </w:rPr>
            </w:pPr>
            <w:r>
              <w:rPr>
                <w:rFonts w:ascii="Arial" w:cs="Arial" w:eastAsia="Arial" w:hAnsi="Arial"/>
                <w:sz w:val="15"/>
                <w:szCs w:val="15"/>
                <w:b w:val="1"/>
                <w:bCs w:val="1"/>
                <w:color w:val="auto"/>
                <w:w w:val="95"/>
              </w:rPr>
              <w:t>MSRs Agreements -</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rPr>
              <w:t>NRZ</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w w:val="97"/>
              </w:rPr>
              <w:t>NRZ</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535,571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535,571</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582,558</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Sales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132,003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132,003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fair value (2)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63,762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(2,433)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12,203</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Runoff and settlement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5"/>
                <w:szCs w:val="15"/>
                <w:color w:val="auto"/>
              </w:rPr>
              <w:t>(21,100)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(683)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(21,783)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(17,452)</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Calls (1)</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(4,213)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(4,213)</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574,020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128,887</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702,907</w:t>
            </w:r>
          </w:p>
        </w:tc>
        <w:tc>
          <w:tcPr>
            <w:tcW w:w="80" w:type="dxa"/>
            <w:vAlign w:val="bottom"/>
          </w:tcPr>
          <w:p>
            <w:pPr>
              <w:spacing w:after="0"/>
              <w:rPr>
                <w:sz w:val="15"/>
                <w:szCs w:val="15"/>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577,309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spacing w:after="0"/>
              <w:rPr>
                <w:sz w:val="24"/>
                <w:szCs w:val="24"/>
                <w:color w:val="auto"/>
              </w:rPr>
            </w:pPr>
          </w:p>
        </w:tc>
        <w:tc>
          <w:tcPr>
            <w:tcW w:w="100" w:type="dxa"/>
            <w:vAlign w:val="bottom"/>
            <w:tcBorders>
              <w:bottom w:val="single" w:sz="8" w:color="auto"/>
            </w:tcBorders>
            <w:gridSpan w:val="3"/>
          </w:tcPr>
          <w:p>
            <w:pPr>
              <w:spacing w:after="0"/>
              <w:rPr>
                <w:sz w:val="24"/>
                <w:szCs w:val="24"/>
                <w:color w:val="auto"/>
              </w:rPr>
            </w:pPr>
          </w:p>
        </w:tc>
        <w:tc>
          <w:tcPr>
            <w:tcW w:w="1420" w:type="dxa"/>
            <w:vAlign w:val="bottom"/>
            <w:tcBorders>
              <w:bottom w:val="single" w:sz="8" w:color="auto"/>
            </w:tcBorders>
            <w:gridSpan w:val="6"/>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4"/>
          </w:tcPr>
          <w:p>
            <w:pPr>
              <w:jc w:val="right"/>
              <w:spacing w:after="0"/>
              <w:rPr>
                <w:sz w:val="20"/>
                <w:szCs w:val="20"/>
                <w:color w:val="auto"/>
              </w:rPr>
            </w:pPr>
            <w:r>
              <w:rPr>
                <w:rFonts w:ascii="Arial" w:cs="Arial" w:eastAsia="Arial" w:hAnsi="Arial"/>
                <w:sz w:val="15"/>
                <w:szCs w:val="15"/>
                <w:b w:val="1"/>
                <w:bCs w:val="1"/>
                <w:color w:val="auto"/>
              </w:rPr>
              <w:t>Nine Months Ended September 30, 2021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6"/>
          </w:tcPr>
          <w:p>
            <w:pPr>
              <w:ind w:left="60"/>
              <w:spacing w:after="0" w:line="136" w:lineRule="exact"/>
              <w:rPr>
                <w:sz w:val="20"/>
                <w:szCs w:val="20"/>
                <w:color w:val="auto"/>
              </w:rPr>
            </w:pPr>
            <w:r>
              <w:rPr>
                <w:rFonts w:ascii="Arial" w:cs="Arial" w:eastAsia="Arial" w:hAnsi="Arial"/>
                <w:sz w:val="15"/>
                <w:szCs w:val="15"/>
                <w:b w:val="1"/>
                <w:bCs w:val="1"/>
                <w:color w:val="auto"/>
              </w:rPr>
              <w:t>Original Rights to</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Transferred MSR Liability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7"/>
          </w:tcPr>
          <w:p>
            <w:pPr>
              <w:spacing w:after="0" w:line="145" w:lineRule="exact"/>
              <w:rPr>
                <w:sz w:val="20"/>
                <w:szCs w:val="20"/>
                <w:color w:val="auto"/>
              </w:rPr>
            </w:pPr>
            <w:r>
              <w:rPr>
                <w:rFonts w:ascii="Arial" w:cs="Arial" w:eastAsia="Arial" w:hAnsi="Arial"/>
                <w:sz w:val="15"/>
                <w:szCs w:val="15"/>
                <w:b w:val="1"/>
                <w:bCs w:val="1"/>
                <w:color w:val="auto"/>
                <w:w w:val="98"/>
              </w:rPr>
              <w:t>MSRs Agreements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5"/>
                <w:szCs w:val="15"/>
                <w:b w:val="1"/>
                <w:bCs w:val="1"/>
                <w:color w:val="auto"/>
                <w:w w:val="93"/>
              </w:rPr>
              <w:t>MAV Agreements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NRZ</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Sales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132,003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132,003</w:t>
            </w: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fair value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73,706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71,273</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Runoff and settlement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(59,626)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(60,309)</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Calls (1)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(7,012)</w:t>
            </w:r>
          </w:p>
        </w:tc>
        <w:tc>
          <w:tcPr>
            <w:tcW w:w="0" w:type="dxa"/>
            <w:vAlign w:val="bottom"/>
          </w:tcPr>
          <w:p>
            <w:pPr>
              <w:spacing w:after="0"/>
              <w:rPr>
                <w:sz w:val="1"/>
                <w:szCs w:val="1"/>
                <w:color w:val="auto"/>
              </w:rPr>
            </w:pPr>
          </w:p>
        </w:tc>
      </w:tr>
      <w:tr>
        <w:trPr>
          <w:trHeight w:val="181"/>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128,887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702,907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ind w:left="20"/>
              <w:spacing w:after="0"/>
              <w:rPr>
                <w:sz w:val="20"/>
                <w:szCs w:val="20"/>
                <w:color w:val="auto"/>
              </w:rPr>
            </w:pPr>
            <w:r>
              <w:rPr>
                <w:rFonts w:ascii="Arial" w:cs="Arial" w:eastAsia="Arial" w:hAnsi="Arial"/>
                <w:sz w:val="15"/>
                <w:szCs w:val="15"/>
                <w:b w:val="1"/>
                <w:bCs w:val="1"/>
                <w:color w:val="auto"/>
                <w:w w:val="93"/>
              </w:rPr>
              <w:t>Nine Months Ended September 30, 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166"/>
              <w:spacing w:after="0" w:line="136" w:lineRule="exact"/>
              <w:rPr>
                <w:sz w:val="20"/>
                <w:szCs w:val="20"/>
                <w:color w:val="auto"/>
              </w:rPr>
            </w:pPr>
            <w:r>
              <w:rPr>
                <w:rFonts w:ascii="Arial" w:cs="Arial" w:eastAsia="Arial" w:hAnsi="Arial"/>
                <w:sz w:val="15"/>
                <w:szCs w:val="15"/>
                <w:b w:val="1"/>
                <w:bCs w:val="1"/>
                <w:color w:val="auto"/>
                <w:w w:val="90"/>
              </w:rPr>
              <w:t>Original Rights to</w:t>
            </w:r>
          </w:p>
        </w:tc>
        <w:tc>
          <w:tcPr>
            <w:tcW w:w="1420" w:type="dxa"/>
            <w:vAlign w:val="bottom"/>
            <w:gridSpan w:val="7"/>
          </w:tcPr>
          <w:p>
            <w:pPr>
              <w:jc w:val="center"/>
              <w:ind w:right="20"/>
              <w:spacing w:after="0" w:line="136" w:lineRule="exact"/>
              <w:rPr>
                <w:sz w:val="20"/>
                <w:szCs w:val="20"/>
                <w:color w:val="auto"/>
              </w:rPr>
            </w:pPr>
            <w:r>
              <w:rPr>
                <w:rFonts w:ascii="Arial" w:cs="Arial" w:eastAsia="Arial" w:hAnsi="Arial"/>
                <w:sz w:val="15"/>
                <w:szCs w:val="15"/>
                <w:b w:val="1"/>
                <w:bCs w:val="1"/>
                <w:color w:val="auto"/>
                <w:w w:val="87"/>
              </w:rPr>
              <w:t>2017 Agreements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5"/>
                <w:szCs w:val="15"/>
                <w:b w:val="1"/>
                <w:bCs w:val="1"/>
                <w:color w:val="auto"/>
              </w:rPr>
              <w:t>PMC MSR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Transferred MSR Liability</w:t>
            </w:r>
          </w:p>
        </w:tc>
        <w:tc>
          <w:tcPr>
            <w:tcW w:w="20" w:type="dxa"/>
            <w:vAlign w:val="bottom"/>
          </w:tcPr>
          <w:p>
            <w:pPr>
              <w:spacing w:after="0"/>
              <w:rPr>
                <w:sz w:val="12"/>
                <w:szCs w:val="12"/>
                <w:color w:val="auto"/>
              </w:rPr>
            </w:pPr>
          </w:p>
        </w:tc>
        <w:tc>
          <w:tcPr>
            <w:tcW w:w="1480" w:type="dxa"/>
            <w:vAlign w:val="bottom"/>
            <w:gridSpan w:val="4"/>
          </w:tcPr>
          <w:p>
            <w:pPr>
              <w:jc w:val="center"/>
              <w:ind w:right="66"/>
              <w:spacing w:after="0" w:line="145" w:lineRule="exact"/>
              <w:rPr>
                <w:sz w:val="20"/>
                <w:szCs w:val="20"/>
                <w:color w:val="auto"/>
              </w:rPr>
            </w:pPr>
            <w:r>
              <w:rPr>
                <w:rFonts w:ascii="Arial" w:cs="Arial" w:eastAsia="Arial" w:hAnsi="Arial"/>
                <w:sz w:val="15"/>
                <w:szCs w:val="15"/>
                <w:b w:val="1"/>
                <w:bCs w:val="1"/>
                <w:color w:val="auto"/>
                <w:w w:val="88"/>
              </w:rPr>
              <w:t>MSRs Agreements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280"/>
              <w:spacing w:after="0" w:line="145" w:lineRule="exact"/>
              <w:rPr>
                <w:sz w:val="20"/>
                <w:szCs w:val="20"/>
                <w:color w:val="auto"/>
              </w:rPr>
            </w:pPr>
            <w:r>
              <w:rPr>
                <w:rFonts w:ascii="Arial" w:cs="Arial" w:eastAsia="Arial" w:hAnsi="Arial"/>
                <w:sz w:val="15"/>
                <w:szCs w:val="15"/>
                <w:b w:val="1"/>
                <w:bCs w:val="1"/>
                <w:color w:val="auto"/>
                <w:w w:val="95"/>
              </w:rPr>
              <w:t>New RMSR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restart"/>
          </w:tcPr>
          <w:p>
            <w:pPr>
              <w:jc w:val="right"/>
              <w:ind w:right="40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rPr>
              <w:t>NRZ</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7"/>
              </w:rPr>
              <w:t>Agreements - NRZ</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Agreements - NRZ</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603,046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35,445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312,102</w:t>
            </w: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950,593</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Sales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ind w:right="8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5"/>
                <w:szCs w:val="15"/>
                <w:color w:val="auto"/>
              </w:rPr>
              <w:t>(226)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fair value (2)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903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(40,720)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(13,736)</w:t>
            </w:r>
          </w:p>
        </w:tc>
        <w:tc>
          <w:tcPr>
            <w:tcW w:w="0" w:type="dxa"/>
            <w:vAlign w:val="bottom"/>
          </w:tcPr>
          <w:p>
            <w:pPr>
              <w:spacing w:after="0"/>
              <w:rPr>
                <w:sz w:val="1"/>
                <w:szCs w:val="1"/>
                <w:color w:val="auto"/>
              </w:rPr>
            </w:pPr>
          </w:p>
        </w:tc>
      </w:tr>
      <w:tr>
        <w:trPr>
          <w:trHeight w:val="189"/>
        </w:trPr>
        <w:tc>
          <w:tcPr>
            <w:tcW w:w="5280" w:type="dxa"/>
            <w:vAlign w:val="bottom"/>
          </w:tcPr>
          <w:p>
            <w:pPr>
              <w:ind w:left="120"/>
              <w:spacing w:after="0"/>
              <w:rPr>
                <w:sz w:val="20"/>
                <w:szCs w:val="20"/>
                <w:color w:val="auto"/>
              </w:rPr>
            </w:pPr>
            <w:r>
              <w:rPr>
                <w:rFonts w:ascii="Arial" w:cs="Arial" w:eastAsia="Arial" w:hAnsi="Arial"/>
                <w:sz w:val="15"/>
                <w:szCs w:val="15"/>
                <w:color w:val="auto"/>
              </w:rPr>
              <w:t>Runoff and settlement: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(49,150)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5"/>
                <w:szCs w:val="15"/>
                <w:color w:val="auto"/>
              </w:rPr>
              <w:t>(35,121)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5"/>
                <w:szCs w:val="15"/>
                <w:color w:val="auto"/>
              </w:rPr>
              <w:t>(7,492)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(91,763)</w:t>
            </w:r>
          </w:p>
        </w:tc>
        <w:tc>
          <w:tcPr>
            <w:tcW w:w="0" w:type="dxa"/>
            <w:vAlign w:val="bottom"/>
          </w:tcPr>
          <w:p>
            <w:pPr>
              <w:spacing w:after="0"/>
              <w:rPr>
                <w:sz w:val="1"/>
                <w:szCs w:val="1"/>
                <w:color w:val="auto"/>
              </w:rPr>
            </w:pPr>
          </w:p>
        </w:tc>
      </w:tr>
      <w:tr>
        <w:trPr>
          <w:trHeight w:val="146"/>
        </w:trPr>
        <w:tc>
          <w:tcPr>
            <w:tcW w:w="5280" w:type="dxa"/>
            <w:vAlign w:val="bottom"/>
            <w:shd w:val="clear" w:color="auto" w:fill="CCEEFF"/>
          </w:tcPr>
          <w:p>
            <w:pPr>
              <w:ind w:left="120"/>
              <w:spacing w:after="0" w:line="146" w:lineRule="exact"/>
              <w:rPr>
                <w:sz w:val="20"/>
                <w:szCs w:val="20"/>
                <w:color w:val="auto"/>
              </w:rPr>
            </w:pPr>
            <w:r>
              <w:rPr>
                <w:rFonts w:ascii="Arial" w:cs="Arial" w:eastAsia="Arial" w:hAnsi="Arial"/>
                <w:sz w:val="15"/>
                <w:szCs w:val="15"/>
                <w:color w:val="auto"/>
                <w:w w:val="96"/>
              </w:rPr>
              <w:t>Derecognition of Pledged MSR financing liability due to termination of PMC MSR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(263,664)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(263,664)</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Agreements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Calls (1)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(1,227)</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(3,895)</w:t>
            </w:r>
          </w:p>
        </w:tc>
        <w:tc>
          <w:tcPr>
            <w:tcW w:w="0" w:type="dxa"/>
            <w:vAlign w:val="bottom"/>
          </w:tcPr>
          <w:p>
            <w:pPr>
              <w:spacing w:after="0"/>
              <w:rPr>
                <w:sz w:val="1"/>
                <w:szCs w:val="1"/>
                <w:color w:val="auto"/>
              </w:rPr>
            </w:pPr>
          </w:p>
        </w:tc>
      </w:tr>
      <w:tr>
        <w:trPr>
          <w:trHeight w:val="201"/>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577,309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577,309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80" w:hanging="271"/>
        <w:spacing w:after="0" w:line="256" w:lineRule="auto"/>
        <w:tabs>
          <w:tab w:leader="none" w:pos="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the carrying value of MSRs in connection with call rights exercised by NRZ, for MSRs transferred to NRZ under the 2017 Agreements and New RMSR Agreements (each as defined below), or by Ocwen at NRZ’s direction, for MSRs underlying the Original Rights to MSRs Agreements (as defined below). Ocwen derecognizes the MSRs and the related financing liability upon collapse of the securitization.</w:t>
      </w:r>
    </w:p>
    <w:p>
      <w:pPr>
        <w:spacing w:after="0" w:line="1" w:lineRule="exact"/>
        <w:rPr>
          <w:rFonts w:ascii="Arial" w:cs="Arial" w:eastAsia="Arial" w:hAnsi="Arial"/>
          <w:sz w:val="13"/>
          <w:szCs w:val="13"/>
          <w:color w:val="auto"/>
        </w:rPr>
      </w:pPr>
    </w:p>
    <w:p>
      <w:pPr>
        <w:ind w:left="280" w:right="60" w:hanging="271"/>
        <w:spacing w:after="0" w:line="258" w:lineRule="auto"/>
        <w:tabs>
          <w:tab w:leader="none" w:pos="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Effective January 1, 2021, changes in fair value due to actual vs. model variances are presented as Changes in valuation inputs or assumptions. Activity for the three and nine months ended September 30, 2020 in the table above has been recast to conform to current year disclosure, resulting in losses of $1.8 million and $7.6 million, respectively, reclassified from Runoff and settlement to Changes in fair value.</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00" w:top="809" w:right="379" w:bottom="1440" w:gutter="0" w:footer="0" w:header="0"/>
        </w:sectPr>
      </w:pPr>
    </w:p>
    <w:bookmarkStart w:id="29" w:name="page30"/>
    <w:bookmarkEnd w:id="29"/>
    <w:p>
      <w:pPr>
        <w:ind w:left="200" w:right="120" w:firstLine="268"/>
        <w:spacing w:after="0" w:line="270" w:lineRule="auto"/>
        <w:rPr>
          <w:sz w:val="20"/>
          <w:szCs w:val="20"/>
          <w:color w:val="auto"/>
        </w:rPr>
      </w:pPr>
      <w:r>
        <w:rPr>
          <w:rFonts w:ascii="Arial" w:cs="Arial" w:eastAsia="Arial" w:hAnsi="Arial"/>
          <w:sz w:val="15"/>
          <w:szCs w:val="15"/>
          <w:color w:val="auto"/>
        </w:rPr>
        <w:t>The following tables present selected items in our unaudited consolidated statements of operations in connection with the MSR transfer agreements with NRZ and MAV that do not qualify for sale accounting.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8"/>
          </w:tcPr>
          <w:p>
            <w:pPr>
              <w:ind w:left="300"/>
              <w:spacing w:after="0"/>
              <w:rPr>
                <w:sz w:val="20"/>
                <w:szCs w:val="20"/>
                <w:color w:val="auto"/>
              </w:rPr>
            </w:pPr>
            <w:r>
              <w:rPr>
                <w:rFonts w:ascii="Arial" w:cs="Arial" w:eastAsia="Arial" w:hAnsi="Arial"/>
                <w:sz w:val="15"/>
                <w:szCs w:val="15"/>
                <w:b w:val="1"/>
                <w:bCs w:val="1"/>
                <w:color w:val="auto"/>
                <w:w w:val="92"/>
              </w:rPr>
              <w:t>Three Months Ended September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jc w:val="right"/>
              <w:ind w:right="420"/>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181"/>
        </w:trPr>
        <w:tc>
          <w:tcPr>
            <w:tcW w:w="100" w:type="dxa"/>
            <w:vAlign w:val="bottom"/>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100" w:type="dxa"/>
            <w:vAlign w:val="bottom"/>
          </w:tcPr>
          <w:p>
            <w:pPr>
              <w:spacing w:after="0"/>
              <w:rPr>
                <w:sz w:val="14"/>
                <w:szCs w:val="14"/>
                <w:color w:val="auto"/>
              </w:rPr>
            </w:pPr>
          </w:p>
        </w:tc>
        <w:tc>
          <w:tcPr>
            <w:tcW w:w="47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Statements of Operations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100" w:type="dxa"/>
            <w:vAlign w:val="bottom"/>
          </w:tcPr>
          <w:p>
            <w:pPr>
              <w:spacing w:after="0"/>
              <w:rPr>
                <w:sz w:val="16"/>
                <w:szCs w:val="16"/>
                <w:color w:val="auto"/>
              </w:rPr>
            </w:pPr>
          </w:p>
        </w:tc>
        <w:tc>
          <w:tcPr>
            <w:tcW w:w="4740" w:type="dxa"/>
            <w:vAlign w:val="bottom"/>
          </w:tcPr>
          <w:p>
            <w:pPr>
              <w:ind w:left="120"/>
              <w:spacing w:after="0"/>
              <w:rPr>
                <w:sz w:val="20"/>
                <w:szCs w:val="20"/>
                <w:color w:val="auto"/>
              </w:rPr>
            </w:pPr>
            <w:r>
              <w:rPr>
                <w:rFonts w:ascii="Arial" w:cs="Arial" w:eastAsia="Arial" w:hAnsi="Arial"/>
                <w:sz w:val="15"/>
                <w:szCs w:val="15"/>
                <w:color w:val="auto"/>
              </w:rPr>
              <w:t>Servicing fees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fees collected on behalf of NRZ</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766"/>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87"/>
              </w:rPr>
              <w:t>75,034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91,015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233,135</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299,089</w:t>
            </w:r>
          </w:p>
        </w:tc>
        <w:tc>
          <w:tcPr>
            <w:tcW w:w="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Servicing fees collected on behalf of MAV</w:t>
            </w:r>
          </w:p>
        </w:tc>
        <w:tc>
          <w:tcPr>
            <w:tcW w:w="2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1,001</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1,001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100" w:type="dxa"/>
            <w:vAlign w:val="bottom"/>
          </w:tcPr>
          <w:p>
            <w:pPr>
              <w:spacing w:after="0"/>
              <w:rPr>
                <w:sz w:val="15"/>
                <w:szCs w:val="15"/>
                <w:color w:val="auto"/>
              </w:rPr>
            </w:pPr>
          </w:p>
        </w:tc>
        <w:tc>
          <w:tcPr>
            <w:tcW w:w="4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766"/>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87"/>
              </w:rPr>
              <w:t>76,035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91,015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234,136</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299,089</w:t>
            </w:r>
          </w:p>
        </w:tc>
        <w:tc>
          <w:tcPr>
            <w:tcW w:w="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114"/>
        </w:trPr>
        <w:tc>
          <w:tcPr>
            <w:tcW w:w="1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89"/>
        </w:trPr>
        <w:tc>
          <w:tcPr>
            <w:tcW w:w="100" w:type="dxa"/>
            <w:vAlign w:val="bottom"/>
          </w:tcPr>
          <w:p>
            <w:pPr>
              <w:spacing w:after="0"/>
              <w:rPr>
                <w:sz w:val="16"/>
                <w:szCs w:val="16"/>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Pledged MSR liability expense</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740" w:type="dxa"/>
            <w:vAlign w:val="bottom"/>
          </w:tcPr>
          <w:p>
            <w:pPr>
              <w:ind w:left="200"/>
              <w:spacing w:after="0"/>
              <w:rPr>
                <w:sz w:val="20"/>
                <w:szCs w:val="20"/>
                <w:color w:val="auto"/>
              </w:rPr>
            </w:pPr>
            <w:r>
              <w:rPr>
                <w:rFonts w:ascii="Arial" w:cs="Arial" w:eastAsia="Arial" w:hAnsi="Arial"/>
                <w:sz w:val="15"/>
                <w:szCs w:val="15"/>
                <w:color w:val="auto"/>
              </w:rPr>
              <w:t>NRZ (see further details below)</w:t>
            </w:r>
          </w:p>
        </w:tc>
        <w:tc>
          <w:tcPr>
            <w:tcW w:w="260" w:type="dxa"/>
            <w:vAlign w:val="bottom"/>
          </w:tcPr>
          <w:p>
            <w:pPr>
              <w:spacing w:after="0"/>
              <w:rPr>
                <w:sz w:val="16"/>
                <w:szCs w:val="16"/>
                <w:color w:val="auto"/>
              </w:rPr>
            </w:pPr>
          </w:p>
        </w:tc>
        <w:tc>
          <w:tcPr>
            <w:tcW w:w="1260" w:type="dxa"/>
            <w:vAlign w:val="bottom"/>
            <w:gridSpan w:val="2"/>
          </w:tcPr>
          <w:p>
            <w:pPr>
              <w:jc w:val="right"/>
              <w:ind w:right="766"/>
              <w:spacing w:after="0"/>
              <w:rPr>
                <w:sz w:val="20"/>
                <w:szCs w:val="20"/>
                <w:color w:val="auto"/>
              </w:rPr>
            </w:pPr>
            <w:r>
              <w:rPr>
                <w:rFonts w:ascii="Arial" w:cs="Arial" w:eastAsia="Arial" w:hAnsi="Arial"/>
                <w:sz w:val="15"/>
                <w:szCs w:val="15"/>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5"/>
                <w:szCs w:val="15"/>
                <w:color w:val="auto"/>
                <w:w w:val="87"/>
              </w:rPr>
              <w:t>93,253</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57,404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170,914</w:t>
            </w:r>
          </w:p>
        </w:tc>
        <w:tc>
          <w:tcPr>
            <w:tcW w:w="4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105,684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MAV (see further details below)</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88"/>
              </w:rPr>
              <w:t>(2,094)</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(2,094)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766"/>
              <w:spacing w:after="0"/>
              <w:rPr>
                <w:sz w:val="20"/>
                <w:szCs w:val="20"/>
                <w:color w:val="auto"/>
              </w:rPr>
            </w:pPr>
            <w:r>
              <w:rPr>
                <w:rFonts w:ascii="Arial" w:cs="Arial" w:eastAsia="Arial" w:hAnsi="Arial"/>
                <w:sz w:val="15"/>
                <w:szCs w:val="15"/>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15"/>
                <w:szCs w:val="15"/>
                <w:color w:val="auto"/>
                <w:w w:val="87"/>
              </w:rPr>
              <w:t>91,160</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57,404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168,820</w:t>
            </w:r>
          </w:p>
        </w:tc>
        <w:tc>
          <w:tcPr>
            <w:tcW w:w="4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105,684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100" w:type="dxa"/>
            <w:vAlign w:val="bottom"/>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100" w:type="dxa"/>
            <w:vAlign w:val="bottom"/>
          </w:tcPr>
          <w:p>
            <w:pPr>
              <w:spacing w:after="0"/>
              <w:rPr>
                <w:sz w:val="22"/>
                <w:szCs w:val="22"/>
                <w:color w:val="auto"/>
              </w:rPr>
            </w:pPr>
          </w:p>
        </w:tc>
        <w:tc>
          <w:tcPr>
            <w:tcW w:w="4740" w:type="dxa"/>
            <w:vAlign w:val="bottom"/>
          </w:tcPr>
          <w:p>
            <w:pPr>
              <w:ind w:left="180"/>
              <w:spacing w:after="0"/>
              <w:rPr>
                <w:sz w:val="20"/>
                <w:szCs w:val="20"/>
                <w:color w:val="auto"/>
              </w:rPr>
            </w:pPr>
            <w:r>
              <w:rPr>
                <w:rFonts w:ascii="Arial" w:cs="Arial" w:eastAsia="Arial" w:hAnsi="Arial"/>
                <w:sz w:val="15"/>
                <w:szCs w:val="15"/>
                <w:b w:val="1"/>
                <w:bCs w:val="1"/>
                <w:i w:val="1"/>
                <w:iCs w:val="1"/>
                <w:color w:val="auto"/>
              </w:rPr>
              <w:t>NRZ Pledged MSR liability expense:</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01"/>
        </w:trPr>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9"/>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jc w:val="right"/>
              <w:ind w:right="480"/>
              <w:spacing w:after="0"/>
              <w:rPr>
                <w:sz w:val="20"/>
                <w:szCs w:val="20"/>
                <w:color w:val="auto"/>
              </w:rPr>
            </w:pPr>
            <w:r>
              <w:rPr>
                <w:rFonts w:ascii="Arial" w:cs="Arial" w:eastAsia="Arial" w:hAnsi="Arial"/>
                <w:sz w:val="15"/>
                <w:szCs w:val="15"/>
                <w:b w:val="1"/>
                <w:bCs w:val="1"/>
                <w:color w:val="auto"/>
                <w:w w:val="90"/>
              </w:rPr>
              <w:t>Nine Months Ended September 30,</w:t>
            </w:r>
          </w:p>
        </w:tc>
      </w:tr>
      <w:tr>
        <w:trPr>
          <w:trHeight w:val="181"/>
        </w:trPr>
        <w:tc>
          <w:tcPr>
            <w:tcW w:w="10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r>
      <w:tr>
        <w:trPr>
          <w:trHeight w:val="18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Servicing fees collected on behalf of NRZ</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75,034</w:t>
            </w: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233,135</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299,089</w:t>
            </w:r>
          </w:p>
        </w:tc>
      </w:tr>
      <w:tr>
        <w:trPr>
          <w:trHeight w:val="189"/>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Subservicing fee retained by Ocwen</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21,475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67,987</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80,529</w:t>
            </w:r>
          </w:p>
        </w:tc>
      </w:tr>
      <w:tr>
        <w:trPr>
          <w:trHeight w:val="181"/>
        </w:trPr>
        <w:tc>
          <w:tcPr>
            <w:tcW w:w="100" w:type="dxa"/>
            <w:vAlign w:val="bottom"/>
            <w:shd w:val="clear" w:color="auto" w:fill="CCEEFF"/>
          </w:tcPr>
          <w:p>
            <w:pPr>
              <w:spacing w:after="0"/>
              <w:rPr>
                <w:sz w:val="15"/>
                <w:szCs w:val="15"/>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servicing fees remitted to NRZ</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53,559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165,148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218,560</w:t>
            </w:r>
          </w:p>
        </w:tc>
      </w:tr>
      <w:tr>
        <w:trPr>
          <w:trHeight w:val="134"/>
        </w:trPr>
        <w:tc>
          <w:tcPr>
            <w:tcW w:w="48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Reduction (increase) in financing liability</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740" w:type="dxa"/>
            <w:vAlign w:val="bottom"/>
          </w:tcPr>
          <w:p>
            <w:pPr>
              <w:ind w:left="20"/>
              <w:spacing w:after="0"/>
              <w:rPr>
                <w:sz w:val="20"/>
                <w:szCs w:val="20"/>
                <w:color w:val="auto"/>
              </w:rPr>
            </w:pPr>
            <w:r>
              <w:rPr>
                <w:rFonts w:ascii="Arial" w:cs="Arial" w:eastAsia="Arial" w:hAnsi="Arial"/>
                <w:sz w:val="15"/>
                <w:szCs w:val="15"/>
                <w:color w:val="auto"/>
              </w:rPr>
              <w:t>Changes in fair value: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100" w:type="dxa"/>
            <w:vAlign w:val="bottom"/>
            <w:shd w:val="clear" w:color="auto" w:fill="CCEEFF"/>
          </w:tcPr>
          <w:p>
            <w:pPr>
              <w:spacing w:after="0"/>
              <w:rPr>
                <w:sz w:val="16"/>
                <w:szCs w:val="16"/>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Original Rights to MSRs Agreements (1)</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(63,762)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(73,706)</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(26,081)</w:t>
            </w:r>
          </w:p>
        </w:tc>
      </w:tr>
      <w:tr>
        <w:trPr>
          <w:trHeight w:val="189"/>
        </w:trPr>
        <w:tc>
          <w:tcPr>
            <w:tcW w:w="100" w:type="dxa"/>
            <w:vAlign w:val="bottom"/>
          </w:tcPr>
          <w:p>
            <w:pPr>
              <w:spacing w:after="0"/>
              <w:rPr>
                <w:sz w:val="16"/>
                <w:szCs w:val="16"/>
                <w:color w:val="auto"/>
              </w:rPr>
            </w:pPr>
          </w:p>
        </w:tc>
        <w:tc>
          <w:tcPr>
            <w:tcW w:w="4740" w:type="dxa"/>
            <w:vAlign w:val="bottom"/>
          </w:tcPr>
          <w:p>
            <w:pPr>
              <w:ind w:left="180"/>
              <w:spacing w:after="0"/>
              <w:rPr>
                <w:sz w:val="20"/>
                <w:szCs w:val="20"/>
                <w:color w:val="auto"/>
              </w:rPr>
            </w:pPr>
            <w:r>
              <w:rPr>
                <w:rFonts w:ascii="Arial" w:cs="Arial" w:eastAsia="Arial" w:hAnsi="Arial"/>
                <w:sz w:val="15"/>
                <w:szCs w:val="15"/>
                <w:color w:val="auto"/>
              </w:rPr>
              <w:t>2017 Agreements and New RMSR Agreements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5"/>
                <w:szCs w:val="15"/>
                <w:color w:val="auto"/>
              </w:rPr>
              <w:t>(903)</w:t>
            </w:r>
          </w:p>
        </w:tc>
      </w:tr>
      <w:tr>
        <w:trPr>
          <w:trHeight w:val="189"/>
        </w:trPr>
        <w:tc>
          <w:tcPr>
            <w:tcW w:w="100" w:type="dxa"/>
            <w:vAlign w:val="bottom"/>
            <w:shd w:val="clear" w:color="auto" w:fill="CCEEFF"/>
          </w:tcPr>
          <w:p>
            <w:pPr>
              <w:spacing w:after="0"/>
              <w:rPr>
                <w:sz w:val="16"/>
                <w:szCs w:val="16"/>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PMC MSR Agreements</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40,720</w:t>
            </w:r>
          </w:p>
        </w:tc>
      </w:tr>
      <w:tr>
        <w:trPr>
          <w:trHeight w:val="181"/>
        </w:trPr>
        <w:tc>
          <w:tcPr>
            <w:tcW w:w="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(63,762)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(12,202)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(73,706)</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13,736</w:t>
            </w:r>
          </w:p>
        </w:tc>
      </w:tr>
      <w:tr>
        <w:trPr>
          <w:trHeight w:val="190"/>
        </w:trPr>
        <w:tc>
          <w:tcPr>
            <w:tcW w:w="100" w:type="dxa"/>
            <w:vAlign w:val="bottom"/>
            <w:shd w:val="clear" w:color="auto" w:fill="CCEEFF"/>
          </w:tcPr>
          <w:p>
            <w:pPr>
              <w:spacing w:after="0"/>
              <w:rPr>
                <w:sz w:val="16"/>
                <w:szCs w:val="16"/>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Runoff and settlement:</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740" w:type="dxa"/>
            <w:vAlign w:val="bottom"/>
          </w:tcPr>
          <w:p>
            <w:pPr>
              <w:ind w:left="180"/>
              <w:spacing w:after="0"/>
              <w:rPr>
                <w:sz w:val="20"/>
                <w:szCs w:val="20"/>
                <w:color w:val="auto"/>
              </w:rPr>
            </w:pPr>
            <w:r>
              <w:rPr>
                <w:rFonts w:ascii="Arial" w:cs="Arial" w:eastAsia="Arial" w:hAnsi="Arial"/>
                <w:sz w:val="15"/>
                <w:szCs w:val="15"/>
                <w:color w:val="auto"/>
              </w:rPr>
              <w:t>Original Rights to MSRs Agreements (1)</w:t>
            </w:r>
          </w:p>
        </w:tc>
        <w:tc>
          <w:tcPr>
            <w:tcW w:w="2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21,100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17,451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59,627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49,150</w:t>
            </w:r>
          </w:p>
        </w:tc>
      </w:tr>
      <w:tr>
        <w:trPr>
          <w:trHeight w:val="190"/>
        </w:trPr>
        <w:tc>
          <w:tcPr>
            <w:tcW w:w="100" w:type="dxa"/>
            <w:vAlign w:val="bottom"/>
            <w:shd w:val="clear" w:color="auto" w:fill="CCEEFF"/>
          </w:tcPr>
          <w:p>
            <w:pPr>
              <w:spacing w:after="0"/>
              <w:rPr>
                <w:sz w:val="16"/>
                <w:szCs w:val="16"/>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2017 Agreements and New RMSR Agreements</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35,121</w:t>
            </w:r>
          </w:p>
        </w:tc>
      </w:tr>
      <w:tr>
        <w:trPr>
          <w:trHeight w:val="189"/>
        </w:trPr>
        <w:tc>
          <w:tcPr>
            <w:tcW w:w="100" w:type="dxa"/>
            <w:vAlign w:val="bottom"/>
          </w:tcPr>
          <w:p>
            <w:pPr>
              <w:spacing w:after="0"/>
              <w:rPr>
                <w:sz w:val="16"/>
                <w:szCs w:val="16"/>
                <w:color w:val="auto"/>
              </w:rPr>
            </w:pPr>
          </w:p>
        </w:tc>
        <w:tc>
          <w:tcPr>
            <w:tcW w:w="4740" w:type="dxa"/>
            <w:vAlign w:val="bottom"/>
          </w:tcPr>
          <w:p>
            <w:pPr>
              <w:ind w:left="180"/>
              <w:spacing w:after="0"/>
              <w:rPr>
                <w:sz w:val="20"/>
                <w:szCs w:val="20"/>
                <w:color w:val="auto"/>
              </w:rPr>
            </w:pPr>
            <w:r>
              <w:rPr>
                <w:rFonts w:ascii="Arial" w:cs="Arial" w:eastAsia="Arial" w:hAnsi="Arial"/>
                <w:sz w:val="15"/>
                <w:szCs w:val="15"/>
                <w:color w:val="auto"/>
              </w:rPr>
              <w:t>PMC MSR Agreements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7,492</w:t>
            </w:r>
          </w:p>
        </w:tc>
      </w:tr>
      <w:tr>
        <w:trPr>
          <w:trHeight w:val="181"/>
        </w:trPr>
        <w:tc>
          <w:tcPr>
            <w:tcW w:w="10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21,100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17,451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59,627</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91,763</w:t>
            </w:r>
          </w:p>
        </w:tc>
      </w:tr>
      <w:tr>
        <w:trPr>
          <w:trHeight w:val="134"/>
        </w:trPr>
        <w:tc>
          <w:tcPr>
            <w:tcW w:w="48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r>
      <w:tr>
        <w:trPr>
          <w:trHeight w:val="18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7,377</w:t>
            </w:r>
          </w:p>
        </w:tc>
      </w:tr>
      <w:tr>
        <w:trPr>
          <w:trHeight w:val="134"/>
        </w:trPr>
        <w:tc>
          <w:tcPr>
            <w:tcW w:w="4840" w:type="dxa"/>
            <w:vAlign w:val="bottom"/>
            <w:tcBorders>
              <w:bottom w:val="single" w:sz="8" w:color="CCEEFF"/>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spacing w:after="0"/>
              <w:rPr>
                <w:sz w:val="11"/>
                <w:szCs w:val="11"/>
                <w:color w:val="auto"/>
              </w:rPr>
            </w:pPr>
          </w:p>
        </w:tc>
      </w:tr>
      <w:tr>
        <w:trPr>
          <w:trHeight w:val="20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Pledged MSR liability expense - NRZ</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93,253</w:t>
            </w: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170,914</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105,684</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00" w:right="200" w:hanging="191"/>
        <w:spacing w:after="0" w:line="267"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Effective January 1, 2021, changes in fair value due to actual vs. model variances are presented as Changes in valuation inputs or assumptions. Activity for the three and nine months ended September 30, 2020 in the table above has been recast to conform to current year disclosure, resulting in losses of $1.8 million and $7.6 million, respectively, reclassified from Runoff and settlement to Changes in fair value.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0" w:name="page31"/>
    <w:bookmarkEnd w:id="30"/>
    <w:tbl>
      <w:tblPr>
        <w:tblLayout w:type="fixed"/>
        <w:tblInd w:w="280" w:type="dxa"/>
        <w:tblCellMar>
          <w:top w:w="0" w:type="dxa"/>
          <w:left w:w="0" w:type="dxa"/>
          <w:bottom w:w="0" w:type="dxa"/>
          <w:right w:w="0" w:type="dxa"/>
        </w:tblCellMar>
      </w:tblPr>
      <w:tr>
        <w:trPr>
          <w:trHeight w:val="188"/>
        </w:trPr>
        <w:tc>
          <w:tcPr>
            <w:tcW w:w="8140" w:type="dxa"/>
            <w:vAlign w:val="bottom"/>
          </w:tcPr>
          <w:p>
            <w:pPr>
              <w:spacing w:after="0"/>
              <w:rPr>
                <w:sz w:val="20"/>
                <w:szCs w:val="20"/>
                <w:color w:val="auto"/>
              </w:rPr>
            </w:pPr>
            <w:r>
              <w:rPr>
                <w:rFonts w:ascii="Arial" w:cs="Arial" w:eastAsia="Arial" w:hAnsi="Arial"/>
                <w:sz w:val="15"/>
                <w:szCs w:val="15"/>
                <w:b w:val="1"/>
                <w:bCs w:val="1"/>
                <w:i w:val="1"/>
                <w:iCs w:val="1"/>
                <w:color w:val="auto"/>
              </w:rPr>
              <w:t>MAV Pledged MSR liability expense:</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8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5"/>
                <w:szCs w:val="15"/>
                <w:b w:val="1"/>
                <w:bCs w:val="1"/>
                <w:color w:val="auto"/>
                <w:w w:val="95"/>
              </w:rPr>
              <w:t>Three Months Ended</w:t>
            </w: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Nine Months Ended</w:t>
            </w:r>
          </w:p>
        </w:tc>
      </w:tr>
      <w:tr>
        <w:trPr>
          <w:trHeight w:val="189"/>
        </w:trPr>
        <w:tc>
          <w:tcPr>
            <w:tcW w:w="814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2021</w:t>
            </w:r>
          </w:p>
        </w:tc>
        <w:tc>
          <w:tcPr>
            <w:tcW w:w="140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w w:val="92"/>
              </w:rPr>
              <w:t>September 30, 2021</w:t>
            </w:r>
          </w:p>
        </w:tc>
      </w:tr>
      <w:tr>
        <w:trPr>
          <w:trHeight w:val="181"/>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Servicing fees collected on behalf of MAV</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w:t>
            </w:r>
          </w:p>
        </w:tc>
      </w:tr>
      <w:tr>
        <w:trPr>
          <w:trHeight w:val="18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Subservicing fee retained by Ocwen</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r>
      <w:tr>
        <w:trPr>
          <w:trHeight w:val="181"/>
        </w:trPr>
        <w:tc>
          <w:tcPr>
            <w:tcW w:w="81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servicing fees remitted to MAV</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w:t>
            </w:r>
          </w:p>
        </w:tc>
      </w:tr>
      <w:tr>
        <w:trPr>
          <w:trHeight w:val="134"/>
        </w:trPr>
        <w:tc>
          <w:tcPr>
            <w:tcW w:w="8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Reduction (increase) in Transferred MSR liability</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140" w:type="dxa"/>
            <w:vAlign w:val="bottom"/>
          </w:tcPr>
          <w:p>
            <w:pPr>
              <w:ind w:left="120"/>
              <w:spacing w:after="0"/>
              <w:rPr>
                <w:sz w:val="20"/>
                <w:szCs w:val="20"/>
                <w:color w:val="auto"/>
              </w:rPr>
            </w:pPr>
            <w:r>
              <w:rPr>
                <w:rFonts w:ascii="Arial" w:cs="Arial" w:eastAsia="Arial" w:hAnsi="Arial"/>
                <w:sz w:val="15"/>
                <w:szCs w:val="15"/>
                <w:color w:val="auto"/>
              </w:rPr>
              <w:t>Changes in fair value</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2,433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2,433</w:t>
            </w:r>
          </w:p>
        </w:tc>
      </w:tr>
      <w:tr>
        <w:trPr>
          <w:trHeight w:val="189"/>
        </w:trPr>
        <w:tc>
          <w:tcPr>
            <w:tcW w:w="8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Runoff and settlement</w:t>
            </w:r>
          </w:p>
        </w:tc>
        <w:tc>
          <w:tcPr>
            <w:tcW w:w="5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r>
      <w:tr>
        <w:trPr>
          <w:trHeight w:val="181"/>
        </w:trPr>
        <w:tc>
          <w:tcPr>
            <w:tcW w:w="8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3,116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3,116</w:t>
            </w:r>
          </w:p>
        </w:tc>
      </w:tr>
      <w:tr>
        <w:trPr>
          <w:trHeight w:val="134"/>
        </w:trPr>
        <w:tc>
          <w:tcPr>
            <w:tcW w:w="8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9"/>
        </w:trPr>
        <w:tc>
          <w:tcPr>
            <w:tcW w:w="8140" w:type="dxa"/>
            <w:vAlign w:val="bottom"/>
          </w:tcPr>
          <w:p>
            <w:pPr>
              <w:ind w:left="20"/>
              <w:spacing w:after="0"/>
              <w:rPr>
                <w:sz w:val="20"/>
                <w:szCs w:val="20"/>
                <w:color w:val="auto"/>
              </w:rPr>
            </w:pPr>
            <w:r>
              <w:rPr>
                <w:rFonts w:ascii="Arial" w:cs="Arial" w:eastAsia="Arial" w:hAnsi="Arial"/>
                <w:sz w:val="15"/>
                <w:szCs w:val="15"/>
                <w:color w:val="auto"/>
              </w:rPr>
              <w:t>Other</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(199)</w:t>
            </w:r>
          </w:p>
        </w:tc>
      </w:tr>
      <w:tr>
        <w:trPr>
          <w:trHeight w:val="134"/>
        </w:trPr>
        <w:tc>
          <w:tcPr>
            <w:tcW w:w="814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r>
      <w:tr>
        <w:trPr>
          <w:trHeight w:val="181"/>
        </w:trPr>
        <w:tc>
          <w:tcPr>
            <w:tcW w:w="8140" w:type="dxa"/>
            <w:vAlign w:val="bottom"/>
          </w:tcPr>
          <w:p>
            <w:pPr>
              <w:ind w:left="20"/>
              <w:spacing w:after="0"/>
              <w:rPr>
                <w:sz w:val="20"/>
                <w:szCs w:val="20"/>
                <w:color w:val="auto"/>
              </w:rPr>
            </w:pPr>
            <w:r>
              <w:rPr>
                <w:rFonts w:ascii="Arial" w:cs="Arial" w:eastAsia="Arial" w:hAnsi="Arial"/>
                <w:sz w:val="15"/>
                <w:szCs w:val="15"/>
                <w:color w:val="auto"/>
              </w:rPr>
              <w:t>Pledged MSR liability expense - MAV</w:t>
            </w:r>
          </w:p>
        </w:tc>
        <w:tc>
          <w:tcPr>
            <w:tcW w:w="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(2,094)</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(2,094)</w:t>
            </w:r>
          </w:p>
        </w:tc>
      </w:tr>
      <w:tr>
        <w:trPr>
          <w:trHeight w:val="20"/>
        </w:trPr>
        <w:tc>
          <w:tcPr>
            <w:tcW w:w="8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right="720" w:firstLine="268"/>
        <w:spacing w:after="0" w:line="270" w:lineRule="auto"/>
        <w:rPr>
          <w:sz w:val="20"/>
          <w:szCs w:val="20"/>
          <w:color w:val="auto"/>
        </w:rPr>
      </w:pPr>
      <w:r>
        <w:rPr>
          <w:rFonts w:ascii="Arial" w:cs="Arial" w:eastAsia="Arial" w:hAnsi="Arial"/>
          <w:sz w:val="15"/>
          <w:szCs w:val="15"/>
          <w:color w:val="auto"/>
        </w:rPr>
        <w:t>The following table presents UPB of loans serviced on behalf of NRZ and MAV for transferred MSRs that did not qualify for sale accounting together with the UPB of loans subserviced on behalf of NRZ and MAV:</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6"/>
                <w:szCs w:val="16"/>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r>
      <w:tr>
        <w:trPr>
          <w:trHeight w:val="170"/>
        </w:trPr>
        <w:tc>
          <w:tcPr>
            <w:tcW w:w="81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NRZ Agreements</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9"/>
        </w:trPr>
        <w:tc>
          <w:tcPr>
            <w:tcW w:w="8120" w:type="dxa"/>
            <w:vAlign w:val="bottom"/>
          </w:tcPr>
          <w:p>
            <w:pPr>
              <w:ind w:left="120"/>
              <w:spacing w:after="0"/>
              <w:rPr>
                <w:sz w:val="20"/>
                <w:szCs w:val="20"/>
                <w:color w:val="auto"/>
              </w:rPr>
            </w:pPr>
            <w:r>
              <w:rPr>
                <w:rFonts w:ascii="Arial" w:cs="Arial" w:eastAsia="Arial" w:hAnsi="Arial"/>
                <w:sz w:val="15"/>
                <w:szCs w:val="15"/>
                <w:color w:val="auto"/>
              </w:rPr>
              <w:t>Ocwen servicer of record (MSR title retained by Ocwen) - Ocwen MSR (1) (2)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12,601,689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14,114,602</w:t>
            </w:r>
          </w:p>
        </w:tc>
      </w:tr>
      <w:tr>
        <w:trPr>
          <w:trHeight w:val="190"/>
        </w:trPr>
        <w:tc>
          <w:tcPr>
            <w:tcW w:w="8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NRZ servicer of record (MSR title transferred to NRZ) - Ocwen MSR (1)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43,526,008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49,866,082</w:t>
            </w:r>
          </w:p>
        </w:tc>
      </w:tr>
      <w:tr>
        <w:trPr>
          <w:trHeight w:val="189"/>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Ocwen subservicer</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2,251,947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3,130,704</w:t>
            </w:r>
          </w:p>
        </w:tc>
      </w:tr>
      <w:tr>
        <w:trPr>
          <w:trHeight w:val="181"/>
        </w:trPr>
        <w:tc>
          <w:tcPr>
            <w:tcW w:w="8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58,379,644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67,111,388</w:t>
            </w:r>
          </w:p>
        </w:tc>
      </w:tr>
      <w:tr>
        <w:trPr>
          <w:trHeight w:val="169"/>
        </w:trPr>
        <w:tc>
          <w:tcPr>
            <w:tcW w:w="8120" w:type="dxa"/>
            <w:vAlign w:val="bottom"/>
          </w:tcPr>
          <w:p>
            <w:pPr>
              <w:ind w:left="20"/>
              <w:spacing w:after="0" w:line="169" w:lineRule="exact"/>
              <w:rPr>
                <w:sz w:val="20"/>
                <w:szCs w:val="20"/>
                <w:color w:val="auto"/>
              </w:rPr>
            </w:pPr>
            <w:r>
              <w:rPr>
                <w:rFonts w:ascii="Arial" w:cs="Arial" w:eastAsia="Arial" w:hAnsi="Arial"/>
                <w:sz w:val="15"/>
                <w:szCs w:val="15"/>
                <w:color w:val="auto"/>
              </w:rPr>
              <w:t>MAV Agreements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8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transferred to MAV (1)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13,570,892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Ocwen subservicer</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7,855,112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8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21,426,004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14"/>
        </w:trPr>
        <w:tc>
          <w:tcPr>
            <w:tcW w:w="8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206"/>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UPB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79,805,648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67,111,388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280" w:hanging="271"/>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MSR transfers did not qualify for sale accounting treatment.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NRZ’s and MAV’s associated outstanding servicing advances were approximately $493.4 million and $4.5 million, respectively, as of September 30, 2021.</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NRZ - Ocwen Transactions</w:t>
      </w:r>
    </w:p>
    <w:p>
      <w:pPr>
        <w:spacing w:after="0" w:line="95"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70" w:lineRule="exact"/>
        <w:rPr>
          <w:sz w:val="20"/>
          <w:szCs w:val="20"/>
          <w:color w:val="auto"/>
        </w:rPr>
      </w:pPr>
    </w:p>
    <w:p>
      <w:pPr>
        <w:jc w:val="both"/>
        <w:ind w:right="20" w:firstLine="268"/>
        <w:spacing w:after="0" w:line="301" w:lineRule="auto"/>
        <w:rPr>
          <w:sz w:val="20"/>
          <w:szCs w:val="20"/>
          <w:color w:val="auto"/>
        </w:rPr>
      </w:pPr>
      <w:r>
        <w:rPr>
          <w:rFonts w:ascii="Arial" w:cs="Arial" w:eastAsia="Arial" w:hAnsi="Arial"/>
          <w:sz w:val="13"/>
          <w:szCs w:val="13"/>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1" w:name="page32"/>
    <w:bookmarkEnd w:id="31"/>
    <w:p>
      <w:pPr>
        <w:ind w:firstLine="268"/>
        <w:spacing w:after="0" w:line="253" w:lineRule="auto"/>
        <w:rPr>
          <w:sz w:val="20"/>
          <w:szCs w:val="20"/>
          <w:color w:val="auto"/>
        </w:rPr>
      </w:pPr>
      <w:r>
        <w:rPr>
          <w:rFonts w:ascii="Arial" w:cs="Arial" w:eastAsia="Arial" w:hAnsi="Arial"/>
          <w:sz w:val="15"/>
          <w:szCs w:val="15"/>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2"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unaudited consolidated statements of operations.</w:t>
      </w:r>
    </w:p>
    <w:p>
      <w:pPr>
        <w:spacing w:after="0" w:line="72" w:lineRule="exact"/>
        <w:rPr>
          <w:sz w:val="20"/>
          <w:szCs w:val="20"/>
          <w:color w:val="auto"/>
        </w:rPr>
      </w:pPr>
    </w:p>
    <w:p>
      <w:pPr>
        <w:ind w:right="160" w:firstLine="268"/>
        <w:spacing w:after="0" w:line="307" w:lineRule="auto"/>
        <w:rPr>
          <w:sz w:val="20"/>
          <w:szCs w:val="20"/>
          <w:color w:val="auto"/>
        </w:rPr>
      </w:pPr>
      <w:r>
        <w:rPr>
          <w:rFonts w:ascii="Arial" w:cs="Arial" w:eastAsia="Arial" w:hAnsi="Arial"/>
          <w:sz w:val="13"/>
          <w:szCs w:val="13"/>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38" w:lineRule="exact"/>
        <w:rPr>
          <w:sz w:val="20"/>
          <w:szCs w:val="20"/>
          <w:color w:val="auto"/>
        </w:rPr>
      </w:pPr>
    </w:p>
    <w:p>
      <w:pPr>
        <w:jc w:val="both"/>
        <w:ind w:right="100" w:firstLine="268"/>
        <w:spacing w:after="0" w:line="259" w:lineRule="auto"/>
        <w:rPr>
          <w:sz w:val="20"/>
          <w:szCs w:val="20"/>
          <w:color w:val="auto"/>
        </w:rPr>
      </w:pPr>
      <w:r>
        <w:rPr>
          <w:rFonts w:ascii="Arial" w:cs="Arial" w:eastAsia="Arial" w:hAnsi="Arial"/>
          <w:sz w:val="15"/>
          <w:szCs w:val="15"/>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55" w:lineRule="exact"/>
        <w:rPr>
          <w:sz w:val="20"/>
          <w:szCs w:val="20"/>
          <w:color w:val="auto"/>
        </w:rPr>
      </w:pPr>
    </w:p>
    <w:p>
      <w:pPr>
        <w:ind w:right="40" w:firstLine="268"/>
        <w:spacing w:after="0"/>
        <w:rPr>
          <w:sz w:val="20"/>
          <w:szCs w:val="20"/>
          <w:color w:val="auto"/>
        </w:rPr>
      </w:pPr>
      <w:r>
        <w:rPr>
          <w:rFonts w:ascii="Arial" w:cs="Arial" w:eastAsia="Arial" w:hAnsi="Arial"/>
          <w:sz w:val="14"/>
          <w:szCs w:val="14"/>
          <w:color w:val="auto"/>
        </w:rPr>
        <w:t>Following the Initial Term, NRZ may extend the term of the Subservicing Agreements and Servicing Addendum for additional three-month periods by providing proper notice. In addition, the Subservicing Agreements and Servicing Addendum may be terminated by Ocwen without cause on an annual basis (in effect a non-renewal) by providing at least 225 days’ notice in advance of the last day of the Initial Term or the last day of each one-year extension of the applicable terms after the Initial Term.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71" w:lineRule="exact"/>
        <w:rPr>
          <w:sz w:val="20"/>
          <w:szCs w:val="20"/>
          <w:color w:val="auto"/>
        </w:rPr>
      </w:pPr>
    </w:p>
    <w:p>
      <w:pPr>
        <w:ind w:right="240" w:firstLine="268"/>
        <w:spacing w:after="0" w:line="280" w:lineRule="auto"/>
        <w:rPr>
          <w:sz w:val="20"/>
          <w:szCs w:val="20"/>
          <w:color w:val="auto"/>
        </w:rPr>
      </w:pPr>
      <w:r>
        <w:rPr>
          <w:rFonts w:ascii="Arial" w:cs="Arial" w:eastAsia="Arial" w:hAnsi="Arial"/>
          <w:sz w:val="13"/>
          <w:szCs w:val="13"/>
          <w:color w:val="auto"/>
        </w:rPr>
        <w:t>Under the terms of the Subservicing Agreements and Servicing Addendum, in addition to a base servicing fee, Ocwen receives certain ancillary fees, primarily late fees, loan modification fees and convenience or Speedpay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47" w:lineRule="exact"/>
        <w:rPr>
          <w:sz w:val="20"/>
          <w:szCs w:val="20"/>
          <w:color w:val="auto"/>
        </w:rPr>
      </w:pPr>
    </w:p>
    <w:p>
      <w:pPr>
        <w:ind w:right="180" w:firstLine="268"/>
        <w:spacing w:after="0" w:line="252" w:lineRule="auto"/>
        <w:rPr>
          <w:sz w:val="20"/>
          <w:szCs w:val="20"/>
          <w:color w:val="auto"/>
        </w:rPr>
      </w:pPr>
      <w:r>
        <w:rPr>
          <w:rFonts w:ascii="Arial" w:cs="Arial" w:eastAsia="Arial" w:hAnsi="Arial"/>
          <w:sz w:val="15"/>
          <w:szCs w:val="15"/>
          <w:color w:val="auto"/>
        </w:rPr>
        <w:t>As of September 30, 2021, the UPB of MSRs subject to the Servicing Agreements and the New RMSR Agreements is $58.4 billion, including $12.6 billion for which title has not transferred to NRZ. As the third-party consents required for title to the MSRs to transfer were not obtained by May 31, 2019, the New RMSR Agreements set forth a process under which NRZ’s $12.6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73" w:lineRule="exact"/>
        <w:rPr>
          <w:sz w:val="20"/>
          <w:szCs w:val="20"/>
          <w:color w:val="auto"/>
        </w:rPr>
      </w:pPr>
    </w:p>
    <w:p>
      <w:pPr>
        <w:ind w:right="100" w:firstLine="268"/>
        <w:spacing w:after="0" w:line="272" w:lineRule="auto"/>
        <w:rPr>
          <w:sz w:val="20"/>
          <w:szCs w:val="20"/>
          <w:color w:val="auto"/>
        </w:rPr>
      </w:pPr>
      <w:r>
        <w:rPr>
          <w:rFonts w:ascii="Arial" w:cs="Arial" w:eastAsia="Arial" w:hAnsi="Arial"/>
          <w:sz w:val="14"/>
          <w:szCs w:val="14"/>
          <w:color w:val="auto"/>
        </w:rPr>
        <w:t>In addition, as noted above, during the Initial Term, NRZ has the right to terminate the $12.6 billion New RMSR Agreements for convenience, in whole but not in part, subject to payment of a termination fee and 180 days’ notice.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32" w:name="page33"/>
    <w:bookmarkEnd w:id="32"/>
    <w:p>
      <w:pPr>
        <w:ind w:right="120"/>
        <w:spacing w:after="0" w:line="270" w:lineRule="auto"/>
        <w:rPr>
          <w:sz w:val="20"/>
          <w:szCs w:val="20"/>
          <w:color w:val="auto"/>
        </w:rPr>
      </w:pPr>
      <w:r>
        <w:rPr>
          <w:rFonts w:ascii="Arial" w:cs="Arial" w:eastAsia="Arial" w:hAnsi="Arial"/>
          <w:sz w:val="15"/>
          <w:szCs w:val="15"/>
          <w:color w:val="auto"/>
        </w:rPr>
        <w:t>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NRZ - PMC Transactions</w:t>
      </w:r>
    </w:p>
    <w:p>
      <w:pPr>
        <w:spacing w:after="0" w:line="95" w:lineRule="exact"/>
        <w:rPr>
          <w:sz w:val="20"/>
          <w:szCs w:val="20"/>
          <w:color w:val="auto"/>
        </w:rPr>
      </w:pPr>
    </w:p>
    <w:p>
      <w:pPr>
        <w:ind w:right="120" w:firstLine="268"/>
        <w:spacing w:after="0" w:line="279" w:lineRule="auto"/>
        <w:rPr>
          <w:sz w:val="20"/>
          <w:szCs w:val="20"/>
          <w:color w:val="auto"/>
        </w:rPr>
      </w:pPr>
      <w:r>
        <w:rPr>
          <w:rFonts w:ascii="Arial" w:cs="Arial" w:eastAsia="Arial" w:hAnsi="Arial"/>
          <w:sz w:val="14"/>
          <w:szCs w:val="14"/>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54" w:lineRule="exact"/>
        <w:rPr>
          <w:sz w:val="20"/>
          <w:szCs w:val="20"/>
          <w:color w:val="auto"/>
        </w:rPr>
      </w:pPr>
    </w:p>
    <w:p>
      <w:pPr>
        <w:ind w:right="20" w:firstLine="268"/>
        <w:spacing w:after="0" w:line="274" w:lineRule="auto"/>
        <w:rPr>
          <w:sz w:val="20"/>
          <w:szCs w:val="20"/>
          <w:color w:val="auto"/>
        </w:rPr>
      </w:pPr>
      <w:r>
        <w:rPr>
          <w:rFonts w:ascii="Arial" w:cs="Arial" w:eastAsia="Arial" w:hAnsi="Arial"/>
          <w:sz w:val="14"/>
          <w:szCs w:val="14"/>
          <w:color w:val="auto"/>
        </w:rPr>
        <w:t>On February 20, 2020, we received a notice of termination from NRZ with respect to the PMC 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in October 2020 representing $34.2 billion of UPB, and accounted for 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of UPB were deboarded and the remaining 136,500 loans representing $16.0 billion of UPB were deboarded on October 1,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1440" w:type="dxa"/>
            <w:vAlign w:val="bottom"/>
          </w:tcPr>
          <w:p>
            <w:pPr>
              <w:jc w:val="right"/>
              <w:ind w:right="106"/>
              <w:spacing w:after="0"/>
              <w:rPr>
                <w:sz w:val="20"/>
                <w:szCs w:val="20"/>
                <w:color w:val="auto"/>
              </w:rPr>
            </w:pPr>
            <w:r>
              <w:rPr>
                <w:rFonts w:ascii="Arial" w:cs="Arial" w:eastAsia="Arial" w:hAnsi="Arial"/>
                <w:sz w:val="15"/>
                <w:szCs w:val="15"/>
                <w:b w:val="1"/>
                <w:bCs w:val="1"/>
                <w:color w:val="auto"/>
                <w:w w:val="91"/>
              </w:rPr>
              <w:t>December 31, 2020</w:t>
            </w:r>
          </w:p>
        </w:tc>
      </w:tr>
      <w:tr>
        <w:trPr>
          <w:trHeight w:val="170"/>
        </w:trPr>
        <w:tc>
          <w:tcPr>
            <w:tcW w:w="80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Servicing-related receivables:</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Government-insured loan claims - Forward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93,717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103,058</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Government-insured loan claims - Reverse</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32,887</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Due from custodial accounts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25,700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19,393</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Reimbursable expenses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4,970</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Subservicing fees and reimbursable expenses - Due from NRZ</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2,892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4,611</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Subservicing fees and reimbursable expenses - Due from MAV</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1,087</w:t>
            </w:r>
          </w:p>
        </w:tc>
      </w:tr>
      <w:tr>
        <w:trPr>
          <w:trHeight w:val="181"/>
        </w:trPr>
        <w:tc>
          <w:tcPr>
            <w:tcW w:w="8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166,006</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Income taxes receivable</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54,501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57,503</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Due from MAV</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receivables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3,200</w:t>
            </w:r>
          </w:p>
        </w:tc>
      </w:tr>
      <w:tr>
        <w:trPr>
          <w:trHeight w:val="181"/>
        </w:trPr>
        <w:tc>
          <w:tcPr>
            <w:tcW w:w="8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224,764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226,709</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Allowance for losses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(39,044)</w:t>
            </w:r>
          </w:p>
        </w:tc>
      </w:tr>
      <w:tr>
        <w:trPr>
          <w:trHeight w:val="206"/>
        </w:trPr>
        <w:tc>
          <w:tcPr>
            <w:tcW w:w="8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183,090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187,665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right="260" w:firstLine="268"/>
        <w:spacing w:after="0" w:line="286" w:lineRule="auto"/>
        <w:rPr>
          <w:sz w:val="20"/>
          <w:szCs w:val="20"/>
          <w:color w:val="auto"/>
        </w:rPr>
      </w:pPr>
      <w:r>
        <w:rPr>
          <w:rFonts w:ascii="Arial" w:cs="Arial" w:eastAsia="Arial" w:hAnsi="Arial"/>
          <w:sz w:val="14"/>
          <w:szCs w:val="14"/>
          <w:color w:val="auto"/>
        </w:rPr>
        <w:t>At September 30, 2021 and December 31, 2020, the allowance for losses primarily related to receivables of our Servicing business. The allowance for losses related to FHA- or VA-insured loans repurchased from Ginnie Mae guaranteed securitizations (government-insured claims) was $41.1 million and $38.3 million at September 30, 2021 and December 31, 2020, respectively. The government-insured claims that do not exceed HUD, VA or FHA insurance limits are guaranteed by the U.S. government.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ind w:left="200"/>
              <w:spacing w:after="0"/>
              <w:rPr>
                <w:sz w:val="20"/>
                <w:szCs w:val="20"/>
                <w:color w:val="auto"/>
              </w:rPr>
            </w:pPr>
            <w:r>
              <w:rPr>
                <w:rFonts w:ascii="Arial" w:cs="Arial" w:eastAsia="Arial" w:hAnsi="Arial"/>
                <w:sz w:val="15"/>
                <w:szCs w:val="15"/>
                <w:b w:val="1"/>
                <w:bCs w:val="1"/>
                <w:color w:val="auto"/>
              </w:rPr>
              <w:t>Nine Months Ended September 30,</w:t>
            </w:r>
          </w:p>
        </w:tc>
      </w:tr>
      <w:tr>
        <w:trPr>
          <w:trHeight w:val="19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Allowance for Losses - Government-Insured Loan Claims</w:t>
            </w: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5"/>
                <w:szCs w:val="15"/>
                <w:color w:val="auto"/>
                <w:w w:val="95"/>
              </w:rPr>
              <w:t>38,339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center"/>
              <w:ind w:left="586"/>
              <w:spacing w:after="0"/>
              <w:rPr>
                <w:sz w:val="20"/>
                <w:szCs w:val="20"/>
                <w:color w:val="auto"/>
              </w:rPr>
            </w:pPr>
            <w:r>
              <w:rPr>
                <w:rFonts w:ascii="Arial" w:cs="Arial" w:eastAsia="Arial" w:hAnsi="Arial"/>
                <w:sz w:val="15"/>
                <w:szCs w:val="15"/>
                <w:color w:val="auto"/>
                <w:w w:val="87"/>
              </w:rPr>
              <w:t>56,868</w:t>
            </w:r>
          </w:p>
        </w:tc>
      </w:tr>
      <w:tr>
        <w:trPr>
          <w:trHeight w:val="189"/>
        </w:trPr>
        <w:tc>
          <w:tcPr>
            <w:tcW w:w="4840" w:type="dxa"/>
            <w:vAlign w:val="bottom"/>
          </w:tcPr>
          <w:p>
            <w:pPr>
              <w:ind w:left="120"/>
              <w:spacing w:after="0"/>
              <w:rPr>
                <w:sz w:val="20"/>
                <w:szCs w:val="20"/>
                <w:color w:val="auto"/>
              </w:rPr>
            </w:pPr>
            <w:r>
              <w:rPr>
                <w:rFonts w:ascii="Arial" w:cs="Arial" w:eastAsia="Arial" w:hAnsi="Arial"/>
                <w:sz w:val="15"/>
                <w:szCs w:val="15"/>
                <w:color w:val="auto"/>
              </w:rPr>
              <w:t>Provision</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800"/>
              <w:spacing w:after="0"/>
              <w:rPr>
                <w:sz w:val="20"/>
                <w:szCs w:val="20"/>
                <w:color w:val="auto"/>
              </w:rPr>
            </w:pPr>
            <w:r>
              <w:rPr>
                <w:rFonts w:ascii="Arial" w:cs="Arial" w:eastAsia="Arial" w:hAnsi="Arial"/>
                <w:sz w:val="15"/>
                <w:szCs w:val="15"/>
                <w:color w:val="auto"/>
                <w:w w:val="95"/>
              </w:rPr>
              <w:t>10,526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left="586"/>
              <w:spacing w:after="0"/>
              <w:rPr>
                <w:sz w:val="20"/>
                <w:szCs w:val="20"/>
                <w:color w:val="auto"/>
              </w:rPr>
            </w:pPr>
            <w:r>
              <w:rPr>
                <w:rFonts w:ascii="Arial" w:cs="Arial" w:eastAsia="Arial" w:hAnsi="Arial"/>
                <w:sz w:val="15"/>
                <w:szCs w:val="15"/>
                <w:color w:val="auto"/>
                <w:w w:val="87"/>
              </w:rPr>
              <w:t>12,249</w:t>
            </w: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Charge-offs and other, net</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(17,607)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w w:val="92"/>
              </w:rPr>
              <w:t>(7,800)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3"/>
              </w:rPr>
              <w:t>(28,359)</w:t>
            </w:r>
          </w:p>
        </w:tc>
      </w:tr>
      <w:tr>
        <w:trPr>
          <w:trHeight w:val="181"/>
        </w:trPr>
        <w:tc>
          <w:tcPr>
            <w:tcW w:w="484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41,065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40,758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w w:val="95"/>
              </w:rPr>
              <w:t>41,065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center"/>
              <w:ind w:left="586"/>
              <w:spacing w:after="0"/>
              <w:rPr>
                <w:sz w:val="20"/>
                <w:szCs w:val="20"/>
                <w:color w:val="auto"/>
              </w:rPr>
            </w:pPr>
            <w:r>
              <w:rPr>
                <w:rFonts w:ascii="Arial" w:cs="Arial" w:eastAsia="Arial" w:hAnsi="Arial"/>
                <w:sz w:val="15"/>
                <w:szCs w:val="15"/>
                <w:color w:val="auto"/>
                <w:w w:val="87"/>
              </w:rPr>
              <w:t>40,758</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31"/>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586"/>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2"/>
        </w:trPr>
        <w:tc>
          <w:tcPr>
            <w:tcW w:w="4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tment in Equity Method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12700</wp:posOffset>
            </wp:positionV>
            <wp:extent cx="64623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2395" cy="6985"/>
                    </a:xfrm>
                    <a:prstGeom prst="rect">
                      <a:avLst/>
                    </a:prstGeom>
                    <a:noFill/>
                  </pic:spPr>
                </pic:pic>
              </a:graphicData>
            </a:graphic>
          </wp:anchor>
        </w:drawing>
      </w:r>
    </w:p>
    <w:p>
      <w:pPr>
        <w:spacing w:after="0" w:line="168" w:lineRule="exact"/>
        <w:rPr>
          <w:sz w:val="20"/>
          <w:szCs w:val="20"/>
          <w:color w:val="auto"/>
        </w:rPr>
      </w:pPr>
    </w:p>
    <w:p>
      <w:pPr>
        <w:ind w:left="80" w:right="100" w:firstLine="268"/>
        <w:spacing w:after="0" w:line="259" w:lineRule="auto"/>
        <w:rPr>
          <w:sz w:val="20"/>
          <w:szCs w:val="20"/>
          <w:color w:val="auto"/>
        </w:rPr>
      </w:pPr>
      <w:r>
        <w:rPr>
          <w:rFonts w:ascii="Arial" w:cs="Arial" w:eastAsia="Arial" w:hAnsi="Arial"/>
          <w:sz w:val="15"/>
          <w:szCs w:val="15"/>
          <w:color w:val="auto"/>
        </w:rPr>
        <w:t>On December 21, 2020, Ocwen entered into a transaction agreement (the Transaction Agreement) with Oaktree Capital Management L.P. and certain affiliates (collectively Oaktree) to form a strategic relationship to invest in MSRs subserviced by PMC. The parties have agreed to invest their pro rata portions of up to an aggregate of $250.0 million in an intermediate holding company, MAV Canopy, held 15% by Ocwen and 85% by Oaktree.</w:t>
      </w:r>
    </w:p>
    <w:p>
      <w:pPr>
        <w:spacing w:after="0" w:line="66" w:lineRule="exact"/>
        <w:rPr>
          <w:sz w:val="20"/>
          <w:szCs w:val="20"/>
          <w:color w:val="auto"/>
        </w:rPr>
      </w:pPr>
    </w:p>
    <w:p>
      <w:pPr>
        <w:ind w:left="80" w:right="60" w:firstLine="268"/>
        <w:spacing w:after="0" w:line="259" w:lineRule="auto"/>
        <w:rPr>
          <w:sz w:val="20"/>
          <w:szCs w:val="20"/>
          <w:color w:val="auto"/>
        </w:rPr>
      </w:pPr>
      <w:r>
        <w:rPr>
          <w:rFonts w:ascii="Arial" w:cs="Arial" w:eastAsia="Arial" w:hAnsi="Arial"/>
          <w:sz w:val="15"/>
          <w:szCs w:val="15"/>
          <w:color w:val="auto"/>
        </w:rPr>
        <w:t>On May 3, 2021, pursuant to the Transaction Agreement, Ocwen contributed MAV, which had total member’s equity and cash balances of approximately $5.0 million, to MAV Canopy, and received 15% of MAV Canopy and cash consideration. MAV is a licensed mortgage servicing company approved to purchase GSE MSRs. PMC and MAV entered into a number of definitive agreements which govern the terms of their business relationship:</w:t>
      </w:r>
    </w:p>
    <w:p>
      <w:pPr>
        <w:spacing w:after="0" w:line="66" w:lineRule="exact"/>
        <w:rPr>
          <w:sz w:val="20"/>
          <w:szCs w:val="20"/>
          <w:color w:val="auto"/>
        </w:rPr>
      </w:pPr>
    </w:p>
    <w:p>
      <w:pPr>
        <w:ind w:left="80" w:right="40" w:firstLine="268"/>
        <w:spacing w:after="0" w:line="259" w:lineRule="auto"/>
        <w:rPr>
          <w:sz w:val="20"/>
          <w:szCs w:val="20"/>
          <w:color w:val="auto"/>
        </w:rPr>
      </w:pPr>
      <w:r>
        <w:rPr>
          <w:rFonts w:ascii="Arial" w:cs="Arial" w:eastAsia="Arial" w:hAnsi="Arial"/>
          <w:sz w:val="15"/>
          <w:szCs w:val="15"/>
          <w:i w:val="1"/>
          <w:iCs w:val="1"/>
          <w:color w:val="auto"/>
        </w:rPr>
        <w:t xml:space="preserve">Subservicing Agreement. </w:t>
      </w:r>
      <w:r>
        <w:rPr>
          <w:rFonts w:ascii="Arial" w:cs="Arial" w:eastAsia="Arial" w:hAnsi="Arial"/>
          <w:sz w:val="15"/>
          <w:szCs w:val="15"/>
          <w:color w:val="auto"/>
        </w:rPr>
        <w:t>Effective May 3, 2021, PMC entered into a subservicing agreement with MAV for exclusive rights to service the mortgage loans underlying MSRs owned by</w:t>
      </w:r>
      <w:r>
        <w:rPr>
          <w:rFonts w:ascii="Arial" w:cs="Arial" w:eastAsia="Arial" w:hAnsi="Arial"/>
          <w:sz w:val="15"/>
          <w:szCs w:val="15"/>
          <w:i w:val="1"/>
          <w:iCs w:val="1"/>
          <w:color w:val="auto"/>
        </w:rPr>
        <w:t xml:space="preserve"> </w:t>
      </w:r>
      <w:r>
        <w:rPr>
          <w:rFonts w:ascii="Arial" w:cs="Arial" w:eastAsia="Arial" w:hAnsi="Arial"/>
          <w:sz w:val="15"/>
          <w:szCs w:val="15"/>
          <w:color w:val="auto"/>
        </w:rPr>
        <w:t>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w:t>
      </w:r>
    </w:p>
    <w:p>
      <w:pPr>
        <w:spacing w:after="0" w:line="66" w:lineRule="exact"/>
        <w:rPr>
          <w:sz w:val="20"/>
          <w:szCs w:val="20"/>
          <w:color w:val="auto"/>
        </w:rPr>
      </w:pPr>
    </w:p>
    <w:p>
      <w:pPr>
        <w:ind w:left="80" w:right="40" w:firstLine="268"/>
        <w:spacing w:after="0" w:line="279" w:lineRule="auto"/>
        <w:rPr>
          <w:sz w:val="20"/>
          <w:szCs w:val="20"/>
          <w:color w:val="auto"/>
        </w:rPr>
      </w:pPr>
      <w:r>
        <w:rPr>
          <w:rFonts w:ascii="Arial" w:cs="Arial" w:eastAsia="Arial" w:hAnsi="Arial"/>
          <w:sz w:val="14"/>
          <w:szCs w:val="14"/>
          <w:i w:val="1"/>
          <w:iCs w:val="1"/>
          <w:color w:val="auto"/>
        </w:rPr>
        <w:t xml:space="preserve">Joint Marketing Agreement and Recapture Agreement. </w:t>
      </w:r>
      <w:r>
        <w:rPr>
          <w:rFonts w:ascii="Arial" w:cs="Arial" w:eastAsia="Arial" w:hAnsi="Arial"/>
          <w:sz w:val="14"/>
          <w:szCs w:val="14"/>
          <w:color w:val="auto"/>
        </w:rPr>
        <w:t>Effective May 3, 2021, in conjunction with the subservicing agreement, PMC and MAV entered into a joint marketing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and a flow MSR sale agreement (MSR recapture), whereby PMC is entitled to the exclusive right to solicit and refinance borrowers with loans underlying the MSR owned by MAV, and is obligated to transfer to MAV the MSR associated with the loans so originated. The joint marketing agreement and flow MSR sale agreement will continue until terminated by mutual agreement of the parties or for cause, as defined, or at the option of either party if the subservicing agreement is terminated.</w:t>
      </w:r>
    </w:p>
    <w:p>
      <w:pPr>
        <w:spacing w:after="0" w:line="54" w:lineRule="exact"/>
        <w:rPr>
          <w:sz w:val="20"/>
          <w:szCs w:val="20"/>
          <w:color w:val="auto"/>
        </w:rPr>
      </w:pPr>
    </w:p>
    <w:p>
      <w:pPr>
        <w:ind w:left="80" w:right="100" w:firstLine="268"/>
        <w:spacing w:after="0" w:line="259" w:lineRule="auto"/>
        <w:rPr>
          <w:sz w:val="20"/>
          <w:szCs w:val="20"/>
          <w:color w:val="auto"/>
        </w:rPr>
      </w:pPr>
      <w:r>
        <w:rPr>
          <w:rFonts w:ascii="Arial" w:cs="Arial" w:eastAsia="Arial" w:hAnsi="Arial"/>
          <w:sz w:val="15"/>
          <w:szCs w:val="15"/>
          <w:i w:val="1"/>
          <w:iCs w:val="1"/>
          <w:color w:val="auto"/>
        </w:rPr>
        <w:t xml:space="preserve">Administrative Services Agreement: </w:t>
      </w:r>
      <w:r>
        <w:rPr>
          <w:rFonts w:ascii="Arial" w:cs="Arial" w:eastAsia="Arial" w:hAnsi="Arial"/>
          <w:sz w:val="15"/>
          <w:szCs w:val="15"/>
          <w:color w:val="auto"/>
        </w:rPr>
        <w:t>Pursuant to the Transaction Agreement, Ocwen entered into an agreement to provide certain administrative services to MAV, including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treasury, human resources, management information, MSR transaction management support, and certain licensing, regulatory and risk management support. Ocwen is entitled to a fee for such services, subject to an annual cap of $0.5 million.</w:t>
      </w:r>
    </w:p>
    <w:p>
      <w:pPr>
        <w:spacing w:after="0" w:line="66" w:lineRule="exact"/>
        <w:rPr>
          <w:sz w:val="20"/>
          <w:szCs w:val="20"/>
          <w:color w:val="auto"/>
        </w:rPr>
      </w:pPr>
    </w:p>
    <w:p>
      <w:pPr>
        <w:ind w:left="80" w:right="100" w:firstLine="268"/>
        <w:spacing w:after="0" w:line="259" w:lineRule="auto"/>
        <w:rPr>
          <w:sz w:val="20"/>
          <w:szCs w:val="20"/>
          <w:color w:val="auto"/>
        </w:rPr>
      </w:pPr>
      <w:r>
        <w:rPr>
          <w:rFonts w:ascii="Arial" w:cs="Arial" w:eastAsia="Arial" w:hAnsi="Arial"/>
          <w:sz w:val="15"/>
          <w:szCs w:val="15"/>
          <w:color w:val="auto"/>
        </w:rPr>
        <w:t>Following the execution of the Transaction Agreement and until the parties have contributed their pro rata portions of the $250.0 million aggregate capital contributions,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w:t>
      </w:r>
    </w:p>
    <w:p>
      <w:pPr>
        <w:spacing w:after="0" w:line="66" w:lineRule="exact"/>
        <w:rPr>
          <w:sz w:val="20"/>
          <w:szCs w:val="20"/>
          <w:color w:val="auto"/>
        </w:rPr>
      </w:pPr>
    </w:p>
    <w:p>
      <w:pPr>
        <w:ind w:left="80" w:firstLine="268"/>
        <w:spacing w:after="0" w:line="279" w:lineRule="auto"/>
        <w:rPr>
          <w:sz w:val="20"/>
          <w:szCs w:val="20"/>
          <w:color w:val="auto"/>
        </w:rPr>
      </w:pPr>
      <w:r>
        <w:rPr>
          <w:rFonts w:ascii="Arial" w:cs="Arial" w:eastAsia="Arial" w:hAnsi="Arial"/>
          <w:sz w:val="14"/>
          <w:szCs w:val="14"/>
          <w:color w:val="auto"/>
        </w:rPr>
        <w:t>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w:t>
      </w:r>
    </w:p>
    <w:p>
      <w:pPr>
        <w:spacing w:after="0" w:line="54" w:lineRule="exact"/>
        <w:rPr>
          <w:sz w:val="20"/>
          <w:szCs w:val="20"/>
          <w:color w:val="auto"/>
        </w:rPr>
      </w:pPr>
    </w:p>
    <w:p>
      <w:pPr>
        <w:ind w:left="80" w:right="300" w:firstLine="268"/>
        <w:spacing w:after="0" w:line="259" w:lineRule="auto"/>
        <w:rPr>
          <w:sz w:val="20"/>
          <w:szCs w:val="20"/>
          <w:color w:val="auto"/>
        </w:rPr>
      </w:pPr>
      <w:r>
        <w:rPr>
          <w:rFonts w:ascii="Arial" w:cs="Arial" w:eastAsia="Arial" w:hAnsi="Arial"/>
          <w:sz w:val="15"/>
          <w:szCs w:val="15"/>
          <w:color w:val="auto"/>
        </w:rPr>
        <w:t>On June 1, 2021, PMC agreed to sell and MAV agreed to purchase a Fannie Mae MSR portfolio of approximately $4.1 billion, with certain pricing adjustments, subject to MAV obtaining the necessary regulatory approval. MAV has subsequently obtained approval from Fannie Mae and the transaction closed on September 1, 2021. In addition, on September 30, 2021, PMC agreed to sell and MAV agreed to purchase a GSE MSR portfolio of approximately $8.2 billion.</w:t>
      </w:r>
    </w:p>
    <w:p>
      <w:pPr>
        <w:spacing w:after="0" w:line="66" w:lineRule="exact"/>
        <w:rPr>
          <w:sz w:val="20"/>
          <w:szCs w:val="20"/>
          <w:color w:val="auto"/>
        </w:rPr>
      </w:pPr>
    </w:p>
    <w:p>
      <w:pPr>
        <w:ind w:left="80" w:right="160" w:firstLine="268"/>
        <w:spacing w:after="0" w:line="259" w:lineRule="auto"/>
        <w:rPr>
          <w:sz w:val="20"/>
          <w:szCs w:val="20"/>
          <w:color w:val="auto"/>
        </w:rPr>
      </w:pPr>
      <w:r>
        <w:rPr>
          <w:rFonts w:ascii="Arial" w:cs="Arial" w:eastAsia="Arial" w:hAnsi="Arial"/>
          <w:sz w:val="15"/>
          <w:szCs w:val="15"/>
          <w:i w:val="1"/>
          <w:iCs w:val="1"/>
          <w:color w:val="auto"/>
        </w:rPr>
        <w:t xml:space="preserve">Forward Bulk Servicing Rights Purchase and Sale Agreement: </w:t>
      </w:r>
      <w:r>
        <w:rPr>
          <w:rFonts w:ascii="Arial" w:cs="Arial" w:eastAsia="Arial" w:hAnsi="Arial"/>
          <w:sz w:val="15"/>
          <w:szCs w:val="15"/>
          <w:color w:val="auto"/>
        </w:rPr>
        <w:t>On September 9, 2021, PMC and MAV entered into an MSR purchase and sale agreement whereby PMC agreed to sell</w:t>
      </w:r>
      <w:r>
        <w:rPr>
          <w:rFonts w:ascii="Arial" w:cs="Arial" w:eastAsia="Arial" w:hAnsi="Arial"/>
          <w:sz w:val="15"/>
          <w:szCs w:val="15"/>
          <w:i w:val="1"/>
          <w:iCs w:val="1"/>
          <w:color w:val="auto"/>
        </w:rPr>
        <w:t xml:space="preserve"> </w:t>
      </w:r>
      <w:r>
        <w:rPr>
          <w:rFonts w:ascii="Arial" w:cs="Arial" w:eastAsia="Arial" w:hAnsi="Arial"/>
          <w:sz w:val="15"/>
          <w:szCs w:val="15"/>
          <w:color w:val="auto"/>
        </w:rPr>
        <w:t>and MAV agreed to purchase certain Fannie Mae MSRs acquired by PMC on a monthly basis. As of September 30, 2021, PMC sold MSRs with UPB of $1.3 billion to MAV under this agreement.</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MSR sale transactions do not qualify for sale accounting and are accounted for as secured borrowings primarily due to the termination restrictions of the subservicing agreement.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color w:val="auto"/>
        </w:rPr>
        <w:t>See Note 8 — MSR Transfers Not Qualifying for Sale Accounting for a summary of transactions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54610</wp:posOffset>
            </wp:positionV>
            <wp:extent cx="718185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220" w:top="927" w:right="319" w:bottom="1440" w:gutter="0" w:footer="0" w:header="0"/>
        </w:sectPr>
      </w:pPr>
    </w:p>
    <w:bookmarkStart w:id="34" w:name="page35"/>
    <w:bookmarkEnd w:id="34"/>
    <w:p>
      <w:pPr>
        <w:ind w:firstLine="268"/>
        <w:spacing w:after="0" w:line="181" w:lineRule="exact"/>
        <w:rPr>
          <w:sz w:val="20"/>
          <w:szCs w:val="20"/>
          <w:color w:val="auto"/>
        </w:rPr>
      </w:pPr>
      <w:r>
        <w:rPr>
          <w:rFonts w:ascii="Arial" w:cs="Arial" w:eastAsia="Arial" w:hAnsi="Arial"/>
          <w:sz w:val="15"/>
          <w:szCs w:val="15"/>
          <w:color w:val="auto"/>
        </w:rPr>
        <w:t>We account for our investments in unconsolidated entities using the equity method. These investments include our investment in MAV Canopy in which we hold a significant, but less than controlling, ownership interest.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any other than</w:t>
      </w:r>
      <w:r>
        <w:rPr>
          <w:rFonts w:ascii="MS PGothic" w:cs="MS PGothic" w:eastAsia="MS PGothic" w:hAnsi="MS PGothic"/>
          <w:sz w:val="15"/>
          <w:szCs w:val="15"/>
          <w:color w:val="auto"/>
        </w:rPr>
        <w:t>‐</w:t>
      </w:r>
      <w:r>
        <w:rPr>
          <w:rFonts w:ascii="Arial" w:cs="Arial" w:eastAsia="Arial" w:hAnsi="Arial"/>
          <w:sz w:val="15"/>
          <w:szCs w:val="15"/>
          <w:color w:val="auto"/>
        </w:rPr>
        <w:t xml:space="preserve"> temporary decline in value may have occurred.</w:t>
      </w:r>
    </w:p>
    <w:p>
      <w:pPr>
        <w:spacing w:after="0" w:line="81" w:lineRule="exact"/>
        <w:rPr>
          <w:sz w:val="20"/>
          <w:szCs w:val="20"/>
          <w:color w:val="auto"/>
        </w:rPr>
      </w:pPr>
    </w:p>
    <w:p>
      <w:pPr>
        <w:ind w:right="220" w:firstLine="268"/>
        <w:spacing w:after="0" w:line="255" w:lineRule="auto"/>
        <w:rPr>
          <w:sz w:val="20"/>
          <w:szCs w:val="20"/>
          <w:color w:val="auto"/>
        </w:rPr>
      </w:pPr>
      <w:r>
        <w:rPr>
          <w:rFonts w:ascii="Arial" w:cs="Arial" w:eastAsia="Arial" w:hAnsi="Arial"/>
          <w:sz w:val="15"/>
          <w:szCs w:val="15"/>
          <w:color w:val="auto"/>
        </w:rPr>
        <w:t>Under ASC 323, Investments - Equity Method and Joint Ventures, an investment of less than 20 percent of the voting stock of an investee shall lead to a presumption that an investor does not have the ability to exercise significant influence unless such ability can be demonstrated. Ocwen determined it has significant influence over MAV Canopy based on its representation on the MAV Canopy Board of Directors and certain services it provides, amongst other factors. Accordingly, Ocwen deemed it appropriate to account for its investment in MAV Canopy under the equity method.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ind w:left="280"/>
              <w:spacing w:after="0"/>
              <w:rPr>
                <w:sz w:val="20"/>
                <w:szCs w:val="20"/>
                <w:color w:val="auto"/>
              </w:rPr>
            </w:pPr>
            <w:r>
              <w:rPr>
                <w:rFonts w:ascii="Arial" w:cs="Arial" w:eastAsia="Arial" w:hAnsi="Arial"/>
                <w:sz w:val="15"/>
                <w:szCs w:val="15"/>
                <w:color w:val="auto"/>
              </w:rPr>
              <w:t>Our investment in MAV Canopy is comprised of following at September 30, 2021:</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12"/>
        </w:trPr>
        <w:tc>
          <w:tcPr>
            <w:tcW w:w="9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89"/>
        </w:trPr>
        <w:tc>
          <w:tcPr>
            <w:tcW w:w="9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contribution</w:t>
            </w: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18,512</w:t>
            </w:r>
          </w:p>
        </w:tc>
      </w:tr>
      <w:tr>
        <w:trPr>
          <w:trHeight w:val="189"/>
        </w:trPr>
        <w:tc>
          <w:tcPr>
            <w:tcW w:w="9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Earnings of equity method investee</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w:t>
            </w:r>
          </w:p>
        </w:tc>
      </w:tr>
      <w:tr>
        <w:trPr>
          <w:trHeight w:val="206"/>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equity method investee</w:t>
            </w:r>
          </w:p>
        </w:tc>
        <w:tc>
          <w:tcPr>
            <w:tcW w:w="58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20" w:firstLine="268"/>
        <w:spacing w:after="0" w:line="306" w:lineRule="auto"/>
        <w:rPr>
          <w:sz w:val="20"/>
          <w:szCs w:val="20"/>
          <w:color w:val="auto"/>
        </w:rPr>
      </w:pPr>
      <w:r>
        <w:rPr>
          <w:rFonts w:ascii="Arial" w:cs="Arial" w:eastAsia="Arial" w:hAnsi="Arial"/>
          <w:sz w:val="14"/>
          <w:szCs w:val="14"/>
          <w:color w:val="auto"/>
        </w:rPr>
        <w:t>MAV Canopy, MAV and Oaktree are deemed related parties to Ocwen. In addition to its investment in MAV Canopy, the subservicing agreement by PMC and the other agreements described above, Ocwen issued common stock, warrants and senior secured notes to Oaktree as described in Note 12 – Borrowings and Note 14 – Equity.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4"/>
          <w:szCs w:val="14"/>
          <w:color w:val="auto"/>
        </w:rPr>
        <w:t>The following tables present a summary of our transactions with MAV, MAV Canopy or Oaktree as related parties, as of or for the three and nine months ended September 30,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Sheet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9740" w:type="dxa"/>
            <w:vAlign w:val="bottom"/>
          </w:tcPr>
          <w:p>
            <w:pPr>
              <w:ind w:left="100"/>
              <w:spacing w:after="0"/>
              <w:rPr>
                <w:sz w:val="20"/>
                <w:szCs w:val="20"/>
                <w:color w:val="auto"/>
              </w:rPr>
            </w:pPr>
            <w:r>
              <w:rPr>
                <w:rFonts w:ascii="Arial" w:cs="Arial" w:eastAsia="Arial" w:hAnsi="Arial"/>
                <w:sz w:val="15"/>
                <w:szCs w:val="15"/>
                <w:color w:val="auto"/>
              </w:rPr>
              <w:t>MSRs, at fair value (1)</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144,893</w:t>
            </w:r>
          </w:p>
        </w:tc>
      </w:tr>
      <w:tr>
        <w:trPr>
          <w:trHeight w:val="190"/>
        </w:trPr>
        <w:tc>
          <w:tcPr>
            <w:tcW w:w="97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Receivables</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9740" w:type="dxa"/>
            <w:vAlign w:val="bottom"/>
          </w:tcPr>
          <w:p>
            <w:pPr>
              <w:ind w:left="200"/>
              <w:spacing w:after="0"/>
              <w:rPr>
                <w:sz w:val="20"/>
                <w:szCs w:val="20"/>
                <w:color w:val="auto"/>
              </w:rPr>
            </w:pPr>
            <w:r>
              <w:rPr>
                <w:rFonts w:ascii="Arial" w:cs="Arial" w:eastAsia="Arial" w:hAnsi="Arial"/>
                <w:sz w:val="15"/>
                <w:szCs w:val="15"/>
                <w:color w:val="auto"/>
              </w:rPr>
              <w:t>Reimbursable expenses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97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MSR sales price holdback - (MAV) (1)</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1,644</w:t>
            </w:r>
          </w:p>
        </w:tc>
      </w:tr>
      <w:tr>
        <w:trPr>
          <w:trHeight w:val="189"/>
        </w:trPr>
        <w:tc>
          <w:tcPr>
            <w:tcW w:w="9740" w:type="dxa"/>
            <w:vAlign w:val="bottom"/>
          </w:tcPr>
          <w:p>
            <w:pPr>
              <w:ind w:left="300"/>
              <w:spacing w:after="0"/>
              <w:rPr>
                <w:sz w:val="20"/>
                <w:szCs w:val="20"/>
                <w:color w:val="auto"/>
              </w:rPr>
            </w:pPr>
            <w:r>
              <w:rPr>
                <w:rFonts w:ascii="Arial" w:cs="Arial" w:eastAsia="Arial" w:hAnsi="Arial"/>
                <w:sz w:val="15"/>
                <w:szCs w:val="15"/>
                <w:color w:val="auto"/>
              </w:rPr>
              <w:t>Due from MAV</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2,657</w:t>
            </w:r>
          </w:p>
        </w:tc>
      </w:tr>
      <w:tr>
        <w:trPr>
          <w:trHeight w:val="190"/>
        </w:trPr>
        <w:tc>
          <w:tcPr>
            <w:tcW w:w="97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Transferred MSR liability, at fair value (2)</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128,887</w:t>
            </w:r>
          </w:p>
        </w:tc>
      </w:tr>
      <w:tr>
        <w:trPr>
          <w:trHeight w:val="189"/>
        </w:trPr>
        <w:tc>
          <w:tcPr>
            <w:tcW w:w="9740" w:type="dxa"/>
            <w:vAlign w:val="bottom"/>
          </w:tcPr>
          <w:p>
            <w:pPr>
              <w:ind w:left="100"/>
              <w:spacing w:after="0"/>
              <w:rPr>
                <w:sz w:val="20"/>
                <w:szCs w:val="20"/>
                <w:color w:val="auto"/>
              </w:rPr>
            </w:pPr>
            <w:r>
              <w:rPr>
                <w:rFonts w:ascii="Arial" w:cs="Arial" w:eastAsia="Arial" w:hAnsi="Arial"/>
                <w:sz w:val="15"/>
                <w:szCs w:val="15"/>
                <w:color w:val="auto"/>
              </w:rPr>
              <w:t>Other liabilities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9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Due to MAV</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r>
      <w:tr>
        <w:trPr>
          <w:trHeight w:val="223"/>
        </w:trPr>
        <w:tc>
          <w:tcPr>
            <w:tcW w:w="9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9"/>
        </w:trPr>
        <w:tc>
          <w:tcPr>
            <w:tcW w:w="9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974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9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Servicing fees collected on behalf of MAV (1)</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w:t>
            </w:r>
          </w:p>
        </w:tc>
      </w:tr>
      <w:tr>
        <w:trPr>
          <w:trHeight w:val="189"/>
        </w:trPr>
        <w:tc>
          <w:tcPr>
            <w:tcW w:w="9740" w:type="dxa"/>
            <w:vAlign w:val="bottom"/>
          </w:tcPr>
          <w:p>
            <w:pPr>
              <w:ind w:left="220"/>
              <w:spacing w:after="0"/>
              <w:rPr>
                <w:sz w:val="20"/>
                <w:szCs w:val="20"/>
                <w:color w:val="auto"/>
              </w:rPr>
            </w:pPr>
            <w:r>
              <w:rPr>
                <w:rFonts w:ascii="Arial" w:cs="Arial" w:eastAsia="Arial" w:hAnsi="Arial"/>
                <w:sz w:val="15"/>
                <w:szCs w:val="15"/>
                <w:color w:val="auto"/>
              </w:rPr>
              <w:t>Subservicing fees - Subservicing agreement (MAV)</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574</w:t>
            </w:r>
          </w:p>
        </w:tc>
      </w:tr>
      <w:tr>
        <w:trPr>
          <w:trHeight w:val="189"/>
        </w:trPr>
        <w:tc>
          <w:tcPr>
            <w:tcW w:w="9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Ancillary fees (MAV) (1)</w:t>
            </w:r>
          </w:p>
        </w:tc>
        <w:tc>
          <w:tcPr>
            <w:tcW w:w="4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w:t>
            </w:r>
          </w:p>
        </w:tc>
      </w:tr>
      <w:tr>
        <w:trPr>
          <w:trHeight w:val="181"/>
        </w:trPr>
        <w:tc>
          <w:tcPr>
            <w:tcW w:w="97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w:t>
            </w:r>
          </w:p>
        </w:tc>
      </w:tr>
      <w:tr>
        <w:trPr>
          <w:trHeight w:val="203"/>
        </w:trPr>
        <w:tc>
          <w:tcPr>
            <w:tcW w:w="9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9740" w:type="dxa"/>
            <w:vAlign w:val="bottom"/>
          </w:tcPr>
          <w:p>
            <w:pPr>
              <w:ind w:left="20"/>
              <w:spacing w:after="0"/>
              <w:rPr>
                <w:sz w:val="20"/>
                <w:szCs w:val="20"/>
                <w:color w:val="auto"/>
              </w:rPr>
            </w:pPr>
            <w:r>
              <w:rPr>
                <w:rFonts w:ascii="Arial" w:cs="Arial" w:eastAsia="Arial" w:hAnsi="Arial"/>
                <w:sz w:val="15"/>
                <w:szCs w:val="15"/>
                <w:b w:val="1"/>
                <w:bCs w:val="1"/>
                <w:color w:val="auto"/>
              </w:rPr>
              <w:t>MSR valuation adjustments, net (MAV) (1)</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(3,116)</w:t>
            </w:r>
          </w:p>
        </w:tc>
      </w:tr>
      <w:tr>
        <w:trPr>
          <w:trHeight w:val="223"/>
        </w:trPr>
        <w:tc>
          <w:tcPr>
            <w:tcW w:w="9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9740" w:type="dxa"/>
            <w:vAlign w:val="bottom"/>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9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 - OFC senior secured notes (Oaktree)</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(21,351)</w:t>
            </w:r>
          </w:p>
        </w:tc>
      </w:tr>
      <w:tr>
        <w:trPr>
          <w:trHeight w:val="189"/>
        </w:trPr>
        <w:tc>
          <w:tcPr>
            <w:tcW w:w="9740" w:type="dxa"/>
            <w:vAlign w:val="bottom"/>
          </w:tcPr>
          <w:p>
            <w:pPr>
              <w:ind w:left="120"/>
              <w:spacing w:after="0"/>
              <w:rPr>
                <w:sz w:val="20"/>
                <w:szCs w:val="20"/>
                <w:color w:val="auto"/>
              </w:rPr>
            </w:pPr>
            <w:r>
              <w:rPr>
                <w:rFonts w:ascii="Arial" w:cs="Arial" w:eastAsia="Arial" w:hAnsi="Arial"/>
                <w:sz w:val="15"/>
                <w:szCs w:val="15"/>
                <w:color w:val="auto"/>
              </w:rPr>
              <w:t>Pledged MSR liability expense - MAV (1)</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2,094</w:t>
            </w:r>
          </w:p>
        </w:tc>
      </w:tr>
      <w:tr>
        <w:trPr>
          <w:trHeight w:val="190"/>
        </w:trPr>
        <w:tc>
          <w:tcPr>
            <w:tcW w:w="9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income - Administrative services agreement (MAV)</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r>
      <w:tr>
        <w:trPr>
          <w:trHeight w:val="223"/>
        </w:trPr>
        <w:tc>
          <w:tcPr>
            <w:tcW w:w="9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9"/>
        </w:trPr>
        <w:tc>
          <w:tcPr>
            <w:tcW w:w="9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9740" w:type="dxa"/>
            <w:vAlign w:val="bottom"/>
          </w:tcPr>
          <w:p>
            <w:pPr>
              <w:ind w:left="120"/>
              <w:spacing w:after="0"/>
              <w:rPr>
                <w:sz w:val="20"/>
                <w:szCs w:val="20"/>
                <w:color w:val="auto"/>
              </w:rPr>
            </w:pPr>
            <w:r>
              <w:rPr>
                <w:rFonts w:ascii="Arial" w:cs="Arial" w:eastAsia="Arial" w:hAnsi="Arial"/>
                <w:sz w:val="15"/>
                <w:szCs w:val="15"/>
                <w:color w:val="auto"/>
              </w:rPr>
              <w:t>UPB of MSR transferred by PMC to MAV in the three and nine months ended September 30, 2021</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13,683,143</w:t>
            </w:r>
          </w:p>
        </w:tc>
      </w:tr>
      <w:tr>
        <w:trPr>
          <w:trHeight w:val="190"/>
        </w:trPr>
        <w:tc>
          <w:tcPr>
            <w:tcW w:w="9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proceeds from transfers of MSRs by PMC to MAV in the three and nine months ended September 30, 2021</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130,024</w:t>
            </w:r>
          </w:p>
        </w:tc>
      </w:tr>
      <w:tr>
        <w:trPr>
          <w:trHeight w:val="223"/>
        </w:trPr>
        <w:tc>
          <w:tcPr>
            <w:tcW w:w="9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9"/>
        </w:trPr>
        <w:tc>
          <w:tcPr>
            <w:tcW w:w="9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UPB of loans sub-serviced - Subservicing agreement (MAV) as of September 30, 2021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9740" w:type="dxa"/>
            <w:vAlign w:val="bottom"/>
          </w:tcPr>
          <w:p>
            <w:pPr>
              <w:ind w:left="200"/>
              <w:spacing w:after="0"/>
              <w:rPr>
                <w:sz w:val="20"/>
                <w:szCs w:val="20"/>
                <w:color w:val="auto"/>
              </w:rPr>
            </w:pPr>
            <w:r>
              <w:rPr>
                <w:rFonts w:ascii="Arial" w:cs="Arial" w:eastAsia="Arial" w:hAnsi="Arial"/>
                <w:sz w:val="15"/>
                <w:szCs w:val="15"/>
                <w:color w:val="auto"/>
              </w:rPr>
              <w:t>MSR transferred to MAV, not qualifying for sale accounting</w:t>
            </w:r>
          </w:p>
        </w:tc>
        <w:tc>
          <w:tcPr>
            <w:tcW w:w="42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13,570,892</w:t>
            </w:r>
          </w:p>
        </w:tc>
      </w:tr>
      <w:tr>
        <w:trPr>
          <w:trHeight w:val="189"/>
        </w:trPr>
        <w:tc>
          <w:tcPr>
            <w:tcW w:w="9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Ocwen subservicer</w:t>
            </w:r>
          </w:p>
        </w:tc>
        <w:tc>
          <w:tcPr>
            <w:tcW w:w="4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7,855,112</w:t>
            </w:r>
          </w:p>
        </w:tc>
      </w:tr>
      <w:tr>
        <w:trPr>
          <w:trHeight w:val="181"/>
        </w:trPr>
        <w:tc>
          <w:tcPr>
            <w:tcW w:w="9740" w:type="dxa"/>
            <w:vAlign w:val="bottom"/>
          </w:tcPr>
          <w:p>
            <w:pPr>
              <w:spacing w:after="0"/>
              <w:rPr>
                <w:sz w:val="15"/>
                <w:szCs w:val="15"/>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21,426,004</w:t>
            </w:r>
          </w:p>
        </w:tc>
      </w:tr>
      <w:tr>
        <w:trPr>
          <w:trHeight w:val="20"/>
        </w:trPr>
        <w:tc>
          <w:tcPr>
            <w:tcW w:w="9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80" w:right="80" w:hanging="271"/>
        <w:spacing w:after="0" w:line="255" w:lineRule="auto"/>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sales of MSRs to MAV which did not qualify as a sale for accounting purposes, we continue to recognize the MSRs and related pledged MSR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ind w:left="280" w:right="220" w:hanging="271"/>
        <w:spacing w:after="0" w:line="266" w:lineRule="auto"/>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Also referred to as Pledged MSR liability. The fair value of the transferred MSR liability differs from the fair value of the MSR due to certain cash flows being retained by Ocwen in connection with the subservicing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6" w:name="page37"/>
    <w:bookmarkEnd w:id="36"/>
    <w:p>
      <w:pPr>
        <w:ind w:left="40"/>
        <w:spacing w:after="0"/>
        <w:rPr>
          <w:sz w:val="20"/>
          <w:szCs w:val="20"/>
          <w:color w:val="auto"/>
        </w:rPr>
      </w:pPr>
      <w:r>
        <w:rPr>
          <w:rFonts w:ascii="Arial" w:cs="Arial" w:eastAsia="Arial" w:hAnsi="Arial"/>
          <w:sz w:val="15"/>
          <w:szCs w:val="15"/>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7"/>
              </w:rPr>
              <w:t>September 30, 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Contingent loan repurchase asset</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450,385</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480,221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3"/>
          </w:tcPr>
          <w:p>
            <w:pPr>
              <w:spacing w:after="0"/>
              <w:rPr>
                <w:sz w:val="20"/>
                <w:szCs w:val="20"/>
                <w:color w:val="auto"/>
              </w:rPr>
            </w:pPr>
            <w:r>
              <w:rPr>
                <w:rFonts w:ascii="Arial" w:cs="Arial" w:eastAsia="Arial" w:hAnsi="Arial"/>
                <w:sz w:val="15"/>
                <w:szCs w:val="15"/>
                <w:color w:val="auto"/>
              </w:rPr>
              <w:t>Prepaid expenses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21,398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21,176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Derivatives, at fair value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20,329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23,246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5"/>
          </w:tcPr>
          <w:p>
            <w:pPr>
              <w:spacing w:after="0"/>
              <w:rPr>
                <w:sz w:val="20"/>
                <w:szCs w:val="20"/>
                <w:color w:val="auto"/>
              </w:rPr>
            </w:pPr>
            <w:r>
              <w:rPr>
                <w:rFonts w:ascii="Arial" w:cs="Arial" w:eastAsia="Arial" w:hAnsi="Arial"/>
                <w:sz w:val="15"/>
                <w:szCs w:val="15"/>
                <w:color w:val="auto"/>
              </w:rPr>
              <w:t>Prepaid representation, warranty and indemnification claims - Agency MSR sale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15,173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15,173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REO</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3"/>
          </w:tcPr>
          <w:p>
            <w:pPr>
              <w:spacing w:after="0"/>
              <w:rPr>
                <w:sz w:val="20"/>
                <w:szCs w:val="20"/>
                <w:color w:val="auto"/>
              </w:rPr>
            </w:pPr>
            <w:r>
              <w:rPr>
                <w:rFonts w:ascii="Arial" w:cs="Arial" w:eastAsia="Arial" w:hAnsi="Arial"/>
                <w:sz w:val="15"/>
                <w:szCs w:val="15"/>
                <w:color w:val="auto"/>
              </w:rPr>
              <w:t>Prepaid lender fees, net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9,556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Deferred tax asset, net</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3"/>
          </w:tcPr>
          <w:p>
            <w:pPr>
              <w:spacing w:after="0"/>
              <w:rPr>
                <w:sz w:val="20"/>
                <w:szCs w:val="20"/>
                <w:color w:val="auto"/>
              </w:rPr>
            </w:pPr>
            <w:r>
              <w:rPr>
                <w:rFonts w:ascii="Arial" w:cs="Arial" w:eastAsia="Arial" w:hAnsi="Arial"/>
                <w:sz w:val="15"/>
                <w:szCs w:val="15"/>
                <w:color w:val="auto"/>
              </w:rPr>
              <w:t>Mortgage backed securities, at fair value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Security deposits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Other</w:t>
            </w: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6,556</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542,597</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571,483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5"/>
                <w:szCs w:val="15"/>
                <w:b w:val="1"/>
                <w:bCs w:val="1"/>
                <w:color w:val="auto"/>
              </w:rPr>
              <w:t>Note 12 – Borrowings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20" w:type="dxa"/>
            <w:vAlign w:val="bottom"/>
          </w:tcPr>
          <w:p>
            <w:pPr>
              <w:spacing w:after="0"/>
              <w:rPr>
                <w:sz w:val="24"/>
                <w:szCs w:val="24"/>
                <w:color w:val="auto"/>
              </w:rPr>
            </w:pPr>
          </w:p>
        </w:tc>
        <w:tc>
          <w:tcPr>
            <w:tcW w:w="444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Financing Liabilities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8"/>
          </w:tcPr>
          <w:p>
            <w:pPr>
              <w:ind w:left="780"/>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Interest Rate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88"/>
              </w:rPr>
              <w:t>September 30, 2021</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88"/>
              </w:rPr>
              <w:t>December 31, 2020</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HMBS-related borrowings, at fair value (1)</w:t>
            </w:r>
          </w:p>
        </w:tc>
        <w:tc>
          <w:tcPr>
            <w:tcW w:w="128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5"/>
                <w:szCs w:val="15"/>
                <w:color w:val="auto"/>
                <w:w w:val="90"/>
              </w:rPr>
              <w:t>Loans held for</w:t>
            </w:r>
          </w:p>
        </w:tc>
        <w:tc>
          <w:tcPr>
            <w:tcW w:w="1160" w:type="dxa"/>
            <w:vAlign w:val="bottom"/>
            <w:gridSpan w:val="2"/>
            <w:shd w:val="clear" w:color="auto" w:fill="CCEEFF"/>
          </w:tcPr>
          <w:p>
            <w:pPr>
              <w:jc w:val="center"/>
              <w:ind w:right="80"/>
              <w:spacing w:after="0" w:line="137" w:lineRule="exact"/>
              <w:rPr>
                <w:sz w:val="20"/>
                <w:szCs w:val="20"/>
                <w:color w:val="auto"/>
              </w:rPr>
            </w:pPr>
            <w:r>
              <w:rPr>
                <w:rFonts w:ascii="Arial" w:cs="Arial" w:eastAsia="Arial" w:hAnsi="Arial"/>
                <w:sz w:val="15"/>
                <w:szCs w:val="15"/>
                <w:color w:val="auto"/>
                <w:w w:val="92"/>
              </w:rPr>
              <w:t>1ML + 242 bps</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6,782,564</w:t>
            </w:r>
          </w:p>
        </w:tc>
        <w:tc>
          <w:tcPr>
            <w:tcW w:w="20" w:type="dxa"/>
            <w:vAlign w:val="bottom"/>
            <w:shd w:val="clear" w:color="auto" w:fill="CCEEFF"/>
          </w:tcPr>
          <w:p>
            <w:pPr>
              <w:spacing w:after="0"/>
              <w:rPr>
                <w:sz w:val="11"/>
                <w:szCs w:val="11"/>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vMerge w:val="continue"/>
            <w:shd w:val="clear" w:color="auto" w:fill="CCEEFF"/>
          </w:tcPr>
          <w:p>
            <w:pPr>
              <w:spacing w:after="0"/>
              <w:rPr>
                <w:sz w:val="16"/>
                <w:szCs w:val="16"/>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investment</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Other financing liabilities, at fair value</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Original Rights to MSRs Agreements - NRZ</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MSRs</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574,020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tcPr>
          <w:p>
            <w:pPr>
              <w:ind w:left="200"/>
              <w:spacing w:after="0"/>
              <w:rPr>
                <w:sz w:val="20"/>
                <w:szCs w:val="20"/>
                <w:color w:val="auto"/>
              </w:rPr>
            </w:pPr>
            <w:r>
              <w:rPr>
                <w:rFonts w:ascii="Arial" w:cs="Arial" w:eastAsia="Arial" w:hAnsi="Arial"/>
                <w:sz w:val="15"/>
                <w:szCs w:val="15"/>
                <w:color w:val="auto"/>
              </w:rPr>
              <w:t>Transferred MSR liability - MAV</w:t>
            </w: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MSRs</w:t>
            </w:r>
          </w:p>
        </w:tc>
        <w:tc>
          <w:tcPr>
            <w:tcW w:w="106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128,887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702,907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9"/>
              </w:rPr>
              <w:t>Financing liability - Owed to securitization investors, at fair value: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tcPr>
          <w:p>
            <w:pPr>
              <w:ind w:left="200"/>
              <w:spacing w:after="0" w:line="146" w:lineRule="exact"/>
              <w:rPr>
                <w:sz w:val="20"/>
                <w:szCs w:val="20"/>
                <w:color w:val="auto"/>
              </w:rPr>
            </w:pPr>
            <w:r>
              <w:rPr>
                <w:rFonts w:ascii="Arial" w:cs="Arial" w:eastAsia="Arial" w:hAnsi="Arial"/>
                <w:sz w:val="15"/>
                <w:szCs w:val="15"/>
                <w:color w:val="auto"/>
                <w:w w:val="95"/>
              </w:rPr>
              <w:t>Residential Asset Securitization Trust 2003-A11 (RAST 2003-A11)</w:t>
            </w:r>
          </w:p>
        </w:tc>
        <w:tc>
          <w:tcPr>
            <w:tcW w:w="12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w w:val="90"/>
              </w:rPr>
              <w:t>Loans held for</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7"/>
              </w:rPr>
              <w:t>(3)</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89"/>
              </w:rPr>
              <w:t>Oct. 2033</w:t>
            </w:r>
          </w:p>
        </w:tc>
        <w:tc>
          <w:tcPr>
            <w:tcW w:w="1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8,004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gridSpan w:val="3"/>
          </w:tcPr>
          <w:p>
            <w:pPr>
              <w:ind w:left="24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investment</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Other financing liabilities, at fair value</w:t>
            </w:r>
          </w:p>
        </w:tc>
        <w:tc>
          <w:tcPr>
            <w:tcW w:w="1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710,911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576,722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7,493,475</w:t>
            </w:r>
          </w:p>
        </w:tc>
        <w:tc>
          <w:tcPr>
            <w:tcW w:w="20" w:type="dxa"/>
            <w:vAlign w:val="bottom"/>
          </w:tcPr>
          <w:p>
            <w:pPr>
              <w:spacing w:after="0"/>
              <w:rPr>
                <w:sz w:val="15"/>
                <w:szCs w:val="15"/>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7,349,433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80" w:right="20" w:hanging="271"/>
        <w:spacing w:after="0" w:line="255" w:lineRule="auto"/>
        <w:tabs>
          <w:tab w:leader="none" w:pos="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Interest rate is a weighted average based on the pass-through rate of the loans. See Note 2 – Securitizations and Variable Interest Entities.</w:t>
      </w:r>
    </w:p>
    <w:p>
      <w:pPr>
        <w:ind w:left="280" w:right="60" w:hanging="271"/>
        <w:spacing w:after="0" w:line="271" w:lineRule="auto"/>
        <w:tabs>
          <w:tab w:leader="none" w:pos="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Pledged MSR liabilities are recognized due to the accounting treatment of MSR sale transactions with NRZ and MAV that did not qualify as sales for accounting purposes. Under this accounting treatment, the MSRs transferred remain on the consolidated balance sheet and the proceeds from the sale are recognized as a financing liability, which is recorded at fair value consistent with the related MSRs. The financing liability has no contractual maturity or repayment schedule. See Note 8 — MSR Transfers Not Qualifying for Sale Accounting for additional information.</w:t>
      </w:r>
    </w:p>
    <w:p>
      <w:pPr>
        <w:ind w:left="280" w:right="40" w:hanging="271"/>
        <w:spacing w:after="0" w:line="255" w:lineRule="auto"/>
        <w:tabs>
          <w:tab w:leader="none" w:pos="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securitization debt certificates due to third parties that represent beneficial interests in trusts that we include in our unaudited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Trust pay interest based on fixed rates ranging between 4.25% and 5.75% and a variable rate based on 1ML plus 0.45%, includes certificates that are Principal Only certificates and are not entitled to receive distributions of interest.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3020" w:type="dxa"/>
            <w:vAlign w:val="bottom"/>
            <w:gridSpan w:val="2"/>
          </w:tcPr>
          <w:p>
            <w:pPr>
              <w:ind w:left="20"/>
              <w:spacing w:after="0"/>
              <w:rPr>
                <w:sz w:val="20"/>
                <w:szCs w:val="20"/>
                <w:color w:val="auto"/>
              </w:rPr>
            </w:pPr>
            <w:r>
              <w:rPr>
                <w:rFonts w:ascii="Arial" w:cs="Arial" w:eastAsia="Arial" w:hAnsi="Arial"/>
                <w:sz w:val="15"/>
                <w:szCs w:val="15"/>
                <w:b w:val="1"/>
                <w:bCs w:val="1"/>
                <w:color w:val="auto"/>
              </w:rPr>
              <w:t>Advance Match Funded Liabilities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vMerge w:val="restart"/>
          </w:tcPr>
          <w:p>
            <w:pPr>
              <w:jc w:val="right"/>
              <w:ind w:right="426"/>
              <w:spacing w:after="0"/>
              <w:rPr>
                <w:sz w:val="20"/>
                <w:szCs w:val="20"/>
                <w:color w:val="auto"/>
              </w:rPr>
            </w:pPr>
            <w:r>
              <w:rPr>
                <w:rFonts w:ascii="Arial" w:cs="Arial" w:eastAsia="Arial" w:hAnsi="Arial"/>
                <w:sz w:val="15"/>
                <w:szCs w:val="15"/>
                <w:b w:val="1"/>
                <w:bCs w:val="1"/>
                <w:color w:val="auto"/>
              </w:rPr>
              <w:t>Borrowing Capacity</w:t>
            </w:r>
          </w:p>
        </w:tc>
        <w:tc>
          <w:tcPr>
            <w:tcW w:w="100" w:type="dxa"/>
            <w:vAlign w:val="bottom"/>
          </w:tcPr>
          <w:p>
            <w:pPr>
              <w:spacing w:after="0"/>
              <w:rPr>
                <w:sz w:val="16"/>
                <w:szCs w:val="16"/>
                <w:color w:val="auto"/>
              </w:rPr>
            </w:pPr>
          </w:p>
        </w:tc>
        <w:tc>
          <w:tcPr>
            <w:tcW w:w="2300" w:type="dxa"/>
            <w:vAlign w:val="bottom"/>
            <w:gridSpan w:val="4"/>
            <w:vMerge w:val="restart"/>
          </w:tcPr>
          <w:p>
            <w:pPr>
              <w:jc w:val="right"/>
              <w:ind w:right="466"/>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16"/>
                <w:szCs w:val="16"/>
                <w:color w:val="auto"/>
              </w:rPr>
            </w:pPr>
          </w:p>
        </w:tc>
        <w:tc>
          <w:tcPr>
            <w:tcW w:w="2300" w:type="dxa"/>
            <w:vAlign w:val="bottom"/>
            <w:gridSpan w:val="4"/>
            <w:vMerge w:val="restart"/>
          </w:tcPr>
          <w:p>
            <w:pPr>
              <w:jc w:val="right"/>
              <w:ind w:right="486"/>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89"/>
        </w:trPr>
        <w:tc>
          <w:tcPr>
            <w:tcW w:w="1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Amort. Date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6"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6"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Borrowing Type</w:t>
            </w: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Maturity (1)</w:t>
            </w: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Total</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w w:val="90"/>
              </w:rPr>
              <w:t>Available (2)</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w w:val="88"/>
              </w:rPr>
              <w:t>Average Interest</w:t>
            </w:r>
          </w:p>
        </w:tc>
        <w:tc>
          <w:tcPr>
            <w:tcW w:w="180" w:type="dxa"/>
            <w:vAlign w:val="bottom"/>
          </w:tcPr>
          <w:p>
            <w:pPr>
              <w:spacing w:after="0"/>
              <w:rPr>
                <w:sz w:val="12"/>
                <w:szCs w:val="12"/>
                <w:color w:val="auto"/>
              </w:rPr>
            </w:pPr>
          </w:p>
        </w:tc>
        <w:tc>
          <w:tcPr>
            <w:tcW w:w="86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Balance</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w w:val="88"/>
              </w:rPr>
              <w:t>Average Interest</w:t>
            </w:r>
          </w:p>
        </w:tc>
        <w:tc>
          <w:tcPr>
            <w:tcW w:w="180" w:type="dxa"/>
            <w:vAlign w:val="bottom"/>
          </w:tcPr>
          <w:p>
            <w:pPr>
              <w:spacing w:after="0"/>
              <w:rPr>
                <w:sz w:val="12"/>
                <w:szCs w:val="12"/>
                <w:color w:val="auto"/>
              </w:rPr>
            </w:pPr>
          </w:p>
        </w:tc>
        <w:tc>
          <w:tcPr>
            <w:tcW w:w="86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Balance</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Rate (6)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Rate (6)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94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Advance Receivables Backed</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2052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2022</w:t>
            </w:r>
          </w:p>
        </w:tc>
        <w:tc>
          <w:tcPr>
            <w:tcW w:w="24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54,505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2.14 %</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25,495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89,396</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Notes - Series 2015-VF5 (3)</w:t>
            </w:r>
          </w:p>
        </w:tc>
        <w:tc>
          <w:tcPr>
            <w:tcW w:w="108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20"/>
              <w:spacing w:after="0" w:line="146" w:lineRule="exact"/>
              <w:rPr>
                <w:sz w:val="20"/>
                <w:szCs w:val="20"/>
                <w:color w:val="auto"/>
              </w:rPr>
            </w:pPr>
            <w:r>
              <w:rPr>
                <w:rFonts w:ascii="Arial" w:cs="Arial" w:eastAsia="Arial" w:hAnsi="Arial"/>
                <w:sz w:val="15"/>
                <w:szCs w:val="15"/>
                <w:color w:val="auto"/>
                <w:w w:val="95"/>
              </w:rPr>
              <w:t>Advance Receivables Backed</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0"/>
              </w:rPr>
              <w:t>Aug. 2052</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0"/>
              </w:rPr>
              <w:t>Aug. 2022</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Notes, Series 2020-T1 (4)</w:t>
            </w: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00" w:type="dxa"/>
            <w:vAlign w:val="bottom"/>
            <w:gridSpan w:val="3"/>
            <w:shd w:val="clear" w:color="auto" w:fill="CCEEFF"/>
          </w:tcPr>
          <w:p>
            <w:pPr>
              <w:ind w:left="140"/>
              <w:spacing w:after="0"/>
              <w:rPr>
                <w:sz w:val="20"/>
                <w:szCs w:val="20"/>
                <w:color w:val="auto"/>
              </w:rPr>
            </w:pPr>
            <w:r>
              <w:rPr>
                <w:rFonts w:ascii="Arial" w:cs="Arial" w:eastAsia="Arial" w:hAnsi="Arial"/>
                <w:sz w:val="15"/>
                <w:szCs w:val="15"/>
                <w:b w:val="1"/>
                <w:bCs w:val="1"/>
                <w:color w:val="auto"/>
                <w:w w:val="98"/>
              </w:rPr>
              <w:t>Total Ocwen Master Advance Receivables Trust (OMART)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500,495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564,396</w:t>
            </w:r>
          </w:p>
        </w:tc>
        <w:tc>
          <w:tcPr>
            <w:tcW w:w="0" w:type="dxa"/>
            <w:vAlign w:val="bottom"/>
          </w:tcPr>
          <w:p>
            <w:pPr>
              <w:spacing w:after="0"/>
              <w:rPr>
                <w:sz w:val="1"/>
                <w:szCs w:val="1"/>
                <w:color w:val="auto"/>
              </w:rPr>
            </w:pPr>
          </w:p>
        </w:tc>
      </w:tr>
      <w:tr>
        <w:trPr>
          <w:trHeight w:val="145"/>
        </w:trPr>
        <w:tc>
          <w:tcPr>
            <w:tcW w:w="1940" w:type="dxa"/>
            <w:vAlign w:val="bottom"/>
          </w:tcPr>
          <w:p>
            <w:pPr>
              <w:ind w:left="40"/>
              <w:spacing w:after="0" w:line="145" w:lineRule="exact"/>
              <w:rPr>
                <w:sz w:val="20"/>
                <w:szCs w:val="20"/>
                <w:color w:val="auto"/>
              </w:rPr>
            </w:pPr>
            <w:r>
              <w:rPr>
                <w:rFonts w:ascii="Arial" w:cs="Arial" w:eastAsia="Arial" w:hAnsi="Arial"/>
                <w:sz w:val="15"/>
                <w:szCs w:val="15"/>
                <w:b w:val="1"/>
                <w:bCs w:val="1"/>
                <w:color w:val="auto"/>
              </w:rPr>
              <w:t>Ocwen Freddie Advance</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6" w:lineRule="exact"/>
              <w:rPr>
                <w:sz w:val="20"/>
                <w:szCs w:val="20"/>
                <w:color w:val="auto"/>
              </w:rPr>
            </w:pPr>
            <w:r>
              <w:rPr>
                <w:rFonts w:ascii="Arial" w:cs="Arial" w:eastAsia="Arial" w:hAnsi="Arial"/>
                <w:sz w:val="15"/>
                <w:szCs w:val="15"/>
                <w:b w:val="1"/>
                <w:bCs w:val="1"/>
                <w:color w:val="auto"/>
              </w:rPr>
              <w:t>Funding (OFAF) -</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5" w:lineRule="exact"/>
              <w:rPr>
                <w:sz w:val="20"/>
                <w:szCs w:val="20"/>
                <w:color w:val="auto"/>
              </w:rPr>
            </w:pPr>
            <w:r>
              <w:rPr>
                <w:rFonts w:ascii="Arial" w:cs="Arial" w:eastAsia="Arial" w:hAnsi="Arial"/>
                <w:sz w:val="15"/>
                <w:szCs w:val="15"/>
                <w:color w:val="auto"/>
              </w:rPr>
              <w:t>Advance Receivables</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5" w:lineRule="exact"/>
              <w:rPr>
                <w:sz w:val="20"/>
                <w:szCs w:val="20"/>
                <w:color w:val="auto"/>
              </w:rPr>
            </w:pPr>
            <w:r>
              <w:rPr>
                <w:rFonts w:ascii="Arial" w:cs="Arial" w:eastAsia="Arial" w:hAnsi="Arial"/>
                <w:sz w:val="15"/>
                <w:szCs w:val="15"/>
                <w:color w:val="auto"/>
                <w:w w:val="94"/>
              </w:rPr>
              <w:t>Backed Notes, Series 2015-</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0"/>
              </w:rPr>
              <w:t>Aug. 2052</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0"/>
              </w:rPr>
              <w:t>Aug. 2022</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23,923</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2.15 %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16,077</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3.26 %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16,892</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VF1 (5)</w:t>
            </w: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78,428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1.54 %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516,572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80" w:right="160" w:hanging="271"/>
        <w:spacing w:after="0" w:line="255"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ind w:left="280" w:right="80" w:hanging="271"/>
        <w:spacing w:after="0" w:line="250"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Borrowing capacity under the OMART and OFAF facilities is available to us provided that we have sufficient eligible collateral to pledge. At September 30, 2021, none of the available borrowing capacity of the OMART and OFAF advance financing notes could be used based on the amount of eligible collateral.</w:t>
      </w:r>
    </w:p>
    <w:p>
      <w:pPr>
        <w:ind w:left="280" w:right="140" w:hanging="271"/>
        <w:spacing w:after="0" w:line="250"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Interest is computed based on the lender’s cost of funds plus a margin of 200 bps. On June 30, 2021, the amortization date was extended by one year to June 30, 2022, the interest rate margin was reduced from 400 bps to 200 bps, and the borrowing capacity was voluntarily reduced to from $250.0 million to $80.0 million.</w:t>
      </w:r>
    </w:p>
    <w:p>
      <w:pPr>
        <w:ind w:left="280" w:hanging="271"/>
        <w:spacing w:after="0"/>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weighted average rate of the notes at September 30, 2021 is 1.49%, with rates on the individual classes of notes ranging from 1.28% to 5.42%.</w:t>
      </w:r>
    </w:p>
    <w:p>
      <w:pPr>
        <w:spacing w:after="0" w:line="6" w:lineRule="exact"/>
        <w:rPr>
          <w:rFonts w:ascii="Arial" w:cs="Arial" w:eastAsia="Arial" w:hAnsi="Arial"/>
          <w:sz w:val="13"/>
          <w:szCs w:val="13"/>
          <w:color w:val="auto"/>
        </w:rPr>
      </w:pPr>
    </w:p>
    <w:p>
      <w:pPr>
        <w:jc w:val="both"/>
        <w:ind w:left="280" w:right="240" w:hanging="271"/>
        <w:spacing w:after="0" w:line="250"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Interest was computed based on the lender’s cost of funds plus a margin of 300 bps. On June 30, 2021, the amortization date was extended to August 27, 2021. On August 26, 2021, the interest rate was reduced to the lender’s cost of funds plus a margin of 200 bps, the borrowing capacity was voluntarily reduced from $70.0 million to $40.0 million and the amortization date was extended to August 26, 2022.</w:t>
      </w:r>
    </w:p>
    <w:p>
      <w:pPr>
        <w:spacing w:after="0" w:line="1" w:lineRule="exact"/>
        <w:rPr>
          <w:rFonts w:ascii="Arial" w:cs="Arial" w:eastAsia="Arial" w:hAnsi="Arial"/>
          <w:sz w:val="13"/>
          <w:szCs w:val="13"/>
          <w:color w:val="auto"/>
        </w:rPr>
      </w:pPr>
    </w:p>
    <w:p>
      <w:pPr>
        <w:ind w:left="280" w:right="320" w:hanging="271"/>
        <w:spacing w:after="0" w:line="258"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weighted average interest rate, excluding the effect of the amortization of prepaid lender fees, is computed using the outstanding balance of each respective note and its interest rate at the financial statement date. At September 30, 2021 and December 31, 2020, the balance of unamortized prepaid lender fees was $1.8 million and $4.3 million, respectively, and are included in Other assets in our consolidated balance sheets.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3"/>
        </w:trPr>
        <w:tc>
          <w:tcPr>
            <w:tcW w:w="2380" w:type="dxa"/>
            <w:vAlign w:val="bottom"/>
          </w:tcPr>
          <w:p>
            <w:pPr>
              <w:ind w:left="20"/>
              <w:spacing w:after="0"/>
              <w:rPr>
                <w:sz w:val="20"/>
                <w:szCs w:val="20"/>
                <w:color w:val="auto"/>
              </w:rPr>
            </w:pPr>
            <w:r>
              <w:rPr>
                <w:rFonts w:ascii="Arial" w:cs="Arial" w:eastAsia="Arial" w:hAnsi="Arial"/>
                <w:sz w:val="15"/>
                <w:szCs w:val="15"/>
                <w:b w:val="1"/>
                <w:bCs w:val="1"/>
                <w:color w:val="auto"/>
                <w:w w:val="89"/>
              </w:rPr>
              <w:t>Mortgage Loan Warehouse Facilities</w:t>
            </w: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5"/>
                <w:szCs w:val="15"/>
                <w:b w:val="1"/>
                <w:bCs w:val="1"/>
                <w:color w:val="auto"/>
              </w:rPr>
              <w:t>Available Borrowing Capacity</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36"/>
        </w:trPr>
        <w:tc>
          <w:tcPr>
            <w:tcW w:w="238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Borrowing Type</w:t>
            </w:r>
          </w:p>
        </w:tc>
        <w:tc>
          <w:tcPr>
            <w:tcW w:w="1060" w:type="dxa"/>
            <w:vAlign w:val="bottom"/>
            <w:vMerge w:val="restart"/>
          </w:tcPr>
          <w:p>
            <w:pPr>
              <w:jc w:val="center"/>
              <w:ind w:right="26"/>
              <w:spacing w:after="0"/>
              <w:rPr>
                <w:sz w:val="20"/>
                <w:szCs w:val="20"/>
                <w:color w:val="auto"/>
              </w:rPr>
            </w:pPr>
            <w:r>
              <w:rPr>
                <w:rFonts w:ascii="Arial" w:cs="Arial" w:eastAsia="Arial" w:hAnsi="Arial"/>
                <w:sz w:val="15"/>
                <w:szCs w:val="15"/>
                <w:b w:val="1"/>
                <w:bCs w:val="1"/>
                <w:color w:val="auto"/>
                <w:w w:val="93"/>
              </w:rPr>
              <w:t>Collateral</w:t>
            </w: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Interest Rate (1)</w:t>
            </w:r>
          </w:p>
        </w:tc>
        <w:tc>
          <w:tcPr>
            <w:tcW w:w="1040" w:type="dxa"/>
            <w:vAlign w:val="bottom"/>
            <w:vMerge w:val="restart"/>
          </w:tcPr>
          <w:p>
            <w:pPr>
              <w:jc w:val="center"/>
              <w:ind w:right="26"/>
              <w:spacing w:after="0"/>
              <w:rPr>
                <w:sz w:val="20"/>
                <w:szCs w:val="20"/>
                <w:color w:val="auto"/>
              </w:rPr>
            </w:pPr>
            <w:r>
              <w:rPr>
                <w:rFonts w:ascii="Arial" w:cs="Arial" w:eastAsia="Arial" w:hAnsi="Arial"/>
                <w:sz w:val="15"/>
                <w:szCs w:val="15"/>
                <w:b w:val="1"/>
                <w:bCs w:val="1"/>
                <w:color w:val="auto"/>
                <w:w w:val="99"/>
              </w:rPr>
              <w:t>Maturity</w:t>
            </w:r>
          </w:p>
        </w:tc>
        <w:tc>
          <w:tcPr>
            <w:tcW w:w="20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Uncommitted</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Committed (2)</w:t>
            </w:r>
          </w:p>
        </w:tc>
        <w:tc>
          <w:tcPr>
            <w:tcW w:w="120" w:type="dxa"/>
            <w:vAlign w:val="bottom"/>
          </w:tcPr>
          <w:p>
            <w:pPr>
              <w:spacing w:after="0"/>
              <w:rPr>
                <w:sz w:val="11"/>
                <w:szCs w:val="11"/>
                <w:color w:val="auto"/>
              </w:rPr>
            </w:pPr>
          </w:p>
        </w:tc>
        <w:tc>
          <w:tcPr>
            <w:tcW w:w="1220" w:type="dxa"/>
            <w:vAlign w:val="bottom"/>
            <w:gridSpan w:val="2"/>
          </w:tcPr>
          <w:p>
            <w:pPr>
              <w:ind w:left="40"/>
              <w:spacing w:after="0" w:line="13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1"/>
                <w:szCs w:val="11"/>
                <w:color w:val="auto"/>
              </w:rPr>
            </w:pPr>
          </w:p>
        </w:tc>
        <w:tc>
          <w:tcPr>
            <w:tcW w:w="1100" w:type="dxa"/>
            <w:vAlign w:val="bottom"/>
          </w:tcPr>
          <w:p>
            <w:pPr>
              <w:jc w:val="right"/>
              <w:ind w:right="106"/>
              <w:spacing w:after="0" w:line="136"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25"/>
        </w:trPr>
        <w:tc>
          <w:tcPr>
            <w:tcW w:w="23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Master repurchase agreement (3)</w:t>
            </w:r>
          </w:p>
        </w:tc>
        <w:tc>
          <w:tcPr>
            <w:tcW w:w="1060" w:type="dxa"/>
            <w:vAlign w:val="bottom"/>
            <w:tcBorders>
              <w:top w:val="single" w:sz="8" w:color="CCEEFF"/>
            </w:tcBorders>
            <w:shd w:val="clear" w:color="auto" w:fill="CCEEFF"/>
          </w:tcPr>
          <w:p>
            <w:pPr>
              <w:jc w:val="center"/>
              <w:ind w:right="26"/>
              <w:spacing w:after="0" w:line="125" w:lineRule="exact"/>
              <w:rPr>
                <w:sz w:val="20"/>
                <w:szCs w:val="20"/>
                <w:color w:val="auto"/>
              </w:rPr>
            </w:pPr>
            <w:r>
              <w:rPr>
                <w:rFonts w:ascii="Arial" w:cs="Arial" w:eastAsia="Arial" w:hAnsi="Arial"/>
                <w:sz w:val="14"/>
                <w:szCs w:val="14"/>
                <w:color w:val="auto"/>
                <w:w w:val="99"/>
              </w:rPr>
              <w:t>Loans held for</w:t>
            </w:r>
          </w:p>
        </w:tc>
        <w:tc>
          <w:tcPr>
            <w:tcW w:w="1320" w:type="dxa"/>
            <w:vAlign w:val="bottom"/>
            <w:tcBorders>
              <w:top w:val="single" w:sz="8" w:color="CCEEFF"/>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9"/>
              </w:rPr>
              <w:t>1ML + 220 - 375</w:t>
            </w:r>
          </w:p>
        </w:tc>
        <w:tc>
          <w:tcPr>
            <w:tcW w:w="1040" w:type="dxa"/>
            <w:vAlign w:val="bottom"/>
            <w:tcBorders>
              <w:top w:val="single" w:sz="8" w:color="CCEEFF"/>
            </w:tcBorders>
            <w:vMerge w:val="restart"/>
            <w:shd w:val="clear" w:color="auto" w:fill="CCEEFF"/>
          </w:tcPr>
          <w:p>
            <w:pPr>
              <w:jc w:val="center"/>
              <w:ind w:right="6"/>
              <w:spacing w:after="0"/>
              <w:rPr>
                <w:sz w:val="20"/>
                <w:szCs w:val="20"/>
                <w:color w:val="auto"/>
              </w:rPr>
            </w:pPr>
            <w:r>
              <w:rPr>
                <w:rFonts w:ascii="Arial" w:cs="Arial" w:eastAsia="Arial" w:hAnsi="Arial"/>
                <w:sz w:val="15"/>
                <w:szCs w:val="15"/>
                <w:color w:val="auto"/>
                <w:w w:val="85"/>
              </w:rPr>
              <w:t>June 2022</w:t>
            </w:r>
          </w:p>
        </w:tc>
        <w:tc>
          <w:tcPr>
            <w:tcW w:w="200" w:type="dxa"/>
            <w:vAlign w:val="bottom"/>
            <w:tcBorders>
              <w:top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115,000</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61,282</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98,718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195,773</w:t>
            </w:r>
          </w:p>
        </w:tc>
        <w:tc>
          <w:tcPr>
            <w:tcW w:w="0" w:type="dxa"/>
            <w:vAlign w:val="bottom"/>
          </w:tcPr>
          <w:p>
            <w:pPr>
              <w:spacing w:after="0"/>
              <w:rPr>
                <w:sz w:val="1"/>
                <w:szCs w:val="1"/>
                <w:color w:val="auto"/>
              </w:rPr>
            </w:pPr>
          </w:p>
        </w:tc>
      </w:tr>
      <w:tr>
        <w:trPr>
          <w:trHeight w:val="189"/>
        </w:trPr>
        <w:tc>
          <w:tcPr>
            <w:tcW w:w="238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center"/>
              <w:ind w:right="26"/>
              <w:spacing w:after="0"/>
              <w:rPr>
                <w:sz w:val="20"/>
                <w:szCs w:val="20"/>
                <w:color w:val="auto"/>
              </w:rPr>
            </w:pPr>
            <w:r>
              <w:rPr>
                <w:rFonts w:ascii="Arial" w:cs="Arial" w:eastAsia="Arial" w:hAnsi="Arial"/>
                <w:sz w:val="15"/>
                <w:szCs w:val="15"/>
                <w:color w:val="auto"/>
                <w:w w:val="89"/>
              </w:rPr>
              <w:t>sale (LHFS)</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bps</w:t>
            </w:r>
          </w:p>
        </w:tc>
        <w:tc>
          <w:tcPr>
            <w:tcW w:w="10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1060" w:type="dxa"/>
            <w:vAlign w:val="bottom"/>
            <w:vMerge w:val="restart"/>
          </w:tcPr>
          <w:p>
            <w:pPr>
              <w:jc w:val="center"/>
              <w:ind w:right="26"/>
              <w:spacing w:after="0"/>
              <w:rPr>
                <w:sz w:val="20"/>
                <w:szCs w:val="20"/>
                <w:color w:val="auto"/>
              </w:rPr>
            </w:pPr>
            <w:r>
              <w:rPr>
                <w:rFonts w:ascii="Arial" w:cs="Arial" w:eastAsia="Arial" w:hAnsi="Arial"/>
                <w:sz w:val="15"/>
                <w:szCs w:val="15"/>
                <w:color w:val="auto"/>
                <w:w w:val="94"/>
              </w:rPr>
              <w:t>LHFS (forward</w:t>
            </w:r>
          </w:p>
        </w:tc>
        <w:tc>
          <w:tcPr>
            <w:tcW w:w="1320" w:type="dxa"/>
            <w:vAlign w:val="bottom"/>
          </w:tcPr>
          <w:p>
            <w:pPr>
              <w:jc w:val="center"/>
              <w:spacing w:after="0" w:line="146" w:lineRule="exact"/>
              <w:rPr>
                <w:sz w:val="20"/>
                <w:szCs w:val="20"/>
                <w:color w:val="auto"/>
              </w:rPr>
            </w:pPr>
            <w:r>
              <w:rPr>
                <w:rFonts w:ascii="Arial" w:cs="Arial" w:eastAsia="Arial" w:hAnsi="Arial"/>
                <w:sz w:val="15"/>
                <w:szCs w:val="15"/>
                <w:color w:val="auto"/>
                <w:w w:val="92"/>
              </w:rPr>
              <w:t>1ML + 325 bps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vMerge w:val="restart"/>
          </w:tcPr>
          <w:p>
            <w:pPr>
              <w:ind w:left="20"/>
              <w:spacing w:after="0"/>
              <w:rPr>
                <w:sz w:val="20"/>
                <w:szCs w:val="20"/>
                <w:color w:val="auto"/>
              </w:rPr>
            </w:pPr>
            <w:r>
              <w:rPr>
                <w:rFonts w:ascii="Arial" w:cs="Arial" w:eastAsia="Arial" w:hAnsi="Arial"/>
                <w:sz w:val="15"/>
                <w:szCs w:val="15"/>
                <w:color w:val="auto"/>
              </w:rPr>
              <w:t>Master repurchase agreement (4)</w:t>
            </w:r>
          </w:p>
        </w:tc>
        <w:tc>
          <w:tcPr>
            <w:tcW w:w="106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5"/>
                <w:szCs w:val="15"/>
                <w:color w:val="auto"/>
                <w:w w:val="95"/>
              </w:rPr>
              <w:t>forward; 1ML +</w:t>
            </w:r>
          </w:p>
        </w:tc>
        <w:tc>
          <w:tcPr>
            <w:tcW w:w="1040" w:type="dxa"/>
            <w:vAlign w:val="bottom"/>
            <w:vMerge w:val="restart"/>
          </w:tcPr>
          <w:p>
            <w:pPr>
              <w:jc w:val="center"/>
              <w:ind w:right="26"/>
              <w:spacing w:after="0"/>
              <w:rPr>
                <w:sz w:val="20"/>
                <w:szCs w:val="20"/>
                <w:color w:val="auto"/>
              </w:rPr>
            </w:pPr>
            <w:r>
              <w:rPr>
                <w:rFonts w:ascii="Arial" w:cs="Arial" w:eastAsia="Arial" w:hAnsi="Arial"/>
                <w:sz w:val="15"/>
                <w:szCs w:val="15"/>
                <w:color w:val="auto"/>
                <w:w w:val="90"/>
              </w:rPr>
              <w:t>Nov. 2021</w:t>
            </w: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124,385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75,615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80,081</w:t>
            </w:r>
          </w:p>
        </w:tc>
        <w:tc>
          <w:tcPr>
            <w:tcW w:w="0" w:type="dxa"/>
            <w:vAlign w:val="bottom"/>
          </w:tcPr>
          <w:p>
            <w:pPr>
              <w:spacing w:after="0"/>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1060" w:type="dxa"/>
            <w:vAlign w:val="bottom"/>
          </w:tcPr>
          <w:p>
            <w:pPr>
              <w:jc w:val="center"/>
              <w:ind w:right="26"/>
              <w:spacing w:after="0"/>
              <w:rPr>
                <w:sz w:val="20"/>
                <w:szCs w:val="20"/>
                <w:color w:val="auto"/>
              </w:rPr>
            </w:pPr>
            <w:r>
              <w:rPr>
                <w:rFonts w:ascii="Arial" w:cs="Arial" w:eastAsia="Arial" w:hAnsi="Arial"/>
                <w:sz w:val="15"/>
                <w:szCs w:val="15"/>
                <w:color w:val="auto"/>
                <w:w w:val="85"/>
              </w:rPr>
              <w:t>and reverse)</w:t>
            </w:r>
          </w:p>
        </w:tc>
        <w:tc>
          <w:tcPr>
            <w:tcW w:w="1320" w:type="dxa"/>
            <w:vAlign w:val="bottom"/>
          </w:tcPr>
          <w:p>
            <w:pPr>
              <w:jc w:val="center"/>
              <w:spacing w:after="0"/>
              <w:rPr>
                <w:sz w:val="20"/>
                <w:szCs w:val="20"/>
                <w:color w:val="auto"/>
              </w:rPr>
            </w:pPr>
            <w:r>
              <w:rPr>
                <w:rFonts w:ascii="Arial" w:cs="Arial" w:eastAsia="Arial" w:hAnsi="Arial"/>
                <w:sz w:val="15"/>
                <w:szCs w:val="15"/>
                <w:color w:val="auto"/>
                <w:w w:val="85"/>
              </w:rPr>
              <w:t>350 bps reverse</w:t>
            </w: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89"/>
              </w:rPr>
              <w:t>SOFR + 190 bps;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Master repurchase agreement (5)</w:t>
            </w:r>
          </w:p>
        </w:tc>
        <w:tc>
          <w:tcPr>
            <w:tcW w:w="1060" w:type="dxa"/>
            <w:vAlign w:val="bottom"/>
            <w:vMerge w:val="restart"/>
            <w:shd w:val="clear" w:color="auto" w:fill="CCEEFF"/>
          </w:tcPr>
          <w:p>
            <w:pPr>
              <w:jc w:val="center"/>
              <w:ind w:right="46"/>
              <w:spacing w:after="0"/>
              <w:rPr>
                <w:sz w:val="20"/>
                <w:szCs w:val="20"/>
                <w:color w:val="auto"/>
              </w:rPr>
            </w:pPr>
            <w:r>
              <w:rPr>
                <w:rFonts w:ascii="Arial" w:cs="Arial" w:eastAsia="Arial" w:hAnsi="Arial"/>
                <w:sz w:val="15"/>
                <w:szCs w:val="15"/>
                <w:color w:val="auto"/>
              </w:rPr>
              <w:t>N/A</w:t>
            </w:r>
          </w:p>
        </w:tc>
        <w:tc>
          <w:tcPr>
            <w:tcW w:w="1320" w:type="dxa"/>
            <w:vAlign w:val="bottom"/>
            <w:shd w:val="clear" w:color="auto" w:fill="CCEEFF"/>
          </w:tcPr>
          <w:p>
            <w:pPr>
              <w:jc w:val="center"/>
              <w:spacing w:after="0" w:line="145" w:lineRule="exact"/>
              <w:rPr>
                <w:sz w:val="20"/>
                <w:szCs w:val="20"/>
                <w:color w:val="auto"/>
              </w:rPr>
            </w:pPr>
            <w:r>
              <w:rPr>
                <w:rFonts w:ascii="Arial" w:cs="Arial" w:eastAsia="Arial" w:hAnsi="Arial"/>
                <w:sz w:val="15"/>
                <w:szCs w:val="15"/>
                <w:color w:val="auto"/>
                <w:w w:val="91"/>
              </w:rPr>
              <w:t>SOFR floor 25</w:t>
            </w:r>
          </w:p>
        </w:tc>
        <w:tc>
          <w:tcPr>
            <w:tcW w:w="1040" w:type="dxa"/>
            <w:vAlign w:val="bottom"/>
            <w:vMerge w:val="restart"/>
            <w:shd w:val="clear" w:color="auto" w:fill="CCEEFF"/>
          </w:tcPr>
          <w:p>
            <w:pPr>
              <w:jc w:val="center"/>
              <w:ind w:right="26"/>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bps</w:t>
            </w:r>
          </w:p>
        </w:tc>
        <w:tc>
          <w:tcPr>
            <w:tcW w:w="10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5"/>
                <w:szCs w:val="15"/>
                <w:color w:val="auto"/>
              </w:rPr>
              <w:t>Participation agreement (6)</w:t>
            </w:r>
          </w:p>
        </w:tc>
        <w:tc>
          <w:tcPr>
            <w:tcW w:w="1060" w:type="dxa"/>
            <w:vAlign w:val="bottom"/>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(6)</w:t>
            </w:r>
          </w:p>
        </w:tc>
        <w:tc>
          <w:tcPr>
            <w:tcW w:w="1040" w:type="dxa"/>
            <w:vAlign w:val="bottom"/>
          </w:tcPr>
          <w:p>
            <w:pPr>
              <w:jc w:val="center"/>
              <w:ind w:right="6"/>
              <w:spacing w:after="0"/>
              <w:rPr>
                <w:sz w:val="20"/>
                <w:szCs w:val="20"/>
                <w:color w:val="auto"/>
              </w:rPr>
            </w:pPr>
            <w:r>
              <w:rPr>
                <w:rFonts w:ascii="Arial" w:cs="Arial" w:eastAsia="Arial" w:hAnsi="Arial"/>
                <w:sz w:val="15"/>
                <w:szCs w:val="15"/>
                <w:color w:val="auto"/>
                <w:w w:val="85"/>
              </w:rPr>
              <w:t>June 2022</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203,609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Master repurchase agreement (6)</w:t>
            </w:r>
          </w:p>
        </w:tc>
        <w:tc>
          <w:tcPr>
            <w:tcW w:w="1060" w:type="dxa"/>
            <w:vAlign w:val="bottom"/>
            <w:shd w:val="clear" w:color="auto" w:fill="CCEEFF"/>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(6)</w:t>
            </w:r>
          </w:p>
        </w:tc>
        <w:tc>
          <w:tcPr>
            <w:tcW w:w="1040" w:type="dxa"/>
            <w:vAlign w:val="bottom"/>
            <w:shd w:val="clear" w:color="auto" w:fill="CCEEFF"/>
          </w:tcPr>
          <w:p>
            <w:pPr>
              <w:jc w:val="center"/>
              <w:ind w:right="6"/>
              <w:spacing w:after="0"/>
              <w:rPr>
                <w:sz w:val="20"/>
                <w:szCs w:val="20"/>
                <w:color w:val="auto"/>
              </w:rPr>
            </w:pPr>
            <w:r>
              <w:rPr>
                <w:rFonts w:ascii="Arial" w:cs="Arial" w:eastAsia="Arial" w:hAnsi="Arial"/>
                <w:sz w:val="15"/>
                <w:szCs w:val="15"/>
                <w:color w:val="auto"/>
                <w:w w:val="85"/>
              </w:rPr>
              <w:t>June 2022</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63,281</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5"/>
                <w:szCs w:val="15"/>
                <w:color w:val="auto"/>
              </w:rPr>
              <w:t>Master repurchase agreement (7)</w:t>
            </w:r>
          </w:p>
        </w:tc>
        <w:tc>
          <w:tcPr>
            <w:tcW w:w="1060" w:type="dxa"/>
            <w:vAlign w:val="bottom"/>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(7)</w:t>
            </w:r>
          </w:p>
        </w:tc>
        <w:tc>
          <w:tcPr>
            <w:tcW w:w="1040" w:type="dxa"/>
            <w:vAlign w:val="bottom"/>
          </w:tcPr>
          <w:p>
            <w:pPr>
              <w:jc w:val="center"/>
              <w:ind w:right="6"/>
              <w:spacing w:after="0"/>
              <w:rPr>
                <w:sz w:val="20"/>
                <w:szCs w:val="20"/>
                <w:color w:val="auto"/>
              </w:rPr>
            </w:pPr>
            <w:r>
              <w:rPr>
                <w:rFonts w:ascii="Arial" w:cs="Arial" w:eastAsia="Arial" w:hAnsi="Arial"/>
                <w:sz w:val="15"/>
                <w:szCs w:val="15"/>
                <w:color w:val="auto"/>
                <w:w w:val="85"/>
              </w:rPr>
              <w:t>June 2022</w:t>
            </w: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97"/>
              </w:rPr>
              <w:t>Mortgage warehouse agreement (8)</w:t>
            </w:r>
          </w:p>
        </w:tc>
        <w:tc>
          <w:tcPr>
            <w:tcW w:w="1060" w:type="dxa"/>
            <w:vAlign w:val="bottom"/>
            <w:vMerge w:val="restart"/>
            <w:shd w:val="clear" w:color="auto" w:fill="CCEEFF"/>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92"/>
              </w:rPr>
              <w:t>1ML + 350 bps;</w:t>
            </w:r>
          </w:p>
        </w:tc>
        <w:tc>
          <w:tcPr>
            <w:tcW w:w="1040" w:type="dxa"/>
            <w:vAlign w:val="bottom"/>
            <w:vMerge w:val="restart"/>
            <w:shd w:val="clear" w:color="auto" w:fill="CCEEFF"/>
          </w:tcPr>
          <w:p>
            <w:pPr>
              <w:jc w:val="center"/>
              <w:ind w:right="6"/>
              <w:spacing w:after="0"/>
              <w:rPr>
                <w:sz w:val="20"/>
                <w:szCs w:val="20"/>
                <w:color w:val="auto"/>
              </w:rPr>
            </w:pPr>
            <w:r>
              <w:rPr>
                <w:rFonts w:ascii="Arial" w:cs="Arial" w:eastAsia="Arial" w:hAnsi="Arial"/>
                <w:sz w:val="15"/>
                <w:szCs w:val="15"/>
                <w:color w:val="auto"/>
                <w:w w:val="84"/>
              </w:rPr>
              <w:t>Jan. 2022</w:t>
            </w:r>
          </w:p>
        </w:tc>
        <w:tc>
          <w:tcPr>
            <w:tcW w:w="2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11,715</w:t>
            </w:r>
          </w:p>
        </w:tc>
        <w:tc>
          <w:tcPr>
            <w:tcW w:w="0" w:type="dxa"/>
            <w:vAlign w:val="bottom"/>
          </w:tcPr>
          <w:p>
            <w:pPr>
              <w:spacing w:after="0"/>
              <w:rPr>
                <w:sz w:val="1"/>
                <w:szCs w:val="1"/>
                <w:color w:val="auto"/>
              </w:rPr>
            </w:pPr>
          </w:p>
        </w:tc>
      </w:tr>
      <w:tr>
        <w:trPr>
          <w:trHeight w:val="189"/>
        </w:trPr>
        <w:tc>
          <w:tcPr>
            <w:tcW w:w="23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Floor 5.25%</w:t>
            </w:r>
          </w:p>
        </w:tc>
        <w:tc>
          <w:tcPr>
            <w:tcW w:w="10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80" w:type="dxa"/>
            <w:vAlign w:val="bottom"/>
            <w:vMerge w:val="restart"/>
          </w:tcPr>
          <w:p>
            <w:pPr>
              <w:ind w:left="20"/>
              <w:spacing w:after="0"/>
              <w:rPr>
                <w:sz w:val="20"/>
                <w:szCs w:val="20"/>
                <w:color w:val="auto"/>
              </w:rPr>
            </w:pPr>
            <w:r>
              <w:rPr>
                <w:rFonts w:ascii="Arial" w:cs="Arial" w:eastAsia="Arial" w:hAnsi="Arial"/>
                <w:sz w:val="15"/>
                <w:szCs w:val="15"/>
                <w:color w:val="auto"/>
                <w:w w:val="97"/>
              </w:rPr>
              <w:t>Mortgage warehouse agreement (9)</w:t>
            </w:r>
          </w:p>
        </w:tc>
        <w:tc>
          <w:tcPr>
            <w:tcW w:w="1060" w:type="dxa"/>
            <w:vAlign w:val="bottom"/>
            <w:vMerge w:val="restart"/>
          </w:tcPr>
          <w:p>
            <w:pPr>
              <w:jc w:val="center"/>
              <w:ind w:right="26"/>
              <w:spacing w:after="0"/>
              <w:rPr>
                <w:sz w:val="20"/>
                <w:szCs w:val="20"/>
                <w:color w:val="auto"/>
              </w:rPr>
            </w:pPr>
            <w:r>
              <w:rPr>
                <w:rFonts w:ascii="Arial" w:cs="Arial" w:eastAsia="Arial" w:hAnsi="Arial"/>
                <w:sz w:val="15"/>
                <w:szCs w:val="15"/>
                <w:color w:val="auto"/>
                <w:w w:val="89"/>
              </w:rPr>
              <w:t>LHFS (reverse)</w:t>
            </w:r>
          </w:p>
        </w:tc>
        <w:tc>
          <w:tcPr>
            <w:tcW w:w="1320" w:type="dxa"/>
            <w:vAlign w:val="bottom"/>
          </w:tcPr>
          <w:p>
            <w:pPr>
              <w:jc w:val="center"/>
              <w:spacing w:after="0" w:line="146" w:lineRule="exact"/>
              <w:rPr>
                <w:sz w:val="20"/>
                <w:szCs w:val="20"/>
                <w:color w:val="auto"/>
              </w:rPr>
            </w:pPr>
            <w:r>
              <w:rPr>
                <w:rFonts w:ascii="Arial" w:cs="Arial" w:eastAsia="Arial" w:hAnsi="Arial"/>
                <w:sz w:val="15"/>
                <w:szCs w:val="15"/>
                <w:color w:val="auto"/>
                <w:w w:val="92"/>
              </w:rPr>
              <w:t>1ML + 250 bps;</w:t>
            </w:r>
          </w:p>
        </w:tc>
        <w:tc>
          <w:tcPr>
            <w:tcW w:w="1040" w:type="dxa"/>
            <w:vAlign w:val="bottom"/>
            <w:vMerge w:val="restart"/>
          </w:tcPr>
          <w:p>
            <w:pPr>
              <w:jc w:val="center"/>
              <w:ind w:right="6"/>
              <w:spacing w:after="0"/>
              <w:rPr>
                <w:sz w:val="20"/>
                <w:szCs w:val="20"/>
                <w:color w:val="auto"/>
              </w:rPr>
            </w:pPr>
            <w:r>
              <w:rPr>
                <w:rFonts w:ascii="Arial" w:cs="Arial" w:eastAsia="Arial" w:hAnsi="Arial"/>
                <w:sz w:val="15"/>
                <w:szCs w:val="15"/>
                <w:color w:val="auto"/>
                <w:w w:val="92"/>
              </w:rPr>
              <w:t>Oct. 2021</w:t>
            </w: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28,929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146,071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73,134</w:t>
            </w:r>
          </w:p>
        </w:tc>
        <w:tc>
          <w:tcPr>
            <w:tcW w:w="0" w:type="dxa"/>
            <w:vAlign w:val="bottom"/>
          </w:tcPr>
          <w:p>
            <w:pPr>
              <w:spacing w:after="0"/>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4"/>
              </w:rPr>
              <w:t>3.25% floor</w:t>
            </w: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color w:val="auto"/>
              </w:rPr>
              <w:t>Mortgage warehouse agreement</w:t>
            </w:r>
          </w:p>
        </w:tc>
        <w:tc>
          <w:tcPr>
            <w:tcW w:w="1060" w:type="dxa"/>
            <w:vAlign w:val="bottom"/>
            <w:vMerge w:val="restart"/>
            <w:shd w:val="clear" w:color="auto" w:fill="CCEEFF"/>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9"/>
              </w:rPr>
              <w:t>(10)</w:t>
            </w:r>
          </w:p>
        </w:tc>
        <w:tc>
          <w:tcPr>
            <w:tcW w:w="1040" w:type="dxa"/>
            <w:vAlign w:val="bottom"/>
            <w:vMerge w:val="restart"/>
            <w:shd w:val="clear" w:color="auto" w:fill="CCEEFF"/>
          </w:tcPr>
          <w:p>
            <w:pPr>
              <w:jc w:val="center"/>
              <w:ind w:right="26"/>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34,962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165,038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27,729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w:t>
            </w:r>
          </w:p>
        </w:tc>
        <w:tc>
          <w:tcPr>
            <w:tcW w:w="10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5"/>
                <w:szCs w:val="15"/>
                <w:color w:val="auto"/>
              </w:rPr>
              <w:t>Master repurchase agreement (11)</w:t>
            </w:r>
          </w:p>
        </w:tc>
        <w:tc>
          <w:tcPr>
            <w:tcW w:w="1060" w:type="dxa"/>
            <w:vAlign w:val="bottom"/>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1ML + 200 bps</w:t>
            </w:r>
          </w:p>
        </w:tc>
        <w:tc>
          <w:tcPr>
            <w:tcW w:w="1040" w:type="dxa"/>
            <w:vAlign w:val="bottom"/>
          </w:tcPr>
          <w:p>
            <w:pPr>
              <w:jc w:val="center"/>
              <w:ind w:right="26"/>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465,018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88"/>
              </w:rPr>
              <w:t>Prime Rate + 50</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Loan and security agreement (12)</w:t>
            </w:r>
          </w:p>
        </w:tc>
        <w:tc>
          <w:tcPr>
            <w:tcW w:w="1060" w:type="dxa"/>
            <w:vAlign w:val="bottom"/>
            <w:vMerge w:val="restart"/>
            <w:shd w:val="clear" w:color="auto" w:fill="CCEEFF"/>
          </w:tcPr>
          <w:p>
            <w:pPr>
              <w:jc w:val="center"/>
              <w:ind w:right="26"/>
              <w:spacing w:after="0"/>
              <w:rPr>
                <w:sz w:val="20"/>
                <w:szCs w:val="20"/>
                <w:color w:val="auto"/>
              </w:rPr>
            </w:pPr>
            <w:r>
              <w:rPr>
                <w:rFonts w:ascii="Arial" w:cs="Arial" w:eastAsia="Arial" w:hAnsi="Arial"/>
                <w:sz w:val="15"/>
                <w:szCs w:val="15"/>
                <w:color w:val="auto"/>
                <w:w w:val="97"/>
              </w:rPr>
              <w:t>HECM (ABO)</w:t>
            </w:r>
          </w:p>
        </w:tc>
        <w:tc>
          <w:tcPr>
            <w:tcW w:w="1320" w:type="dxa"/>
            <w:vAlign w:val="bottom"/>
            <w:shd w:val="clear" w:color="auto" w:fill="CCEEFF"/>
          </w:tcPr>
          <w:p>
            <w:pPr>
              <w:jc w:val="center"/>
              <w:spacing w:after="0" w:line="145" w:lineRule="exact"/>
              <w:rPr>
                <w:sz w:val="20"/>
                <w:szCs w:val="20"/>
                <w:color w:val="auto"/>
              </w:rPr>
            </w:pPr>
            <w:r>
              <w:rPr>
                <w:rFonts w:ascii="Arial" w:cs="Arial" w:eastAsia="Arial" w:hAnsi="Arial"/>
                <w:sz w:val="15"/>
                <w:szCs w:val="15"/>
                <w:color w:val="auto"/>
                <w:w w:val="89"/>
              </w:rPr>
              <w:t>bps; Floor 450</w:t>
            </w:r>
          </w:p>
        </w:tc>
        <w:tc>
          <w:tcPr>
            <w:tcW w:w="1040" w:type="dxa"/>
            <w:vAlign w:val="bottom"/>
            <w:vMerge w:val="restart"/>
            <w:shd w:val="clear" w:color="auto" w:fill="CCEEFF"/>
          </w:tcPr>
          <w:p>
            <w:pPr>
              <w:jc w:val="center"/>
              <w:ind w:right="6"/>
              <w:spacing w:after="0"/>
              <w:rPr>
                <w:sz w:val="20"/>
                <w:szCs w:val="20"/>
                <w:color w:val="auto"/>
              </w:rPr>
            </w:pPr>
            <w:r>
              <w:rPr>
                <w:rFonts w:ascii="Arial" w:cs="Arial" w:eastAsia="Arial" w:hAnsi="Arial"/>
                <w:sz w:val="15"/>
                <w:szCs w:val="15"/>
                <w:color w:val="auto"/>
                <w:w w:val="92"/>
              </w:rPr>
              <w:t>Apr. 2022</w:t>
            </w:r>
          </w:p>
        </w:tc>
        <w:tc>
          <w:tcPr>
            <w:tcW w:w="2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bps</w:t>
            </w:r>
          </w:p>
        </w:tc>
        <w:tc>
          <w:tcPr>
            <w:tcW w:w="10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5"/>
                <w:szCs w:val="15"/>
                <w:color w:val="auto"/>
              </w:rPr>
              <w:t>Master repurchase agreement (13)</w:t>
            </w:r>
          </w:p>
        </w:tc>
        <w:tc>
          <w:tcPr>
            <w:tcW w:w="1060" w:type="dxa"/>
            <w:vAlign w:val="bottom"/>
          </w:tcPr>
          <w:p>
            <w:pPr>
              <w:jc w:val="center"/>
              <w:ind w:right="26"/>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1ML + 250 bps</w:t>
            </w:r>
          </w:p>
        </w:tc>
        <w:tc>
          <w:tcPr>
            <w:tcW w:w="1040" w:type="dxa"/>
            <w:vAlign w:val="bottom"/>
          </w:tcPr>
          <w:p>
            <w:pPr>
              <w:jc w:val="center"/>
              <w:ind w:right="6"/>
              <w:spacing w:after="0"/>
              <w:rPr>
                <w:sz w:val="20"/>
                <w:szCs w:val="20"/>
                <w:color w:val="auto"/>
              </w:rPr>
            </w:pPr>
            <w:r>
              <w:rPr>
                <w:rFonts w:ascii="Arial" w:cs="Arial" w:eastAsia="Arial" w:hAnsi="Arial"/>
                <w:sz w:val="15"/>
                <w:szCs w:val="15"/>
                <w:color w:val="auto"/>
                <w:w w:val="92"/>
              </w:rPr>
              <w:t>Oct. 2021</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4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Total mortgage loan warehouse facilities</w:t>
            </w:r>
          </w:p>
        </w:tc>
        <w:tc>
          <w:tcPr>
            <w:tcW w:w="1320" w:type="dxa"/>
            <w:vAlign w:val="bottom"/>
            <w:tcBorders>
              <w:top w:val="single" w:sz="8" w:color="CCEEFF"/>
              <w:bottom w:val="single" w:sz="8" w:color="CCEEFF"/>
            </w:tcBorders>
            <w:shd w:val="clear" w:color="auto" w:fill="CCEEFF"/>
          </w:tcPr>
          <w:p>
            <w:pPr>
              <w:jc w:val="right"/>
              <w:ind w:right="386"/>
              <w:spacing w:after="0"/>
              <w:rPr>
                <w:sz w:val="20"/>
                <w:szCs w:val="20"/>
                <w:color w:val="auto"/>
              </w:rPr>
            </w:pPr>
            <w:r>
              <w:rPr>
                <w:rFonts w:ascii="Arial" w:cs="Arial" w:eastAsia="Arial" w:hAnsi="Arial"/>
                <w:sz w:val="15"/>
                <w:szCs w:val="15"/>
                <w:color w:val="auto"/>
              </w:rPr>
              <w:t>2.77% (14)</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344,348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1,069,170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451,713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80" w:hanging="271"/>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1ML was 0.08% and 0.14% at September 30, 2021 and December 31, 2020, respectively. Prime Rate was 3.25% as at September 30, 2021.</w:t>
      </w:r>
    </w:p>
    <w:p>
      <w:pPr>
        <w:spacing w:after="0" w:line="18" w:lineRule="exact"/>
        <w:rPr>
          <w:rFonts w:ascii="Arial" w:cs="Arial" w:eastAsia="Arial" w:hAnsi="Arial"/>
          <w:sz w:val="13"/>
          <w:szCs w:val="13"/>
          <w:color w:val="auto"/>
        </w:rPr>
      </w:pPr>
    </w:p>
    <w:p>
      <w:pPr>
        <w:ind w:left="280" w:right="40" w:hanging="271"/>
        <w:spacing w:after="0" w:line="250"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Of the borrowing capacity on mortgage loan warehouse facilities extended on a committed basis, $3.3 million of the available borrowing capacity could be used at September 30, 2021 based on the amount of eligible collateral that could be pledged.</w:t>
      </w:r>
    </w:p>
    <w:p>
      <w:pPr>
        <w:ind w:left="280" w:right="300" w:hanging="271"/>
        <w:spacing w:after="0" w:line="250"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maximum borrowing under this agreement is $275.0 million, of which $160.0 million is available on a committed basis and the remainder is available at the discretion of the lender. On March 31, 2021, we renewed the facility and the maturity date was extended to June 30, 2022.</w:t>
      </w:r>
    </w:p>
    <w:p>
      <w:pPr>
        <w:ind w:left="280" w:right="100" w:hanging="271"/>
        <w:spacing w:after="0" w:line="250"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w:t>
      </w:r>
    </w:p>
    <w:p>
      <w:pPr>
        <w:ind w:left="280" w:right="220" w:hanging="271"/>
        <w:spacing w:after="0" w:line="241"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lender provides financing for up to $50.0 million at the discretion of the lender. The agreement has no stated maturity date. Interest on this facility is based on the Secured Overnight Financing Rate (SOFR).</w:t>
      </w:r>
    </w:p>
    <w:p>
      <w:pPr>
        <w:ind w:left="280" w:right="120" w:hanging="271"/>
        <w:spacing w:after="0" w:line="232"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June 23, 2021, the facility was renewed for one year to June 23, 2022, the uncommitted borrowing capacity under the participation agreement was increased to $150.0 million and the committed borrowing capacity under the repurchase agreement increased to $100.0 million. The interest rate on repurchase agreement was revised to the stated interest rate of the mortgage loans, less 35 bps with a floor of 3.00% for new originations and less 10 bps with a floor of 3.25% for Ginnie Mae modifications, Ginnie Mae buyouts and RMBS bond clean up loans. The interest rate on the participation agreement was revised to the stated interest rate of the mortgage loans, less 35 bps with a floor of 3.00% for new originations. The agreements allow the lender to acquire a 100% beneficial interest in the underlying mortgage loans. On July 23, 2021, we temporarily increased the borrowing capacity under the participation agreement to $300.0 million until September 15, 2021. On September 14, 2021, the temporary increase in borrowing capacity was extended to November 15, 2021.</w:t>
      </w:r>
    </w:p>
    <w:p>
      <w:pPr>
        <w:spacing w:after="0" w:line="2" w:lineRule="exact"/>
        <w:rPr>
          <w:rFonts w:ascii="Arial" w:cs="Arial" w:eastAsia="Arial" w:hAnsi="Arial"/>
          <w:sz w:val="13"/>
          <w:szCs w:val="13"/>
          <w:color w:val="auto"/>
        </w:rPr>
      </w:pPr>
    </w:p>
    <w:p>
      <w:pPr>
        <w:ind w:left="280" w:hanging="271"/>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June 20, 2021, the facility was renewed for one year to June 23, 2022.</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72" w:right="339" w:bottom="1440" w:gutter="0" w:footer="0" w:header="0"/>
        </w:sectPr>
      </w:pPr>
    </w:p>
    <w:bookmarkStart w:id="39" w:name="page40"/>
    <w:bookmarkEnd w:id="39"/>
    <w:p>
      <w:pPr>
        <w:ind w:left="280" w:hanging="271"/>
        <w:spacing w:after="0"/>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Under this agreement, the lender provides financing for up to $50.0 million on a committed basis. On January 15, 2021, the maturity date of this facility was extended to January 15, 2022.</w:t>
      </w:r>
    </w:p>
    <w:p>
      <w:pPr>
        <w:spacing w:after="0" w:line="7" w:lineRule="exact"/>
        <w:rPr>
          <w:rFonts w:ascii="Arial" w:cs="Arial" w:eastAsia="Arial" w:hAnsi="Arial"/>
          <w:sz w:val="13"/>
          <w:szCs w:val="13"/>
          <w:color w:val="auto"/>
        </w:rPr>
      </w:pPr>
    </w:p>
    <w:p>
      <w:pPr>
        <w:ind w:left="280" w:hanging="271"/>
        <w:spacing w:after="0"/>
        <w:tabs>
          <w:tab w:leader="none" w:pos="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Under this agreement, the lender provides financing for up to $150.0 million on an uncommitted basis. On February 1, 2021, the borrowing capacity was temporarily increased from $100.0 million to</w:t>
      </w:r>
    </w:p>
    <w:p>
      <w:pPr>
        <w:spacing w:after="0" w:line="6" w:lineRule="exact"/>
        <w:rPr>
          <w:rFonts w:ascii="Arial" w:cs="Arial" w:eastAsia="Arial" w:hAnsi="Arial"/>
          <w:sz w:val="12"/>
          <w:szCs w:val="12"/>
          <w:color w:val="auto"/>
        </w:rPr>
      </w:pPr>
    </w:p>
    <w:p>
      <w:pPr>
        <w:ind w:left="280" w:right="80"/>
        <w:spacing w:after="0" w:line="238" w:lineRule="auto"/>
        <w:rPr>
          <w:rFonts w:ascii="Arial" w:cs="Arial" w:eastAsia="Arial" w:hAnsi="Arial"/>
          <w:sz w:val="12"/>
          <w:szCs w:val="12"/>
          <w:color w:val="auto"/>
        </w:rPr>
      </w:pPr>
      <w:r>
        <w:rPr>
          <w:rFonts w:ascii="Arial" w:cs="Arial" w:eastAsia="Arial" w:hAnsi="Arial"/>
          <w:sz w:val="13"/>
          <w:szCs w:val="13"/>
          <w:color w:val="auto"/>
        </w:rPr>
        <w:t>$150.0 million until February 28, 2021 when it was reduced to $100.0 million. On March 30, 2021, the borrowing capacity was temporarily increased to $150.0 million effective April 1, 2021 until April 29, 2021 when the increase was made permanent. On September 27, 2021, the borrowing capacity was increased to $175.0 million until maturity. On October 14, 2021, the maturity date of the facility was extended to November 23, 2021.</w:t>
      </w:r>
    </w:p>
    <w:p>
      <w:pPr>
        <w:spacing w:after="0" w:line="1" w:lineRule="exact"/>
        <w:rPr>
          <w:rFonts w:ascii="Arial" w:cs="Arial" w:eastAsia="Arial" w:hAnsi="Arial"/>
          <w:sz w:val="12"/>
          <w:szCs w:val="12"/>
          <w:color w:val="auto"/>
        </w:rPr>
      </w:pPr>
    </w:p>
    <w:p>
      <w:pPr>
        <w:ind w:left="280" w:right="120" w:hanging="271"/>
        <w:spacing w:after="0" w:line="244"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May 17, 2021, the total borrowing capacity of this facility, all of which is uncommitted, was increased from $100.0 million to $150.0 million through the addition of a $50.0 million participation interest. The agreement has no stated maturity date, however each transaction has a maximum duration of four years. The cost of this line is set at each transaction date and is based on the interest rate and type of the collateral. On September 1, 2021, the total borrowing capacity of the facility was increased to $200.0 million.</w:t>
      </w:r>
    </w:p>
    <w:p>
      <w:pPr>
        <w:spacing w:after="0" w:line="1" w:lineRule="exact"/>
        <w:rPr>
          <w:rFonts w:ascii="Arial" w:cs="Arial" w:eastAsia="Arial" w:hAnsi="Arial"/>
          <w:sz w:val="13"/>
          <w:szCs w:val="13"/>
          <w:color w:val="auto"/>
        </w:rPr>
      </w:pPr>
    </w:p>
    <w:p>
      <w:pPr>
        <w:ind w:left="280" w:right="80" w:hanging="271"/>
        <w:spacing w:after="0" w:line="252" w:lineRule="auto"/>
        <w:tabs>
          <w:tab w:leader="none" w:pos="275"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March 29, 2021, we entered into a repurchase agreement which provides borrowing at our discretion up to a certain maximum amount of capacity on a rolling 30-day committed basis. This facility is structured as a gestation repurchase facility whereby dry Agency mortgage loans are transferred to a trust which trust issues a trust certificate that is pledged as the collateral for the borrowings. See Note 2</w:t>
      </w:r>
    </w:p>
    <w:p>
      <w:pPr>
        <w:ind w:left="280" w:right="140"/>
        <w:spacing w:after="0" w:line="237" w:lineRule="auto"/>
        <w:rPr>
          <w:rFonts w:ascii="Arial" w:cs="Arial" w:eastAsia="Arial" w:hAnsi="Arial"/>
          <w:sz w:val="12"/>
          <w:szCs w:val="12"/>
          <w:color w:val="auto"/>
        </w:rPr>
      </w:pPr>
      <w:r>
        <w:rPr>
          <w:rFonts w:ascii="Arial" w:cs="Arial" w:eastAsia="Arial" w:hAnsi="Arial"/>
          <w:sz w:val="13"/>
          <w:szCs w:val="13"/>
          <w:color w:val="auto"/>
        </w:rPr>
        <w:t>– Securitizations and Variable Interest Entities for additional information. On March 31, 2021, the trust issued the first certificate of $50.0 million which was increased to $75.0 million on May 28, 2021 and further increased to $225.0 million on July 29, 2021. The second trust certificate of $50.0 million was issued on April 12, 2021 and increased to $100.0 million on July 13, 2021. Additional trust certificates of $25.0 million and $100.0 million were issued for borrowing on June 25, 2021 and July 23, 2021, respectively, under this agreement. Each certificate is renewed monthly and we reduced the interest rate to 1ML + 200 bps during the monthly certificate renewals in July 2021.</w:t>
      </w:r>
    </w:p>
    <w:p>
      <w:pPr>
        <w:ind w:left="280" w:right="160" w:hanging="271"/>
        <w:spacing w:after="0" w:line="250"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April 29, 2021, we entered into a revolving facility agreement which provides up to $30.0 million of committed borrowing capacity secured by eligible HECM loans that are active buyouts (ABO), as defined in the agreement.</w:t>
      </w:r>
    </w:p>
    <w:p>
      <w:pPr>
        <w:ind w:left="280" w:hanging="271"/>
        <w:spacing w:after="0"/>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July 23, 2021, we entered into a repurchase agreement warehouse facility with borrowing capacity of $210.0 million. This facility expired in October 2021.</w:t>
      </w:r>
    </w:p>
    <w:p>
      <w:pPr>
        <w:spacing w:after="0" w:line="6" w:lineRule="exact"/>
        <w:rPr>
          <w:rFonts w:ascii="Arial" w:cs="Arial" w:eastAsia="Arial" w:hAnsi="Arial"/>
          <w:sz w:val="13"/>
          <w:szCs w:val="13"/>
          <w:color w:val="auto"/>
        </w:rPr>
      </w:pPr>
    </w:p>
    <w:p>
      <w:pPr>
        <w:ind w:left="280" w:right="80" w:hanging="271"/>
        <w:spacing w:after="0" w:line="266"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Weighted average interest rate at September 30, 2021, excluding the effect of the amortization of prepaid lender fees. At September 30, 2021 and December 31, 2020, unamortized prepaid lender fees were $0.9 million and $2.0 million, respectively, and are included in Other assets in our consolidated balance sheets.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tcPr>
          <w:p>
            <w:pPr>
              <w:ind w:left="20"/>
              <w:spacing w:after="0"/>
              <w:rPr>
                <w:sz w:val="20"/>
                <w:szCs w:val="20"/>
                <w:color w:val="auto"/>
              </w:rPr>
            </w:pPr>
            <w:r>
              <w:rPr>
                <w:rFonts w:ascii="Arial" w:cs="Arial" w:eastAsia="Arial" w:hAnsi="Arial"/>
                <w:sz w:val="15"/>
                <w:szCs w:val="15"/>
                <w:b w:val="1"/>
                <w:bCs w:val="1"/>
                <w:color w:val="auto"/>
              </w:rPr>
              <w:t>MSR financing facilities, net</w:t>
            </w: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86"/>
              <w:spacing w:after="0"/>
              <w:rPr>
                <w:sz w:val="20"/>
                <w:szCs w:val="20"/>
                <w:color w:val="auto"/>
              </w:rPr>
            </w:pPr>
            <w:r>
              <w:rPr>
                <w:rFonts w:ascii="Arial" w:cs="Arial" w:eastAsia="Arial" w:hAnsi="Arial"/>
                <w:sz w:val="15"/>
                <w:szCs w:val="15"/>
                <w:b w:val="1"/>
                <w:bCs w:val="1"/>
                <w:color w:val="auto"/>
                <w:w w:val="90"/>
              </w:rPr>
              <w:t>Available Borrowing Capacity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36"/>
        </w:trPr>
        <w:tc>
          <w:tcPr>
            <w:tcW w:w="230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Borrowing Type</w:t>
            </w: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3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Interest Rate (1)</w:t>
            </w:r>
          </w:p>
        </w:tc>
        <w:tc>
          <w:tcPr>
            <w:tcW w:w="10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Maturity</w:t>
            </w:r>
          </w:p>
        </w:tc>
        <w:tc>
          <w:tcPr>
            <w:tcW w:w="180" w:type="dxa"/>
            <w:vAlign w:val="bottom"/>
          </w:tcPr>
          <w:p>
            <w:pPr>
              <w:spacing w:after="0"/>
              <w:rPr>
                <w:sz w:val="11"/>
                <w:szCs w:val="11"/>
                <w:color w:val="auto"/>
              </w:rPr>
            </w:pPr>
          </w:p>
        </w:tc>
        <w:tc>
          <w:tcPr>
            <w:tcW w:w="1240" w:type="dxa"/>
            <w:vAlign w:val="bottom"/>
            <w:vMerge w:val="restart"/>
          </w:tcPr>
          <w:p>
            <w:pPr>
              <w:jc w:val="right"/>
              <w:ind w:right="206"/>
              <w:spacing w:after="0"/>
              <w:rPr>
                <w:sz w:val="20"/>
                <w:szCs w:val="20"/>
                <w:color w:val="auto"/>
              </w:rPr>
            </w:pPr>
            <w:r>
              <w:rPr>
                <w:rFonts w:ascii="Arial" w:cs="Arial" w:eastAsia="Arial" w:hAnsi="Arial"/>
                <w:sz w:val="15"/>
                <w:szCs w:val="15"/>
                <w:b w:val="1"/>
                <w:bCs w:val="1"/>
                <w:color w:val="auto"/>
                <w:w w:val="98"/>
              </w:rPr>
              <w:t>Uncommitted</w:t>
            </w:r>
          </w:p>
        </w:tc>
        <w:tc>
          <w:tcPr>
            <w:tcW w:w="1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w w:val="95"/>
              </w:rPr>
              <w:t>Committed (2)</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20"/>
              <w:spacing w:after="0" w:line="13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1"/>
                <w:szCs w:val="11"/>
                <w:color w:val="auto"/>
              </w:rPr>
            </w:pPr>
          </w:p>
        </w:tc>
        <w:tc>
          <w:tcPr>
            <w:tcW w:w="1100" w:type="dxa"/>
            <w:vAlign w:val="bottom"/>
          </w:tcPr>
          <w:p>
            <w:pPr>
              <w:jc w:val="right"/>
              <w:ind w:right="106"/>
              <w:spacing w:after="0" w:line="136"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Agency MSR financing facility (3)</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MSRs, Advances</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1ML + 325 bps</w:t>
            </w:r>
          </w:p>
        </w:tc>
        <w:tc>
          <w:tcPr>
            <w:tcW w:w="1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June 2022</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80" w:type="dxa"/>
            <w:vAlign w:val="bottom"/>
            <w:gridSpan w:val="3"/>
            <w:shd w:val="clear" w:color="auto" w:fill="CCEEFF"/>
          </w:tcPr>
          <w:p>
            <w:pPr>
              <w:jc w:val="center"/>
              <w:ind w:left="886"/>
              <w:spacing w:after="0"/>
              <w:rPr>
                <w:sz w:val="20"/>
                <w:szCs w:val="20"/>
                <w:color w:val="auto"/>
              </w:rPr>
            </w:pPr>
            <w:r>
              <w:rPr>
                <w:rFonts w:ascii="Arial" w:cs="Arial" w:eastAsia="Arial" w:hAnsi="Arial"/>
                <w:sz w:val="15"/>
                <w:szCs w:val="15"/>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210,755</w:t>
            </w: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6" w:lineRule="exact"/>
              <w:rPr>
                <w:sz w:val="20"/>
                <w:szCs w:val="20"/>
                <w:color w:val="auto"/>
              </w:rPr>
            </w:pPr>
            <w:r>
              <w:rPr>
                <w:rFonts w:ascii="Arial" w:cs="Arial" w:eastAsia="Arial" w:hAnsi="Arial"/>
                <w:sz w:val="15"/>
                <w:szCs w:val="15"/>
                <w:color w:val="auto"/>
              </w:rPr>
              <w:t>Ginnie Mae MSR financing facility</w:t>
            </w:r>
          </w:p>
        </w:tc>
        <w:tc>
          <w:tcPr>
            <w:tcW w:w="1140" w:type="dxa"/>
            <w:vAlign w:val="bottom"/>
            <w:vMerge w:val="restart"/>
          </w:tcPr>
          <w:p>
            <w:pPr>
              <w:jc w:val="center"/>
              <w:spacing w:after="0"/>
              <w:rPr>
                <w:sz w:val="20"/>
                <w:szCs w:val="20"/>
                <w:color w:val="auto"/>
              </w:rPr>
            </w:pPr>
            <w:r>
              <w:rPr>
                <w:rFonts w:ascii="Arial" w:cs="Arial" w:eastAsia="Arial" w:hAnsi="Arial"/>
                <w:sz w:val="15"/>
                <w:szCs w:val="15"/>
                <w:color w:val="auto"/>
                <w:w w:val="90"/>
              </w:rPr>
              <w:t>MSRs, Advances</w:t>
            </w:r>
          </w:p>
        </w:tc>
        <w:tc>
          <w:tcPr>
            <w:tcW w:w="1300" w:type="dxa"/>
            <w:vAlign w:val="bottom"/>
          </w:tcPr>
          <w:p>
            <w:pPr>
              <w:jc w:val="center"/>
              <w:spacing w:after="0" w:line="146" w:lineRule="exact"/>
              <w:rPr>
                <w:sz w:val="20"/>
                <w:szCs w:val="20"/>
                <w:color w:val="auto"/>
              </w:rPr>
            </w:pPr>
            <w:r>
              <w:rPr>
                <w:rFonts w:ascii="Arial" w:cs="Arial" w:eastAsia="Arial" w:hAnsi="Arial"/>
                <w:sz w:val="15"/>
                <w:szCs w:val="15"/>
                <w:color w:val="auto"/>
                <w:w w:val="92"/>
              </w:rPr>
              <w:t>1ML + 450 bps;</w:t>
            </w:r>
          </w:p>
        </w:tc>
        <w:tc>
          <w:tcPr>
            <w:tcW w:w="1060" w:type="dxa"/>
            <w:vAlign w:val="bottom"/>
            <w:vMerge w:val="restart"/>
          </w:tcPr>
          <w:p>
            <w:pPr>
              <w:ind w:left="160"/>
              <w:spacing w:after="0"/>
              <w:rPr>
                <w:sz w:val="20"/>
                <w:szCs w:val="20"/>
                <w:color w:val="auto"/>
              </w:rPr>
            </w:pPr>
            <w:r>
              <w:rPr>
                <w:rFonts w:ascii="Arial" w:cs="Arial" w:eastAsia="Arial" w:hAnsi="Arial"/>
                <w:sz w:val="15"/>
                <w:szCs w:val="15"/>
                <w:color w:val="auto"/>
              </w:rPr>
              <w:t>Dec. 2021</w:t>
            </w: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6,937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118,063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112,022</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5"/>
                <w:szCs w:val="15"/>
                <w:color w:val="auto"/>
              </w:rPr>
              <w:t>(4)</w:t>
            </w:r>
          </w:p>
        </w:tc>
        <w:tc>
          <w:tcPr>
            <w:tcW w:w="11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5"/>
              </w:rPr>
              <w:t>1ML floor 0.50%</w:t>
            </w: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color w:val="auto"/>
              </w:rPr>
              <w:t>Ocwen Excess Spread-</w:t>
            </w:r>
          </w:p>
        </w:tc>
        <w:tc>
          <w:tcPr>
            <w:tcW w:w="1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shd w:val="clear" w:color="auto" w:fill="CCEEFF"/>
          </w:tcPr>
          <w:p>
            <w:pPr>
              <w:ind w:left="20"/>
              <w:spacing w:after="0" w:line="145" w:lineRule="exact"/>
              <w:rPr>
                <w:sz w:val="20"/>
                <w:szCs w:val="20"/>
                <w:color w:val="auto"/>
              </w:rPr>
            </w:pPr>
            <w:r>
              <w:rPr>
                <w:rFonts w:ascii="Arial" w:cs="Arial" w:eastAsia="Arial" w:hAnsi="Arial"/>
                <w:sz w:val="15"/>
                <w:szCs w:val="15"/>
                <w:color w:val="auto"/>
                <w:w w:val="99"/>
              </w:rPr>
              <w:t>Collateralized Notes, Series 2019-</w:t>
            </w:r>
          </w:p>
        </w:tc>
        <w:tc>
          <w:tcPr>
            <w:tcW w:w="1140" w:type="dxa"/>
            <w:vAlign w:val="bottom"/>
            <w:vMerge w:val="restart"/>
            <w:shd w:val="clear" w:color="auto" w:fill="CCEEFF"/>
          </w:tcPr>
          <w:p>
            <w:pPr>
              <w:jc w:val="center"/>
              <w:ind w:right="6"/>
              <w:spacing w:after="0"/>
              <w:rPr>
                <w:sz w:val="20"/>
                <w:szCs w:val="20"/>
                <w:color w:val="auto"/>
              </w:rPr>
            </w:pPr>
            <w:r>
              <w:rPr>
                <w:rFonts w:ascii="Arial" w:cs="Arial" w:eastAsia="Arial" w:hAnsi="Arial"/>
                <w:sz w:val="15"/>
                <w:szCs w:val="15"/>
                <w:color w:val="auto"/>
                <w:w w:val="92"/>
              </w:rPr>
              <w:t>MSRs</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5.07%</w:t>
            </w:r>
          </w:p>
        </w:tc>
        <w:tc>
          <w:tcPr>
            <w:tcW w:w="106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Nov. 2024</w:t>
            </w:r>
          </w:p>
        </w:tc>
        <w:tc>
          <w:tcPr>
            <w:tcW w:w="180" w:type="dxa"/>
            <w:vAlign w:val="bottom"/>
            <w:shd w:val="clear" w:color="auto" w:fill="CCEEFF"/>
          </w:tcPr>
          <w:p>
            <w:pPr>
              <w:spacing w:after="0"/>
              <w:rPr>
                <w:sz w:val="12"/>
                <w:szCs w:val="12"/>
                <w:color w:val="auto"/>
              </w:rPr>
            </w:pPr>
          </w:p>
        </w:tc>
        <w:tc>
          <w:tcPr>
            <w:tcW w:w="14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48,243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68,313</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PLS1 (5)</w:t>
            </w:r>
          </w:p>
        </w:tc>
        <w:tc>
          <w:tcPr>
            <w:tcW w:w="114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3"/>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6" w:lineRule="exact"/>
              <w:rPr>
                <w:sz w:val="20"/>
                <w:szCs w:val="20"/>
                <w:color w:val="auto"/>
              </w:rPr>
            </w:pPr>
            <w:r>
              <w:rPr>
                <w:rFonts w:ascii="Arial" w:cs="Arial" w:eastAsia="Arial" w:hAnsi="Arial"/>
                <w:sz w:val="15"/>
                <w:szCs w:val="15"/>
                <w:color w:val="auto"/>
              </w:rPr>
              <w:t>Secured Notes, Ocwen Asset</w:t>
            </w: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5" w:lineRule="exact"/>
              <w:rPr>
                <w:sz w:val="20"/>
                <w:szCs w:val="20"/>
                <w:color w:val="auto"/>
              </w:rPr>
            </w:pPr>
            <w:r>
              <w:rPr>
                <w:rFonts w:ascii="Arial" w:cs="Arial" w:eastAsia="Arial" w:hAnsi="Arial"/>
                <w:sz w:val="15"/>
                <w:szCs w:val="15"/>
                <w:color w:val="auto"/>
              </w:rPr>
              <w:t>Servicing Income Series, Series</w:t>
            </w:r>
          </w:p>
        </w:tc>
        <w:tc>
          <w:tcPr>
            <w:tcW w:w="1140" w:type="dxa"/>
            <w:vAlign w:val="bottom"/>
            <w:vMerge w:val="restart"/>
          </w:tcPr>
          <w:p>
            <w:pPr>
              <w:jc w:val="center"/>
              <w:ind w:right="6"/>
              <w:spacing w:after="0"/>
              <w:rPr>
                <w:sz w:val="20"/>
                <w:szCs w:val="20"/>
                <w:color w:val="auto"/>
              </w:rPr>
            </w:pPr>
            <w:r>
              <w:rPr>
                <w:rFonts w:ascii="Arial" w:cs="Arial" w:eastAsia="Arial" w:hAnsi="Arial"/>
                <w:sz w:val="15"/>
                <w:szCs w:val="15"/>
                <w:color w:val="auto"/>
                <w:w w:val="92"/>
              </w:rPr>
              <w:t>MSRs</w:t>
            </w:r>
          </w:p>
        </w:tc>
        <w:tc>
          <w:tcPr>
            <w:tcW w:w="1300" w:type="dxa"/>
            <w:vAlign w:val="bottom"/>
            <w:vMerge w:val="restart"/>
          </w:tcPr>
          <w:p>
            <w:pPr>
              <w:jc w:val="center"/>
              <w:spacing w:after="0"/>
              <w:rPr>
                <w:sz w:val="20"/>
                <w:szCs w:val="20"/>
                <w:color w:val="auto"/>
              </w:rPr>
            </w:pPr>
            <w:r>
              <w:rPr>
                <w:rFonts w:ascii="Arial" w:cs="Arial" w:eastAsia="Arial" w:hAnsi="Arial"/>
                <w:sz w:val="15"/>
                <w:szCs w:val="15"/>
                <w:color w:val="auto"/>
                <w:w w:val="87"/>
              </w:rPr>
              <w:t>(6)</w:t>
            </w:r>
          </w:p>
        </w:tc>
        <w:tc>
          <w:tcPr>
            <w:tcW w:w="1060" w:type="dxa"/>
            <w:vAlign w:val="bottom"/>
            <w:vMerge w:val="restart"/>
          </w:tcPr>
          <w:p>
            <w:pPr>
              <w:ind w:left="180"/>
              <w:spacing w:after="0"/>
              <w:rPr>
                <w:sz w:val="20"/>
                <w:szCs w:val="20"/>
                <w:color w:val="auto"/>
              </w:rPr>
            </w:pPr>
            <w:r>
              <w:rPr>
                <w:rFonts w:ascii="Arial" w:cs="Arial" w:eastAsia="Arial" w:hAnsi="Arial"/>
                <w:sz w:val="15"/>
                <w:szCs w:val="15"/>
                <w:color w:val="auto"/>
              </w:rPr>
              <w:t>Feb. 2028</w:t>
            </w:r>
          </w:p>
        </w:tc>
        <w:tc>
          <w:tcPr>
            <w:tcW w:w="18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41,362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47,476</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5"/>
                <w:szCs w:val="15"/>
                <w:color w:val="auto"/>
              </w:rPr>
              <w:t>2014-1 (6)</w:t>
            </w:r>
          </w:p>
        </w:tc>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color w:val="auto"/>
              </w:rPr>
              <w:t>Agency MSR financing facility -</w:t>
            </w:r>
          </w:p>
        </w:tc>
        <w:tc>
          <w:tcPr>
            <w:tcW w:w="1140" w:type="dxa"/>
            <w:vAlign w:val="bottom"/>
            <w:vMerge w:val="restart"/>
            <w:shd w:val="clear" w:color="auto" w:fill="CCEEFF"/>
          </w:tcPr>
          <w:p>
            <w:pPr>
              <w:jc w:val="center"/>
              <w:ind w:right="6"/>
              <w:spacing w:after="0"/>
              <w:rPr>
                <w:sz w:val="20"/>
                <w:szCs w:val="20"/>
                <w:color w:val="auto"/>
              </w:rPr>
            </w:pPr>
            <w:r>
              <w:rPr>
                <w:rFonts w:ascii="Arial" w:cs="Arial" w:eastAsia="Arial" w:hAnsi="Arial"/>
                <w:sz w:val="15"/>
                <w:szCs w:val="15"/>
                <w:color w:val="auto"/>
                <w:w w:val="92"/>
              </w:rPr>
              <w:t>MSRs</w:t>
            </w:r>
          </w:p>
        </w:tc>
        <w:tc>
          <w:tcPr>
            <w:tcW w:w="130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90"/>
              </w:rPr>
              <w:t>1yr Swap +</w:t>
            </w:r>
          </w:p>
        </w:tc>
        <w:tc>
          <w:tcPr>
            <w:tcW w:w="10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June 2026</w:t>
            </w:r>
          </w:p>
        </w:tc>
        <w:tc>
          <w:tcPr>
            <w:tcW w:w="180" w:type="dxa"/>
            <w:vAlign w:val="bottom"/>
            <w:shd w:val="clear" w:color="auto" w:fill="CCEEFF"/>
          </w:tcPr>
          <w:p>
            <w:pPr>
              <w:spacing w:after="0"/>
              <w:rPr>
                <w:sz w:val="12"/>
                <w:szCs w:val="12"/>
                <w:color w:val="auto"/>
              </w:rPr>
            </w:pPr>
          </w:p>
        </w:tc>
        <w:tc>
          <w:tcPr>
            <w:tcW w:w="14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277,071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revolving loan (7)</w:t>
            </w:r>
          </w:p>
        </w:tc>
        <w:tc>
          <w:tcPr>
            <w:tcW w:w="114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2.50%</w:t>
            </w: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3"/>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6" w:lineRule="exact"/>
              <w:rPr>
                <w:sz w:val="20"/>
                <w:szCs w:val="20"/>
                <w:color w:val="auto"/>
              </w:rPr>
            </w:pPr>
            <w:r>
              <w:rPr>
                <w:rFonts w:ascii="Arial" w:cs="Arial" w:eastAsia="Arial" w:hAnsi="Arial"/>
                <w:sz w:val="15"/>
                <w:szCs w:val="15"/>
                <w:color w:val="auto"/>
              </w:rPr>
              <w:t>Agency MSR financing facility -</w:t>
            </w:r>
          </w:p>
        </w:tc>
        <w:tc>
          <w:tcPr>
            <w:tcW w:w="1140" w:type="dxa"/>
            <w:vAlign w:val="bottom"/>
            <w:vMerge w:val="restart"/>
          </w:tcPr>
          <w:p>
            <w:pPr>
              <w:jc w:val="center"/>
              <w:ind w:right="6"/>
              <w:spacing w:after="0"/>
              <w:rPr>
                <w:sz w:val="20"/>
                <w:szCs w:val="20"/>
                <w:color w:val="auto"/>
              </w:rPr>
            </w:pPr>
            <w:r>
              <w:rPr>
                <w:rFonts w:ascii="Arial" w:cs="Arial" w:eastAsia="Arial" w:hAnsi="Arial"/>
                <w:sz w:val="15"/>
                <w:szCs w:val="15"/>
                <w:color w:val="auto"/>
                <w:w w:val="92"/>
              </w:rPr>
              <w:t>MSRs</w:t>
            </w:r>
          </w:p>
        </w:tc>
        <w:tc>
          <w:tcPr>
            <w:tcW w:w="1300" w:type="dxa"/>
            <w:vAlign w:val="bottom"/>
          </w:tcPr>
          <w:p>
            <w:pPr>
              <w:jc w:val="center"/>
              <w:spacing w:after="0" w:line="146" w:lineRule="exact"/>
              <w:rPr>
                <w:sz w:val="20"/>
                <w:szCs w:val="20"/>
                <w:color w:val="auto"/>
              </w:rPr>
            </w:pPr>
            <w:r>
              <w:rPr>
                <w:rFonts w:ascii="Arial" w:cs="Arial" w:eastAsia="Arial" w:hAnsi="Arial"/>
                <w:sz w:val="15"/>
                <w:szCs w:val="15"/>
                <w:color w:val="auto"/>
                <w:w w:val="90"/>
              </w:rPr>
              <w:t>1yr Swap +</w:t>
            </w:r>
          </w:p>
        </w:tc>
        <w:tc>
          <w:tcPr>
            <w:tcW w:w="1060" w:type="dxa"/>
            <w:vAlign w:val="bottom"/>
            <w:vMerge w:val="restart"/>
          </w:tcPr>
          <w:p>
            <w:pPr>
              <w:ind w:left="180"/>
              <w:spacing w:after="0"/>
              <w:rPr>
                <w:sz w:val="20"/>
                <w:szCs w:val="20"/>
                <w:color w:val="auto"/>
              </w:rPr>
            </w:pPr>
            <w:r>
              <w:rPr>
                <w:rFonts w:ascii="Arial" w:cs="Arial" w:eastAsia="Arial" w:hAnsi="Arial"/>
                <w:sz w:val="15"/>
                <w:szCs w:val="15"/>
                <w:color w:val="auto"/>
              </w:rPr>
              <w:t>June 2023</w:t>
            </w:r>
          </w:p>
        </w:tc>
        <w:tc>
          <w:tcPr>
            <w:tcW w:w="18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112,779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5"/>
                <w:szCs w:val="15"/>
                <w:color w:val="auto"/>
              </w:rPr>
              <w:t>term loan (7)</w:t>
            </w:r>
          </w:p>
        </w:tc>
        <w:tc>
          <w:tcPr>
            <w:tcW w:w="11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2.50%</w:t>
            </w: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MSR financing facilities</w:t>
            </w:r>
          </w:p>
        </w:tc>
        <w:tc>
          <w:tcPr>
            <w:tcW w:w="11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jc w:val="right"/>
              <w:ind w:right="466"/>
              <w:spacing w:after="0"/>
              <w:rPr>
                <w:sz w:val="20"/>
                <w:szCs w:val="20"/>
                <w:color w:val="auto"/>
              </w:rPr>
            </w:pPr>
            <w:r>
              <w:rPr>
                <w:rFonts w:ascii="Arial" w:cs="Arial" w:eastAsia="Arial" w:hAnsi="Arial"/>
                <w:sz w:val="15"/>
                <w:szCs w:val="15"/>
                <w:color w:val="auto"/>
              </w:rPr>
              <w:t>3.68% (8)</w:t>
            </w:r>
          </w:p>
        </w:tc>
        <w:tc>
          <w:tcPr>
            <w:tcW w:w="10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83,631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946,816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438,566</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74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5"/>
                <w:szCs w:val="15"/>
                <w:color w:val="auto"/>
                <w:w w:val="93"/>
              </w:rPr>
              <w:t>Unamortized debt issuance costs - PLS Notes and Agency MSR financing -</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(894)</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 (9)</w:t>
            </w:r>
          </w:p>
        </w:tc>
        <w:tc>
          <w:tcPr>
            <w:tcW w:w="1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20"/>
              <w:spacing w:after="0"/>
              <w:rPr>
                <w:sz w:val="20"/>
                <w:szCs w:val="20"/>
                <w:color w:val="auto"/>
              </w:rPr>
            </w:pPr>
            <w:r>
              <w:rPr>
                <w:rFonts w:ascii="Arial" w:cs="Arial" w:eastAsia="Arial" w:hAnsi="Arial"/>
                <w:sz w:val="15"/>
                <w:szCs w:val="15"/>
                <w:b w:val="1"/>
                <w:bCs w:val="1"/>
                <w:color w:val="auto"/>
                <w:w w:val="90"/>
              </w:rPr>
              <w:t>Total MSR financing facilities, net</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945,744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437,672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80" w:hanging="271"/>
        <w:spacing w:after="0"/>
        <w:tabs>
          <w:tab w:leader="none" w:pos="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1ML was 0.08% and 0.14% at September 30, 2021 and December 31, 2020, respectively. 1-year swap rate was 0.19% and 0.19% at September 30, 2021 and December 31, 2020, respectively.</w:t>
      </w:r>
    </w:p>
    <w:p>
      <w:pPr>
        <w:spacing w:after="0" w:line="30" w:lineRule="exact"/>
        <w:rPr>
          <w:rFonts w:ascii="Arial" w:cs="Arial" w:eastAsia="Arial" w:hAnsi="Arial"/>
          <w:sz w:val="12"/>
          <w:szCs w:val="12"/>
          <w:color w:val="auto"/>
        </w:rPr>
      </w:pPr>
    </w:p>
    <w:p>
      <w:pPr>
        <w:ind w:left="280" w:right="42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Of the borrowing capacity on MSR financing facilities extended on a committed basis, none of the available borrowing capacity could be used at September 30, 2021 based on the amount of eligible collateral that could be pledged.</w:t>
      </w:r>
    </w:p>
    <w:p>
      <w:pPr>
        <w:jc w:val="both"/>
        <w:ind w:left="280" w:right="120" w:hanging="271"/>
        <w:spacing w:after="0" w:line="258"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PMC’s obligations under this facility are secured by a lien on the related MSRs. Ocwen guarantees the obligations of PMC under this facility. The maximum amount which we may borrow pursuant to the repurchase agreements is $425.0 million on a committed basis. We also pledged the membership interest of the depositor for our OMART advance financing facility as additional collateral to this facility. See Note 2 – Securitizations and Variable Interest Entities for additional information. We are subject to daily margining requirements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40" w:name="page41"/>
    <w:bookmarkEnd w:id="40"/>
    <w:p>
      <w:pPr>
        <w:ind w:left="280" w:right="40"/>
        <w:spacing w:after="0" w:line="255" w:lineRule="auto"/>
        <w:rPr>
          <w:sz w:val="20"/>
          <w:szCs w:val="20"/>
          <w:color w:val="auto"/>
        </w:rPr>
      </w:pPr>
      <w:r>
        <w:rPr>
          <w:rFonts w:ascii="Arial" w:cs="Arial" w:eastAsia="Arial" w:hAnsi="Arial"/>
          <w:sz w:val="13"/>
          <w:szCs w:val="13"/>
          <w:color w:val="auto"/>
        </w:rPr>
        <w:t>under the terms of our MSR financing facilities. Declines in fair value of our MSRs due to declines in market interest rates, assumption updates or other factors require that we provide additional collateral to our lenders under these facilities. On March 31, 2021, the facility was upsized to $350.0 million, the interest rate reduced to 1ML plus 325bps, and the maturity was renewed to June 30, 2022. These changes became effective on April 15, 2021. On June 2, 2021, the facility was temporarily upsized to $425.0 million for a period of 90 calendar days ending no later than September 1, 2021. On August 26, 2021 and later on October 25, 2021, the temporary upsize was extended until November 1, 2021.</w:t>
      </w:r>
    </w:p>
    <w:p>
      <w:pPr>
        <w:spacing w:after="0" w:line="1" w:lineRule="exact"/>
        <w:rPr>
          <w:sz w:val="20"/>
          <w:szCs w:val="20"/>
          <w:color w:val="auto"/>
        </w:rPr>
      </w:pPr>
    </w:p>
    <w:p>
      <w:pPr>
        <w:ind w:left="280" w:right="200" w:hanging="271"/>
        <w:spacing w:after="0" w:line="271" w:lineRule="auto"/>
        <w:tabs>
          <w:tab w:leader="none" w:pos="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PMC’s obligations under this facility are secured by a lien on the related Ginnie Mae MSRs and advances. Ocwen guarantees the obligations of PMC under the facility. The borrowing capacity is $125.0 million on an uncommitted basis. See (3) above regarding daily margining requirements. On October 26, 2021, the borrowing capacity was increased to $150.0 million on an uncommitted basis.</w:t>
      </w:r>
    </w:p>
    <w:p>
      <w:pPr>
        <w:ind w:left="280" w:right="6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See Note 2 – Securitizations and Variable Interest Entities for additional information. See (3) above regarding daily margining requirements.</w:t>
      </w:r>
    </w:p>
    <w:p>
      <w:pPr>
        <w:spacing w:after="0" w:line="1" w:lineRule="exact"/>
        <w:rPr>
          <w:rFonts w:ascii="Arial" w:cs="Arial" w:eastAsia="Arial" w:hAnsi="Arial"/>
          <w:sz w:val="13"/>
          <w:szCs w:val="13"/>
          <w:color w:val="auto"/>
        </w:rPr>
      </w:pPr>
    </w:p>
    <w:p>
      <w:pPr>
        <w:ind w:left="280" w:right="6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3"/>
          <w:szCs w:val="13"/>
          <w:color w:val="auto"/>
        </w:rPr>
      </w:pPr>
    </w:p>
    <w:p>
      <w:pPr>
        <w:ind w:left="280" w:right="44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June 28, 2021, we entered into a facility which includes a $135.0 million term loan and a $285.0 million revolving loan secured by a lien on PMC’s Agency MSRs. See (3) above regarding daily margining requirements.</w:t>
      </w:r>
    </w:p>
    <w:p>
      <w:pPr>
        <w:ind w:left="280" w:hanging="271"/>
        <w:spacing w:after="0"/>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Weighted average interest rate at September 30, 2021, excluding the effect of the amortization of debt issuance costs and prepaid lender fees.</w:t>
      </w:r>
    </w:p>
    <w:p>
      <w:pPr>
        <w:spacing w:after="0" w:line="6" w:lineRule="exact"/>
        <w:rPr>
          <w:rFonts w:ascii="Arial" w:cs="Arial" w:eastAsia="Arial" w:hAnsi="Arial"/>
          <w:sz w:val="13"/>
          <w:szCs w:val="13"/>
          <w:color w:val="auto"/>
        </w:rPr>
      </w:pPr>
    </w:p>
    <w:p>
      <w:pPr>
        <w:ind w:left="280" w:right="140" w:hanging="271"/>
        <w:spacing w:after="0" w:line="258"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At September 30, 2021, unamortized debt issuance costs included $0.5 million and $0.6 million on the PLS Notes and the Agency MSR financing facility - term loan, respectively. At September 30, 2021 and December 31, 2020, unamortized prepaid lender fees related to revolving type MSR financing facilities were $5.7 million and $3.3 million, respectively, and are included in Other assets in our 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gridSpan w:val="2"/>
          </w:tcPr>
          <w:p>
            <w:pPr>
              <w:ind w:left="20"/>
              <w:spacing w:after="0"/>
              <w:rPr>
                <w:sz w:val="20"/>
                <w:szCs w:val="20"/>
                <w:color w:val="auto"/>
              </w:rPr>
            </w:pPr>
            <w:r>
              <w:rPr>
                <w:rFonts w:ascii="Arial" w:cs="Arial" w:eastAsia="Arial" w:hAnsi="Arial"/>
                <w:sz w:val="15"/>
                <w:szCs w:val="15"/>
                <w:b w:val="1"/>
                <w:bCs w:val="1"/>
                <w:color w:val="auto"/>
              </w:rPr>
              <w:t>Senior Secured Term Loan, net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81"/>
        </w:trPr>
        <w:tc>
          <w:tcPr>
            <w:tcW w:w="4540" w:type="dxa"/>
            <w:vAlign w:val="bottom"/>
            <w:tcBorders>
              <w:bottom w:val="single" w:sz="8" w:color="auto"/>
            </w:tcBorders>
          </w:tcPr>
          <w:p>
            <w:pPr>
              <w:ind w:left="176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Collateral</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 Rate</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98"/>
              </w:rPr>
              <w:t>September 30, 2021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c>
          <w:tcPr>
            <w:tcW w:w="0" w:type="dxa"/>
            <w:vAlign w:val="bottom"/>
          </w:tcPr>
          <w:p>
            <w:pPr>
              <w:spacing w:after="0"/>
              <w:rPr>
                <w:sz w:val="1"/>
                <w:szCs w:val="1"/>
                <w:color w:val="auto"/>
              </w:rPr>
            </w:pPr>
          </w:p>
        </w:tc>
      </w:tr>
      <w:tr>
        <w:trPr>
          <w:trHeight w:val="137"/>
        </w:trPr>
        <w:tc>
          <w:tcPr>
            <w:tcW w:w="4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5"/>
                <w:szCs w:val="15"/>
                <w:color w:val="auto"/>
                <w:w w:val="91"/>
              </w:rPr>
              <w:t>1-Month Euro-</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91"/>
              </w:rPr>
              <w:t>dollar rate + 600</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88"/>
              </w:rPr>
              <w:t>bps with a</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SSTL (1)</w:t>
            </w:r>
          </w:p>
        </w:tc>
        <w:tc>
          <w:tcPr>
            <w:tcW w:w="1060" w:type="dxa"/>
            <w:vAlign w:val="bottom"/>
            <w:vMerge w:val="restart"/>
            <w:shd w:val="clear" w:color="auto" w:fill="CCEEFF"/>
          </w:tcPr>
          <w:p>
            <w:pPr>
              <w:jc w:val="right"/>
              <w:ind w:right="36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94"/>
              </w:rPr>
              <w:t>Eurodollar floor</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2"/>
              </w:rPr>
              <w:t>May 2022 (1)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vMerge w:val="restart"/>
            <w:shd w:val="clear" w:color="auto" w:fill="CCEEFF"/>
          </w:tcPr>
          <w:p>
            <w:pPr>
              <w:ind w:left="120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185,000</w:t>
            </w:r>
          </w:p>
        </w:tc>
        <w:tc>
          <w:tcPr>
            <w:tcW w:w="0" w:type="dxa"/>
            <w:vAlign w:val="bottom"/>
          </w:tcPr>
          <w:p>
            <w:pPr>
              <w:spacing w:after="0"/>
              <w:rPr>
                <w:sz w:val="1"/>
                <w:szCs w:val="1"/>
                <w:color w:val="auto"/>
              </w:rPr>
            </w:pPr>
          </w:p>
        </w:tc>
      </w:tr>
      <w:tr>
        <w:trPr>
          <w:trHeight w:val="189"/>
        </w:trPr>
        <w:tc>
          <w:tcPr>
            <w:tcW w:w="46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of 100 bps (1)</w:t>
            </w:r>
          </w:p>
        </w:tc>
        <w:tc>
          <w:tcPr>
            <w:tcW w:w="11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Unamortized debt issuance costs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(4,867)</w:t>
            </w:r>
          </w:p>
        </w:tc>
        <w:tc>
          <w:tcPr>
            <w:tcW w:w="0" w:type="dxa"/>
            <w:vAlign w:val="bottom"/>
          </w:tcPr>
          <w:p>
            <w:pPr>
              <w:spacing w:after="0"/>
              <w:rPr>
                <w:sz w:val="1"/>
                <w:szCs w:val="1"/>
                <w:color w:val="auto"/>
              </w:rPr>
            </w:pPr>
          </w:p>
        </w:tc>
      </w:tr>
      <w:tr>
        <w:trPr>
          <w:trHeight w:val="189"/>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Discount</w:t>
            </w: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80" w:right="200" w:hanging="271"/>
        <w:spacing w:after="0" w:line="285" w:lineRule="auto"/>
        <w:tabs>
          <w:tab w:leader="none" w:pos="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March 4, 2021, we repaid in full the $185.0 million outstanding principal balance. The prepayment resulted in our recognition of an $8.4 million loss on debt extinguishment, including a prepayment premium of 2% of the outstanding principal balance, or $3.7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3"/>
        </w:trPr>
        <w:tc>
          <w:tcPr>
            <w:tcW w:w="4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33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Senior Notes</w:t>
            </w:r>
          </w:p>
        </w:tc>
        <w:tc>
          <w:tcPr>
            <w:tcW w:w="16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Interest Rate (1)</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24"/>
                <w:szCs w:val="24"/>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7.875%</w:t>
            </w: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March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w w:val="89"/>
              </w:rPr>
              <w:t>12% paid in cash or</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00" w:type="dxa"/>
            <w:vAlign w:val="bottom"/>
            <w:vMerge w:val="restart"/>
          </w:tcPr>
          <w:p>
            <w:pPr>
              <w:ind w:left="100"/>
              <w:spacing w:after="0"/>
              <w:rPr>
                <w:sz w:val="20"/>
                <w:szCs w:val="20"/>
                <w:color w:val="auto"/>
              </w:rPr>
            </w:pPr>
            <w:r>
              <w:rPr>
                <w:rFonts w:ascii="Arial" w:cs="Arial" w:eastAsia="Arial" w:hAnsi="Arial"/>
                <w:sz w:val="15"/>
                <w:szCs w:val="15"/>
                <w:color w:val="auto"/>
              </w:rPr>
              <w:t>OFC Senior Secured Notes</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5"/>
                <w:szCs w:val="15"/>
                <w:color w:val="auto"/>
                <w:w w:val="91"/>
              </w:rPr>
              <w:t>13.25% paid-in-kind</w:t>
            </w:r>
          </w:p>
        </w:tc>
        <w:tc>
          <w:tcPr>
            <w:tcW w:w="1560" w:type="dxa"/>
            <w:vAlign w:val="bottom"/>
            <w:vMerge w:val="restart"/>
          </w:tcPr>
          <w:p>
            <w:pPr>
              <w:jc w:val="center"/>
              <w:spacing w:after="0"/>
              <w:rPr>
                <w:sz w:val="20"/>
                <w:szCs w:val="20"/>
                <w:color w:val="auto"/>
              </w:rPr>
            </w:pPr>
            <w:r>
              <w:rPr>
                <w:rFonts w:ascii="Arial" w:cs="Arial" w:eastAsia="Arial" w:hAnsi="Arial"/>
                <w:sz w:val="15"/>
                <w:szCs w:val="15"/>
                <w:color w:val="auto"/>
                <w:w w:val="90"/>
              </w:rPr>
              <w:t>March 2027</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285,000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(see below)</w:t>
            </w:r>
          </w:p>
        </w:tc>
        <w:tc>
          <w:tcPr>
            <w:tcW w:w="1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PHH Corporation (PHH) Senior Notes</w:t>
            </w: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6.375%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August 2021</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21,543</w:t>
            </w:r>
          </w:p>
        </w:tc>
        <w:tc>
          <w:tcPr>
            <w:tcW w:w="0" w:type="dxa"/>
            <w:vAlign w:val="bottom"/>
          </w:tcPr>
          <w:p>
            <w:pPr>
              <w:spacing w:after="0"/>
              <w:rPr>
                <w:sz w:val="1"/>
                <w:szCs w:val="1"/>
                <w:color w:val="auto"/>
              </w:rPr>
            </w:pPr>
          </w:p>
        </w:tc>
      </w:tr>
      <w:tr>
        <w:trPr>
          <w:trHeight w:val="189"/>
        </w:trPr>
        <w:tc>
          <w:tcPr>
            <w:tcW w:w="4900" w:type="dxa"/>
            <w:vAlign w:val="bottom"/>
          </w:tcPr>
          <w:p>
            <w:pPr>
              <w:ind w:left="100"/>
              <w:spacing w:after="0"/>
              <w:rPr>
                <w:sz w:val="20"/>
                <w:szCs w:val="20"/>
                <w:color w:val="auto"/>
              </w:rPr>
            </w:pPr>
            <w:r>
              <w:rPr>
                <w:rFonts w:ascii="Arial" w:cs="Arial" w:eastAsia="Arial" w:hAnsi="Arial"/>
                <w:sz w:val="15"/>
                <w:szCs w:val="15"/>
                <w:color w:val="auto"/>
              </w:rPr>
              <w:t>PMC Senior Secured Notes</w:t>
            </w:r>
          </w:p>
        </w:tc>
        <w:tc>
          <w:tcPr>
            <w:tcW w:w="1520" w:type="dxa"/>
            <w:vAlign w:val="bottom"/>
          </w:tcPr>
          <w:p>
            <w:pPr>
              <w:jc w:val="center"/>
              <w:spacing w:after="0"/>
              <w:rPr>
                <w:sz w:val="20"/>
                <w:szCs w:val="20"/>
                <w:color w:val="auto"/>
              </w:rPr>
            </w:pPr>
            <w:r>
              <w:rPr>
                <w:rFonts w:ascii="Arial" w:cs="Arial" w:eastAsia="Arial" w:hAnsi="Arial"/>
                <w:sz w:val="15"/>
                <w:szCs w:val="15"/>
                <w:color w:val="auto"/>
                <w:w w:val="90"/>
              </w:rPr>
              <w:t>8.375%</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color w:val="auto"/>
                <w:w w:val="89"/>
              </w:rPr>
              <w:t>November 2022</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291,509</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Principal balance</w:t>
            </w:r>
          </w:p>
        </w:tc>
        <w:tc>
          <w:tcPr>
            <w:tcW w:w="1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313,052</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Discount (2)</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PMC Senior Secured Notes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OFC Senior Secured Notes (3)</w:t>
            </w: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(55,638)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Unamortized debt issuance costs (2)</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PMC Senior Secured Notes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OFC Senior Secured Notes</w:t>
            </w: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Fair value adjustments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6"/>
        </w:trPr>
        <w:tc>
          <w:tcPr>
            <w:tcW w:w="490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612,658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80" w:hanging="271"/>
        <w:spacing w:after="0"/>
        <w:tabs>
          <w:tab w:leader="none" w:pos="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Excluding the effect of the amortization of debt issuance costs and discount.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discount and debt issuance costs are amortized to interest expense through the maturity of the respective notes.</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original issue discount (OID) and additional discount related to the concurrent issuance of warrants and common stock. See below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Redemption of 6.375% Senior Unsecured Notes due 2021 and 8.375% Senior Secured Notes due 2022</w:t>
      </w:r>
    </w:p>
    <w:p>
      <w:pPr>
        <w:spacing w:after="0" w:line="95" w:lineRule="exact"/>
        <w:rPr>
          <w:sz w:val="20"/>
          <w:szCs w:val="20"/>
          <w:color w:val="auto"/>
        </w:rPr>
      </w:pPr>
    </w:p>
    <w:p>
      <w:pPr>
        <w:ind w:firstLine="268"/>
        <w:spacing w:after="0" w:line="259" w:lineRule="auto"/>
        <w:rPr>
          <w:sz w:val="20"/>
          <w:szCs w:val="20"/>
          <w:color w:val="auto"/>
        </w:rPr>
      </w:pPr>
      <w:r>
        <w:rPr>
          <w:rFonts w:ascii="Arial" w:cs="Arial" w:eastAsia="Arial" w:hAnsi="Arial"/>
          <w:sz w:val="15"/>
          <w:szCs w:val="15"/>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7.875% Senior Secured Notes due 2026</w:t>
      </w:r>
    </w:p>
    <w:p>
      <w:pPr>
        <w:spacing w:after="0" w:line="95" w:lineRule="exact"/>
        <w:rPr>
          <w:sz w:val="20"/>
          <w:szCs w:val="20"/>
          <w:color w:val="auto"/>
        </w:rPr>
      </w:pPr>
    </w:p>
    <w:p>
      <w:pPr>
        <w:jc w:val="both"/>
        <w:ind w:right="100" w:firstLine="268"/>
        <w:spacing w:after="0" w:line="259" w:lineRule="auto"/>
        <w:rPr>
          <w:sz w:val="20"/>
          <w:szCs w:val="20"/>
          <w:color w:val="auto"/>
        </w:rPr>
      </w:pPr>
      <w:r>
        <w:rPr>
          <w:rFonts w:ascii="Arial" w:cs="Arial" w:eastAsia="Arial" w:hAnsi="Arial"/>
          <w:sz w:val="15"/>
          <w:szCs w:val="15"/>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66"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Interest on the PMC Senior Secured Notes accrues at a rate of 7.875% per annum and is payable semi-annually in arrears on March 15 and September 15 of each year, beginning on September 15, 2021.</w:t>
      </w:r>
    </w:p>
    <w:p>
      <w:pPr>
        <w:spacing w:after="0" w:line="58" w:lineRule="exact"/>
        <w:rPr>
          <w:sz w:val="20"/>
          <w:szCs w:val="20"/>
          <w:color w:val="auto"/>
        </w:rPr>
      </w:pPr>
    </w:p>
    <w:p>
      <w:pPr>
        <w:ind w:right="20" w:firstLine="268"/>
        <w:spacing w:after="0" w:line="306" w:lineRule="auto"/>
        <w:rPr>
          <w:sz w:val="20"/>
          <w:szCs w:val="20"/>
          <w:color w:val="auto"/>
        </w:rPr>
      </w:pPr>
      <w:r>
        <w:rPr>
          <w:rFonts w:ascii="Arial" w:cs="Arial" w:eastAsia="Arial" w:hAnsi="Arial"/>
          <w:sz w:val="14"/>
          <w:szCs w:val="14"/>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360" w:type="dxa"/>
            <w:vAlign w:val="bottom"/>
            <w:gridSpan w:val="2"/>
          </w:tcPr>
          <w:p>
            <w:pPr>
              <w:ind w:left="20"/>
              <w:spacing w:after="0"/>
              <w:rPr>
                <w:sz w:val="20"/>
                <w:szCs w:val="20"/>
                <w:color w:val="auto"/>
              </w:rPr>
            </w:pPr>
            <w:r>
              <w:rPr>
                <w:rFonts w:ascii="Arial" w:cs="Arial" w:eastAsia="Arial" w:hAnsi="Arial"/>
                <w:sz w:val="15"/>
                <w:szCs w:val="15"/>
                <w:b w:val="1"/>
                <w:bCs w:val="1"/>
                <w:color w:val="auto"/>
              </w:rPr>
              <w:t>Redemption Year</w:t>
            </w:r>
          </w:p>
        </w:tc>
        <w:tc>
          <w:tcPr>
            <w:tcW w:w="1920" w:type="dxa"/>
            <w:vAlign w:val="bottom"/>
          </w:tcPr>
          <w:p>
            <w:pPr>
              <w:ind w:left="380"/>
              <w:spacing w:after="0"/>
              <w:rPr>
                <w:sz w:val="20"/>
                <w:szCs w:val="20"/>
                <w:color w:val="auto"/>
              </w:rPr>
            </w:pPr>
            <w:r>
              <w:rPr>
                <w:rFonts w:ascii="Arial" w:cs="Arial" w:eastAsia="Arial" w:hAnsi="Arial"/>
                <w:sz w:val="15"/>
                <w:szCs w:val="15"/>
                <w:b w:val="1"/>
                <w:bCs w:val="1"/>
                <w:color w:val="auto"/>
              </w:rPr>
              <w:t>Redemption Price</w:t>
            </w:r>
          </w:p>
        </w:tc>
      </w:tr>
      <w:tr>
        <w:trPr>
          <w:trHeight w:val="181"/>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w w:val="89"/>
              </w:rPr>
              <w:t>103.938 %</w:t>
            </w:r>
          </w:p>
        </w:tc>
      </w:tr>
      <w:tr>
        <w:trPr>
          <w:trHeight w:val="189"/>
        </w:trPr>
        <w:tc>
          <w:tcPr>
            <w:tcW w:w="926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6"/>
                <w:szCs w:val="16"/>
                <w:color w:val="auto"/>
              </w:rPr>
            </w:pPr>
          </w:p>
        </w:tc>
        <w:tc>
          <w:tcPr>
            <w:tcW w:w="1920" w:type="dxa"/>
            <w:vAlign w:val="bottom"/>
          </w:tcPr>
          <w:p>
            <w:pPr>
              <w:ind w:left="1260"/>
              <w:spacing w:after="0"/>
              <w:rPr>
                <w:sz w:val="20"/>
                <w:szCs w:val="20"/>
                <w:color w:val="auto"/>
              </w:rPr>
            </w:pPr>
            <w:r>
              <w:rPr>
                <w:rFonts w:ascii="Arial" w:cs="Arial" w:eastAsia="Arial" w:hAnsi="Arial"/>
                <w:sz w:val="15"/>
                <w:szCs w:val="15"/>
                <w:color w:val="auto"/>
              </w:rPr>
              <w:t>101.969</w:t>
            </w:r>
          </w:p>
        </w:tc>
      </w:tr>
      <w:tr>
        <w:trPr>
          <w:trHeight w:val="190"/>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2025 and thereafter</w:t>
            </w:r>
          </w:p>
        </w:tc>
        <w:tc>
          <w:tcPr>
            <w:tcW w:w="1920" w:type="dxa"/>
            <w:vAlign w:val="bottom"/>
            <w:shd w:val="clear" w:color="auto" w:fill="CCEEFF"/>
          </w:tcPr>
          <w:p>
            <w:pPr>
              <w:ind w:left="1260"/>
              <w:spacing w:after="0"/>
              <w:rPr>
                <w:sz w:val="20"/>
                <w:szCs w:val="20"/>
                <w:color w:val="auto"/>
              </w:rPr>
            </w:pPr>
            <w:r>
              <w:rPr>
                <w:rFonts w:ascii="Arial" w:cs="Arial" w:eastAsia="Arial" w:hAnsi="Arial"/>
                <w:sz w:val="15"/>
                <w:szCs w:val="15"/>
                <w:color w:val="auto"/>
              </w:rPr>
              <w:t>100.000</w:t>
            </w:r>
          </w:p>
        </w:tc>
      </w:tr>
    </w:tbl>
    <w:p>
      <w:pPr>
        <w:spacing w:after="0" w:line="157" w:lineRule="exact"/>
        <w:rPr>
          <w:sz w:val="20"/>
          <w:szCs w:val="20"/>
          <w:color w:val="auto"/>
        </w:rPr>
      </w:pPr>
    </w:p>
    <w:p>
      <w:pPr>
        <w:ind w:right="80" w:firstLine="268"/>
        <w:spacing w:after="0" w:line="307" w:lineRule="auto"/>
        <w:rPr>
          <w:sz w:val="20"/>
          <w:szCs w:val="20"/>
          <w:color w:val="auto"/>
        </w:rPr>
      </w:pPr>
      <w:r>
        <w:rPr>
          <w:rFonts w:ascii="Arial" w:cs="Arial" w:eastAsia="Arial" w:hAnsi="Arial"/>
          <w:sz w:val="13"/>
          <w:szCs w:val="13"/>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94" w:right="319" w:bottom="1440" w:gutter="0" w:footer="0" w:header="0"/>
        </w:sectPr>
      </w:pPr>
    </w:p>
    <w:bookmarkStart w:id="42" w:name="page43"/>
    <w:bookmarkEnd w:id="42"/>
    <w:p>
      <w:pPr>
        <w:ind w:right="20"/>
        <w:spacing w:after="0" w:line="270" w:lineRule="auto"/>
        <w:rPr>
          <w:sz w:val="20"/>
          <w:szCs w:val="20"/>
          <w:color w:val="auto"/>
        </w:rPr>
      </w:pPr>
      <w:r>
        <w:rPr>
          <w:rFonts w:ascii="Arial" w:cs="Arial" w:eastAsia="Arial" w:hAnsi="Arial"/>
          <w:sz w:val="15"/>
          <w:szCs w:val="15"/>
          <w:color w:val="auto"/>
        </w:rPr>
        <w:t>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58" w:lineRule="exact"/>
        <w:rPr>
          <w:sz w:val="20"/>
          <w:szCs w:val="20"/>
          <w:color w:val="auto"/>
        </w:rPr>
      </w:pPr>
    </w:p>
    <w:p>
      <w:pPr>
        <w:ind w:right="80" w:firstLine="268"/>
        <w:spacing w:after="0" w:line="252" w:lineRule="auto"/>
        <w:rPr>
          <w:sz w:val="20"/>
          <w:szCs w:val="20"/>
          <w:color w:val="auto"/>
        </w:rPr>
      </w:pPr>
      <w:r>
        <w:rPr>
          <w:rFonts w:ascii="Arial" w:cs="Arial" w:eastAsia="Arial" w:hAnsi="Arial"/>
          <w:sz w:val="15"/>
          <w:szCs w:val="15"/>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73" w:lineRule="exact"/>
        <w:rPr>
          <w:sz w:val="20"/>
          <w:szCs w:val="20"/>
          <w:color w:val="auto"/>
        </w:rPr>
      </w:pPr>
    </w:p>
    <w:p>
      <w:pPr>
        <w:jc w:val="both"/>
        <w:ind w:right="40" w:firstLine="268"/>
        <w:spacing w:after="0" w:line="259" w:lineRule="auto"/>
        <w:rPr>
          <w:sz w:val="20"/>
          <w:szCs w:val="20"/>
          <w:color w:val="auto"/>
        </w:rPr>
      </w:pPr>
      <w:r>
        <w:rPr>
          <w:rFonts w:ascii="Arial" w:cs="Arial" w:eastAsia="Arial" w:hAnsi="Arial"/>
          <w:sz w:val="15"/>
          <w:szCs w:val="15"/>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OFC Senior Secured Notes</w:t>
      </w:r>
    </w:p>
    <w:p>
      <w:pPr>
        <w:spacing w:after="0" w:line="95"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70" w:lineRule="exact"/>
        <w:rPr>
          <w:sz w:val="20"/>
          <w:szCs w:val="20"/>
          <w:color w:val="auto"/>
        </w:rPr>
      </w:pPr>
    </w:p>
    <w:p>
      <w:pPr>
        <w:ind w:right="160" w:firstLine="268"/>
        <w:spacing w:after="0" w:line="255" w:lineRule="auto"/>
        <w:rPr>
          <w:sz w:val="20"/>
          <w:szCs w:val="20"/>
          <w:color w:val="auto"/>
        </w:rPr>
      </w:pPr>
      <w:r>
        <w:rPr>
          <w:rFonts w:ascii="Arial" w:cs="Arial" w:eastAsia="Arial" w:hAnsi="Arial"/>
          <w:sz w:val="15"/>
          <w:szCs w:val="15"/>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 See Note 14 – Equity for additional information regarding the issuance of common stock and warrants.</w:t>
      </w:r>
    </w:p>
    <w:p>
      <w:pPr>
        <w:spacing w:after="0" w:line="70" w:lineRule="exact"/>
        <w:rPr>
          <w:sz w:val="20"/>
          <w:szCs w:val="20"/>
          <w:color w:val="auto"/>
        </w:rPr>
      </w:pPr>
    </w:p>
    <w:p>
      <w:pPr>
        <w:ind w:right="40" w:firstLine="268"/>
        <w:spacing w:after="0" w:line="252" w:lineRule="auto"/>
        <w:rPr>
          <w:sz w:val="20"/>
          <w:szCs w:val="20"/>
          <w:color w:val="auto"/>
        </w:rPr>
      </w:pPr>
      <w:r>
        <w:rPr>
          <w:rFonts w:ascii="Arial" w:cs="Arial" w:eastAsia="Arial" w:hAnsi="Arial"/>
          <w:sz w:val="15"/>
          <w:szCs w:val="15"/>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will be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73" w:lineRule="exact"/>
        <w:rPr>
          <w:sz w:val="20"/>
          <w:szCs w:val="20"/>
          <w:color w:val="auto"/>
        </w:rPr>
      </w:pPr>
    </w:p>
    <w:p>
      <w:pPr>
        <w:ind w:right="140" w:firstLine="268"/>
        <w:spacing w:after="0" w:line="317" w:lineRule="auto"/>
        <w:rPr>
          <w:sz w:val="20"/>
          <w:szCs w:val="20"/>
          <w:color w:val="auto"/>
        </w:rPr>
      </w:pPr>
      <w:r>
        <w:rPr>
          <w:rFonts w:ascii="Arial" w:cs="Arial" w:eastAsia="Arial" w:hAnsi="Arial"/>
          <w:sz w:val="13"/>
          <w:szCs w:val="13"/>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32" w:lineRule="exact"/>
        <w:rPr>
          <w:sz w:val="20"/>
          <w:szCs w:val="20"/>
          <w:color w:val="auto"/>
        </w:rPr>
      </w:pPr>
    </w:p>
    <w:p>
      <w:pPr>
        <w:ind w:right="100" w:firstLine="268"/>
        <w:spacing w:after="0" w:line="259" w:lineRule="auto"/>
        <w:rPr>
          <w:sz w:val="20"/>
          <w:szCs w:val="20"/>
          <w:color w:val="auto"/>
        </w:rPr>
      </w:pPr>
      <w:r>
        <w:rPr>
          <w:rFonts w:ascii="Arial" w:cs="Arial" w:eastAsia="Arial" w:hAnsi="Arial"/>
          <w:sz w:val="15"/>
          <w:szCs w:val="15"/>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66" w:lineRule="exact"/>
        <w:rPr>
          <w:sz w:val="20"/>
          <w:szCs w:val="20"/>
          <w:color w:val="auto"/>
        </w:rPr>
      </w:pPr>
    </w:p>
    <w:p>
      <w:pPr>
        <w:ind w:right="40" w:firstLine="268"/>
        <w:spacing w:after="0" w:line="259" w:lineRule="auto"/>
        <w:rPr>
          <w:sz w:val="20"/>
          <w:szCs w:val="20"/>
          <w:color w:val="auto"/>
        </w:rPr>
      </w:pPr>
      <w:r>
        <w:rPr>
          <w:rFonts w:ascii="Arial" w:cs="Arial" w:eastAsia="Arial" w:hAnsi="Arial"/>
          <w:sz w:val="15"/>
          <w:szCs w:val="15"/>
          <w:color w:val="auto"/>
        </w:rPr>
        <w:t>The OFC Senior Secured Notes have two financial maintenance covenants: (1) a minimum book value of stockholders’ equity of not less than $275.0 million and (2) a minimum amount of unrestricted cash of not less than $50.0 million at any time. The OFC Senior Secured Notes also have affirmative and negative covenants and events of default that are customary for debt securities of this type.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99" w:lineRule="exact"/>
        <w:rPr>
          <w:sz w:val="20"/>
          <w:szCs w:val="20"/>
          <w:color w:val="auto"/>
        </w:rPr>
      </w:pPr>
    </w:p>
    <w:p>
      <w:pPr>
        <w:jc w:val="both"/>
        <w:ind w:right="380" w:firstLine="268"/>
        <w:spacing w:after="0" w:line="286" w:lineRule="auto"/>
        <w:rPr>
          <w:sz w:val="20"/>
          <w:szCs w:val="20"/>
          <w:color w:val="auto"/>
        </w:rPr>
      </w:pPr>
      <w:r>
        <w:rPr>
          <w:rFonts w:ascii="Arial" w:cs="Arial" w:eastAsia="Arial" w:hAnsi="Arial"/>
          <w:sz w:val="14"/>
          <w:szCs w:val="14"/>
          <w:color w:val="auto"/>
        </w:rPr>
        <w:t>Credit ratings are intended to be an indicator of the creditworthiness of a company’s debt obligation. At September 30, 2021, the S&amp;P issuer credit rating for Ocwen was “B-”. On February 24, 2021, concurrent with the launch of the PMC bond offering, S&amp;P reaffirmed the ratings at B- and changed the outlook from Negative to Stable. Moody’s reaffirmed their ratings of Caa1 and revised their outlook to Stable from Negative on February 24, 2021. It is possible that additional actions by credit</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rating agencies could have a material adverse impact on our liquidity and funding position, including materially changing the terms on which we may be able to borrow money.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Under the terms of our debt agreements, we are subject to various affirmative and negative covenants. Collectively, these covenants include:</w:t>
      </w:r>
    </w:p>
    <w:p>
      <w:pPr>
        <w:spacing w:after="0" w:line="95" w:lineRule="exact"/>
        <w:rPr>
          <w:sz w:val="20"/>
          <w:szCs w:val="20"/>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Financial covenants, including, but not limited to, specified levels of net worth and liquidity;</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Covenants to operate in material compliance with applicable laws;</w:t>
      </w:r>
    </w:p>
    <w:p>
      <w:pPr>
        <w:spacing w:after="0" w:line="5" w:lineRule="exact"/>
        <w:rPr>
          <w:rFonts w:ascii="Arial" w:cs="Arial" w:eastAsia="Arial" w:hAnsi="Arial"/>
          <w:sz w:val="15"/>
          <w:szCs w:val="15"/>
          <w:color w:val="auto"/>
        </w:rPr>
      </w:pPr>
    </w:p>
    <w:p>
      <w:pPr>
        <w:ind w:left="540" w:hanging="263"/>
        <w:spacing w:after="0" w:line="248" w:lineRule="auto"/>
        <w:tabs>
          <w:tab w:leader="none" w:pos="5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ind w:left="540" w:hanging="263"/>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Monitoring and reporting of various specified transactions or events, including specific reporting on defined events affecting collateral underlying certain debt agreements; and</w:t>
      </w:r>
    </w:p>
    <w:p>
      <w:pPr>
        <w:spacing w:after="0" w:line="28" w:lineRule="exact"/>
        <w:rPr>
          <w:rFonts w:ascii="Arial" w:cs="Arial" w:eastAsia="Arial" w:hAnsi="Arial"/>
          <w:sz w:val="13"/>
          <w:szCs w:val="13"/>
          <w:color w:val="auto"/>
        </w:rPr>
      </w:pPr>
    </w:p>
    <w:p>
      <w:pPr>
        <w:ind w:left="540" w:right="560" w:hanging="263"/>
        <w:spacing w:after="0" w:line="256" w:lineRule="auto"/>
        <w:tabs>
          <w:tab w:leader="none" w:pos="5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Requirements to provide audited financial statements within specified timeframes, including requirements that Ocwen’s financial statements and the related audit report be unqualified as to going concern.</w:t>
      </w:r>
    </w:p>
    <w:p>
      <w:pPr>
        <w:spacing w:after="0" w:line="68" w:lineRule="exact"/>
        <w:rPr>
          <w:sz w:val="20"/>
          <w:szCs w:val="20"/>
          <w:color w:val="auto"/>
        </w:rPr>
      </w:pPr>
    </w:p>
    <w:p>
      <w:pPr>
        <w:ind w:right="80" w:firstLine="268"/>
        <w:spacing w:after="0" w:line="279" w:lineRule="auto"/>
        <w:rPr>
          <w:sz w:val="20"/>
          <w:szCs w:val="20"/>
          <w:color w:val="auto"/>
        </w:rPr>
      </w:pPr>
      <w:r>
        <w:rPr>
          <w:rFonts w:ascii="Arial" w:cs="Arial" w:eastAsia="Arial" w:hAnsi="Arial"/>
          <w:sz w:val="14"/>
          <w:szCs w:val="14"/>
          <w:color w:val="auto"/>
        </w:rPr>
        <w:t>The most restrictive consolidated net worth requirement contained in our debt agreements with borrowings outstanding at September 30, 2021 is a minimum of $275.0 million tangible net worth at Ocwen, as defined in certain of our mortgage warehouse and MSR financing facilities agreements, or, if greater, the minimum requirement at PMC set forth by the Agencies. See Note 20 – Regulatory Requirements. The most restrictive liquidity requirement under our debt agreements with borrowings outstanding at September 30, 2021 is for a minimum of $125.0 million in consolidated liquidity, as defined, under certain of our advance match funded debt and MSR financing facilities agreements.</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we were in compliance with all of the covenants in our debt agreements as of the date of these unaudited consolidated financial statements.</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 13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8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loan repurchase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450,385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480,221</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Due to NRZ - Advance collections, servicing fees and other</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92,188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accrued expenses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87,898</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Checks held for escheat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44,780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35,654</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legal fees and settlements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38,932</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indemnification obligations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44,478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41,920</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 purchase price holdback</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20,923</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Servicing-related obligations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32,686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35,237</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Derivatives, at fair value</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4,638</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Lease liability</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27,393</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 for uncertain tax positions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16,188</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unfunded pension obligation</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12,662</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interest payable</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4,915</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unfunded India gratuity plan</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6,051</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16,652</w:t>
            </w:r>
          </w:p>
        </w:tc>
      </w:tr>
      <w:tr>
        <w:trPr>
          <w:trHeight w:val="181"/>
        </w:trPr>
        <w:tc>
          <w:tcPr>
            <w:tcW w:w="80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932,748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923,975</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5"/>
          <w:szCs w:val="15"/>
          <w:b w:val="1"/>
          <w:bCs w:val="1"/>
          <w:color w:val="auto"/>
        </w:rPr>
        <w:t>Note 14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69507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0710" cy="6985"/>
                    </a:xfrm>
                    <a:prstGeom prst="rect">
                      <a:avLst/>
                    </a:prstGeom>
                    <a:noFill/>
                  </pic:spPr>
                </pic:pic>
              </a:graphicData>
            </a:graphic>
          </wp:anchor>
        </w:drawing>
      </w:r>
    </w:p>
    <w:p>
      <w:pPr>
        <w:spacing w:after="0" w:line="246" w:lineRule="exact"/>
        <w:rPr>
          <w:sz w:val="20"/>
          <w:szCs w:val="20"/>
          <w:color w:val="auto"/>
        </w:rPr>
      </w:pPr>
    </w:p>
    <w:p>
      <w:pPr>
        <w:ind w:right="260" w:firstLine="268"/>
        <w:spacing w:after="0" w:line="279" w:lineRule="auto"/>
        <w:rPr>
          <w:sz w:val="20"/>
          <w:szCs w:val="20"/>
          <w:color w:val="auto"/>
        </w:rPr>
      </w:pPr>
      <w:r>
        <w:rPr>
          <w:rFonts w:ascii="Arial" w:cs="Arial" w:eastAsia="Arial" w:hAnsi="Arial"/>
          <w:sz w:val="14"/>
          <w:szCs w:val="14"/>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54" w:lineRule="exact"/>
        <w:rPr>
          <w:sz w:val="20"/>
          <w:szCs w:val="20"/>
          <w:color w:val="auto"/>
        </w:rPr>
      </w:pPr>
    </w:p>
    <w:p>
      <w:pPr>
        <w:ind w:right="40" w:firstLine="268"/>
        <w:spacing w:after="0" w:line="262" w:lineRule="auto"/>
        <w:rPr>
          <w:sz w:val="20"/>
          <w:szCs w:val="20"/>
          <w:color w:val="auto"/>
        </w:rPr>
      </w:pPr>
      <w:r>
        <w:rPr>
          <w:rFonts w:ascii="Arial" w:cs="Arial" w:eastAsia="Arial" w:hAnsi="Arial"/>
          <w:sz w:val="14"/>
          <w:szCs w:val="14"/>
          <w:color w:val="auto"/>
        </w:rPr>
        <w:t>Effective August 13, 2020, Ocwen implemented a one-for-15 reverse stock split of all outstanding shares of its common stock and reduced the number of authorized shares of common stock by the same proportion. Shareholders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w:t>
      </w:r>
    </w:p>
    <w:p>
      <w:pPr>
        <w:spacing w:after="0" w:line="55" w:lineRule="exact"/>
        <w:rPr>
          <w:sz w:val="20"/>
          <w:szCs w:val="20"/>
          <w:color w:val="auto"/>
        </w:rPr>
      </w:pPr>
    </w:p>
    <w:p>
      <w:pPr>
        <w:ind w:right="120" w:firstLine="268"/>
        <w:spacing w:after="0" w:line="252" w:lineRule="auto"/>
        <w:rPr>
          <w:sz w:val="20"/>
          <w:szCs w:val="20"/>
          <w:color w:val="auto"/>
        </w:rPr>
      </w:pPr>
      <w:r>
        <w:rPr>
          <w:rFonts w:ascii="Arial" w:cs="Arial" w:eastAsia="Arial" w:hAnsi="Arial"/>
          <w:sz w:val="15"/>
          <w:szCs w:val="15"/>
          <w:color w:val="auto"/>
        </w:rPr>
        <w:t>As disclosed in Note 12 – Borrowings, concurrent with the issuance of the OFC Senior Secured Notes on March 4, 2021, Ocwen issued to Oaktree warrants to purchase 1,184,768 shares of its common stock (which amount, upon exercise of the warrants, would be equal to 12% of Ocwen’s outstanding common stock as of the date of issuance of such warrants) at an exercise price of $26.82 per share, subject to antidilution adjustments. The warrants may be exercised at any time from the date of issuance through March 4, 2027. While the warrants will not be registered, we entered into a registration rights agreement with Oaktree pursuant to which we will register for resale the shares of common stock issuable upon exercise of the warrants within 18 months after March 4, 2021. On March 4, 2021, the $16.5 million allocated fair value of the warrants was reported as Additional Paid-in Capital in our consolidated balance sheet, net of allocated debt issuance costs of $0.8 million.</w:t>
      </w:r>
    </w:p>
    <w:p>
      <w:pPr>
        <w:spacing w:after="0" w:line="73" w:lineRule="exact"/>
        <w:rPr>
          <w:sz w:val="20"/>
          <w:szCs w:val="20"/>
          <w:color w:val="auto"/>
        </w:rPr>
      </w:pPr>
    </w:p>
    <w:p>
      <w:pPr>
        <w:ind w:firstLine="268"/>
        <w:spacing w:after="0" w:line="295" w:lineRule="auto"/>
        <w:rPr>
          <w:sz w:val="20"/>
          <w:szCs w:val="20"/>
          <w:color w:val="auto"/>
        </w:rPr>
      </w:pPr>
      <w:r>
        <w:rPr>
          <w:rFonts w:ascii="Arial" w:cs="Arial" w:eastAsia="Arial" w:hAnsi="Arial"/>
          <w:sz w:val="13"/>
          <w:szCs w:val="13"/>
          <w:color w:val="auto"/>
        </w:rPr>
        <w:t>On May 3, 2021, concurrent with the issuance of the second tranche of OFC Senior Secured Notes described above, and in connection with the closing of the Transaction Agreement dated December 21, 2020 and disclosed in Note 10 - Investment in Equity Method Investee, we issued to Oaktree 426,705 shares of our common stock, representing 4.9% of our outstanding common stock, at a price per share of $23.15 for an aggregate purchase price of $9.9 million, and warrants to purchase 261,248 shares of our common stock (which amount was equal to 3% of Ocwen’s outstanding common stock as of the date of issuance of such warrants) at a price per share of $24.31 in consideration of the transaction. The warrants may be exercised at any time from the date of issuance through May 3, 2025. The issuance of the shares of common stock, warrants, and the shares of common stock issuable upon exercise of the warrants will not be registered under the Securities Act. These securities were or will be (as applicable) issued in a private placement exempt from the registration requirements of the Securities Act. On May 3, 2021, the $12.6 million allocated fair value of the common stock and $4.3 million allocated fair value of the warrants was reported as Common Stock, for face value of common stock issued and Additional Paid-in Capital in our consolidated balance sheet, net of allocated debt issuance costs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5"/>
          <w:szCs w:val="15"/>
          <w:b w:val="1"/>
          <w:bCs w:val="1"/>
          <w:color w:val="auto"/>
        </w:rPr>
        <w:t>Note 15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right="40" w:firstLine="268"/>
        <w:spacing w:after="0" w:line="270" w:lineRule="auto"/>
        <w:rPr>
          <w:sz w:val="20"/>
          <w:szCs w:val="20"/>
          <w:color w:val="auto"/>
        </w:rPr>
      </w:pPr>
      <w:r>
        <w:rPr>
          <w:rFonts w:ascii="Arial" w:cs="Arial" w:eastAsia="Arial" w:hAnsi="Arial"/>
          <w:sz w:val="15"/>
          <w:szCs w:val="15"/>
          <w:color w:val="auto"/>
        </w:rPr>
        <w:t>The table below summarizes the fair value, notional and maturity of derivative instruments. The notional amount of our contracts does not represent our exposure to credit loss. None of the derivatives were designated as a hedge for accounting purposes as of or during the nine months ended September 30, 2021 and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9"/>
              </w:rPr>
              <w:t>September 30, 2021</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December 31, 2020</w:t>
            </w: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r>
        <w:trPr>
          <w:trHeight w:val="181"/>
        </w:trPr>
        <w:tc>
          <w:tcPr>
            <w:tcW w:w="32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Notional</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Notional</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Fair value</w:t>
            </w:r>
          </w:p>
        </w:tc>
      </w:tr>
      <w:tr>
        <w:trPr>
          <w:trHeight w:val="169"/>
        </w:trPr>
        <w:tc>
          <w:tcPr>
            <w:tcW w:w="32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Derivative Assets (Other assets)</w:t>
            </w: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Forward sales of Reverse loans</w:t>
            </w:r>
          </w:p>
        </w:tc>
        <w:tc>
          <w:tcPr>
            <w:tcW w:w="1300" w:type="dxa"/>
            <w:vAlign w:val="bottom"/>
          </w:tcPr>
          <w:p>
            <w:pPr>
              <w:spacing w:after="0"/>
              <w:rPr>
                <w:sz w:val="20"/>
                <w:szCs w:val="20"/>
                <w:color w:val="auto"/>
              </w:rPr>
            </w:pPr>
            <w:r>
              <w:rPr>
                <w:rFonts w:ascii="Arial" w:cs="Arial" w:eastAsia="Arial" w:hAnsi="Arial"/>
                <w:sz w:val="15"/>
                <w:szCs w:val="15"/>
                <w:color w:val="auto"/>
              </w:rPr>
              <w:t>Oct. 2021</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85,000</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762</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30,000</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loans IRLCs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w w:val="92"/>
              </w:rPr>
              <w:t>Not.2021 - Dec.2021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1,222,451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13,407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 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619,713</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22,224</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Reverse loans IRLCs</w:t>
            </w:r>
          </w:p>
        </w:tc>
        <w:tc>
          <w:tcPr>
            <w:tcW w:w="1300" w:type="dxa"/>
            <w:vAlign w:val="bottom"/>
          </w:tcPr>
          <w:p>
            <w:pPr>
              <w:spacing w:after="0"/>
              <w:rPr>
                <w:sz w:val="20"/>
                <w:szCs w:val="20"/>
                <w:color w:val="auto"/>
              </w:rPr>
            </w:pPr>
            <w:r>
              <w:rPr>
                <w:rFonts w:ascii="Arial" w:cs="Arial" w:eastAsia="Arial" w:hAnsi="Arial"/>
                <w:sz w:val="15"/>
                <w:szCs w:val="15"/>
                <w:color w:val="auto"/>
              </w:rPr>
              <w:t>Oct.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80,486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11,692</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482</w:t>
            </w: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TBA forward Pipeline trades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w w:val="92"/>
              </w:rPr>
              <w:t>Oct.2021 - Dec.2021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1,210,000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Interest rate swap futures</w:t>
            </w:r>
          </w:p>
        </w:tc>
        <w:tc>
          <w:tcPr>
            <w:tcW w:w="1300" w:type="dxa"/>
            <w:vAlign w:val="bottom"/>
          </w:tcPr>
          <w:p>
            <w:pPr>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Mar.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593,500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504</w:t>
            </w: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2,597,937</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20,329</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1,254,905</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23,246</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3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b w:val="1"/>
                <w:bCs w:val="1"/>
                <w:color w:val="auto"/>
              </w:rPr>
              <w:t>Derivative Liabilities (Other liabilities)</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sales of Reverse loans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Oct. 2021</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TBA forward Pipeline trades</w:t>
            </w:r>
          </w:p>
        </w:tc>
        <w:tc>
          <w:tcPr>
            <w:tcW w:w="1300" w:type="dxa"/>
            <w:vAlign w:val="bottom"/>
          </w:tcPr>
          <w:p>
            <w:pPr>
              <w:spacing w:after="0"/>
              <w:rPr>
                <w:sz w:val="20"/>
                <w:szCs w:val="20"/>
                <w:color w:val="auto"/>
              </w:rPr>
            </w:pPr>
            <w:r>
              <w:rPr>
                <w:rFonts w:ascii="Arial" w:cs="Arial" w:eastAsia="Arial" w:hAnsi="Arial"/>
                <w:sz w:val="15"/>
                <w:szCs w:val="15"/>
                <w:color w:val="auto"/>
                <w:w w:val="92"/>
              </w:rPr>
              <w:t>Oct.2021 - Dec.2021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245,000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TBA forward MBS trades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w w:val="92"/>
              </w:rPr>
              <w:t>Oct.2021 - Nov.2021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1,210,000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Interest rate swap futures</w:t>
            </w:r>
          </w:p>
        </w:tc>
        <w:tc>
          <w:tcPr>
            <w:tcW w:w="1300" w:type="dxa"/>
            <w:vAlign w:val="bottom"/>
          </w:tcPr>
          <w:p>
            <w:pPr>
              <w:spacing w:after="0"/>
              <w:rPr>
                <w:sz w:val="20"/>
                <w:szCs w:val="20"/>
                <w:color w:val="auto"/>
              </w:rPr>
            </w:pPr>
            <w:r>
              <w:rPr>
                <w:rFonts w:ascii="Arial" w:cs="Arial" w:eastAsia="Arial" w:hAnsi="Arial"/>
                <w:sz w:val="15"/>
                <w:szCs w:val="15"/>
                <w:color w:val="auto"/>
                <w:w w:val="92"/>
              </w:rPr>
              <w:t>Oct.2021 - Dec.2021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952,500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(8,236)</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2,462,500</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(20,518)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420,000</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(4,638)</w:t>
            </w:r>
          </w:p>
        </w:tc>
      </w:tr>
      <w:tr>
        <w:trPr>
          <w:trHeight w:val="20"/>
        </w:trPr>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summarizes the net gains and losses of our derivative instruments recognized in our consolidated statement of operations.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06"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3"/>
          </w:tcPr>
          <w:p>
            <w:pPr>
              <w:ind w:left="300"/>
              <w:spacing w:after="0"/>
              <w:rPr>
                <w:sz w:val="20"/>
                <w:szCs w:val="20"/>
                <w:color w:val="auto"/>
              </w:rPr>
            </w:pPr>
            <w:r>
              <w:rPr>
                <w:rFonts w:ascii="Arial" w:cs="Arial" w:eastAsia="Arial" w:hAnsi="Arial"/>
                <w:sz w:val="15"/>
                <w:szCs w:val="15"/>
                <w:b w:val="1"/>
                <w:bCs w:val="1"/>
                <w:color w:val="auto"/>
              </w:rPr>
              <w:t>Nine Months Ended September 30, 2021</w:t>
            </w:r>
          </w:p>
        </w:tc>
        <w:tc>
          <w:tcPr>
            <w:tcW w:w="260" w:type="dxa"/>
            <w:vAlign w:val="bottom"/>
          </w:tcPr>
          <w:p>
            <w:pPr>
              <w:spacing w:after="0"/>
              <w:rPr>
                <w:sz w:val="16"/>
                <w:szCs w:val="16"/>
                <w:color w:val="auto"/>
              </w:rPr>
            </w:pPr>
          </w:p>
        </w:tc>
        <w:tc>
          <w:tcPr>
            <w:tcW w:w="3380" w:type="dxa"/>
            <w:vAlign w:val="bottom"/>
            <w:gridSpan w:val="2"/>
          </w:tcPr>
          <w:p>
            <w:pPr>
              <w:ind w:left="280"/>
              <w:spacing w:after="0"/>
              <w:rPr>
                <w:sz w:val="20"/>
                <w:szCs w:val="20"/>
                <w:color w:val="auto"/>
              </w:rPr>
            </w:pPr>
            <w:r>
              <w:rPr>
                <w:rFonts w:ascii="Arial" w:cs="Arial" w:eastAsia="Arial" w:hAnsi="Arial"/>
                <w:sz w:val="15"/>
                <w:szCs w:val="15"/>
                <w:b w:val="1"/>
                <w:bCs w:val="1"/>
                <w:color w:val="auto"/>
              </w:rPr>
              <w:t>Nine Months Ended September 30, 2020</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0" w:type="dxa"/>
            <w:vAlign w:val="bottom"/>
          </w:tcPr>
          <w:p>
            <w:pPr>
              <w:spacing w:after="0"/>
              <w:rPr>
                <w:sz w:val="1"/>
                <w:szCs w:val="1"/>
                <w:color w:val="auto"/>
              </w:rPr>
            </w:pPr>
          </w:p>
        </w:tc>
      </w:tr>
      <w:tr>
        <w:trPr>
          <w:trHeight w:val="181"/>
        </w:trPr>
        <w:tc>
          <w:tcPr>
            <w:tcW w:w="3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Financial Statement Line</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Financial Statement Line</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Derivative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5"/>
                <w:szCs w:val="15"/>
                <w:color w:val="auto"/>
              </w:rPr>
              <w:t>Forward loans IRLCs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(8,817)</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16,860</w:t>
            </w:r>
          </w:p>
        </w:tc>
        <w:tc>
          <w:tcPr>
            <w:tcW w:w="2300" w:type="dxa"/>
            <w:vAlign w:val="bottom"/>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Reverse loans IRLCs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Reverse mortgage revenue, net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145"/>
        </w:trPr>
        <w:tc>
          <w:tcPr>
            <w:tcW w:w="3940" w:type="dxa"/>
            <w:vAlign w:val="bottom"/>
            <w:vMerge w:val="restart"/>
          </w:tcPr>
          <w:p>
            <w:pPr>
              <w:ind w:left="20"/>
              <w:spacing w:after="0"/>
              <w:rPr>
                <w:sz w:val="20"/>
                <w:szCs w:val="20"/>
                <w:color w:val="auto"/>
              </w:rPr>
            </w:pPr>
            <w:r>
              <w:rPr>
                <w:rFonts w:ascii="Arial" w:cs="Arial" w:eastAsia="Arial" w:hAnsi="Arial"/>
                <w:sz w:val="15"/>
                <w:szCs w:val="15"/>
                <w:color w:val="auto"/>
              </w:rPr>
              <w:t>TBA forward pipeline trades</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592</w:t>
            </w:r>
          </w:p>
        </w:tc>
        <w:tc>
          <w:tcPr>
            <w:tcW w:w="238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Gain on loans held for sale, net</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300" w:type="dxa"/>
            <w:vAlign w:val="bottom"/>
          </w:tcPr>
          <w:p>
            <w:pPr>
              <w:spacing w:after="0" w:line="146" w:lineRule="exact"/>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(Economic hedge)</w:t>
            </w: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(Economic hedge)</w:t>
            </w:r>
          </w:p>
        </w:tc>
        <w:tc>
          <w:tcPr>
            <w:tcW w:w="0" w:type="dxa"/>
            <w:vAlign w:val="bottom"/>
          </w:tcPr>
          <w:p>
            <w:pPr>
              <w:spacing w:after="0"/>
              <w:rPr>
                <w:sz w:val="1"/>
                <w:szCs w:val="1"/>
                <w:color w:val="auto"/>
              </w:rPr>
            </w:pPr>
          </w:p>
        </w:tc>
      </w:tr>
      <w:tr>
        <w:trPr>
          <w:trHeight w:val="146"/>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3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(9,564)</w:t>
            </w:r>
          </w:p>
        </w:tc>
        <w:tc>
          <w:tcPr>
            <w:tcW w:w="23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9"/>
        </w:trPr>
        <w:tc>
          <w:tcPr>
            <w:tcW w:w="39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(Economic hedge)</w:t>
            </w:r>
          </w:p>
        </w:tc>
        <w:tc>
          <w:tcPr>
            <w:tcW w:w="2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(Economic hedge)</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(3,310)</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MSR valuation adjustments, net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39,258</w:t>
            </w:r>
          </w:p>
        </w:tc>
        <w:tc>
          <w:tcPr>
            <w:tcW w:w="2300" w:type="dxa"/>
            <w:vAlign w:val="bottom"/>
          </w:tcPr>
          <w:p>
            <w:pPr>
              <w:spacing w:after="0"/>
              <w:rPr>
                <w:sz w:val="20"/>
                <w:szCs w:val="20"/>
                <w:color w:val="auto"/>
              </w:rPr>
            </w:pPr>
            <w:r>
              <w:rPr>
                <w:rFonts w:ascii="Arial" w:cs="Arial" w:eastAsia="Arial" w:hAnsi="Arial"/>
                <w:sz w:val="15"/>
                <w:szCs w:val="15"/>
                <w:color w:val="auto"/>
              </w:rPr>
              <w:t>MSR valuation adjustments, net</w:t>
            </w: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sales of Reverse loans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Reverse mortgage revenue, net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23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20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(11,362)</w:t>
            </w:r>
          </w:p>
        </w:tc>
        <w:tc>
          <w:tcPr>
            <w:tcW w:w="2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46,871</w:t>
            </w:r>
          </w:p>
        </w:tc>
        <w:tc>
          <w:tcPr>
            <w:tcW w:w="2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 Hedging</w:t>
      </w:r>
    </w:p>
    <w:p>
      <w:pPr>
        <w:spacing w:after="0" w:line="95"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 among other factors.</w:t>
      </w:r>
    </w:p>
    <w:p>
      <w:pPr>
        <w:spacing w:after="0" w:line="58"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Through May 2021, management maintained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70" w:lineRule="exact"/>
        <w:rPr>
          <w:sz w:val="20"/>
          <w:szCs w:val="20"/>
          <w:color w:val="auto"/>
        </w:rPr>
      </w:pPr>
    </w:p>
    <w:p>
      <w:pPr>
        <w:ind w:left="540" w:hanging="263"/>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MSR Transfers Not Qualifying for Sale Accounting),</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unsecuritized reverse mortgage loans and tails classified as held for investment,</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lock commitments (pipeline).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the first and second quarters of 2021, we also included in our MSR portfolio the exposure related to expected future MSR bulk acquisitions subject to letters of intent.</w:t>
      </w:r>
    </w:p>
    <w:p>
      <w:pPr>
        <w:spacing w:after="0" w:line="109" w:lineRule="exact"/>
        <w:rPr>
          <w:sz w:val="20"/>
          <w:szCs w:val="20"/>
          <w:color w:val="auto"/>
        </w:rPr>
      </w:pPr>
    </w:p>
    <w:p>
      <w:pPr>
        <w:ind w:right="260" w:firstLine="268"/>
        <w:spacing w:after="0" w:line="317" w:lineRule="auto"/>
        <w:rPr>
          <w:sz w:val="20"/>
          <w:szCs w:val="20"/>
          <w:color w:val="auto"/>
        </w:rPr>
      </w:pPr>
      <w:r>
        <w:rPr>
          <w:rFonts w:ascii="Arial" w:cs="Arial" w:eastAsia="Arial" w:hAnsi="Arial"/>
          <w:sz w:val="14"/>
          <w:szCs w:val="14"/>
          <w:color w:val="auto"/>
        </w:rPr>
        <w:t>Effective May 2021, management started hedging its MSR portfolio and its pipeline separately (see below for further description of pipeline hedging</w:t>
      </w:r>
      <w:r>
        <w:rPr>
          <w:rFonts w:ascii="Arial" w:cs="Arial" w:eastAsia="Arial" w:hAnsi="Arial"/>
          <w:sz w:val="16"/>
          <w:szCs w:val="16"/>
          <w:color w:val="auto"/>
        </w:rPr>
        <w:t>)</w:t>
      </w:r>
      <w:r>
        <w:rPr>
          <w:rFonts w:ascii="Arial" w:cs="Arial" w:eastAsia="Arial" w:hAnsi="Arial"/>
          <w:sz w:val="14"/>
          <w:szCs w:val="14"/>
          <w:color w:val="auto"/>
        </w:rPr>
        <w:t>, effectively ending the macro-hedge strategy previously in place. Under the new MSR hedging strategy, the interest-rate sensitive MSR portfolio exposure is now defined as follows:</w:t>
      </w:r>
    </w:p>
    <w:p>
      <w:pPr>
        <w:spacing w:after="0" w:line="21" w:lineRule="exact"/>
        <w:rPr>
          <w:sz w:val="20"/>
          <w:szCs w:val="20"/>
          <w:color w:val="auto"/>
        </w:rPr>
      </w:pPr>
    </w:p>
    <w:p>
      <w:pPr>
        <w:ind w:left="540" w:hanging="263"/>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expected Agency MSR bulk transactions subject to letters of intent (LOI),</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the Agency MSRs subject to sale agreements with NRZ and MAV (See Note 8 — MSR Transfers Not Qualifying for Sale Accounting),</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w:t>
      </w:r>
    </w:p>
    <w:p>
      <w:pPr>
        <w:spacing w:after="0" w:line="85" w:lineRule="exact"/>
        <w:rPr>
          <w:sz w:val="20"/>
          <w:szCs w:val="20"/>
          <w:color w:val="auto"/>
        </w:rPr>
      </w:pPr>
    </w:p>
    <w:p>
      <w:pPr>
        <w:ind w:right="280" w:firstLine="268"/>
        <w:spacing w:after="0" w:line="348" w:lineRule="auto"/>
        <w:rPr>
          <w:sz w:val="20"/>
          <w:szCs w:val="20"/>
          <w:color w:val="auto"/>
        </w:rPr>
      </w:pPr>
      <w:r>
        <w:rPr>
          <w:rFonts w:ascii="Arial" w:cs="Arial" w:eastAsia="Arial" w:hAnsi="Arial"/>
          <w:sz w:val="13"/>
          <w:szCs w:val="13"/>
          <w:color w:val="auto"/>
        </w:rPr>
        <w:t>Our MSR policy’s objective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of 40% and 60%,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Accordingly, the changes in fair value of our hedging instruments may not fully offset the changes in fair value of our net MSR portfolio exposure attributable to interest rate changes.</w:t>
      </w:r>
    </w:p>
    <w:p>
      <w:pPr>
        <w:spacing w:after="0" w:line="107" w:lineRule="exact"/>
        <w:rPr>
          <w:sz w:val="20"/>
          <w:szCs w:val="20"/>
          <w:color w:val="auto"/>
        </w:rPr>
      </w:pPr>
    </w:p>
    <w:p>
      <w:pPr>
        <w:ind w:right="480" w:firstLine="268"/>
        <w:spacing w:after="0" w:line="270" w:lineRule="auto"/>
        <w:rPr>
          <w:sz w:val="20"/>
          <w:szCs w:val="20"/>
          <w:color w:val="auto"/>
        </w:rPr>
      </w:pPr>
      <w:r>
        <w:rPr>
          <w:rFonts w:ascii="Arial" w:cs="Arial" w:eastAsia="Arial" w:hAnsi="Arial"/>
          <w:sz w:val="15"/>
          <w:szCs w:val="15"/>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58" w:lineRule="exact"/>
        <w:rPr>
          <w:sz w:val="20"/>
          <w:szCs w:val="20"/>
          <w:color w:val="auto"/>
        </w:rPr>
      </w:pPr>
    </w:p>
    <w:p>
      <w:pPr>
        <w:jc w:val="both"/>
        <w:ind w:right="160" w:firstLine="268"/>
        <w:spacing w:after="0" w:line="317" w:lineRule="auto"/>
        <w:rPr>
          <w:sz w:val="20"/>
          <w:szCs w:val="20"/>
          <w:color w:val="auto"/>
        </w:rPr>
      </w:pPr>
      <w:r>
        <w:rPr>
          <w:rFonts w:ascii="Arial" w:cs="Arial" w:eastAsia="Arial" w:hAnsi="Arial"/>
          <w:sz w:val="13"/>
          <w:szCs w:val="13"/>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32" w:lineRule="exact"/>
        <w:rPr>
          <w:sz w:val="20"/>
          <w:szCs w:val="20"/>
          <w:color w:val="auto"/>
        </w:rPr>
      </w:pPr>
    </w:p>
    <w:p>
      <w:pPr>
        <w:ind w:right="20" w:firstLine="268"/>
        <w:spacing w:after="0" w:line="259" w:lineRule="auto"/>
        <w:rPr>
          <w:sz w:val="20"/>
          <w:szCs w:val="20"/>
          <w:color w:val="auto"/>
        </w:rPr>
      </w:pPr>
      <w:r>
        <w:rPr>
          <w:rFonts w:ascii="Arial" w:cs="Arial" w:eastAsia="Arial" w:hAnsi="Arial"/>
          <w:sz w:val="15"/>
          <w:szCs w:val="15"/>
          <w:color w:val="auto"/>
        </w:rPr>
        <w:t>The derivative instruments are subject to margin requirements, posted as either initial margin or variation margin. Ocwen may be required to post or may be entitled to receive cash collateral with its counterparties through margin calls,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Pipeline Hedging - Interest Rate Lock Commitments and Loans Held for Sale, at Fair Value</w:t>
      </w:r>
    </w:p>
    <w:p>
      <w:pPr>
        <w:spacing w:after="0" w:line="95" w:lineRule="exact"/>
        <w:rPr>
          <w:sz w:val="20"/>
          <w:szCs w:val="20"/>
          <w:color w:val="auto"/>
        </w:rPr>
      </w:pPr>
    </w:p>
    <w:p>
      <w:pPr>
        <w:ind w:right="20" w:firstLine="268"/>
        <w:spacing w:after="0" w:line="272" w:lineRule="auto"/>
        <w:rPr>
          <w:sz w:val="20"/>
          <w:szCs w:val="20"/>
          <w:color w:val="auto"/>
        </w:rPr>
      </w:pPr>
      <w:r>
        <w:rPr>
          <w:rFonts w:ascii="Arial" w:cs="Arial" w:eastAsia="Arial" w:hAnsi="Arial"/>
          <w:sz w:val="14"/>
          <w:szCs w:val="14"/>
          <w:color w:val="auto"/>
        </w:rPr>
        <w:t>In our Originations business, we are exposed to interest rate risk and related price risk during the period from the date of the interest rate lock commitment through (i) the commitment cancellation or expiration date or (ii) through the date of sale of the resulting loan into the secondary mortgage market. Loan commitments for forward loans generally range from 5 to 90 days, with the majority of our commitments to borrowers for 75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interest rate lock commitments is economically hedged with derivative instruments, including forward sales of Agency “to be announced” securities (TBAs). We report changes in fair value of these derivative instruments as gain or loss on economic hedge instruments within gain on loans held-for-sale in our consolidated statements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Advance Match Funded Liabilities</w:t>
      </w:r>
    </w:p>
    <w:p>
      <w:pPr>
        <w:spacing w:after="0" w:line="95" w:lineRule="exact"/>
        <w:rPr>
          <w:sz w:val="20"/>
          <w:szCs w:val="20"/>
          <w:color w:val="auto"/>
        </w:rPr>
      </w:pPr>
    </w:p>
    <w:p>
      <w:pPr>
        <w:ind w:right="280" w:firstLine="268"/>
        <w:spacing w:after="0" w:line="259" w:lineRule="auto"/>
        <w:rPr>
          <w:sz w:val="20"/>
          <w:szCs w:val="20"/>
          <w:color w:val="auto"/>
        </w:rPr>
      </w:pPr>
      <w:r>
        <w:rPr>
          <w:rFonts w:ascii="Arial" w:cs="Arial" w:eastAsia="Arial" w:hAnsi="Arial"/>
          <w:sz w:val="15"/>
          <w:szCs w:val="15"/>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99"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any forward exchange contracts to hedge against the effect of changes in the value of the India Rupee or Philippine Peso. We currently do not hedge our foreign currency exposure with derivative instruments. Foreign currency remeasurement exchange gains (losses) were $0.2 million and $0.3 million for the three and nine months ended September 30, 2021, respectively, and $(0.2) million and $(1.1) million during the three and nine months ended September 30, 2020, respectively, and are reported in Other, net in the consolidated statements of operations.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16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71418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3260" w:type="dxa"/>
            <w:vAlign w:val="bottom"/>
            <w:gridSpan w:val="6"/>
          </w:tcPr>
          <w:p>
            <w:pPr>
              <w:ind w:left="44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0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203"/>
        </w:trPr>
        <w:tc>
          <w:tcPr>
            <w:tcW w:w="48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19,977</w:t>
            </w: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color w:val="auto"/>
              </w:rPr>
              <w:t>Mortgage loan warehouse facilities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8,985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20,673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10,531</w:t>
            </w: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 financing facilities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12,655</w:t>
            </w:r>
          </w:p>
        </w:tc>
      </w:tr>
      <w:tr>
        <w:trPr>
          <w:trHeight w:val="189"/>
        </w:trPr>
        <w:tc>
          <w:tcPr>
            <w:tcW w:w="4840" w:type="dxa"/>
            <w:vAlign w:val="bottom"/>
          </w:tcPr>
          <w:p>
            <w:pPr>
              <w:ind w:left="20"/>
              <w:spacing w:after="0"/>
              <w:rPr>
                <w:sz w:val="20"/>
                <w:szCs w:val="20"/>
                <w:color w:val="auto"/>
              </w:rPr>
            </w:pPr>
            <w:r>
              <w:rPr>
                <w:rFonts w:ascii="Arial" w:cs="Arial" w:eastAsia="Arial" w:hAnsi="Arial"/>
                <w:sz w:val="15"/>
                <w:szCs w:val="15"/>
                <w:color w:val="auto"/>
              </w:rPr>
              <w:t>Advance match funded liabilities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11,570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19,541</w:t>
            </w: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SSTL</w:t>
            </w:r>
          </w:p>
        </w:tc>
        <w:tc>
          <w:tcPr>
            <w:tcW w:w="10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15,985</w:t>
            </w:r>
          </w:p>
        </w:tc>
      </w:tr>
      <w:tr>
        <w:trPr>
          <w:trHeight w:val="18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4,868</w:t>
            </w:r>
          </w:p>
        </w:tc>
      </w:tr>
      <w:tr>
        <w:trPr>
          <w:trHeight w:val="206"/>
        </w:trPr>
        <w:tc>
          <w:tcPr>
            <w:tcW w:w="4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40,623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26,815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102,591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83,557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00"/>
        </w:trPr>
        <w:tc>
          <w:tcPr>
            <w:tcW w:w="4840" w:type="dxa"/>
            <w:vAlign w:val="bottom"/>
          </w:tcPr>
          <w:p>
            <w:pPr>
              <w:spacing w:after="0"/>
              <w:rPr>
                <w:sz w:val="24"/>
                <w:szCs w:val="24"/>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46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2"/>
        </w:trPr>
        <w:tc>
          <w:tcPr>
            <w:tcW w:w="48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8" w:name="page49"/>
    <w:bookmarkEnd w:id="48"/>
    <w:p>
      <w:pPr>
        <w:ind w:left="60"/>
        <w:spacing w:after="0"/>
        <w:rPr>
          <w:sz w:val="20"/>
          <w:szCs w:val="20"/>
          <w:color w:val="auto"/>
        </w:rPr>
      </w:pPr>
      <w:r>
        <w:rPr>
          <w:rFonts w:ascii="Arial" w:cs="Arial" w:eastAsia="Arial" w:hAnsi="Arial"/>
          <w:sz w:val="15"/>
          <w:szCs w:val="15"/>
          <w:b w:val="1"/>
          <w:bCs w:val="1"/>
          <w:color w:val="auto"/>
        </w:rPr>
        <w:t>Note 17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69850</wp:posOffset>
            </wp:positionV>
            <wp:extent cx="711390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3905" cy="6985"/>
                    </a:xfrm>
                    <a:prstGeom prst="rect">
                      <a:avLst/>
                    </a:prstGeom>
                    <a:noFill/>
                  </pic:spPr>
                </pic:pic>
              </a:graphicData>
            </a:graphic>
          </wp:anchor>
        </w:drawing>
      </w:r>
    </w:p>
    <w:p>
      <w:pPr>
        <w:spacing w:after="0" w:line="257" w:lineRule="exact"/>
        <w:rPr>
          <w:sz w:val="20"/>
          <w:szCs w:val="20"/>
          <w:color w:val="auto"/>
        </w:rPr>
      </w:pPr>
    </w:p>
    <w:p>
      <w:pPr>
        <w:ind w:right="140" w:firstLine="268"/>
        <w:spacing w:after="0" w:line="279" w:lineRule="auto"/>
        <w:rPr>
          <w:sz w:val="20"/>
          <w:szCs w:val="20"/>
          <w:color w:val="auto"/>
        </w:rPr>
      </w:pPr>
      <w:r>
        <w:rPr>
          <w:rFonts w:ascii="Arial" w:cs="Arial" w:eastAsia="Arial" w:hAnsi="Arial"/>
          <w:sz w:val="14"/>
          <w:szCs w:val="14"/>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54"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color w:val="auto"/>
        </w:rPr>
        <w:t>Based on information available at the time, we estimated that modifications to the tax rules for the carryback of NOLs and business interest expense limitations would result in U.S. and USVI federal net tax refunds of approximately $70.3 million and $1.2 million, respectively, and as such we recognized an income tax benefit of $71.5 million in our unaudited consolidated financial statements for the nine months ended September 30, 2020.</w:t>
      </w:r>
    </w:p>
    <w:p>
      <w:pPr>
        <w:spacing w:after="0" w:line="66" w:lineRule="exact"/>
        <w:rPr>
          <w:sz w:val="20"/>
          <w:szCs w:val="20"/>
          <w:color w:val="auto"/>
        </w:rPr>
      </w:pPr>
    </w:p>
    <w:p>
      <w:pPr>
        <w:ind w:right="20" w:firstLine="268"/>
        <w:spacing w:after="0" w:line="259" w:lineRule="auto"/>
        <w:rPr>
          <w:sz w:val="20"/>
          <w:szCs w:val="20"/>
          <w:color w:val="auto"/>
        </w:rPr>
      </w:pPr>
      <w:r>
        <w:rPr>
          <w:rFonts w:ascii="Arial" w:cs="Arial" w:eastAsia="Arial" w:hAnsi="Arial"/>
          <w:sz w:val="15"/>
          <w:szCs w:val="15"/>
          <w:color w:val="auto"/>
        </w:rPr>
        <w:t>The income tax benefit recognized represents the release of valuation allowances against certain NOL and Section 163(j) deferred tax assets that were realized as a result of certain provisions of the CARES Act as well as permanent income tax benefit related to the carryback of NOLs created in a tax year that was subject to U.S. federal tax at 21% to a tax year subject to tax at 35%.</w:t>
      </w:r>
    </w:p>
    <w:p>
      <w:pPr>
        <w:spacing w:after="0" w:line="66"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We recognized income tax benefit of $11.3 million and $2.0 million for the three months ended September 30, 2021 and 2020, respectively, and $20.1 million and $71.9 million for the nine months ended September 30, 2021 and 2020, respectively, primarily due to income tax benefits recognized under the provisions of the CARES Act and the favorable resolution of various uncertain tax positions during the nine months ended September 30, 2021 and 2020.</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1106" w:right="359" w:bottom="1440" w:gutter="0" w:footer="0" w:header="0"/>
        </w:sectPr>
      </w:pPr>
    </w:p>
    <w:bookmarkStart w:id="49" w:name="page50"/>
    <w:bookmarkEnd w:id="49"/>
    <w:p>
      <w:pPr>
        <w:ind w:left="20"/>
        <w:spacing w:after="0"/>
        <w:rPr>
          <w:sz w:val="20"/>
          <w:szCs w:val="20"/>
          <w:color w:val="auto"/>
        </w:rPr>
      </w:pPr>
      <w:r>
        <w:rPr>
          <w:rFonts w:ascii="Arial" w:cs="Arial" w:eastAsia="Arial" w:hAnsi="Arial"/>
          <w:sz w:val="15"/>
          <w:szCs w:val="15"/>
          <w:b w:val="1"/>
          <w:bCs w:val="1"/>
          <w:color w:val="auto"/>
        </w:rPr>
        <w:t>Note 18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418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68"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and nine months ended September 30, 2020, we have excluded the effect of all stock options, common stock awards and warrants from the computation of diluted loss per share because of the anti-dilutive effect of our reported net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6"/>
                <w:szCs w:val="16"/>
                <w:color w:val="auto"/>
              </w:rPr>
            </w:pPr>
          </w:p>
        </w:tc>
        <w:tc>
          <w:tcPr>
            <w:tcW w:w="2920" w:type="dxa"/>
            <w:vAlign w:val="bottom"/>
            <w:gridSpan w:val="4"/>
          </w:tcPr>
          <w:p>
            <w:pPr>
              <w:jc w:val="right"/>
              <w:ind w:right="426"/>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92"/>
        </w:trPr>
        <w:tc>
          <w:tcPr>
            <w:tcW w:w="47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474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Basic earnings (loss) per share</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21,552</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(9,420)</w:t>
            </w:r>
          </w:p>
        </w:tc>
        <w:tc>
          <w:tcPr>
            <w:tcW w:w="2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19,773</w:t>
            </w:r>
          </w:p>
        </w:tc>
        <w:tc>
          <w:tcPr>
            <w:tcW w:w="18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(32,955)</w:t>
            </w:r>
          </w:p>
        </w:tc>
      </w:tr>
      <w:tr>
        <w:trPr>
          <w:trHeight w:val="134"/>
        </w:trPr>
        <w:tc>
          <w:tcPr>
            <w:tcW w:w="4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Weighted average shares of common stock</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9,189,030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8,669,550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8,960,696</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8,770,102</w:t>
            </w:r>
          </w:p>
        </w:tc>
      </w:tr>
      <w:tr>
        <w:trPr>
          <w:trHeight w:val="134"/>
        </w:trPr>
        <w:tc>
          <w:tcPr>
            <w:tcW w:w="4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Basic earnings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(1.09)</w:t>
            </w:r>
          </w:p>
        </w:tc>
        <w:tc>
          <w:tcPr>
            <w:tcW w:w="2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2.21</w:t>
            </w:r>
          </w:p>
        </w:tc>
        <w:tc>
          <w:tcPr>
            <w:tcW w:w="18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(3.76)</w:t>
            </w:r>
          </w:p>
        </w:tc>
      </w:tr>
      <w:tr>
        <w:trPr>
          <w:trHeight w:val="134"/>
        </w:trPr>
        <w:tc>
          <w:tcPr>
            <w:tcW w:w="4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5"/>
                <w:szCs w:val="15"/>
                <w:b w:val="1"/>
                <w:bCs w:val="1"/>
                <w:color w:val="auto"/>
              </w:rPr>
              <w:t>Diluted earnings (loss) per share</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19,773</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(32,955)</w:t>
            </w:r>
          </w:p>
        </w:tc>
      </w:tr>
      <w:tr>
        <w:trPr>
          <w:trHeight w:val="134"/>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89"/>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shares of common stock</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9,189,030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8,669,550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8,960,696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8,770,102</w:t>
            </w: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Effect of dilutive elements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Common stock warrants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97,426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740" w:type="dxa"/>
            <w:vAlign w:val="bottom"/>
          </w:tcPr>
          <w:p>
            <w:pPr>
              <w:ind w:left="200"/>
              <w:spacing w:after="0"/>
              <w:rPr>
                <w:sz w:val="20"/>
                <w:szCs w:val="20"/>
                <w:color w:val="auto"/>
              </w:rPr>
            </w:pPr>
            <w:r>
              <w:rPr>
                <w:rFonts w:ascii="Arial" w:cs="Arial" w:eastAsia="Arial" w:hAnsi="Arial"/>
                <w:sz w:val="15"/>
                <w:szCs w:val="15"/>
                <w:color w:val="auto"/>
              </w:rPr>
              <w:t>Common stock awards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147,235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161,049</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Contingent issuance of common stock</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51,580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4740" w:type="dxa"/>
            <w:vAlign w:val="bottom"/>
          </w:tcPr>
          <w:p>
            <w:pPr>
              <w:ind w:left="120"/>
              <w:spacing w:after="0"/>
              <w:rPr>
                <w:sz w:val="20"/>
                <w:szCs w:val="20"/>
                <w:color w:val="auto"/>
              </w:rPr>
            </w:pPr>
            <w:r>
              <w:rPr>
                <w:rFonts w:ascii="Arial" w:cs="Arial" w:eastAsia="Arial" w:hAnsi="Arial"/>
                <w:sz w:val="15"/>
                <w:szCs w:val="15"/>
                <w:color w:val="auto"/>
              </w:rPr>
              <w:t>Dilutive weighted average shares of common stock</w:t>
            </w:r>
          </w:p>
        </w:tc>
        <w:tc>
          <w:tcPr>
            <w:tcW w:w="2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9,401,858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8,669,550</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9,270,751</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8,770,102</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4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Diluted earnings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(1.09)</w:t>
            </w:r>
          </w:p>
        </w:tc>
        <w:tc>
          <w:tcPr>
            <w:tcW w:w="2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2.13</w:t>
            </w:r>
          </w:p>
        </w:tc>
        <w:tc>
          <w:tcPr>
            <w:tcW w:w="18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(3.76)</w:t>
            </w:r>
          </w:p>
        </w:tc>
      </w:tr>
      <w:tr>
        <w:trPr>
          <w:trHeight w:val="134"/>
        </w:trPr>
        <w:tc>
          <w:tcPr>
            <w:tcW w:w="4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5"/>
        </w:trPr>
        <w:tc>
          <w:tcPr>
            <w:tcW w:w="4740" w:type="dxa"/>
            <w:vAlign w:val="bottom"/>
          </w:tcPr>
          <w:p>
            <w:pPr>
              <w:ind w:left="20"/>
              <w:spacing w:after="0" w:line="145" w:lineRule="exact"/>
              <w:rPr>
                <w:sz w:val="20"/>
                <w:szCs w:val="20"/>
                <w:color w:val="auto"/>
              </w:rPr>
            </w:pPr>
            <w:r>
              <w:rPr>
                <w:rFonts w:ascii="Arial" w:cs="Arial" w:eastAsia="Arial" w:hAnsi="Arial"/>
                <w:sz w:val="15"/>
                <w:szCs w:val="15"/>
                <w:b w:val="1"/>
                <w:bCs w:val="1"/>
                <w:color w:val="auto"/>
                <w:w w:val="89"/>
              </w:rPr>
              <w:t>Stock options and common stock awards excluded from the computation</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9"/>
        </w:trPr>
        <w:tc>
          <w:tcPr>
            <w:tcW w:w="4740" w:type="dxa"/>
            <w:vAlign w:val="bottom"/>
          </w:tcPr>
          <w:p>
            <w:pPr>
              <w:ind w:left="160"/>
              <w:spacing w:after="0"/>
              <w:rPr>
                <w:sz w:val="20"/>
                <w:szCs w:val="20"/>
                <w:color w:val="auto"/>
              </w:rPr>
            </w:pPr>
            <w:r>
              <w:rPr>
                <w:rFonts w:ascii="Arial" w:cs="Arial" w:eastAsia="Arial" w:hAnsi="Arial"/>
                <w:sz w:val="15"/>
                <w:szCs w:val="15"/>
                <w:b w:val="1"/>
                <w:bCs w:val="1"/>
                <w:color w:val="auto"/>
              </w:rPr>
              <w:t>of diluted earnings (loss) per share</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Anti-dilutive (1)</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193,144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155,213</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218,020</w:t>
            </w: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Market-based (2)</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87,509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125,395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87,509</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125,395</w:t>
            </w:r>
          </w:p>
        </w:tc>
      </w:tr>
    </w:tbl>
    <w:p>
      <w:pPr>
        <w:spacing w:after="0" w:line="103" w:lineRule="exact"/>
        <w:rPr>
          <w:sz w:val="20"/>
          <w:szCs w:val="20"/>
          <w:color w:val="auto"/>
        </w:rPr>
      </w:pPr>
    </w:p>
    <w:p>
      <w:pPr>
        <w:ind w:left="280" w:right="180" w:hanging="271"/>
        <w:spacing w:after="0" w:line="260" w:lineRule="auto"/>
        <w:tabs>
          <w:tab w:leader="none" w:pos="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stock options that are anti-dilutive because their exercise price was greater than the average market price of Ocwen’s stock, and stock awards that are anti-dilutive based on the application of the treasury stock method.</w:t>
      </w:r>
    </w:p>
    <w:p>
      <w:pPr>
        <w:ind w:left="280" w:hanging="271"/>
        <w:spacing w:after="0"/>
        <w:tabs>
          <w:tab w:leader="none" w:pos="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Shares that are issuable upon the achievement of certain market-based performance criteria related to Ocwen’s stock price.</w:t>
      </w:r>
    </w:p>
    <w:p>
      <w:pPr>
        <w:spacing w:after="0" w:line="82" w:lineRule="exact"/>
        <w:rPr>
          <w:sz w:val="20"/>
          <w:szCs w:val="20"/>
          <w:color w:val="auto"/>
        </w:rPr>
      </w:pPr>
    </w:p>
    <w:p>
      <w:pPr>
        <w:jc w:val="both"/>
        <w:ind w:right="160" w:firstLine="268"/>
        <w:spacing w:after="0" w:line="259" w:lineRule="auto"/>
        <w:rPr>
          <w:sz w:val="20"/>
          <w:szCs w:val="20"/>
          <w:color w:val="auto"/>
        </w:rPr>
      </w:pPr>
      <w:r>
        <w:rPr>
          <w:rFonts w:ascii="Arial" w:cs="Arial" w:eastAsia="Arial" w:hAnsi="Arial"/>
          <w:sz w:val="15"/>
          <w:szCs w:val="15"/>
          <w:color w:val="auto"/>
        </w:rPr>
        <w:t>As disclosed in Note 14 – Equity, Ocwen implemented a reverse stock split in a ratio of one-for-15 effective on August 13, 2020. The above computations of earnings (loss) per share reflect the number of common stock shares after consideration for the reverse stock split. All common share and loss per share amounts have been adjusted retrospectively to give effect to the reverse stock split as if it occurred at the beginning of the first period presented.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19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13" w:lineRule="exact"/>
        <w:rPr>
          <w:sz w:val="20"/>
          <w:szCs w:val="20"/>
          <w:color w:val="auto"/>
        </w:rPr>
      </w:pPr>
    </w:p>
    <w:p>
      <w:pPr>
        <w:jc w:val="both"/>
        <w:ind w:right="280" w:firstLine="268"/>
        <w:spacing w:after="0" w:line="259" w:lineRule="auto"/>
        <w:rPr>
          <w:sz w:val="20"/>
          <w:szCs w:val="20"/>
          <w:color w:val="auto"/>
        </w:rPr>
      </w:pPr>
      <w:r>
        <w:rPr>
          <w:rFonts w:ascii="Arial" w:cs="Arial" w:eastAsia="Arial" w:hAnsi="Arial"/>
          <w:sz w:val="15"/>
          <w:szCs w:val="15"/>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nine months ended September 30, 2021, there have been no changes to our business segments as disclosed in our Annual Report on Form 10-K for the year ended December 31, 2020.</w:t>
      </w:r>
    </w:p>
    <w:p>
      <w:pPr>
        <w:spacing w:after="0" w:line="66" w:lineRule="exact"/>
        <w:rPr>
          <w:sz w:val="20"/>
          <w:szCs w:val="20"/>
          <w:color w:val="auto"/>
        </w:rPr>
      </w:pPr>
    </w:p>
    <w:p>
      <w:pPr>
        <w:ind w:right="200" w:firstLine="268"/>
        <w:spacing w:after="0" w:line="286" w:lineRule="auto"/>
        <w:rPr>
          <w:sz w:val="20"/>
          <w:szCs w:val="20"/>
          <w:color w:val="auto"/>
        </w:rPr>
      </w:pPr>
      <w:r>
        <w:rPr>
          <w:rFonts w:ascii="Arial" w:cs="Arial" w:eastAsia="Arial" w:hAnsi="Arial"/>
          <w:sz w:val="14"/>
          <w:szCs w:val="14"/>
          <w:color w:val="auto"/>
        </w:rPr>
        <w:t>Effective with the fourth quarter of 2020, we have reported the results of Reverse Servicing within the Servicing segment. Previously, the Reverse Servicing business was included in the reported results of the Originations segment. This alignment of our business segments is consistent with a change in the management of the business and a change in the internal management reporting to the chief operating decision maker. Segment results for 2020 have been recast to conform to the current segment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50" w:right="31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5"/>
          <w:szCs w:val="15"/>
          <w:color w:val="auto"/>
        </w:rPr>
        <w:t>presentation. Reverse Servicing generated Revenue and Income (loss) before income taxes of $(0.5) million and $(5.6) million, respectively, for the three months ended September 30, 2020, and $12.1 million and $(0.9) million for the nine months ended September 30, 2020. Reverse Servicing assets consist primarily of securitized Loans held for investment - Reverse Mortgages.</w:t>
      </w:r>
    </w:p>
    <w:p>
      <w:pPr>
        <w:spacing w:after="0" w:line="66" w:lineRule="exact"/>
        <w:rPr>
          <w:sz w:val="20"/>
          <w:szCs w:val="20"/>
          <w:color w:val="auto"/>
        </w:rPr>
      </w:pPr>
    </w:p>
    <w:p>
      <w:pPr>
        <w:ind w:right="20" w:firstLine="268"/>
        <w:spacing w:after="0" w:line="294" w:lineRule="auto"/>
        <w:rPr>
          <w:sz w:val="20"/>
          <w:szCs w:val="20"/>
          <w:color w:val="auto"/>
        </w:rPr>
      </w:pPr>
      <w:r>
        <w:rPr>
          <w:rFonts w:ascii="Arial" w:cs="Arial" w:eastAsia="Arial" w:hAnsi="Arial"/>
          <w:sz w:val="13"/>
          <w:szCs w:val="13"/>
          <w:color w:val="auto"/>
        </w:rPr>
        <w:t>Revenues and expenses directly associated with each respective business segments are included in determining its results of operations. We allocate certain expenses incurred by corporate support services that are not directly attributable to a segment to each business segment.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 Interest expense on direct asset-backed financings are recorded in the respective Servicing and Originations segments. Beginning in the third quarter of 2020, we began allocating interest expense on corporate debt, including the SSTL and Senior Notes, used to fund servicing advances and other servicing assets from Corporate Items and Other to the Servicing segment. Amortization of debt issuance costs and discount are excluded from the interest expense allocation. The interest expense related to the corporate debt has been allocated to the Servicing segment for periods prior to the third quarter of 2020 to conform to the current period presentation.</w:t>
      </w:r>
    </w:p>
    <w:p>
      <w:pPr>
        <w:spacing w:after="0" w:line="46" w:lineRule="exact"/>
        <w:rPr>
          <w:sz w:val="20"/>
          <w:szCs w:val="20"/>
          <w:color w:val="auto"/>
        </w:rPr>
      </w:pPr>
    </w:p>
    <w:p>
      <w:pPr>
        <w:ind w:right="40" w:firstLine="268"/>
        <w:spacing w:after="0" w:line="252" w:lineRule="auto"/>
        <w:rPr>
          <w:sz w:val="20"/>
          <w:szCs w:val="20"/>
          <w:color w:val="auto"/>
        </w:rPr>
      </w:pPr>
      <w:r>
        <w:rPr>
          <w:rFonts w:ascii="Arial" w:cs="Arial" w:eastAsia="Arial" w:hAnsi="Arial"/>
          <w:sz w:val="15"/>
          <w:szCs w:val="15"/>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 column in the table below.</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Financial information for our segments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5"/>
                <w:szCs w:val="15"/>
                <w:b w:val="1"/>
                <w:bCs w:val="1"/>
                <w:color w:val="auto"/>
                <w:w w:val="89"/>
              </w:rPr>
              <w:t>Three Months Ended September 30, 2021</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1"/>
                <w:szCs w:val="11"/>
                <w:color w:val="auto"/>
              </w:rPr>
            </w:pPr>
          </w:p>
        </w:tc>
        <w:tc>
          <w:tcPr>
            <w:tcW w:w="126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Originations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6" w:lineRule="exact"/>
              <w:rPr>
                <w:sz w:val="20"/>
                <w:szCs w:val="20"/>
                <w:color w:val="auto"/>
              </w:rPr>
            </w:pPr>
            <w:r>
              <w:rPr>
                <w:rFonts w:ascii="Arial" w:cs="Arial" w:eastAsia="Arial" w:hAnsi="Arial"/>
                <w:sz w:val="15"/>
                <w:szCs w:val="15"/>
                <w:b w:val="1"/>
                <w:bCs w:val="1"/>
                <w:color w:val="auto"/>
                <w:w w:val="91"/>
              </w:rPr>
              <w:t>Corporate Items and</w:t>
            </w:r>
          </w:p>
        </w:tc>
        <w:tc>
          <w:tcPr>
            <w:tcW w:w="160" w:type="dxa"/>
            <w:vAlign w:val="bottom"/>
          </w:tcPr>
          <w:p>
            <w:pPr>
              <w:spacing w:after="0"/>
              <w:rPr>
                <w:sz w:val="11"/>
                <w:szCs w:val="11"/>
                <w:color w:val="auto"/>
              </w:rPr>
            </w:pPr>
          </w:p>
        </w:tc>
        <w:tc>
          <w:tcPr>
            <w:tcW w:w="1460" w:type="dxa"/>
            <w:vAlign w:val="bottom"/>
            <w:gridSpan w:val="2"/>
          </w:tcPr>
          <w:p>
            <w:pPr>
              <w:ind w:left="260"/>
              <w:spacing w:after="0" w:line="136"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1"/>
                <w:szCs w:val="11"/>
                <w:color w:val="auto"/>
              </w:rPr>
            </w:pPr>
          </w:p>
        </w:tc>
        <w:tc>
          <w:tcPr>
            <w:tcW w:w="1400" w:type="dxa"/>
            <w:vAlign w:val="bottom"/>
          </w:tcPr>
          <w:p>
            <w:pPr>
              <w:jc w:val="right"/>
              <w:ind w:right="106"/>
              <w:spacing w:after="0" w:line="136"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6"/>
              </w:rPr>
              <w:t>Eliminations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205,431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206,585</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(13,032)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18,067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5,035</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 (1)</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59,702</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Other revenue,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9,947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11,779</w:t>
            </w:r>
          </w:p>
        </w:tc>
        <w:tc>
          <w:tcPr>
            <w:tcW w:w="0" w:type="dxa"/>
            <w:vAlign w:val="bottom"/>
          </w:tcPr>
          <w:p>
            <w:pPr>
              <w:spacing w:after="0"/>
              <w:rPr>
                <w:sz w:val="1"/>
                <w:szCs w:val="1"/>
                <w:color w:val="auto"/>
              </w:rPr>
            </w:pPr>
          </w:p>
        </w:tc>
      </w:tr>
      <w:tr>
        <w:trPr>
          <w:trHeight w:val="181"/>
        </w:trPr>
        <w:tc>
          <w:tcPr>
            <w:tcW w:w="3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224,257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58,773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283,101</w:t>
            </w: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 (1)</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(6,320)</w:t>
            </w:r>
          </w:p>
        </w:tc>
        <w:tc>
          <w:tcPr>
            <w:tcW w:w="0" w:type="dxa"/>
            <w:vAlign w:val="bottom"/>
          </w:tcPr>
          <w:p>
            <w:pPr>
              <w:spacing w:after="0"/>
              <w:rPr>
                <w:sz w:val="1"/>
                <w:szCs w:val="1"/>
                <w:color w:val="auto"/>
              </w:rPr>
            </w:pPr>
          </w:p>
        </w:tc>
      </w:tr>
      <w:tr>
        <w:trPr>
          <w:trHeight w:val="89"/>
        </w:trPr>
        <w:tc>
          <w:tcPr>
            <w:tcW w:w="3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145,436</w:t>
            </w:r>
          </w:p>
        </w:tc>
        <w:tc>
          <w:tcPr>
            <w:tcW w:w="0" w:type="dxa"/>
            <w:vAlign w:val="bottom"/>
          </w:tcPr>
          <w:p>
            <w:pPr>
              <w:spacing w:after="0"/>
              <w:rPr>
                <w:sz w:val="1"/>
                <w:szCs w:val="1"/>
                <w:color w:val="auto"/>
              </w:rPr>
            </w:pPr>
          </w:p>
        </w:tc>
      </w:tr>
      <w:tr>
        <w:trPr>
          <w:trHeight w:val="89"/>
        </w:trPr>
        <w:tc>
          <w:tcPr>
            <w:tcW w:w="3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2,416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5,348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7,869</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(40,623)</w:t>
            </w: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Pledged MSR liability expense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(91,160)</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w:t>
            </w:r>
          </w:p>
        </w:tc>
        <w:tc>
          <w:tcPr>
            <w:tcW w:w="0" w:type="dxa"/>
            <w:vAlign w:val="bottom"/>
          </w:tcPr>
          <w:p>
            <w:pPr>
              <w:spacing w:after="0"/>
              <w:rPr>
                <w:sz w:val="1"/>
                <w:szCs w:val="1"/>
                <w:color w:val="auto"/>
              </w:rPr>
            </w:pPr>
          </w:p>
        </w:tc>
      </w:tr>
      <w:tr>
        <w:trPr>
          <w:trHeight w:val="180"/>
        </w:trPr>
        <w:tc>
          <w:tcPr>
            <w:tcW w:w="324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(116,239)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(121,082)</w:t>
            </w:r>
          </w:p>
        </w:tc>
        <w:tc>
          <w:tcPr>
            <w:tcW w:w="0" w:type="dxa"/>
            <w:vAlign w:val="bottom"/>
          </w:tcPr>
          <w:p>
            <w:pPr>
              <w:spacing w:after="0"/>
              <w:rPr>
                <w:sz w:val="1"/>
                <w:szCs w:val="1"/>
                <w:color w:val="auto"/>
              </w:rPr>
            </w:pPr>
          </w:p>
        </w:tc>
      </w:tr>
      <w:tr>
        <w:trPr>
          <w:trHeight w:val="69"/>
        </w:trPr>
        <w:tc>
          <w:tcPr>
            <w:tcW w:w="32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bottom w:val="single" w:sz="8" w:color="auto"/>
            </w:tcBorders>
            <w:shd w:val="clear" w:color="auto" w:fill="CCEEFF"/>
          </w:tcPr>
          <w:p>
            <w:pPr>
              <w:spacing w:after="0"/>
              <w:rPr>
                <w:sz w:val="6"/>
                <w:szCs w:val="6"/>
                <w:color w:val="auto"/>
              </w:rPr>
            </w:pPr>
          </w:p>
        </w:tc>
        <w:tc>
          <w:tcPr>
            <w:tcW w:w="1260" w:type="dxa"/>
            <w:vAlign w:val="bottom"/>
            <w:tcBorders>
              <w:top w:val="single" w:sz="8" w:color="auto"/>
              <w:bottom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bottom w:val="single" w:sz="8" w:color="auto"/>
            </w:tcBorders>
            <w:shd w:val="clear" w:color="auto" w:fill="CCEEFF"/>
          </w:tcPr>
          <w:p>
            <w:pPr>
              <w:spacing w:after="0"/>
              <w:rPr>
                <w:sz w:val="6"/>
                <w:szCs w:val="6"/>
                <w:color w:val="auto"/>
              </w:rPr>
            </w:pPr>
          </w:p>
        </w:tc>
        <w:tc>
          <w:tcPr>
            <w:tcW w:w="1300" w:type="dxa"/>
            <w:vAlign w:val="bottom"/>
            <w:tcBorders>
              <w:top w:val="single" w:sz="8" w:color="auto"/>
              <w:bottom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bottom w:val="single" w:sz="8" w:color="auto"/>
            </w:tcBorders>
            <w:shd w:val="clear" w:color="auto" w:fill="CCEEFF"/>
          </w:tcPr>
          <w:p>
            <w:pPr>
              <w:spacing w:after="0"/>
              <w:rPr>
                <w:sz w:val="6"/>
                <w:szCs w:val="6"/>
                <w:color w:val="auto"/>
              </w:rPr>
            </w:pPr>
          </w:p>
        </w:tc>
        <w:tc>
          <w:tcPr>
            <w:tcW w:w="1440" w:type="dxa"/>
            <w:vAlign w:val="bottom"/>
            <w:tcBorders>
              <w:top w:val="single" w:sz="8" w:color="auto"/>
              <w:bottom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bottom w:val="single" w:sz="8" w:color="auto"/>
            </w:tcBorders>
            <w:shd w:val="clear" w:color="auto" w:fill="CCEEFF"/>
          </w:tcPr>
          <w:p>
            <w:pPr>
              <w:spacing w:after="0"/>
              <w:rPr>
                <w:sz w:val="6"/>
                <w:szCs w:val="6"/>
                <w:color w:val="auto"/>
              </w:rPr>
            </w:pPr>
          </w:p>
        </w:tc>
        <w:tc>
          <w:tcPr>
            <w:tcW w:w="1360" w:type="dxa"/>
            <w:vAlign w:val="bottom"/>
            <w:tcBorders>
              <w:top w:val="single" w:sz="8" w:color="auto"/>
              <w:bottom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bottom w:val="single" w:sz="8" w:color="auto"/>
            </w:tcBorders>
            <w:shd w:val="clear" w:color="auto" w:fill="CCEEFF"/>
          </w:tcPr>
          <w:p>
            <w:pPr>
              <w:spacing w:after="0"/>
              <w:rPr>
                <w:sz w:val="6"/>
                <w:szCs w:val="6"/>
                <w:color w:val="auto"/>
              </w:rPr>
            </w:pPr>
          </w:p>
        </w:tc>
        <w:tc>
          <w:tcPr>
            <w:tcW w:w="1400" w:type="dxa"/>
            <w:vAlign w:val="bottom"/>
            <w:tcBorders>
              <w:top w:val="single" w:sz="8" w:color="auto"/>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2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16,833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(23,162)</w:t>
            </w:r>
          </w:p>
        </w:tc>
        <w:tc>
          <w:tcPr>
            <w:tcW w:w="1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10,263</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13"/>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86"/>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5"/>
                <w:szCs w:val="15"/>
                <w:b w:val="1"/>
                <w:bCs w:val="1"/>
                <w:color w:val="auto"/>
                <w:w w:val="90"/>
              </w:rPr>
              <w:t>Three Months Ended September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80" w:type="dxa"/>
            <w:vAlign w:val="bottom"/>
          </w:tcPr>
          <w:p>
            <w:pPr>
              <w:spacing w:after="0"/>
              <w:rPr>
                <w:sz w:val="11"/>
                <w:szCs w:val="11"/>
                <w:color w:val="auto"/>
              </w:rPr>
            </w:pPr>
          </w:p>
        </w:tc>
        <w:tc>
          <w:tcPr>
            <w:tcW w:w="124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center"/>
              <w:ind w:right="146"/>
              <w:spacing w:after="0"/>
              <w:rPr>
                <w:sz w:val="20"/>
                <w:szCs w:val="20"/>
                <w:color w:val="auto"/>
              </w:rPr>
            </w:pPr>
            <w:r>
              <w:rPr>
                <w:rFonts w:ascii="Arial" w:cs="Arial" w:eastAsia="Arial" w:hAnsi="Arial"/>
                <w:sz w:val="15"/>
                <w:szCs w:val="15"/>
                <w:b w:val="1"/>
                <w:bCs w:val="1"/>
                <w:color w:val="auto"/>
                <w:w w:val="90"/>
              </w:rPr>
              <w:t>Originations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6" w:lineRule="exact"/>
              <w:rPr>
                <w:sz w:val="20"/>
                <w:szCs w:val="20"/>
                <w:color w:val="auto"/>
              </w:rPr>
            </w:pPr>
            <w:r>
              <w:rPr>
                <w:rFonts w:ascii="Arial" w:cs="Arial" w:eastAsia="Arial" w:hAnsi="Arial"/>
                <w:sz w:val="15"/>
                <w:szCs w:val="15"/>
                <w:b w:val="1"/>
                <w:bCs w:val="1"/>
                <w:color w:val="auto"/>
                <w:w w:val="90"/>
              </w:rPr>
              <w:t>Corporate Items and</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6" w:lineRule="exact"/>
              <w:rPr>
                <w:sz w:val="20"/>
                <w:szCs w:val="20"/>
                <w:color w:val="auto"/>
              </w:rPr>
            </w:pPr>
            <w:r>
              <w:rPr>
                <w:rFonts w:ascii="Arial" w:cs="Arial" w:eastAsia="Arial" w:hAnsi="Arial"/>
                <w:sz w:val="15"/>
                <w:szCs w:val="15"/>
                <w:b w:val="1"/>
                <w:bCs w:val="1"/>
                <w:color w:val="auto"/>
                <w:w w:val="92"/>
              </w:rPr>
              <w:t>Corporate</w:t>
            </w:r>
          </w:p>
        </w:tc>
        <w:tc>
          <w:tcPr>
            <w:tcW w:w="120" w:type="dxa"/>
            <w:vAlign w:val="bottom"/>
          </w:tcPr>
          <w:p>
            <w:pPr>
              <w:spacing w:after="0"/>
              <w:rPr>
                <w:sz w:val="11"/>
                <w:szCs w:val="11"/>
                <w:color w:val="auto"/>
              </w:rPr>
            </w:pPr>
          </w:p>
        </w:tc>
        <w:tc>
          <w:tcPr>
            <w:tcW w:w="140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82"/>
              </w:rPr>
              <w:t>Business Segments</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Eliminations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181,722</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15,615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14,499</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45,886</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Other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6,928</w:t>
            </w:r>
          </w:p>
        </w:tc>
        <w:tc>
          <w:tcPr>
            <w:tcW w:w="0" w:type="dxa"/>
            <w:vAlign w:val="bottom"/>
          </w:tcPr>
          <w:p>
            <w:pPr>
              <w:spacing w:after="0"/>
              <w:rPr>
                <w:sz w:val="1"/>
                <w:szCs w:val="1"/>
                <w:color w:val="auto"/>
              </w:rPr>
            </w:pPr>
          </w:p>
        </w:tc>
      </w:tr>
      <w:tr>
        <w:trPr>
          <w:trHeight w:val="181"/>
        </w:trPr>
        <w:tc>
          <w:tcPr>
            <w:tcW w:w="3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185,434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54,213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249,035</w:t>
            </w: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(33,814)</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149,522</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3,801</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(26,815)</w:t>
            </w: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Pledged MSR liability expense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(57,434)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(57,404)</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180"/>
        </w:trPr>
        <w:tc>
          <w:tcPr>
            <w:tcW w:w="324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(75,798)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(77,073)</w:t>
            </w:r>
          </w:p>
        </w:tc>
        <w:tc>
          <w:tcPr>
            <w:tcW w:w="0" w:type="dxa"/>
            <w:vAlign w:val="bottom"/>
          </w:tcPr>
          <w:p>
            <w:pPr>
              <w:spacing w:after="0"/>
              <w:rPr>
                <w:sz w:val="1"/>
                <w:szCs w:val="1"/>
                <w:color w:val="auto"/>
              </w:rPr>
            </w:pPr>
          </w:p>
        </w:tc>
      </w:tr>
      <w:tr>
        <w:trPr>
          <w:trHeight w:val="103"/>
        </w:trPr>
        <w:tc>
          <w:tcPr>
            <w:tcW w:w="32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bottom w:val="single" w:sz="8" w:color="auto"/>
            </w:tcBorders>
            <w:shd w:val="clear" w:color="auto" w:fill="CCEEFF"/>
          </w:tcPr>
          <w:p>
            <w:pPr>
              <w:spacing w:after="0"/>
              <w:rPr>
                <w:sz w:val="8"/>
                <w:szCs w:val="8"/>
                <w:color w:val="auto"/>
              </w:rPr>
            </w:pPr>
          </w:p>
        </w:tc>
        <w:tc>
          <w:tcPr>
            <w:tcW w:w="124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spacing w:after="0"/>
              <w:rPr>
                <w:sz w:val="8"/>
                <w:szCs w:val="8"/>
                <w:color w:val="auto"/>
              </w:rPr>
            </w:pPr>
          </w:p>
        </w:tc>
        <w:tc>
          <w:tcPr>
            <w:tcW w:w="130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142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136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1400" w:type="dxa"/>
            <w:vAlign w:val="bottom"/>
            <w:tcBorders>
              <w:top w:val="single" w:sz="8" w:color="auto"/>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260"/>
              <w:spacing w:after="0"/>
              <w:rPr>
                <w:sz w:val="20"/>
                <w:szCs w:val="20"/>
                <w:color w:val="auto"/>
              </w:rPr>
            </w:pPr>
            <w:r>
              <w:rPr>
                <w:rFonts w:ascii="Arial" w:cs="Arial" w:eastAsia="Arial" w:hAnsi="Arial"/>
                <w:sz w:val="15"/>
                <w:szCs w:val="15"/>
                <w:color w:val="auto"/>
              </w:rPr>
              <w:t>Income (loss) before income taxes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(13,354)</w:t>
            </w:r>
          </w:p>
        </w:tc>
        <w:tc>
          <w:tcPr>
            <w:tcW w:w="100" w:type="dxa"/>
            <w:vAlign w:val="bottom"/>
          </w:tcPr>
          <w:p>
            <w:pPr>
              <w:spacing w:after="0"/>
              <w:rPr>
                <w:sz w:val="15"/>
                <w:szCs w:val="15"/>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36,056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(34,076)</w:t>
            </w:r>
          </w:p>
        </w:tc>
        <w:tc>
          <w:tcPr>
            <w:tcW w:w="100" w:type="dxa"/>
            <w:vAlign w:val="bottom"/>
          </w:tcPr>
          <w:p>
            <w:pPr>
              <w:spacing w:after="0"/>
              <w:rPr>
                <w:sz w:val="15"/>
                <w:szCs w:val="15"/>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(11,374)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5"/>
                <w:szCs w:val="15"/>
                <w:b w:val="1"/>
                <w:bCs w:val="1"/>
                <w:color w:val="auto"/>
                <w:w w:val="90"/>
              </w:rPr>
              <w:t>Nine Months Ended September 30, 2021</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80" w:type="dxa"/>
            <w:vAlign w:val="bottom"/>
          </w:tcPr>
          <w:p>
            <w:pPr>
              <w:spacing w:after="0"/>
              <w:rPr>
                <w:sz w:val="11"/>
                <w:szCs w:val="11"/>
                <w:color w:val="auto"/>
              </w:rPr>
            </w:pPr>
          </w:p>
        </w:tc>
        <w:tc>
          <w:tcPr>
            <w:tcW w:w="124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center"/>
              <w:ind w:right="146"/>
              <w:spacing w:after="0"/>
              <w:rPr>
                <w:sz w:val="20"/>
                <w:szCs w:val="20"/>
                <w:color w:val="auto"/>
              </w:rPr>
            </w:pPr>
            <w:r>
              <w:rPr>
                <w:rFonts w:ascii="Arial" w:cs="Arial" w:eastAsia="Arial" w:hAnsi="Arial"/>
                <w:sz w:val="15"/>
                <w:szCs w:val="15"/>
                <w:b w:val="1"/>
                <w:bCs w:val="1"/>
                <w:color w:val="auto"/>
                <w:w w:val="90"/>
              </w:rPr>
              <w:t>Originations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6" w:lineRule="exact"/>
              <w:rPr>
                <w:sz w:val="20"/>
                <w:szCs w:val="20"/>
                <w:color w:val="auto"/>
              </w:rPr>
            </w:pPr>
            <w:r>
              <w:rPr>
                <w:rFonts w:ascii="Arial" w:cs="Arial" w:eastAsia="Arial" w:hAnsi="Arial"/>
                <w:sz w:val="15"/>
                <w:szCs w:val="15"/>
                <w:b w:val="1"/>
                <w:bCs w:val="1"/>
                <w:color w:val="auto"/>
                <w:w w:val="90"/>
              </w:rPr>
              <w:t>Corporate Items and</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6" w:lineRule="exact"/>
              <w:rPr>
                <w:sz w:val="20"/>
                <w:szCs w:val="20"/>
                <w:color w:val="auto"/>
              </w:rPr>
            </w:pPr>
            <w:r>
              <w:rPr>
                <w:rFonts w:ascii="Arial" w:cs="Arial" w:eastAsia="Arial" w:hAnsi="Arial"/>
                <w:sz w:val="15"/>
                <w:szCs w:val="15"/>
                <w:b w:val="1"/>
                <w:bCs w:val="1"/>
                <w:color w:val="auto"/>
                <w:w w:val="92"/>
              </w:rPr>
              <w:t>Corporate</w:t>
            </w:r>
          </w:p>
        </w:tc>
        <w:tc>
          <w:tcPr>
            <w:tcW w:w="120" w:type="dxa"/>
            <w:vAlign w:val="bottom"/>
          </w:tcPr>
          <w:p>
            <w:pPr>
              <w:spacing w:after="0"/>
              <w:rPr>
                <w:sz w:val="11"/>
                <w:szCs w:val="11"/>
                <w:color w:val="auto"/>
              </w:rPr>
            </w:pPr>
          </w:p>
        </w:tc>
        <w:tc>
          <w:tcPr>
            <w:tcW w:w="140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82"/>
              </w:rPr>
              <w:t>Business Segments</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Eliminations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556,927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562,764</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56,162</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108,136</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Other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29,078</w:t>
            </w:r>
          </w:p>
        </w:tc>
        <w:tc>
          <w:tcPr>
            <w:tcW w:w="0" w:type="dxa"/>
            <w:vAlign w:val="bottom"/>
          </w:tcPr>
          <w:p>
            <w:pPr>
              <w:spacing w:after="0"/>
              <w:rPr>
                <w:sz w:val="1"/>
                <w:szCs w:val="1"/>
                <w:color w:val="auto"/>
              </w:rPr>
            </w:pPr>
          </w:p>
        </w:tc>
      </w:tr>
      <w:tr>
        <w:trPr>
          <w:trHeight w:val="181"/>
        </w:trPr>
        <w:tc>
          <w:tcPr>
            <w:tcW w:w="3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596,924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180,431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756,140</w:t>
            </w: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(57,562)</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247,228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434,873</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10,776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15,993</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(102,591)</w:t>
            </w: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2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(15,458)</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Pledged MSR liability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(168,820)</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6,836</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expense,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(264,040)</w:t>
            </w:r>
          </w:p>
        </w:tc>
        <w:tc>
          <w:tcPr>
            <w:tcW w:w="0" w:type="dxa"/>
            <w:vAlign w:val="bottom"/>
          </w:tcPr>
          <w:p>
            <w:pPr>
              <w:spacing w:after="0"/>
              <w:rPr>
                <w:sz w:val="1"/>
                <w:szCs w:val="1"/>
                <w:color w:val="auto"/>
              </w:rPr>
            </w:pPr>
          </w:p>
        </w:tc>
      </w:tr>
      <w:tr>
        <w:trPr>
          <w:trHeight w:val="114"/>
        </w:trPr>
        <w:tc>
          <w:tcPr>
            <w:tcW w:w="324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12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30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42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3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40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(loss) before income taxes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46"/>
              <w:spacing w:after="0"/>
              <w:rPr>
                <w:sz w:val="20"/>
                <w:szCs w:val="20"/>
                <w:color w:val="auto"/>
              </w:rPr>
            </w:pPr>
            <w:r>
              <w:rPr>
                <w:rFonts w:ascii="Arial" w:cs="Arial" w:eastAsia="Arial" w:hAnsi="Arial"/>
                <w:sz w:val="15"/>
                <w:szCs w:val="15"/>
                <w:color w:val="auto"/>
                <w:w w:val="95"/>
              </w:rPr>
              <w:t>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52" w:name="page53"/>
    <w:bookmarkEnd w:id="52"/>
    <w:tbl>
      <w:tblPr>
        <w:tblLayout w:type="fixed"/>
        <w:tblInd w:w="8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5"/>
                <w:szCs w:val="15"/>
                <w:b w:val="1"/>
                <w:bCs w:val="1"/>
                <w:color w:val="auto"/>
                <w:w w:val="90"/>
              </w:rPr>
              <w:t>Nine Months Ended September 30, 2020</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1"/>
                <w:szCs w:val="11"/>
                <w:color w:val="auto"/>
              </w:rPr>
            </w:pPr>
          </w:p>
        </w:tc>
        <w:tc>
          <w:tcPr>
            <w:tcW w:w="126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Originations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6" w:lineRule="exact"/>
              <w:rPr>
                <w:sz w:val="20"/>
                <w:szCs w:val="20"/>
                <w:color w:val="auto"/>
              </w:rPr>
            </w:pPr>
            <w:r>
              <w:rPr>
                <w:rFonts w:ascii="Arial" w:cs="Arial" w:eastAsia="Arial" w:hAnsi="Arial"/>
                <w:sz w:val="15"/>
                <w:szCs w:val="15"/>
                <w:b w:val="1"/>
                <w:bCs w:val="1"/>
                <w:color w:val="auto"/>
                <w:w w:val="91"/>
              </w:rPr>
              <w:t>Corporate Items and</w:t>
            </w:r>
          </w:p>
        </w:tc>
        <w:tc>
          <w:tcPr>
            <w:tcW w:w="160" w:type="dxa"/>
            <w:vAlign w:val="bottom"/>
          </w:tcPr>
          <w:p>
            <w:pPr>
              <w:spacing w:after="0"/>
              <w:rPr>
                <w:sz w:val="11"/>
                <w:szCs w:val="11"/>
                <w:color w:val="auto"/>
              </w:rPr>
            </w:pPr>
          </w:p>
        </w:tc>
        <w:tc>
          <w:tcPr>
            <w:tcW w:w="1460" w:type="dxa"/>
            <w:vAlign w:val="bottom"/>
            <w:gridSpan w:val="2"/>
          </w:tcPr>
          <w:p>
            <w:pPr>
              <w:ind w:left="260"/>
              <w:spacing w:after="0" w:line="136"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1"/>
                <w:szCs w:val="11"/>
                <w:color w:val="auto"/>
              </w:rPr>
            </w:pPr>
          </w:p>
        </w:tc>
        <w:tc>
          <w:tcPr>
            <w:tcW w:w="1400" w:type="dxa"/>
            <w:vAlign w:val="bottom"/>
          </w:tcPr>
          <w:p>
            <w:pPr>
              <w:jc w:val="right"/>
              <w:ind w:right="106"/>
              <w:spacing w:after="0" w:line="136"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6"/>
              </w:rPr>
              <w:t>Eliminations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565,201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568,445</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12,837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38,218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51,055</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 (1)</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92,764</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5"/>
                <w:szCs w:val="15"/>
                <w:color w:val="auto"/>
              </w:rPr>
              <w:t>Other revenue,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5,180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17,637</w:t>
            </w:r>
          </w:p>
        </w:tc>
        <w:tc>
          <w:tcPr>
            <w:tcW w:w="0" w:type="dxa"/>
            <w:vAlign w:val="bottom"/>
          </w:tcPr>
          <w:p>
            <w:pPr>
              <w:spacing w:after="0"/>
              <w:rPr>
                <w:sz w:val="1"/>
                <w:szCs w:val="1"/>
                <w:color w:val="auto"/>
              </w:rPr>
            </w:pPr>
          </w:p>
        </w:tc>
      </w:tr>
      <w:tr>
        <w:trPr>
          <w:trHeight w:val="181"/>
        </w:trPr>
        <w:tc>
          <w:tcPr>
            <w:tcW w:w="3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592,029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124,801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729,901</w:t>
            </w: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 (1)</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(249,873)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(231,368)</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255,534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431,545</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12,762</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(83,557)</w:t>
            </w:r>
          </w:p>
        </w:tc>
        <w:tc>
          <w:tcPr>
            <w:tcW w:w="0" w:type="dxa"/>
            <w:vAlign w:val="bottom"/>
          </w:tcPr>
          <w:p>
            <w:pPr>
              <w:spacing w:after="0"/>
              <w:rPr>
                <w:sz w:val="1"/>
                <w:szCs w:val="1"/>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5"/>
                <w:szCs w:val="15"/>
                <w:color w:val="auto"/>
              </w:rPr>
              <w:t>Pledged MSR liability expense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(105,771)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(105,684)</w:t>
            </w: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4,616</w:t>
            </w:r>
          </w:p>
        </w:tc>
        <w:tc>
          <w:tcPr>
            <w:tcW w:w="0" w:type="dxa"/>
            <w:vAlign w:val="bottom"/>
          </w:tcPr>
          <w:p>
            <w:pPr>
              <w:spacing w:after="0"/>
              <w:rPr>
                <w:sz w:val="1"/>
                <w:szCs w:val="1"/>
                <w:color w:val="auto"/>
              </w:rPr>
            </w:pPr>
          </w:p>
        </w:tc>
      </w:tr>
      <w:tr>
        <w:trPr>
          <w:trHeight w:val="180"/>
        </w:trPr>
        <w:tc>
          <w:tcPr>
            <w:tcW w:w="324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(160,905)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(9,298)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(171,863)</w:t>
            </w:r>
          </w:p>
        </w:tc>
        <w:tc>
          <w:tcPr>
            <w:tcW w:w="0" w:type="dxa"/>
            <w:vAlign w:val="bottom"/>
          </w:tcPr>
          <w:p>
            <w:pPr>
              <w:spacing w:after="0"/>
              <w:rPr>
                <w:sz w:val="1"/>
                <w:szCs w:val="1"/>
                <w:color w:val="auto"/>
              </w:rPr>
            </w:pPr>
          </w:p>
        </w:tc>
      </w:tr>
      <w:tr>
        <w:trPr>
          <w:trHeight w:val="103"/>
        </w:trPr>
        <w:tc>
          <w:tcPr>
            <w:tcW w:w="32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spacing w:after="0"/>
              <w:rPr>
                <w:sz w:val="8"/>
                <w:szCs w:val="8"/>
                <w:color w:val="auto"/>
              </w:rPr>
            </w:pPr>
          </w:p>
        </w:tc>
        <w:tc>
          <w:tcPr>
            <w:tcW w:w="126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spacing w:after="0"/>
              <w:rPr>
                <w:sz w:val="8"/>
                <w:szCs w:val="8"/>
                <w:color w:val="auto"/>
              </w:rPr>
            </w:pPr>
          </w:p>
        </w:tc>
        <w:tc>
          <w:tcPr>
            <w:tcW w:w="130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144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spacing w:after="0"/>
              <w:rPr>
                <w:sz w:val="8"/>
                <w:szCs w:val="8"/>
                <w:color w:val="auto"/>
              </w:rPr>
            </w:pPr>
          </w:p>
        </w:tc>
        <w:tc>
          <w:tcPr>
            <w:tcW w:w="1360" w:type="dxa"/>
            <w:vAlign w:val="bottom"/>
            <w:tcBorders>
              <w:top w:val="single" w:sz="8" w:color="auto"/>
              <w:bottom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rPr>
                <w:sz w:val="8"/>
                <w:szCs w:val="8"/>
                <w:color w:val="auto"/>
              </w:rPr>
            </w:pPr>
          </w:p>
        </w:tc>
        <w:tc>
          <w:tcPr>
            <w:tcW w:w="1400" w:type="dxa"/>
            <w:vAlign w:val="bottom"/>
            <w:tcBorders>
              <w:top w:val="single" w:sz="8" w:color="auto"/>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6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(74,283)</w:t>
            </w:r>
          </w:p>
        </w:tc>
        <w:tc>
          <w:tcPr>
            <w:tcW w:w="10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71,149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(101,741)</w:t>
            </w:r>
          </w:p>
        </w:tc>
        <w:tc>
          <w:tcPr>
            <w:tcW w:w="1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(104,875)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60" w:right="300" w:hanging="271"/>
        <w:spacing w:after="0" w:line="285"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Corporate Eliminations for the three and nine months ended September 30, 2021 includes an inter-segment derivatives elimination of $1.5 million and $25.5 million, respectively, with a corresponding offset in MSR valuation adjustments, net; and $7.8 million for the three and nine months ended September 30,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tal Assets</w:t>
            </w:r>
          </w:p>
        </w:tc>
        <w:tc>
          <w:tcPr>
            <w:tcW w:w="1980" w:type="dxa"/>
            <w:vAlign w:val="bottom"/>
          </w:tcPr>
          <w:p>
            <w:pPr>
              <w:spacing w:after="0"/>
              <w:rPr>
                <w:sz w:val="14"/>
                <w:szCs w:val="14"/>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Servicing</w:t>
            </w:r>
          </w:p>
        </w:tc>
        <w:tc>
          <w:tcPr>
            <w:tcW w:w="1500" w:type="dxa"/>
            <w:vAlign w:val="bottom"/>
            <w:vMerge w:val="restart"/>
          </w:tcPr>
          <w:p>
            <w:pPr>
              <w:jc w:val="right"/>
              <w:ind w:right="406"/>
              <w:spacing w:after="0"/>
              <w:rPr>
                <w:sz w:val="20"/>
                <w:szCs w:val="20"/>
                <w:color w:val="auto"/>
              </w:rPr>
            </w:pPr>
            <w:r>
              <w:rPr>
                <w:rFonts w:ascii="Arial" w:cs="Arial" w:eastAsia="Arial" w:hAnsi="Arial"/>
                <w:sz w:val="15"/>
                <w:szCs w:val="15"/>
                <w:b w:val="1"/>
                <w:bCs w:val="1"/>
                <w:color w:val="auto"/>
              </w:rPr>
              <w:t>Originations</w:t>
            </w:r>
          </w:p>
        </w:tc>
        <w:tc>
          <w:tcPr>
            <w:tcW w:w="1700" w:type="dxa"/>
            <w:vAlign w:val="bottom"/>
            <w:gridSpan w:val="3"/>
          </w:tcPr>
          <w:p>
            <w:pPr>
              <w:ind w:left="40"/>
              <w:spacing w:after="0"/>
              <w:rPr>
                <w:sz w:val="20"/>
                <w:szCs w:val="20"/>
                <w:color w:val="auto"/>
              </w:rPr>
            </w:pPr>
            <w:r>
              <w:rPr>
                <w:rFonts w:ascii="Arial" w:cs="Arial" w:eastAsia="Arial" w:hAnsi="Arial"/>
                <w:sz w:val="15"/>
                <w:szCs w:val="15"/>
                <w:b w:val="1"/>
                <w:bCs w:val="1"/>
                <w:color w:val="auto"/>
              </w:rPr>
              <w:t>Corporate Items and</w:t>
            </w:r>
          </w:p>
        </w:tc>
        <w:tc>
          <w:tcPr>
            <w:tcW w:w="1480" w:type="dxa"/>
            <w:vAlign w:val="bottom"/>
          </w:tcPr>
          <w:p>
            <w:pPr>
              <w:jc w:val="right"/>
              <w:ind w:right="206"/>
              <w:spacing w:after="0"/>
              <w:rPr>
                <w:sz w:val="20"/>
                <w:szCs w:val="20"/>
                <w:color w:val="auto"/>
              </w:rPr>
            </w:pPr>
            <w:r>
              <w:rPr>
                <w:rFonts w:ascii="Arial" w:cs="Arial" w:eastAsia="Arial" w:hAnsi="Arial"/>
                <w:sz w:val="15"/>
                <w:szCs w:val="15"/>
                <w:b w:val="1"/>
                <w:bCs w:val="1"/>
                <w:color w:val="auto"/>
                <w:w w:val="82"/>
              </w:rPr>
              <w:t>Business Segments</w:t>
            </w:r>
          </w:p>
        </w:tc>
        <w:tc>
          <w:tcPr>
            <w:tcW w:w="0" w:type="dxa"/>
            <w:vAlign w:val="bottom"/>
          </w:tcPr>
          <w:p>
            <w:pPr>
              <w:spacing w:after="0"/>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560"/>
              <w:spacing w:after="0"/>
              <w:rPr>
                <w:sz w:val="20"/>
                <w:szCs w:val="20"/>
                <w:color w:val="auto"/>
              </w:rPr>
            </w:pPr>
            <w:r>
              <w:rPr>
                <w:rFonts w:ascii="Arial" w:cs="Arial" w:eastAsia="Arial" w:hAnsi="Arial"/>
                <w:sz w:val="15"/>
                <w:szCs w:val="15"/>
                <w:b w:val="1"/>
                <w:bCs w:val="1"/>
                <w:color w:val="auto"/>
              </w:rPr>
              <w:t>Other</w:t>
            </w:r>
          </w:p>
        </w:tc>
        <w:tc>
          <w:tcPr>
            <w:tcW w:w="1480" w:type="dxa"/>
            <w:vAlign w:val="bottom"/>
          </w:tcPr>
          <w:p>
            <w:pPr>
              <w:jc w:val="right"/>
              <w:ind w:right="24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September 30, 2021</w:t>
            </w:r>
          </w:p>
        </w:tc>
        <w:tc>
          <w:tcPr>
            <w:tcW w:w="198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10,790,503$</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865,011$</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384,724$</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12,040,238</w:t>
            </w:r>
          </w:p>
        </w:tc>
        <w:tc>
          <w:tcPr>
            <w:tcW w:w="0" w:type="dxa"/>
            <w:vAlign w:val="bottom"/>
          </w:tcPr>
          <w:p>
            <w:pPr>
              <w:spacing w:after="0"/>
              <w:rPr>
                <w:sz w:val="1"/>
                <w:szCs w:val="1"/>
                <w:color w:val="auto"/>
              </w:rPr>
            </w:pPr>
          </w:p>
        </w:tc>
      </w:tr>
      <w:tr>
        <w:trPr>
          <w:trHeight w:val="134"/>
        </w:trPr>
        <w:tc>
          <w:tcPr>
            <w:tcW w:w="284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19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9,847,603$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379,233$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424,291$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134"/>
        </w:trPr>
        <w:tc>
          <w:tcPr>
            <w:tcW w:w="284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September 30, 2020</w:t>
            </w:r>
          </w:p>
        </w:tc>
        <w:tc>
          <w:tcPr>
            <w:tcW w:w="19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9,516,514$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437,304$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470,033$</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10,423,851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54610</wp:posOffset>
            </wp:positionV>
            <wp:extent cx="718185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220" w:top="87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3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1120" w:type="dxa"/>
            <w:vAlign w:val="bottom"/>
          </w:tcPr>
          <w:p>
            <w:pPr>
              <w:spacing w:after="0"/>
              <w:rPr>
                <w:sz w:val="14"/>
                <w:szCs w:val="14"/>
                <w:color w:val="auto"/>
              </w:rPr>
            </w:pPr>
          </w:p>
        </w:tc>
        <w:tc>
          <w:tcPr>
            <w:tcW w:w="1280" w:type="dxa"/>
            <w:vAlign w:val="bottom"/>
            <w:vMerge w:val="restart"/>
          </w:tcPr>
          <w:p>
            <w:pPr>
              <w:jc w:val="right"/>
              <w:ind w:right="426"/>
              <w:spacing w:after="0"/>
              <w:rPr>
                <w:sz w:val="20"/>
                <w:szCs w:val="20"/>
                <w:color w:val="auto"/>
              </w:rPr>
            </w:pPr>
            <w:r>
              <w:rPr>
                <w:rFonts w:ascii="Arial" w:cs="Arial" w:eastAsia="Arial" w:hAnsi="Arial"/>
                <w:sz w:val="15"/>
                <w:szCs w:val="15"/>
                <w:b w:val="1"/>
                <w:bCs w:val="1"/>
                <w:color w:val="auto"/>
              </w:rPr>
              <w:t>Servicing</w:t>
            </w:r>
          </w:p>
        </w:tc>
        <w:tc>
          <w:tcPr>
            <w:tcW w:w="300" w:type="dxa"/>
            <w:vAlign w:val="bottom"/>
          </w:tcPr>
          <w:p>
            <w:pPr>
              <w:spacing w:after="0"/>
              <w:rPr>
                <w:sz w:val="14"/>
                <w:szCs w:val="14"/>
                <w:color w:val="auto"/>
              </w:rPr>
            </w:pPr>
          </w:p>
        </w:tc>
        <w:tc>
          <w:tcPr>
            <w:tcW w:w="134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Originations</w:t>
            </w:r>
          </w:p>
        </w:tc>
        <w:tc>
          <w:tcPr>
            <w:tcW w:w="18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Corporate Items and</w:t>
            </w:r>
          </w:p>
        </w:tc>
        <w:tc>
          <w:tcPr>
            <w:tcW w:w="20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Arial" w:cs="Arial" w:eastAsia="Arial" w:hAnsi="Arial"/>
                <w:sz w:val="15"/>
                <w:szCs w:val="15"/>
                <w:b w:val="1"/>
                <w:bCs w:val="1"/>
                <w:color w:val="auto"/>
                <w:w w:val="85"/>
              </w:rPr>
              <w:t>Business Segments</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Other</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September 30, 2021</w:t>
            </w:r>
          </w:p>
        </w:tc>
        <w:tc>
          <w:tcPr>
            <w:tcW w:w="1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137</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2,247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2,461</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129</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2,076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2,205</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September 30, 2020</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219</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4,055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4,305</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115</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1,039</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Nine Months Ended September 30, 2021</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514</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125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6,888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7,527</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388</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5,050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5,438</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Nine months ended September 30, 2020</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652</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14,644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15,398</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343</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4,992</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5,335</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20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jc w:val="both"/>
        <w:ind w:right="460" w:firstLine="268"/>
        <w:spacing w:after="0" w:line="252" w:lineRule="auto"/>
        <w:rPr>
          <w:sz w:val="20"/>
          <w:szCs w:val="20"/>
          <w:color w:val="auto"/>
        </w:rPr>
      </w:pPr>
      <w:r>
        <w:rPr>
          <w:rFonts w:ascii="Arial" w:cs="Arial" w:eastAsia="Arial" w:hAnsi="Arial"/>
          <w:sz w:val="15"/>
          <w:szCs w:val="15"/>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3" w:lineRule="exact"/>
        <w:rPr>
          <w:sz w:val="20"/>
          <w:szCs w:val="20"/>
          <w:color w:val="auto"/>
        </w:rPr>
      </w:pPr>
    </w:p>
    <w:p>
      <w:pPr>
        <w:ind w:firstLine="268"/>
        <w:spacing w:after="0" w:line="292" w:lineRule="auto"/>
        <w:rPr>
          <w:sz w:val="20"/>
          <w:szCs w:val="20"/>
          <w:color w:val="auto"/>
        </w:rPr>
      </w:pPr>
      <w:r>
        <w:rPr>
          <w:rFonts w:ascii="Arial" w:cs="Arial" w:eastAsia="Arial" w:hAnsi="Arial"/>
          <w:sz w:val="13"/>
          <w:szCs w:val="13"/>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and safeguarding of non-public personally identifiable information about our customers. These complex requirements can and do change as laws and regulations are enacted, promulgated, amended, interpreted and enforced, and the requirements applicable to our business have been changing especially rapidly in response to the COVID-19 pandemic. In particular, the CFPB promulgated certain amendments to RESPA (Regulation X) that became effective on August 31, 2021 and that impose certain additional COVID-19-related requirements with respect to loss mitigation, early intervention call requirements, and initiating new foreclosures.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47"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70" w:lineRule="exact"/>
        <w:rPr>
          <w:sz w:val="20"/>
          <w:szCs w:val="20"/>
          <w:color w:val="auto"/>
        </w:rPr>
      </w:pPr>
    </w:p>
    <w:p>
      <w:pPr>
        <w:ind w:right="120" w:firstLine="268"/>
        <w:spacing w:after="0" w:line="348" w:lineRule="auto"/>
        <w:rPr>
          <w:sz w:val="20"/>
          <w:szCs w:val="20"/>
          <w:color w:val="auto"/>
        </w:rPr>
      </w:pPr>
      <w:r>
        <w:rPr>
          <w:rFonts w:ascii="Arial" w:cs="Arial" w:eastAsia="Arial" w:hAnsi="Arial"/>
          <w:sz w:val="13"/>
          <w:szCs w:val="13"/>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54" w:name="page55"/>
    <w:bookmarkEnd w:id="54"/>
    <w:p>
      <w:pPr>
        <w:ind w:right="60"/>
        <w:spacing w:after="0" w:line="299" w:lineRule="auto"/>
        <w:rPr>
          <w:sz w:val="20"/>
          <w:szCs w:val="20"/>
          <w:color w:val="auto"/>
        </w:rPr>
      </w:pPr>
      <w:r>
        <w:rPr>
          <w:rFonts w:ascii="Arial" w:cs="Arial" w:eastAsia="Arial" w:hAnsi="Arial"/>
          <w:sz w:val="13"/>
          <w:szCs w:val="13"/>
          <w:color w:val="auto"/>
        </w:rPr>
        <w:t>completion of examinations relating to the licensee’s compliance with applicable laws and regulations. 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September 30, 2021. Our non-Agency servicing agreements also contain requirements regarding servicing practices and other matters,</w:t>
      </w:r>
    </w:p>
    <w:p>
      <w:pPr>
        <w:spacing w:after="0" w:line="2" w:lineRule="exact"/>
        <w:rPr>
          <w:sz w:val="20"/>
          <w:szCs w:val="20"/>
          <w:color w:val="auto"/>
        </w:rPr>
      </w:pPr>
    </w:p>
    <w:p>
      <w:pPr>
        <w:ind w:right="340"/>
        <w:spacing w:after="0" w:line="279" w:lineRule="auto"/>
        <w:rPr>
          <w:sz w:val="20"/>
          <w:szCs w:val="20"/>
          <w:color w:val="auto"/>
        </w:rPr>
      </w:pPr>
      <w:r>
        <w:rPr>
          <w:rFonts w:ascii="Arial" w:cs="Arial" w:eastAsia="Arial" w:hAnsi="Arial"/>
          <w:sz w:val="14"/>
          <w:szCs w:val="14"/>
          <w:color w:val="auto"/>
        </w:rPr>
        <w:t>and a failure to comply with these requirements could have a material adverse impact on our business. The most restrictive of the various net worth requirements for licensing and seller/servicer obligations referenced above is based on the UPB of assets serviced by PMC. Under the applicable formula, the required minimum net worth was $389.2 million at September 30, 2021. PMC’s net worth was $557.7 million at September 30, 2021. The most restrictive of the various liquidity requirements for licensing and seller/servicer obligations referenced above pertains to PMC and was $48.2 million at September 30, 2021. PMC’s liquid assets were $216.6 million at September 30, 2021.</w:t>
      </w:r>
    </w:p>
    <w:p>
      <w:pPr>
        <w:spacing w:after="0" w:line="54"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We face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 or with applicable federal, state, local and foreign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 matters and comply with the terms of any resulting resolutions, (vii) suspension or termination of our approved agency seller/servicer status, (viii) inability to raise capital or otherwise fund our operations and (ix) inability to execute on our business strategy, which could have a material adverse impact on our business, reputation, results of operations, liquidity and financial condition.</w:t>
      </w:r>
    </w:p>
    <w:p>
      <w:pPr>
        <w:spacing w:after="0" w:line="73" w:lineRule="exact"/>
        <w:rPr>
          <w:sz w:val="20"/>
          <w:szCs w:val="20"/>
          <w:color w:val="auto"/>
        </w:rPr>
      </w:pPr>
    </w:p>
    <w:p>
      <w:pPr>
        <w:ind w:right="40" w:firstLine="268"/>
        <w:spacing w:after="0" w:line="269" w:lineRule="auto"/>
        <w:rPr>
          <w:sz w:val="20"/>
          <w:szCs w:val="20"/>
          <w:color w:val="auto"/>
        </w:rPr>
      </w:pPr>
      <w:r>
        <w:rPr>
          <w:rFonts w:ascii="Arial" w:cs="Arial" w:eastAsia="Arial" w:hAnsi="Arial"/>
          <w:sz w:val="14"/>
          <w:szCs w:val="14"/>
          <w:i w:val="1"/>
          <w:iCs w:val="1"/>
          <w:color w:val="auto"/>
        </w:rPr>
        <w:t xml:space="preserve">New York Department of Financial Services (NY DFS). </w:t>
      </w:r>
      <w:r>
        <w:rPr>
          <w:rFonts w:ascii="Arial" w:cs="Arial" w:eastAsia="Arial" w:hAnsi="Arial"/>
          <w:sz w:val="14"/>
          <w:szCs w:val="14"/>
          <w:color w:val="auto"/>
        </w:rPr>
        <w:t>We operate pursuant to certain regulatory requirements with the NY DFS, including obligations arising under a consent order</w:t>
      </w:r>
      <w:r>
        <w:rPr>
          <w:rFonts w:ascii="Arial" w:cs="Arial" w:eastAsia="Arial" w:hAnsi="Arial"/>
          <w:sz w:val="14"/>
          <w:szCs w:val="14"/>
          <w:i w:val="1"/>
          <w:iCs w:val="1"/>
          <w:color w:val="auto"/>
        </w:rPr>
        <w:t xml:space="preserve"> </w:t>
      </w:r>
      <w:r>
        <w:rPr>
          <w:rFonts w:ascii="Arial" w:cs="Arial" w:eastAsia="Arial" w:hAnsi="Arial"/>
          <w:sz w:val="14"/>
          <w:szCs w:val="14"/>
          <w:color w:val="auto"/>
        </w:rPr>
        <w:t>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66"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i w:val="1"/>
          <w:iCs w:val="1"/>
          <w:color w:val="auto"/>
        </w:rPr>
        <w:t>California Department of Financial Protection and Innovation (CA DFPI)</w:t>
      </w:r>
      <w:r>
        <w:rPr>
          <w:rFonts w:ascii="Arial" w:cs="Arial" w:eastAsia="Arial" w:hAnsi="Arial"/>
          <w:sz w:val="14"/>
          <w:szCs w:val="14"/>
          <w:color w:val="auto"/>
        </w:rPr>
        <w:t>. In January 2015 and February 2017, Ocwen Loan Servicing, LLC (OLS) entered into consent orders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DFPI in order to resolve a legacy PHH examination finding and, in conjunction therewith, agreed to pay $62,000 (sixty-two thousand dollars) in penalties. We continue to work with the CA DFPI to address matters they raise with us as well as to fulfill our commitments under the consent order.</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Unfunded Lending Commitments</w:t>
      </w:r>
    </w:p>
    <w:p>
      <w:pPr>
        <w:spacing w:after="0" w:line="99" w:lineRule="exact"/>
        <w:rPr>
          <w:sz w:val="20"/>
          <w:szCs w:val="20"/>
          <w:color w:val="auto"/>
        </w:rPr>
      </w:pPr>
    </w:p>
    <w:p>
      <w:pPr>
        <w:ind w:firstLine="268"/>
        <w:spacing w:after="0" w:line="307" w:lineRule="auto"/>
        <w:rPr>
          <w:sz w:val="20"/>
          <w:szCs w:val="20"/>
          <w:color w:val="auto"/>
        </w:rPr>
      </w:pPr>
      <w:r>
        <w:rPr>
          <w:rFonts w:ascii="Arial" w:cs="Arial" w:eastAsia="Arial" w:hAnsi="Arial"/>
          <w:sz w:val="13"/>
          <w:szCs w:val="13"/>
          <w:color w:val="auto"/>
        </w:rPr>
        <w:t>We have originated floating-rate reverse mortgage loans under which the borrowers have additional borrowing capacity of $2.1 billion at September 30, 2021. This additional borrowing capacity is available on a scheduled or unscheduled payment basis. During the nine months ended September 30, 2021, we funded $147.6 million out of the $2.0 billion borrowing capacity as of December 31, 2020. We also had short-term commitments to lend $1.2 billion and $80.5 million in connection with our forward and reverse mortgage loan IRLCs, respectively, outstanding at September 30, 2021. We finance originated and purchased forward and reverse mortgage loans with repurchase and participation agreements, referred to as warehouse lines.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HMBS Issuer Obligations</w:t>
      </w:r>
    </w:p>
    <w:p>
      <w:pPr>
        <w:spacing w:after="0" w:line="99"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color w:val="auto"/>
        </w:rPr>
        <w:t>As an HMBS issuer, we are required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 payments).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Activity with regard to HMBS repurchases, primarily MCA repurchases, are as follows:</w:t>
      </w:r>
    </w:p>
    <w:p>
      <w:pPr>
        <w:spacing w:after="0" w:line="203" w:lineRule="exact"/>
        <w:rPr>
          <w:sz w:val="20"/>
          <w:szCs w:val="20"/>
          <w:color w:val="auto"/>
        </w:rPr>
      </w:pPr>
    </w:p>
    <w:p>
      <w:pPr>
        <w:ind w:left="5460"/>
        <w:spacing w:after="0"/>
        <w:rPr>
          <w:sz w:val="20"/>
          <w:szCs w:val="20"/>
          <w:color w:val="auto"/>
        </w:rPr>
      </w:pPr>
      <w:r>
        <w:rPr>
          <w:rFonts w:ascii="Arial" w:cs="Arial" w:eastAsia="Arial" w:hAnsi="Arial"/>
          <w:sz w:val="15"/>
          <w:szCs w:val="15"/>
          <w:b w:val="1"/>
          <w:bCs w:val="1"/>
          <w:color w:val="auto"/>
        </w:rPr>
        <w:t>Nine Months Ended September 30, 2021</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Active</w:t>
            </w: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Inactive</w:t>
            </w:r>
          </w:p>
        </w:tc>
        <w:tc>
          <w:tcPr>
            <w:tcW w:w="1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3"/>
          </w:tcPr>
          <w:p>
            <w:pPr>
              <w:jc w:val="right"/>
              <w:ind w:right="86"/>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top w:val="single" w:sz="8" w:color="auto"/>
              <w:bottom w:val="single" w:sz="8" w:color="auto"/>
            </w:tcBorders>
          </w:tcPr>
          <w:p>
            <w:pPr>
              <w:spacing w:after="0"/>
              <w:rPr>
                <w:sz w:val="15"/>
                <w:szCs w:val="15"/>
                <w:color w:val="auto"/>
              </w:rPr>
            </w:pPr>
          </w:p>
        </w:tc>
      </w:tr>
      <w:tr>
        <w:trPr>
          <w:trHeight w:val="181"/>
        </w:trPr>
        <w:tc>
          <w:tcPr>
            <w:tcW w:w="2200" w:type="dxa"/>
            <w:vAlign w:val="bottom"/>
          </w:tcPr>
          <w:p>
            <w:pPr>
              <w:spacing w:after="0"/>
              <w:rPr>
                <w:sz w:val="15"/>
                <w:szCs w:val="15"/>
                <w:color w:val="auto"/>
              </w:rPr>
            </w:pPr>
          </w:p>
        </w:tc>
        <w:tc>
          <w:tcPr>
            <w:tcW w:w="1020" w:type="dxa"/>
            <w:vAlign w:val="bottom"/>
          </w:tcPr>
          <w:p>
            <w:pPr>
              <w:ind w:left="440"/>
              <w:spacing w:after="0"/>
              <w:rPr>
                <w:sz w:val="20"/>
                <w:szCs w:val="20"/>
                <w:color w:val="auto"/>
              </w:rPr>
            </w:pPr>
            <w:r>
              <w:rPr>
                <w:rFonts w:ascii="Arial" w:cs="Arial" w:eastAsia="Arial" w:hAnsi="Arial"/>
                <w:sz w:val="15"/>
                <w:szCs w:val="15"/>
                <w:b w:val="1"/>
                <w:bCs w:val="1"/>
                <w:color w:val="auto"/>
                <w:w w:val="98"/>
              </w:rPr>
              <w:t>Number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386"/>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00" w:type="dxa"/>
            <w:vAlign w:val="bottom"/>
          </w:tcPr>
          <w:p>
            <w:pPr>
              <w:jc w:val="right"/>
              <w:ind w:right="386"/>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Amount</w:t>
            </w:r>
          </w:p>
        </w:tc>
      </w:tr>
      <w:tr>
        <w:trPr>
          <w:trHeight w:val="181"/>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29,852</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56,449</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86,301</w:t>
            </w:r>
          </w:p>
        </w:tc>
      </w:tr>
      <w:tr>
        <w:trPr>
          <w:trHeight w:val="189"/>
        </w:trPr>
        <w:tc>
          <w:tcPr>
            <w:tcW w:w="3220" w:type="dxa"/>
            <w:vAlign w:val="bottom"/>
            <w:gridSpan w:val="2"/>
          </w:tcPr>
          <w:p>
            <w:pPr>
              <w:ind w:left="120"/>
              <w:spacing w:after="0"/>
              <w:rPr>
                <w:sz w:val="20"/>
                <w:szCs w:val="20"/>
                <w:color w:val="auto"/>
              </w:rPr>
            </w:pPr>
            <w:r>
              <w:rPr>
                <w:rFonts w:ascii="Arial" w:cs="Arial" w:eastAsia="Arial" w:hAnsi="Arial"/>
                <w:sz w:val="15"/>
                <w:szCs w:val="15"/>
                <w:color w:val="auto"/>
              </w:rPr>
              <w:t>Additions</w:t>
            </w:r>
          </w:p>
        </w:tc>
        <w:tc>
          <w:tcPr>
            <w:tcW w:w="400" w:type="dxa"/>
            <w:vAlign w:val="bottom"/>
          </w:tcPr>
          <w:p>
            <w:pPr>
              <w:jc w:val="right"/>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57,684</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41,956</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99,640</w:t>
            </w:r>
          </w:p>
        </w:tc>
      </w:tr>
      <w:tr>
        <w:trPr>
          <w:trHeight w:val="19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Recoveries, net (1)</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(50,748)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(68,992)</w:t>
            </w:r>
          </w:p>
        </w:tc>
      </w:tr>
      <w:tr>
        <w:trPr>
          <w:trHeight w:val="189"/>
        </w:trPr>
        <w:tc>
          <w:tcPr>
            <w:tcW w:w="3220" w:type="dxa"/>
            <w:vAlign w:val="bottom"/>
            <w:gridSpan w:val="2"/>
          </w:tcPr>
          <w:p>
            <w:pPr>
              <w:ind w:left="120"/>
              <w:spacing w:after="0"/>
              <w:rPr>
                <w:sz w:val="20"/>
                <w:szCs w:val="20"/>
                <w:color w:val="auto"/>
              </w:rPr>
            </w:pPr>
            <w:r>
              <w:rPr>
                <w:rFonts w:ascii="Arial" w:cs="Arial" w:eastAsia="Arial" w:hAnsi="Arial"/>
                <w:sz w:val="15"/>
                <w:szCs w:val="15"/>
                <w:color w:val="auto"/>
              </w:rPr>
              <w:t>Transfers</w:t>
            </w:r>
          </w:p>
        </w:tc>
        <w:tc>
          <w:tcPr>
            <w:tcW w:w="4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(6,261)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6,261</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2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value</w:t>
            </w: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(2,485)</w:t>
            </w: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40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30,536</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408</w:t>
            </w:r>
          </w:p>
        </w:tc>
        <w:tc>
          <w:tcPr>
            <w:tcW w:w="100" w:type="dxa"/>
            <w:vAlign w:val="bottom"/>
          </w:tcPr>
          <w:p>
            <w:pPr>
              <w:spacing w:after="0"/>
              <w:rPr>
                <w:sz w:val="15"/>
                <w:szCs w:val="15"/>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83,928</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15"/>
                <w:szCs w:val="15"/>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114,464</w:t>
            </w:r>
          </w:p>
        </w:tc>
      </w:tr>
      <w:tr>
        <w:trPr>
          <w:trHeight w:val="20"/>
        </w:trPr>
        <w:tc>
          <w:tcPr>
            <w:tcW w:w="2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tabs>
          <w:tab w:leader="none" w:pos="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amounts received upon assignment of loan to HUD, loan payoff, REO liquidation and claim proceeds less any amounts charged off as unrecoverable.</w:t>
      </w:r>
    </w:p>
    <w:p>
      <w:pPr>
        <w:spacing w:after="0" w:line="8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NRZ Relationship</w:t>
      </w:r>
    </w:p>
    <w:p>
      <w:pPr>
        <w:spacing w:after="0" w:line="99"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Our Servicing segment has exposure to concentration risk and client retention risk. As of September 30, 2021, our servicing portfolio included significant client relationships with NRZ which represented 24% and 34% of our servicing portfolio UPB and loan count, respectively, and approximately 62% of all 30-day delinquent loans that Ocwen services. The current terms of our agreements with NRZ extend through July 2022. Currently, subject to proper notice (generally 180 days’ notice), the payment of termination fees and certain other provisions, NRZ has rights to terminate the legacy Ocwen agreements for convenience.</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22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firstLine="268"/>
        <w:spacing w:after="0" w:line="271" w:lineRule="auto"/>
        <w:rPr>
          <w:sz w:val="20"/>
          <w:szCs w:val="20"/>
          <w:color w:val="auto"/>
        </w:rPr>
      </w:pPr>
      <w:r>
        <w:rPr>
          <w:rFonts w:ascii="Arial" w:cs="Arial" w:eastAsia="Arial" w:hAnsi="Arial"/>
          <w:sz w:val="14"/>
          <w:szCs w:val="14"/>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99" w:lineRule="exact"/>
        <w:rPr>
          <w:sz w:val="20"/>
          <w:szCs w:val="20"/>
          <w:color w:val="auto"/>
        </w:rPr>
      </w:pPr>
    </w:p>
    <w:p>
      <w:pPr>
        <w:ind w:right="40" w:firstLine="268"/>
        <w:spacing w:after="0" w:line="301" w:lineRule="auto"/>
        <w:rPr>
          <w:sz w:val="20"/>
          <w:szCs w:val="20"/>
          <w:color w:val="auto"/>
        </w:rPr>
      </w:pPr>
      <w:r>
        <w:rPr>
          <w:rFonts w:ascii="Arial" w:cs="Arial" w:eastAsia="Arial" w:hAnsi="Arial"/>
          <w:sz w:val="13"/>
          <w:szCs w:val="13"/>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fair-housing advocates, commercial counterparties, including claims by counterparties in sales and purchases of loans, MSRs or other assets, parties on whose behalf we service or serviced mortgage loans, parties who provide ancillary services including property preservation and other post-foreclosure related services, and parties who provide or provided consulting or other services to Ocwen.</w:t>
      </w:r>
    </w:p>
    <w:p>
      <w:pPr>
        <w:spacing w:after="0" w:line="43" w:lineRule="exact"/>
        <w:rPr>
          <w:sz w:val="20"/>
          <w:szCs w:val="20"/>
          <w:color w:val="auto"/>
        </w:rPr>
      </w:pPr>
    </w:p>
    <w:p>
      <w:pPr>
        <w:ind w:right="40" w:firstLine="268"/>
        <w:spacing w:after="0" w:line="286" w:lineRule="auto"/>
        <w:rPr>
          <w:sz w:val="20"/>
          <w:szCs w:val="20"/>
          <w:color w:val="auto"/>
        </w:rPr>
      </w:pPr>
      <w:r>
        <w:rPr>
          <w:rFonts w:ascii="Arial" w:cs="Arial" w:eastAsia="Arial" w:hAnsi="Arial"/>
          <w:sz w:val="14"/>
          <w:szCs w:val="14"/>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56" w:name="page57"/>
    <w:bookmarkEnd w:id="56"/>
    <w:p>
      <w:pPr>
        <w:ind w:right="20"/>
        <w:spacing w:after="0" w:line="269" w:lineRule="auto"/>
        <w:rPr>
          <w:sz w:val="20"/>
          <w:szCs w:val="20"/>
          <w:color w:val="auto"/>
        </w:rPr>
      </w:pPr>
      <w:r>
        <w:rPr>
          <w:rFonts w:ascii="Arial" w:cs="Arial" w:eastAsia="Arial" w:hAnsi="Arial"/>
          <w:sz w:val="14"/>
          <w:szCs w:val="14"/>
          <w:color w:val="auto"/>
        </w:rPr>
        <w:t>licensing and foreclosure laws and federal and local bankruptcy rules.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64"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70"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$44.6 million at September 30, 2021. We cannot currently estimate the amount, if any, of reasonably possible losses above amounts that have been recorded at September 30, 2021.</w:t>
      </w:r>
    </w:p>
    <w:p>
      <w:pPr>
        <w:spacing w:after="0" w:line="60" w:lineRule="exact"/>
        <w:rPr>
          <w:sz w:val="20"/>
          <w:szCs w:val="20"/>
          <w:color w:val="auto"/>
        </w:rPr>
      </w:pPr>
    </w:p>
    <w:p>
      <w:pPr>
        <w:ind w:firstLine="268"/>
        <w:spacing w:after="0" w:line="292" w:lineRule="auto"/>
        <w:rPr>
          <w:sz w:val="20"/>
          <w:szCs w:val="20"/>
          <w:color w:val="auto"/>
        </w:rPr>
      </w:pPr>
      <w:r>
        <w:rPr>
          <w:rFonts w:ascii="Arial" w:cs="Arial" w:eastAsia="Arial" w:hAnsi="Arial"/>
          <w:sz w:val="13"/>
          <w:szCs w:val="13"/>
          <w:color w:val="auto"/>
        </w:rPr>
        <w:t>As previously disclosed, we are subject to individual lawsuits relating to our FDCPA compliance and putative state law class actions based on the FDCPA and state laws similar to the FDCPA. Ocwen agreed to a settlement in principle of a putative class action</w:t>
      </w:r>
      <w:r>
        <w:rPr>
          <w:rFonts w:ascii="Arial" w:cs="Arial" w:eastAsia="Arial" w:hAnsi="Arial"/>
          <w:sz w:val="13"/>
          <w:szCs w:val="13"/>
          <w:i w:val="1"/>
          <w:iCs w:val="1"/>
          <w:color w:val="auto"/>
        </w:rPr>
        <w:t>, Morris v. PHH Mortgage Corp.</w:t>
      </w:r>
      <w:r>
        <w:rPr>
          <w:rFonts w:ascii="Arial" w:cs="Arial" w:eastAsia="Arial" w:hAnsi="Arial"/>
          <w:sz w:val="13"/>
          <w:szCs w:val="13"/>
          <w:color w:val="auto"/>
        </w:rPr>
        <w:t xml:space="preserve">, filed in March 2020 in the United States District Court for the Southern District of Florida, alleging that PMC’s and legacy Ocwen’s practices of charging a fee to borrowers who voluntarily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3"/>
          <w:szCs w:val="13"/>
          <w:i w:val="1"/>
          <w:iCs w:val="1"/>
          <w:color w:val="auto"/>
        </w:rPr>
        <w:t>Morris</w:t>
      </w:r>
      <w:r>
        <w:rPr>
          <w:rFonts w:ascii="Arial" w:cs="Arial" w:eastAsia="Arial" w:hAnsi="Arial"/>
          <w:sz w:val="13"/>
          <w:szCs w:val="13"/>
          <w:color w:val="auto"/>
        </w:rPr>
        <w:t xml:space="preserve"> matter. A motion requesting preliminary approval of the settlement was filed in August 2020. Several third parties, including a group of State Attorneys General, have filed papers opposing preliminary approval, and these third parties could ultimately file objections to the proposed settlement. As a result of this opposition, we have also received requests for information from various states regarding our practices, to which we have responded in due course. Following the preliminary approval hearing, PMC and plaintiffs renegotiated portions of the settlement agreement to address several questions raised by the Court, and subsequently filed a renewed motion for preliminary approval. Ocwen expects final approval of the </w:t>
      </w:r>
      <w:r>
        <w:rPr>
          <w:rFonts w:ascii="Arial" w:cs="Arial" w:eastAsia="Arial" w:hAnsi="Arial"/>
          <w:sz w:val="13"/>
          <w:szCs w:val="13"/>
          <w:i w:val="1"/>
          <w:iCs w:val="1"/>
          <w:color w:val="auto"/>
        </w:rPr>
        <w:t>Morris</w:t>
      </w:r>
      <w:r>
        <w:rPr>
          <w:rFonts w:ascii="Arial" w:cs="Arial" w:eastAsia="Arial" w:hAnsi="Arial"/>
          <w:sz w:val="13"/>
          <w:szCs w:val="13"/>
          <w:color w:val="auto"/>
        </w:rPr>
        <w:t xml:space="preserve"> settlement, if issued before other similar class actions proceed through class certification, will resolve the claims of the majority of the putative class members described in the other similar cases that Ocwen is defending. In a similar lawsuit, </w:t>
      </w:r>
      <w:r>
        <w:rPr>
          <w:rFonts w:ascii="Arial" w:cs="Arial" w:eastAsia="Arial" w:hAnsi="Arial"/>
          <w:sz w:val="13"/>
          <w:szCs w:val="13"/>
          <w:i w:val="1"/>
          <w:iCs w:val="1"/>
          <w:color w:val="auto"/>
        </w:rPr>
        <w:t>Torliatt v. PHH Mortgage Corp.</w:t>
      </w:r>
      <w:r>
        <w:rPr>
          <w:rFonts w:ascii="Arial" w:cs="Arial" w:eastAsia="Arial" w:hAnsi="Arial"/>
          <w:sz w:val="13"/>
          <w:szCs w:val="13"/>
          <w:color w:val="auto"/>
        </w:rPr>
        <w:t xml:space="preserve"> (pending in the Northern District of California), the Court recently held hearings on motions for class certification and summary judgment, but has not yet issued a decision on either. Ocwen cannot guarantee that the proposed settlement in the </w:t>
      </w:r>
      <w:r>
        <w:rPr>
          <w:rFonts w:ascii="Arial" w:cs="Arial" w:eastAsia="Arial" w:hAnsi="Arial"/>
          <w:sz w:val="13"/>
          <w:szCs w:val="13"/>
          <w:i w:val="1"/>
          <w:iCs w:val="1"/>
          <w:color w:val="auto"/>
        </w:rPr>
        <w:t xml:space="preserve">Morris </w:t>
      </w:r>
      <w:r>
        <w:rPr>
          <w:rFonts w:ascii="Arial" w:cs="Arial" w:eastAsia="Arial" w:hAnsi="Arial"/>
          <w:sz w:val="13"/>
          <w:szCs w:val="13"/>
          <w:color w:val="auto"/>
        </w:rPr>
        <w:t>matter will receive final approval and in the absence of such approval, Ocwen cannot predict the eventual outcome of the</w:t>
      </w:r>
      <w:r>
        <w:rPr>
          <w:rFonts w:ascii="Arial" w:cs="Arial" w:eastAsia="Arial" w:hAnsi="Arial"/>
          <w:sz w:val="13"/>
          <w:szCs w:val="13"/>
          <w:i w:val="1"/>
          <w:iCs w:val="1"/>
          <w:color w:val="auto"/>
        </w:rPr>
        <w:t xml:space="preserve"> Morris </w:t>
      </w:r>
      <w:r>
        <w:rPr>
          <w:rFonts w:ascii="Arial" w:cs="Arial" w:eastAsia="Arial" w:hAnsi="Arial"/>
          <w:sz w:val="13"/>
          <w:szCs w:val="13"/>
          <w:color w:val="auto"/>
        </w:rPr>
        <w:t>proceeding and similar putative class actions.</w:t>
      </w:r>
    </w:p>
    <w:p>
      <w:pPr>
        <w:spacing w:after="0" w:line="47"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Munoz v. PHH Mortgage Corp. et al. (Eastern District of California). In June 2015, the court certified a class of borrowers who obtained loans with private mortgage insurance through PHH’s captive reinsurance arrangement between June 2007 and December 2009. PHH has asserted numerous defenses to the merits of the case. In August 2020, the Court granted, in part, Plaintiffs’ Motion for Partial Summary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57" w:name="page58"/>
    <w:bookmarkEnd w:id="57"/>
    <w:p>
      <w:pPr>
        <w:ind w:right="140"/>
        <w:spacing w:after="0" w:line="274" w:lineRule="auto"/>
        <w:rPr>
          <w:sz w:val="20"/>
          <w:szCs w:val="20"/>
          <w:color w:val="auto"/>
        </w:rPr>
      </w:pPr>
      <w:r>
        <w:rPr>
          <w:rFonts w:ascii="Arial" w:cs="Arial" w:eastAsia="Arial" w:hAnsi="Arial"/>
          <w:sz w:val="14"/>
          <w:szCs w:val="14"/>
          <w:color w:val="auto"/>
        </w:rPr>
        <w:t>Judgment. The only issue remaining for trial is whether the reinsurance services provided by PHH’s captive reinsurance subsidiary, Atrium, were actually provided in order for the safe harbor provision of RESPA to apply. Following pre-trial conferences held in the first half of 2021, the Court scheduled trial to begin on February 15, 2022. PHH accrued $2.5 million prior to the merger with Ocwen when the case was filed in 2008 and that amount is included in the $44.6 million legal and regulatory accrual referenced above.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reputation, financial condition liquidity and results of operations could be materially and adversely affected.</w:t>
      </w:r>
    </w:p>
    <w:p>
      <w:pPr>
        <w:spacing w:after="0" w:line="56" w:lineRule="exact"/>
        <w:rPr>
          <w:sz w:val="20"/>
          <w:szCs w:val="20"/>
          <w:color w:val="auto"/>
        </w:rPr>
      </w:pPr>
    </w:p>
    <w:p>
      <w:pPr>
        <w:jc w:val="both"/>
        <w:ind w:right="360" w:firstLine="268"/>
        <w:spacing w:after="0" w:line="291" w:lineRule="auto"/>
        <w:rPr>
          <w:sz w:val="20"/>
          <w:szCs w:val="20"/>
          <w:color w:val="auto"/>
        </w:rPr>
      </w:pPr>
      <w:r>
        <w:rPr>
          <w:rFonts w:ascii="Arial" w:cs="Arial" w:eastAsia="Arial" w:hAnsi="Arial"/>
          <w:sz w:val="13"/>
          <w:szCs w:val="13"/>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 on the vicarious liability claims, they have yet to take any formal action. Additional lawsuits have been and may be filed against us in relation to our TCPA compliance.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61" w:lineRule="exact"/>
        <w:rPr>
          <w:sz w:val="20"/>
          <w:szCs w:val="20"/>
          <w:color w:val="auto"/>
        </w:rPr>
      </w:pPr>
    </w:p>
    <w:p>
      <w:pPr>
        <w:ind w:right="20" w:firstLine="268"/>
        <w:spacing w:after="0" w:line="259" w:lineRule="auto"/>
        <w:rPr>
          <w:sz w:val="20"/>
          <w:szCs w:val="20"/>
          <w:color w:val="auto"/>
        </w:rPr>
      </w:pPr>
      <w:r>
        <w:rPr>
          <w:rFonts w:ascii="Arial" w:cs="Arial" w:eastAsia="Arial" w:hAnsi="Arial"/>
          <w:sz w:val="13"/>
          <w:szCs w:val="13"/>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3"/>
          <w:szCs w:val="13"/>
          <w:i w:val="1"/>
          <w:iCs w:val="1"/>
          <w:color w:val="auto"/>
        </w:rPr>
        <w:t>See Weiner v. Ocwen Financial Corp., et al</w:t>
      </w:r>
      <w:r>
        <w:rPr>
          <w:rFonts w:ascii="Arial" w:cs="Arial" w:eastAsia="Arial" w:hAnsi="Arial"/>
          <w:sz w:val="13"/>
          <w:szCs w:val="13"/>
          <w:color w:val="auto"/>
        </w:rPr>
        <w:t xml:space="preserve">. Ocwen’s motion for summary judgment, filed in June 2019, was denied in May 2020; however, the court ruled that plaintiff’s recoverable damages are limited to out-of-pocket costs, </w:t>
      </w:r>
      <w:r>
        <w:rPr>
          <w:rFonts w:ascii="Arial" w:cs="Arial" w:eastAsia="Arial" w:hAnsi="Arial"/>
          <w:sz w:val="13"/>
          <w:szCs w:val="13"/>
          <w:i w:val="1"/>
          <w:iCs w:val="1"/>
          <w:color w:val="auto"/>
        </w:rPr>
        <w:t>i.e.</w:t>
      </w:r>
      <w:r>
        <w:rPr>
          <w:rFonts w:ascii="Arial" w:cs="Arial" w:eastAsia="Arial" w:hAnsi="Arial"/>
          <w:sz w:val="13"/>
          <w:szCs w:val="13"/>
          <w:color w:val="auto"/>
        </w:rPr>
        <w:t>, the amount of marked-up fees actually paid, rather than the entire cost of the valuation that plaintiffs sought. A jury trial is scheduled to commence March 7, 2022. Ocwen has moved to decertify the class and anticipates a ruling prior to trial.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58" w:lineRule="exact"/>
        <w:rPr>
          <w:sz w:val="20"/>
          <w:szCs w:val="20"/>
          <w:color w:val="auto"/>
        </w:rPr>
      </w:pPr>
    </w:p>
    <w:p>
      <w:pPr>
        <w:ind w:right="100" w:firstLine="268"/>
        <w:spacing w:after="0" w:line="279" w:lineRule="auto"/>
        <w:rPr>
          <w:sz w:val="20"/>
          <w:szCs w:val="20"/>
          <w:color w:val="auto"/>
        </w:rPr>
      </w:pPr>
      <w:r>
        <w:rPr>
          <w:rFonts w:ascii="Arial" w:cs="Arial" w:eastAsia="Arial" w:hAnsi="Arial"/>
          <w:sz w:val="14"/>
          <w:szCs w:val="14"/>
          <w:color w:val="auto"/>
        </w:rPr>
        <w:t>We are currently involved in a dispute with a former subservicing client, HSBC Bank USA, N.A. (HSBC), which filed a complaint in the Supreme Court of the State of New York against PHH. See HSBC Bank USA, N.A. v. PHH Mortgage Corp. (Supreme Court of the State of New York). HSBC’s claims relate to alleged breaches of agreements entered into under a prior subservicing arrangement. We believe we have strong factual and legal defenses to all of HSBC’s claims and are vigorously defending the action. Ocwen is currently unable to predict the outcome of this dispute or estimate the size of any loss which could result from a potential resolution reached through litigation or otherwise.</w:t>
      </w:r>
    </w:p>
    <w:p>
      <w:pPr>
        <w:spacing w:after="0" w:line="43" w:lineRule="exact"/>
        <w:rPr>
          <w:sz w:val="20"/>
          <w:szCs w:val="20"/>
          <w:color w:val="auto"/>
        </w:rPr>
      </w:pPr>
    </w:p>
    <w:p>
      <w:pPr>
        <w:jc w:val="both"/>
        <w:ind w:right="20" w:firstLine="268"/>
        <w:spacing w:after="0" w:line="232" w:lineRule="auto"/>
        <w:rPr>
          <w:sz w:val="20"/>
          <w:szCs w:val="20"/>
          <w:color w:val="auto"/>
        </w:rPr>
      </w:pPr>
      <w:r>
        <w:rPr>
          <w:rFonts w:ascii="Arial" w:cs="Arial" w:eastAsia="Arial" w:hAnsi="Arial"/>
          <w:sz w:val="15"/>
          <w:szCs w:val="15"/>
          <w:color w:val="auto"/>
        </w:rPr>
        <w:t>We are also currently involved in three lawsuits pending in the Supreme Court of the State of New York with a purchaser of MSRs, Mr. Cooper (formerly Nationstar Mortgage Holdings Inc.), who alleges breaches of representations and warranties made by PHH in the MSR sale agreements. We are awaiting rulings on motions to dismiss two of these lawsuits. We believe we have strong factual and legal defenses to Mr. Cooper’s claims and are vigorously defending ourselves.</w:t>
      </w:r>
    </w:p>
    <w:p>
      <w:pPr>
        <w:spacing w:after="0" w:line="68"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55" w:lineRule="exact"/>
        <w:rPr>
          <w:sz w:val="20"/>
          <w:szCs w:val="20"/>
          <w:color w:val="auto"/>
        </w:rPr>
      </w:pPr>
    </w:p>
    <w:p>
      <w:pPr>
        <w:ind w:right="20" w:firstLine="268"/>
        <w:spacing w:after="0" w:line="252" w:lineRule="auto"/>
        <w:rPr>
          <w:sz w:val="20"/>
          <w:szCs w:val="20"/>
          <w:color w:val="auto"/>
        </w:rPr>
      </w:pPr>
      <w:r>
        <w:rPr>
          <w:rFonts w:ascii="Arial" w:cs="Arial" w:eastAsia="Arial" w:hAnsi="Arial"/>
          <w:sz w:val="15"/>
          <w:szCs w:val="15"/>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8" w:name="page59"/>
    <w:bookmarkEnd w:id="58"/>
    <w:p>
      <w:pPr>
        <w:ind w:firstLine="268"/>
        <w:spacing w:after="0" w:line="298" w:lineRule="auto"/>
        <w:rPr>
          <w:sz w:val="20"/>
          <w:szCs w:val="20"/>
          <w:color w:val="auto"/>
        </w:rPr>
      </w:pPr>
      <w:r>
        <w:rPr>
          <w:rFonts w:ascii="Arial" w:cs="Arial" w:eastAsia="Arial" w:hAnsi="Arial"/>
          <w:sz w:val="13"/>
          <w:szCs w:val="13"/>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w:t>
      </w:r>
    </w:p>
    <w:p>
      <w:pPr>
        <w:spacing w:after="0" w:line="99" w:lineRule="exact"/>
        <w:rPr>
          <w:sz w:val="20"/>
          <w:szCs w:val="20"/>
          <w:color w:val="auto"/>
        </w:rPr>
      </w:pPr>
    </w:p>
    <w:p>
      <w:pPr>
        <w:ind w:right="40" w:firstLine="268"/>
        <w:spacing w:after="0" w:line="272" w:lineRule="auto"/>
        <w:rPr>
          <w:sz w:val="20"/>
          <w:szCs w:val="20"/>
          <w:color w:val="auto"/>
        </w:rPr>
      </w:pPr>
      <w:r>
        <w:rPr>
          <w:rFonts w:ascii="Arial" w:cs="Arial" w:eastAsia="Arial" w:hAnsi="Arial"/>
          <w:sz w:val="14"/>
          <w:szCs w:val="14"/>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0" w:lineRule="exact"/>
        <w:rPr>
          <w:sz w:val="20"/>
          <w:szCs w:val="20"/>
          <w:color w:val="auto"/>
        </w:rPr>
      </w:pPr>
    </w:p>
    <w:p>
      <w:pPr>
        <w:ind w:firstLine="268"/>
        <w:spacing w:after="0" w:line="295" w:lineRule="auto"/>
        <w:rPr>
          <w:sz w:val="20"/>
          <w:szCs w:val="20"/>
          <w:color w:val="auto"/>
        </w:rPr>
      </w:pPr>
      <w:r>
        <w:rPr>
          <w:rFonts w:ascii="Arial" w:cs="Arial" w:eastAsia="Arial" w:hAnsi="Arial"/>
          <w:sz w:val="13"/>
          <w:szCs w:val="13"/>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CFPB</w:t>
      </w:r>
    </w:p>
    <w:p>
      <w:pPr>
        <w:spacing w:after="0" w:line="95"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49" w:lineRule="exact"/>
        <w:rPr>
          <w:sz w:val="20"/>
          <w:szCs w:val="20"/>
          <w:color w:val="auto"/>
        </w:rPr>
      </w:pPr>
    </w:p>
    <w:p>
      <w:pPr>
        <w:jc w:val="both"/>
        <w:ind w:right="60" w:firstLine="268"/>
        <w:spacing w:after="0" w:line="263" w:lineRule="auto"/>
        <w:rPr>
          <w:sz w:val="20"/>
          <w:szCs w:val="20"/>
          <w:color w:val="auto"/>
        </w:rPr>
      </w:pPr>
      <w:r>
        <w:rPr>
          <w:rFonts w:ascii="Arial" w:cs="Arial" w:eastAsia="Arial" w:hAnsi="Arial"/>
          <w:sz w:val="13"/>
          <w:szCs w:val="13"/>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Arial" w:cs="Arial" w:eastAsia="Arial" w:hAnsi="Arial"/>
          <w:sz w:val="13"/>
          <w:szCs w:val="13"/>
          <w:i w:val="1"/>
          <w:iCs w:val="1"/>
          <w:color w:val="auto"/>
        </w:rPr>
        <w:t>res judicata</w:t>
      </w:r>
      <w:r>
        <w:rPr>
          <w:rFonts w:ascii="Arial" w:cs="Arial" w:eastAsia="Arial" w:hAnsi="Arial"/>
          <w:sz w:val="13"/>
          <w:szCs w:val="13"/>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Appellate briefing concluded August 26, 2021, and oral argument before the Eleventh Circuit is tentatively scheduled during the week of February 8 - 11, 2022.</w:t>
      </w:r>
    </w:p>
    <w:p>
      <w:pPr>
        <w:spacing w:after="0" w:line="54" w:lineRule="exact"/>
        <w:rPr>
          <w:sz w:val="20"/>
          <w:szCs w:val="20"/>
          <w:color w:val="auto"/>
        </w:rPr>
      </w:pPr>
    </w:p>
    <w:p>
      <w:pPr>
        <w:jc w:val="both"/>
        <w:ind w:right="80" w:firstLine="268"/>
        <w:spacing w:after="0" w:line="259" w:lineRule="auto"/>
        <w:rPr>
          <w:sz w:val="20"/>
          <w:szCs w:val="20"/>
          <w:color w:val="auto"/>
        </w:rPr>
      </w:pPr>
      <w:r>
        <w:rPr>
          <w:rFonts w:ascii="Arial" w:cs="Arial" w:eastAsia="Arial" w:hAnsi="Arial"/>
          <w:sz w:val="15"/>
          <w:szCs w:val="15"/>
          <w:color w:val="auto"/>
        </w:rPr>
        <w:t>Our current accrual with respect to this matter is included in the $44.6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i w:val="1"/>
          <w:iCs w:val="1"/>
          <w:color w:val="auto"/>
        </w:rPr>
        <w:t>State Licensing, State Attorneys General and Other Matters</w:t>
      </w:r>
    </w:p>
    <w:p>
      <w:pPr>
        <w:spacing w:after="0" w:line="95" w:lineRule="exact"/>
        <w:rPr>
          <w:sz w:val="20"/>
          <w:szCs w:val="20"/>
          <w:color w:val="auto"/>
        </w:rPr>
      </w:pPr>
    </w:p>
    <w:p>
      <w:pPr>
        <w:ind w:firstLine="268"/>
        <w:spacing w:after="0" w:line="292" w:lineRule="auto"/>
        <w:rPr>
          <w:sz w:val="20"/>
          <w:szCs w:val="20"/>
          <w:color w:val="auto"/>
        </w:rPr>
      </w:pPr>
      <w:r>
        <w:rPr>
          <w:rFonts w:ascii="Arial" w:cs="Arial" w:eastAsia="Arial" w:hAnsi="Arial"/>
          <w:sz w:val="13"/>
          <w:szCs w:val="13"/>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50" w:lineRule="exact"/>
        <w:rPr>
          <w:sz w:val="20"/>
          <w:szCs w:val="20"/>
          <w:color w:val="auto"/>
        </w:rPr>
      </w:pPr>
    </w:p>
    <w:p>
      <w:pPr>
        <w:jc w:val="both"/>
        <w:ind w:right="220" w:firstLine="268"/>
        <w:spacing w:after="0" w:line="255" w:lineRule="auto"/>
        <w:rPr>
          <w:sz w:val="20"/>
          <w:szCs w:val="20"/>
          <w:color w:val="auto"/>
        </w:rPr>
      </w:pPr>
      <w:r>
        <w:rPr>
          <w:rFonts w:ascii="Arial" w:cs="Arial" w:eastAsia="Arial" w:hAnsi="Arial"/>
          <w:sz w:val="15"/>
          <w:szCs w:val="15"/>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 Ocwen entities were named in some actions, including Ocwen Financial Corporation, OMS, Homeward, Liberty, OFSPL and Ocwen Business Solutions, Inc. (OBS).</w:t>
      </w:r>
    </w:p>
    <w:p>
      <w:pPr>
        <w:spacing w:after="0" w:line="70" w:lineRule="exact"/>
        <w:rPr>
          <w:sz w:val="20"/>
          <w:szCs w:val="20"/>
          <w:color w:val="auto"/>
        </w:rPr>
      </w:pPr>
    </w:p>
    <w:p>
      <w:pPr>
        <w:ind w:right="320" w:firstLine="268"/>
        <w:spacing w:after="0" w:line="255" w:lineRule="auto"/>
        <w:rPr>
          <w:sz w:val="20"/>
          <w:szCs w:val="20"/>
          <w:color w:val="auto"/>
        </w:rPr>
      </w:pPr>
      <w:r>
        <w:rPr>
          <w:rFonts w:ascii="Arial" w:cs="Arial" w:eastAsia="Arial" w:hAnsi="Arial"/>
          <w:sz w:val="15"/>
          <w:szCs w:val="15"/>
          <w:color w:val="auto"/>
        </w:rPr>
        <w:t>We have now resolved all of the state regulatory matters arising in April 2017. In resolving these matters, we entered into agreements containing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We also provided certain borrower financial remediation and made payments to state regulators.</w:t>
      </w:r>
    </w:p>
    <w:p>
      <w:pPr>
        <w:spacing w:after="0" w:line="58" w:lineRule="exact"/>
        <w:rPr>
          <w:sz w:val="20"/>
          <w:szCs w:val="20"/>
          <w:color w:val="auto"/>
        </w:rPr>
      </w:pPr>
    </w:p>
    <w:p>
      <w:pPr>
        <w:ind w:firstLine="268"/>
        <w:spacing w:after="0" w:line="228" w:lineRule="auto"/>
        <w:rPr>
          <w:sz w:val="20"/>
          <w:szCs w:val="20"/>
          <w:color w:val="auto"/>
        </w:rPr>
      </w:pPr>
      <w:r>
        <w:rPr>
          <w:rFonts w:ascii="Arial" w:cs="Arial" w:eastAsia="Arial" w:hAnsi="Arial"/>
          <w:sz w:val="15"/>
          <w:szCs w:val="15"/>
          <w:color w:val="auto"/>
        </w:rPr>
        <w:t>We have taken substantial steps toward fulfilling our commitments under these agreements, including completing the transfer of loans to Black Knight MSP, completing pre-transfer and post-transfer data integrity audits, developing and implementing enhancements to our consumer complaint process, completing a third-party escrow review and ongoing reporting and information sharing. We continue to be subject to obligations under these agreements, including completing the final phase of a data integrity audit under our agreement with the State of Massachusetts, which is currently underway.</w:t>
      </w:r>
    </w:p>
    <w:p>
      <w:pPr>
        <w:spacing w:after="0" w:line="69"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and we have completed all related remediation measures. It is possible that legal or other actions could be taken against us with respect to the identified escrow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55"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55" w:lineRule="exact"/>
        <w:rPr>
          <w:sz w:val="20"/>
          <w:szCs w:val="20"/>
          <w:color w:val="auto"/>
        </w:rPr>
      </w:pPr>
    </w:p>
    <w:p>
      <w:pPr>
        <w:jc w:val="both"/>
        <w:ind w:right="20" w:firstLine="268"/>
        <w:spacing w:after="0" w:line="259" w:lineRule="auto"/>
        <w:rPr>
          <w:sz w:val="20"/>
          <w:szCs w:val="20"/>
          <w:color w:val="auto"/>
        </w:rPr>
      </w:pPr>
      <w:r>
        <w:rPr>
          <w:rFonts w:ascii="Arial" w:cs="Arial" w:eastAsia="Arial" w:hAnsi="Arial"/>
          <w:sz w:val="15"/>
          <w:szCs w:val="15"/>
          <w:color w:val="auto"/>
        </w:rPr>
        <w:t>On occasion, we engage with agencies of the federal government on various matters. For example,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66" w:lineRule="exact"/>
        <w:rPr>
          <w:sz w:val="20"/>
          <w:szCs w:val="20"/>
          <w:color w:val="auto"/>
        </w:rPr>
      </w:pPr>
    </w:p>
    <w:p>
      <w:pPr>
        <w:ind w:right="100" w:firstLine="268"/>
        <w:spacing w:after="0" w:line="270" w:lineRule="auto"/>
        <w:rPr>
          <w:sz w:val="20"/>
          <w:szCs w:val="20"/>
          <w:color w:val="auto"/>
        </w:rPr>
      </w:pPr>
      <w:r>
        <w:rPr>
          <w:rFonts w:ascii="Arial" w:cs="Arial" w:eastAsia="Arial" w:hAnsi="Arial"/>
          <w:sz w:val="15"/>
          <w:szCs w:val="15"/>
          <w:color w:val="auto"/>
        </w:rPr>
        <w:t>In 2017, Ocwen received a subpoena from the Office of the Special Inspector General for the Troubled Asset Relief Program requesting documents and information related to Ocwen’s participation in the Treasury Department’s Making Home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60" w:name="page61"/>
    <w:bookmarkEnd w:id="60"/>
    <w:p>
      <w:pPr>
        <w:ind w:right="20"/>
        <w:spacing w:after="0" w:line="307" w:lineRule="auto"/>
        <w:rPr>
          <w:sz w:val="20"/>
          <w:szCs w:val="20"/>
          <w:color w:val="auto"/>
        </w:rPr>
      </w:pPr>
      <w:r>
        <w:rPr>
          <w:rFonts w:ascii="Arial" w:cs="Arial" w:eastAsia="Arial" w:hAnsi="Arial"/>
          <w:sz w:val="13"/>
          <w:szCs w:val="13"/>
          <w:color w:val="auto"/>
        </w:rPr>
        <w:t>Affordable Program. Ocwen has also received subpoenas that appear to relate to federal government agency initiatives relating to our industry generally, since we understand other lenders and servicers have received similar subpoenas. These include subpoenas in 2016 and 2017 from the Office of Inspector General of HUD requesting documentation related to HECM loans and lender-placed insurance arrangements with a mortgage insurer and a 2019 subpoena from the VA Office of the Inspector General requesting documentation related to the origination and underwriting of loans guaranteed by the Veterans Benefits Administration. In each instance, we have provided documents and information in response to these subpoenas.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 Put-Back and Related Contingencies</w:t>
      </w:r>
    </w:p>
    <w:p>
      <w:pPr>
        <w:spacing w:after="0" w:line="99"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We have exposure to representation, warranty and indemnification obligations relating to our Originations business, including lending, sales and securitization activities, and relating to our servicing practices.</w:t>
      </w:r>
    </w:p>
    <w:p>
      <w:pPr>
        <w:spacing w:after="0" w:line="58" w:lineRule="exact"/>
        <w:rPr>
          <w:sz w:val="20"/>
          <w:szCs w:val="20"/>
          <w:color w:val="auto"/>
        </w:rPr>
      </w:pPr>
    </w:p>
    <w:p>
      <w:pPr>
        <w:ind w:right="200" w:firstLine="268"/>
        <w:spacing w:after="0" w:line="306" w:lineRule="auto"/>
        <w:rPr>
          <w:sz w:val="20"/>
          <w:szCs w:val="20"/>
          <w:color w:val="auto"/>
        </w:rPr>
      </w:pPr>
      <w:r>
        <w:rPr>
          <w:rFonts w:ascii="Arial" w:cs="Arial" w:eastAsia="Arial" w:hAnsi="Arial"/>
          <w:sz w:val="14"/>
          <w:szCs w:val="14"/>
          <w:color w:val="auto"/>
        </w:rPr>
        <w:t>At September 30, 2021 and September 30, 2020, we had outstanding representation and warranty repurchase demands of $59.6 million UPB (301 loans) and $45.2 million UPB (263 loans), respectively. We review each demand and monitor through resolution, primarily through rescission, loan repurchase or make-whole payment.</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changes in our liability for representation and warranty obligations and similar indemnification obligations: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 (1)</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40,374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50,838</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Provision (reversal) for representation and warranty obligations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1,483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8"/>
              </w:rPr>
              <w:t>(1,141)</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New production liability</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1,361</w:t>
            </w:r>
          </w:p>
        </w:tc>
      </w:tr>
      <w:tr>
        <w:trPr>
          <w:trHeight w:val="189"/>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Charge-offs and other (2)</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(8,130)</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 (1)</w:t>
            </w: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42,554</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42,928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right="160" w:hanging="271"/>
        <w:spacing w:after="0" w:line="260" w:lineRule="auto"/>
        <w:tabs>
          <w:tab w:leader="none" w:pos="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280" w:hanging="271"/>
        <w:spacing w:after="0"/>
        <w:tabs>
          <w:tab w:leader="none" w:pos="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principal and interest losses realized in connection with repurchased loans, make-whole, indemnification and fee payments and settlements net of recoveries, if any.</w:t>
      </w:r>
    </w:p>
    <w:p>
      <w:pPr>
        <w:spacing w:after="0" w:line="82" w:lineRule="exact"/>
        <w:rPr>
          <w:sz w:val="20"/>
          <w:szCs w:val="20"/>
          <w:color w:val="auto"/>
        </w:rPr>
      </w:pPr>
    </w:p>
    <w:p>
      <w:pPr>
        <w:jc w:val="both"/>
        <w:ind w:right="260" w:firstLine="268"/>
        <w:spacing w:after="0" w:line="259" w:lineRule="auto"/>
        <w:rPr>
          <w:sz w:val="20"/>
          <w:szCs w:val="20"/>
          <w:color w:val="auto"/>
        </w:rPr>
      </w:pPr>
      <w:r>
        <w:rPr>
          <w:rFonts w:ascii="Arial" w:cs="Arial" w:eastAsia="Arial" w:hAnsi="Arial"/>
          <w:sz w:val="15"/>
          <w:szCs w:val="15"/>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2021</w:t>
      </w:r>
      <w:r>
        <w:rPr>
          <w:rFonts w:ascii="Arial" w:cs="Arial" w:eastAsia="Arial" w:hAnsi="Arial"/>
          <w:sz w:val="13"/>
          <w:szCs w:val="13"/>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99"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7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23 – Subsequent Events</w:t>
      </w:r>
    </w:p>
    <w:p>
      <w:pPr>
        <w:spacing w:after="0" w:line="99"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On October 1, 2021, PMC completed the transaction entered into on June 17, 2021 with Reverse Mortgage Solutions, Inc. (RMS) and its parent, Mortgage Assets Management, LLC (MAM), a subsidiary of investment funds managed by Waterfall Asset Management, LLC, to acquire certain assets of RMS related to reverse mortgage subservicing, including subservicing contracts and related foreclosed properties. The aggregate purchase price at closing was approximately $12.4 million, subject to certain holdbacks and adjustments. In addition, PMC has extended employment offers to approximately 350 former RMS employees. Concurrent with the closing of the transaction, PMC became the subservicer under a five-year subservicing agreement for reverse mortgages owned by RMS and MAM. As a result, PMC became the subservicer for approximately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57,000 reverse mortgages, or approximately $14.3 billion in UPB, which were transferred to our reverse servicing platform concurrent with the closing.</w:t>
      </w:r>
    </w:p>
    <w:p>
      <w:pPr>
        <w:spacing w:after="0" w:line="180" w:lineRule="exact"/>
        <w:rPr>
          <w:sz w:val="20"/>
          <w:szCs w:val="20"/>
          <w:color w:val="auto"/>
        </w:rPr>
      </w:pPr>
    </w:p>
    <w:p>
      <w:pPr>
        <w:ind w:right="2860"/>
        <w:spacing w:after="0" w:line="337" w:lineRule="auto"/>
        <w:rPr>
          <w:sz w:val="20"/>
          <w:szCs w:val="20"/>
          <w:color w:val="auto"/>
        </w:rPr>
      </w:pPr>
      <w:r>
        <w:rPr>
          <w:rFonts w:ascii="Arial" w:cs="Arial" w:eastAsia="Arial" w:hAnsi="Arial"/>
          <w:sz w:val="15"/>
          <w:szCs w:val="15"/>
          <w:b w:val="1"/>
          <w:bCs w:val="1"/>
          <w:color w:val="auto"/>
        </w:rPr>
        <w:t>ITEM 2. MANAGEMENT’S DISCUSSION AND ANALYSIS OF FINANCIAL CONDITION AND RESULTS OF OPERATIONS (Dollars in millions, except per share amounts and unless otherwise indicated)</w:t>
      </w:r>
    </w:p>
    <w:p>
      <w:pPr>
        <w:spacing w:after="0" w:line="300" w:lineRule="exact"/>
        <w:rPr>
          <w:sz w:val="20"/>
          <w:szCs w:val="20"/>
          <w:color w:val="auto"/>
        </w:rPr>
      </w:pPr>
    </w:p>
    <w:p>
      <w:pPr>
        <w:ind w:right="40" w:firstLine="268"/>
        <w:spacing w:after="0" w:line="295" w:lineRule="auto"/>
        <w:rPr>
          <w:sz w:val="20"/>
          <w:szCs w:val="20"/>
          <w:color w:val="auto"/>
        </w:rPr>
      </w:pPr>
      <w:r>
        <w:rPr>
          <w:rFonts w:ascii="Arial" w:cs="Arial" w:eastAsia="Arial" w:hAnsi="Arial"/>
          <w:sz w:val="13"/>
          <w:szCs w:val="13"/>
          <w:color w:val="auto"/>
        </w:rPr>
        <w:t>Effective February 10, 2021, the SEC issued Release No. 33-10890 adopting amendments to Regulation S-K to modernize, simplify and enhance certain financial disclosure requirements. This release amends, among other items, Item 303 of Regulation S-K (Management’s Discussion and Analysis of Financial Condition and Results of Operations, or MD&amp;A). While adoption is not required until fiscal years ending on or after August 9, 2021, we elected to adopt the amended Item 303 of Regulation S-K commencing with our Quarterly Report on Form 10-Q for the quarter ended March 31, 2021. As a result, we compare our quarterly results to the immediately preceding quarter instead of the corresponding quarter of the preceding year. We believe it is helpful to compare our quarterly results to the immediately preceding quarter, because the mortgage industry and our business can be affected by a rapidly changing environment. In addition, we continuously transform our operations and internally measure our performance relative to the most recent period. Accordingly, we believe a comparison of our results of operations to the immediately preceding quarter provides a more relevant and meaningful analysis for investors to assess our performance than a comparison to the corresponding quarter of the preceding year. As required, we continue to compare our year-to-date results to the corresponding year-to-date results of the preceding year.</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99"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We are a financial services company that services and originates mortgage loans. We are a leading mortgage special servicer, servicing approximately 1.3 million loans with a total UPB of $248.3 billion on behalf of more than 4,000 investors and 110 subservicing clients as of September 30, 2021.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56" w:lineRule="exact"/>
        <w:rPr>
          <w:sz w:val="20"/>
          <w:szCs w:val="20"/>
          <w:color w:val="auto"/>
        </w:rPr>
      </w:pPr>
    </w:p>
    <w:p>
      <w:pPr>
        <w:ind w:right="140" w:firstLine="268"/>
        <w:spacing w:after="0" w:line="255" w:lineRule="auto"/>
        <w:rPr>
          <w:sz w:val="20"/>
          <w:szCs w:val="20"/>
          <w:color w:val="auto"/>
        </w:rPr>
      </w:pPr>
      <w:r>
        <w:rPr>
          <w:rFonts w:ascii="Arial" w:cs="Arial" w:eastAsia="Arial" w:hAnsi="Arial"/>
          <w:sz w:val="15"/>
          <w:szCs w:val="15"/>
          <w:color w:val="auto"/>
        </w:rPr>
        <w:t>The table below summarizes the volume of Originations by channel, in the third quarter of 2021, compared with the preceding quarter and the year-to-date volume compared with the year-to-date volume of the prior year. The volume of Originations is a key driver of the profitability of our Originations segment, together with margins, and a key driver of the replenishment and growth of our Servicing segment. Our non-bulk Originations volume increased $1.65 billion as compared to the prior quarter ($11.3 billion vs $9.6 billion or 17% increase) despite increased competition, including within the Correspondent channel and Agency Cash Window programs.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4"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3"/>
        </w:trPr>
        <w:tc>
          <w:tcPr>
            <w:tcW w:w="5240" w:type="dxa"/>
            <w:vAlign w:val="bottom"/>
          </w:tcPr>
          <w:p>
            <w:pPr>
              <w:ind w:left="20"/>
              <w:spacing w:after="0"/>
              <w:rPr>
                <w:sz w:val="20"/>
                <w:szCs w:val="20"/>
                <w:color w:val="auto"/>
              </w:rPr>
            </w:pPr>
            <w:r>
              <w:rPr>
                <w:rFonts w:ascii="Arial" w:cs="Arial" w:eastAsia="Arial" w:hAnsi="Arial"/>
                <w:sz w:val="15"/>
                <w:szCs w:val="15"/>
                <w:i w:val="1"/>
                <w:iCs w:val="1"/>
                <w:color w:val="auto"/>
              </w:rPr>
              <w:t>$ in billions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500"/>
              <w:spacing w:after="0"/>
              <w:rPr>
                <w:sz w:val="20"/>
                <w:szCs w:val="20"/>
                <w:color w:val="auto"/>
              </w:rPr>
            </w:pPr>
            <w:r>
              <w:rPr>
                <w:rFonts w:ascii="Arial" w:cs="Arial" w:eastAsia="Arial" w:hAnsi="Arial"/>
                <w:sz w:val="15"/>
                <w:szCs w:val="15"/>
                <w:b w:val="1"/>
                <w:bCs w:val="1"/>
                <w:color w:val="auto"/>
              </w:rPr>
              <w:t>UPB</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1"/>
        </w:trPr>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5"/>
                <w:szCs w:val="15"/>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Nine Months Ended</w:t>
            </w:r>
          </w:p>
        </w:tc>
      </w:tr>
      <w:tr>
        <w:trPr>
          <w:trHeight w:val="181"/>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September 30, 2021</w:t>
            </w:r>
          </w:p>
        </w:tc>
        <w:tc>
          <w:tcPr>
            <w:tcW w:w="142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15"/>
                <w:szCs w:val="15"/>
                <w:color w:val="auto"/>
              </w:rPr>
            </w:pPr>
          </w:p>
        </w:tc>
        <w:tc>
          <w:tcPr>
            <w:tcW w:w="1340" w:type="dxa"/>
            <w:vAlign w:val="bottom"/>
          </w:tcPr>
          <w:p>
            <w:pPr>
              <w:jc w:val="right"/>
              <w:ind w:right="26"/>
              <w:spacing w:after="0"/>
              <w:rPr>
                <w:sz w:val="20"/>
                <w:szCs w:val="20"/>
                <w:color w:val="auto"/>
              </w:rPr>
            </w:pPr>
            <w:r>
              <w:rPr>
                <w:rFonts w:ascii="Arial" w:cs="Arial" w:eastAsia="Arial" w:hAnsi="Arial"/>
                <w:sz w:val="15"/>
                <w:szCs w:val="15"/>
                <w:b w:val="1"/>
                <w:bCs w:val="1"/>
                <w:color w:val="auto"/>
                <w:w w:val="87"/>
              </w:rPr>
              <w:t>September 30, 2020</w:t>
            </w:r>
          </w:p>
        </w:tc>
      </w:tr>
      <w:tr>
        <w:trPr>
          <w:trHeight w:val="169"/>
        </w:trPr>
        <w:tc>
          <w:tcPr>
            <w:tcW w:w="52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Mortgage servicing originations</w:t>
            </w: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89"/>
        </w:trPr>
        <w:tc>
          <w:tcPr>
            <w:tcW w:w="5240" w:type="dxa"/>
            <w:vAlign w:val="bottom"/>
          </w:tcPr>
          <w:p>
            <w:pPr>
              <w:ind w:left="200"/>
              <w:spacing w:after="0"/>
              <w:rPr>
                <w:sz w:val="20"/>
                <w:szCs w:val="20"/>
                <w:color w:val="auto"/>
              </w:rPr>
            </w:pPr>
            <w:r>
              <w:rPr>
                <w:rFonts w:ascii="Arial" w:cs="Arial" w:eastAsia="Arial" w:hAnsi="Arial"/>
                <w:sz w:val="15"/>
                <w:szCs w:val="15"/>
                <w:color w:val="auto"/>
              </w:rPr>
              <w:t>Retail - Consumer Direct MSR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0.53</w:t>
            </w:r>
          </w:p>
        </w:tc>
        <w:tc>
          <w:tcPr>
            <w:tcW w:w="100" w:type="dxa"/>
            <w:vAlign w:val="bottom"/>
          </w:tcPr>
          <w:p>
            <w:pPr>
              <w:spacing w:after="0"/>
              <w:rPr>
                <w:sz w:val="16"/>
                <w:szCs w:val="16"/>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0.88</w:t>
            </w:r>
          </w:p>
        </w:tc>
      </w:tr>
      <w:tr>
        <w:trPr>
          <w:trHeight w:val="190"/>
        </w:trPr>
        <w:tc>
          <w:tcPr>
            <w:tcW w:w="5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Correspondent MSR (1)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r>
      <w:tr>
        <w:trPr>
          <w:trHeight w:val="189"/>
        </w:trPr>
        <w:tc>
          <w:tcPr>
            <w:tcW w:w="5240" w:type="dxa"/>
            <w:vAlign w:val="bottom"/>
          </w:tcPr>
          <w:p>
            <w:pPr>
              <w:ind w:left="200"/>
              <w:spacing w:after="0"/>
              <w:rPr>
                <w:sz w:val="20"/>
                <w:szCs w:val="20"/>
                <w:color w:val="auto"/>
              </w:rPr>
            </w:pPr>
            <w:r>
              <w:rPr>
                <w:rFonts w:ascii="Arial" w:cs="Arial" w:eastAsia="Arial" w:hAnsi="Arial"/>
                <w:sz w:val="15"/>
                <w:szCs w:val="15"/>
                <w:color w:val="auto"/>
              </w:rPr>
              <w:t>Flow and Agency Cash Window MSR purchases (2)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8.38</w:t>
            </w:r>
          </w:p>
        </w:tc>
      </w:tr>
      <w:tr>
        <w:trPr>
          <w:trHeight w:val="190"/>
        </w:trPr>
        <w:tc>
          <w:tcPr>
            <w:tcW w:w="5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Reverse mortgage servicing (3)</w:t>
            </w: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0.43</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0.67</w:t>
            </w:r>
          </w:p>
        </w:tc>
      </w:tr>
      <w:tr>
        <w:trPr>
          <w:trHeight w:val="180"/>
        </w:trPr>
        <w:tc>
          <w:tcPr>
            <w:tcW w:w="5240" w:type="dxa"/>
            <w:vAlign w:val="bottom"/>
          </w:tcPr>
          <w:p>
            <w:pPr>
              <w:ind w:left="300"/>
              <w:spacing w:after="0"/>
              <w:rPr>
                <w:sz w:val="20"/>
                <w:szCs w:val="20"/>
                <w:color w:val="auto"/>
              </w:rPr>
            </w:pPr>
            <w:r>
              <w:rPr>
                <w:rFonts w:ascii="Arial" w:cs="Arial" w:eastAsia="Arial" w:hAnsi="Arial"/>
                <w:sz w:val="15"/>
                <w:szCs w:val="15"/>
                <w:color w:val="auto"/>
              </w:rPr>
              <w:t>Total servicing originations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13.04</w:t>
            </w:r>
          </w:p>
        </w:tc>
      </w:tr>
      <w:tr>
        <w:trPr>
          <w:trHeight w:val="190"/>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Bulk MSR purchases (2)</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80"/>
        </w:trPr>
        <w:tc>
          <w:tcPr>
            <w:tcW w:w="5240" w:type="dxa"/>
            <w:vAlign w:val="bottom"/>
          </w:tcPr>
          <w:p>
            <w:pPr>
              <w:ind w:left="200"/>
              <w:spacing w:after="0"/>
              <w:rPr>
                <w:sz w:val="20"/>
                <w:szCs w:val="20"/>
                <w:color w:val="auto"/>
              </w:rPr>
            </w:pPr>
            <w:r>
              <w:rPr>
                <w:rFonts w:ascii="Arial" w:cs="Arial" w:eastAsia="Arial" w:hAnsi="Arial"/>
                <w:sz w:val="15"/>
                <w:szCs w:val="15"/>
                <w:color w:val="auto"/>
              </w:rPr>
              <w:t>Total servicing additions</w:t>
            </w: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11.26</w:t>
            </w: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85.44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14.58</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Subservicing additions (4)</w:t>
            </w: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15.22</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12.16</w:t>
            </w:r>
          </w:p>
        </w:tc>
      </w:tr>
      <w:tr>
        <w:trPr>
          <w:trHeight w:val="181"/>
        </w:trPr>
        <w:tc>
          <w:tcPr>
            <w:tcW w:w="5240" w:type="dxa"/>
            <w:vAlign w:val="bottom"/>
          </w:tcPr>
          <w:p>
            <w:pPr>
              <w:ind w:left="300"/>
              <w:spacing w:after="0"/>
              <w:rPr>
                <w:sz w:val="20"/>
                <w:szCs w:val="20"/>
                <w:color w:val="auto"/>
              </w:rPr>
            </w:pPr>
            <w:r>
              <w:rPr>
                <w:rFonts w:ascii="Arial" w:cs="Arial" w:eastAsia="Arial" w:hAnsi="Arial"/>
                <w:sz w:val="15"/>
                <w:szCs w:val="15"/>
                <w:color w:val="auto"/>
              </w:rPr>
              <w:t>Total servicing and subservicing UPB additions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26.48</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108.68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26.74</w:t>
            </w: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hanging="271"/>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the UPB of loans that have been originated or purchased during the respective periods and for which we recognize a new MSR on our consolidated balance sheets upon sale or securitization.</w:t>
      </w:r>
    </w:p>
    <w:p>
      <w:pPr>
        <w:spacing w:after="0" w:line="30" w:lineRule="exact"/>
        <w:rPr>
          <w:rFonts w:ascii="Arial" w:cs="Arial" w:eastAsia="Arial" w:hAnsi="Arial"/>
          <w:sz w:val="12"/>
          <w:szCs w:val="12"/>
          <w:color w:val="auto"/>
        </w:rPr>
      </w:pPr>
    </w:p>
    <w:p>
      <w:pPr>
        <w:ind w:left="280" w:hanging="271"/>
        <w:spacing w:after="0"/>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UPB of loans for which the MSR is purchased.</w:t>
      </w:r>
    </w:p>
    <w:p>
      <w:pPr>
        <w:spacing w:after="0" w:line="6" w:lineRule="exact"/>
        <w:rPr>
          <w:rFonts w:ascii="Arial" w:cs="Arial" w:eastAsia="Arial" w:hAnsi="Arial"/>
          <w:sz w:val="13"/>
          <w:szCs w:val="13"/>
          <w:color w:val="auto"/>
        </w:rPr>
      </w:pPr>
    </w:p>
    <w:p>
      <w:pPr>
        <w:ind w:left="280" w:right="360" w:hanging="271"/>
        <w:spacing w:after="0" w:line="250" w:lineRule="auto"/>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UPB of reverse mortgage loans that have been securitized on a servicing retained basis. The loans are recognized on our consolidated balance sheets under GAAP without any separate recognition of MSRs.</w:t>
      </w:r>
    </w:p>
    <w:p>
      <w:pPr>
        <w:ind w:left="280" w:right="380" w:hanging="271"/>
        <w:spacing w:after="0" w:line="266" w:lineRule="auto"/>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interim subservicing, excluding the volume UPB associated with short-term interim subservicing for some clients as a support to their originate-to-sell business, where loans are boarded and deboarded within the same quarter.</w:t>
      </w:r>
    </w:p>
    <w:p>
      <w:pPr>
        <w:spacing w:after="0" w:line="56"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Subservicing additions for the third quarter 2021 in the table above include $7.9 billion of new subservicing on behalf of MAV. We launched our joint venture MSR investment with Oaktree in the second quarter 2021 with MAV purchasing GSE MSR that PMC began subservicing in the third quarter of 2021.</w:t>
      </w:r>
    </w:p>
    <w:p>
      <w:pPr>
        <w:spacing w:after="0" w:line="58"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On October 1, 2021, with the purchase agreement with RMS and its parent, MAM, PMC became the subservicer under a five-year subservicing agreement for approximately 57,000 reverse mortgages owned by RMS and MAM, or approximately $14.3 billion in UPB.</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3" w:name="page64"/>
    <w:bookmarkEnd w:id="63"/>
    <w:p>
      <w:pPr>
        <w:ind w:right="80" w:firstLine="268"/>
        <w:spacing w:after="0" w:line="272" w:lineRule="auto"/>
        <w:rPr>
          <w:sz w:val="20"/>
          <w:szCs w:val="20"/>
          <w:color w:val="auto"/>
        </w:rPr>
      </w:pPr>
      <w:r>
        <w:rPr>
          <w:rFonts w:ascii="Arial" w:cs="Arial" w:eastAsia="Arial" w:hAnsi="Arial"/>
          <w:sz w:val="14"/>
          <w:szCs w:val="14"/>
          <w:color w:val="auto"/>
        </w:rPr>
        <w:t>The following table summarizes the average volume of our Servicing segment during the current quarter and year-to-date period, compared with the preceding quarter and year-to-date period of the prior year, respectively. The average volume of Servicing is a key driver of the profitability of our Servicing segment. The relative weight of performing and delinquent loans drives the gross revenue and expenses, and their timing. In the third quarter of 2021, we have increased our total average servicing portfolio by $45.3 billion, with large GSE MSR bulk acquisitions driving the growth of our owned MSR portfolio, and the new subservicing volume generated from our MSR investment joint venture with Oaktree through MAV. In addition to runoff, the NRZ portfolio declined as a result of the termination by NRZ of the PMC servicing agreement resulting in the deboarding of loans with $34.2 billion of UPB in September and October 2020. This quarter established the foundation of a transformed servicing portfolio, with the significant addition of a high credit quality GSE MSR portfolio and the continued reduction of our non-Agency servicing through runoff, also reducing our concentration with NRZ servicing agreements.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ind w:left="20"/>
              <w:spacing w:after="0"/>
              <w:rPr>
                <w:sz w:val="20"/>
                <w:szCs w:val="20"/>
                <w:color w:val="auto"/>
              </w:rPr>
            </w:pPr>
            <w:r>
              <w:rPr>
                <w:rFonts w:ascii="Arial" w:cs="Arial" w:eastAsia="Arial" w:hAnsi="Arial"/>
                <w:sz w:val="15"/>
                <w:szCs w:val="15"/>
                <w:i w:val="1"/>
                <w:iCs w:val="1"/>
                <w:color w:val="auto"/>
              </w:rPr>
              <w:t>$ in billions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80"/>
              <w:spacing w:after="0"/>
              <w:rPr>
                <w:sz w:val="20"/>
                <w:szCs w:val="20"/>
                <w:color w:val="auto"/>
              </w:rPr>
            </w:pPr>
            <w:r>
              <w:rPr>
                <w:rFonts w:ascii="Arial" w:cs="Arial" w:eastAsia="Arial" w:hAnsi="Arial"/>
                <w:sz w:val="15"/>
                <w:szCs w:val="15"/>
                <w:b w:val="1"/>
                <w:bCs w:val="1"/>
                <w:color w:val="auto"/>
              </w:rPr>
              <w:t>Average UPB</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1"/>
        </w:trPr>
        <w:tc>
          <w:tcPr>
            <w:tcW w:w="4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5"/>
                <w:szCs w:val="15"/>
                <w:b w:val="1"/>
                <w:bCs w:val="1"/>
                <w:color w:val="auto"/>
              </w:rPr>
              <w:t>Nine Months Ended</w:t>
            </w:r>
          </w:p>
        </w:tc>
      </w:tr>
      <w:tr>
        <w:trPr>
          <w:trHeight w:val="181"/>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520" w:type="dxa"/>
            <w:vAlign w:val="bottom"/>
            <w:gridSpan w:val="2"/>
          </w:tcPr>
          <w:p>
            <w:pPr>
              <w:jc w:val="right"/>
              <w:ind w:right="226"/>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5"/>
                <w:szCs w:val="15"/>
                <w:color w:val="auto"/>
              </w:rPr>
            </w:pPr>
          </w:p>
        </w:tc>
        <w:tc>
          <w:tcPr>
            <w:tcW w:w="142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September 30, 2020</w:t>
            </w:r>
          </w:p>
        </w:tc>
      </w:tr>
      <w:tr>
        <w:trPr>
          <w:trHeight w:val="18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Owned MSR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145.7</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108.3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113.6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69.4</w:t>
            </w:r>
          </w:p>
        </w:tc>
      </w:tr>
      <w:tr>
        <w:trPr>
          <w:trHeight w:val="189"/>
        </w:trPr>
        <w:tc>
          <w:tcPr>
            <w:tcW w:w="4860" w:type="dxa"/>
            <w:vAlign w:val="bottom"/>
          </w:tcPr>
          <w:p>
            <w:pPr>
              <w:ind w:left="20"/>
              <w:spacing w:after="0"/>
              <w:rPr>
                <w:sz w:val="20"/>
                <w:szCs w:val="20"/>
                <w:color w:val="auto"/>
              </w:rPr>
            </w:pPr>
            <w:r>
              <w:rPr>
                <w:rFonts w:ascii="Arial" w:cs="Arial" w:eastAsia="Arial" w:hAnsi="Arial"/>
                <w:sz w:val="15"/>
                <w:szCs w:val="15"/>
                <w:color w:val="auto"/>
              </w:rPr>
              <w:t>NRZ</w:t>
            </w: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59.9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62.9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74.2</w:t>
            </w:r>
          </w:p>
        </w:tc>
      </w:tr>
      <w:tr>
        <w:trPr>
          <w:trHeight w:val="190"/>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MAV</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189"/>
        </w:trPr>
        <w:tc>
          <w:tcPr>
            <w:tcW w:w="4860" w:type="dxa"/>
            <w:vAlign w:val="bottom"/>
          </w:tcPr>
          <w:p>
            <w:pPr>
              <w:ind w:left="20"/>
              <w:spacing w:after="0"/>
              <w:rPr>
                <w:sz w:val="20"/>
                <w:szCs w:val="20"/>
                <w:color w:val="auto"/>
              </w:rPr>
            </w:pPr>
            <w:r>
              <w:rPr>
                <w:rFonts w:ascii="Arial" w:cs="Arial" w:eastAsia="Arial" w:hAnsi="Arial"/>
                <w:sz w:val="15"/>
                <w:szCs w:val="15"/>
                <w:color w:val="auto"/>
              </w:rPr>
              <w:t>Subservicing</w:t>
            </w: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21.0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54.0</w:t>
            </w:r>
          </w:p>
        </w:tc>
      </w:tr>
      <w:tr>
        <w:trPr>
          <w:trHeight w:val="190"/>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Reverse mortgage loans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6.5</w:t>
            </w:r>
          </w:p>
        </w:tc>
      </w:tr>
      <w:tr>
        <w:trPr>
          <w:trHeight w:val="18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Commercial and other servicing</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w:t>
            </w:r>
          </w:p>
        </w:tc>
      </w:tr>
      <w:tr>
        <w:trPr>
          <w:trHeight w:val="206"/>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serviced UPB (average)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242.0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196.7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212.7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205.0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September 30, 2021, the total serviced UPB amounted to $248.3 billion. Refer to Note 7 – Mortgage Servicing for further detail of the MSR UPB.</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Financial Highlights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Results of operations for the third quarter of 2021</w:t>
      </w:r>
    </w:p>
    <w:p>
      <w:pPr>
        <w:spacing w:after="0" w:line="95" w:lineRule="exact"/>
        <w:rPr>
          <w:sz w:val="20"/>
          <w:szCs w:val="20"/>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Net income of $22 million, or $2.35 per share basic and $2.29 per share diluted</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Servicing fee revenue of $207 million</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Originations gain on sale of $30 million</w:t>
      </w:r>
    </w:p>
    <w:p>
      <w:pPr>
        <w:spacing w:after="0" w:line="39" w:lineRule="exact"/>
        <w:rPr>
          <w:rFonts w:ascii="Arial" w:cs="Arial" w:eastAsia="Arial" w:hAnsi="Arial"/>
          <w:sz w:val="15"/>
          <w:szCs w:val="15"/>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$3 million MSR valuation loss on our owned MSRs attributable to rate and assumption changes, net of hedging</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condition at the end of the third quarter of 2021</w:t>
      </w:r>
    </w:p>
    <w:p>
      <w:pPr>
        <w:spacing w:after="0" w:line="95" w:lineRule="exact"/>
        <w:rPr>
          <w:sz w:val="20"/>
          <w:szCs w:val="20"/>
          <w:color w:val="auto"/>
        </w:rPr>
      </w:pPr>
    </w:p>
    <w:p>
      <w:pPr>
        <w:ind w:left="540" w:hanging="263"/>
        <w:spacing w:after="0"/>
        <w:tabs>
          <w:tab w:leader="none" w:pos="54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Stockholders’ equity of $470 million, or $51.13 book value per common share</w:t>
      </w:r>
    </w:p>
    <w:p>
      <w:pPr>
        <w:spacing w:after="0" w:line="50" w:lineRule="exact"/>
        <w:rPr>
          <w:rFonts w:ascii="Arial" w:cs="Arial" w:eastAsia="Arial" w:hAnsi="Arial"/>
          <w:sz w:val="15"/>
          <w:szCs w:val="15"/>
          <w:b w:val="1"/>
          <w:bCs w:val="1"/>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MSR investment of $2.2 billion, with $104 million net additions in the quarter</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Liquidity position of $236 million</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assets of $12.0 billion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Initiatives</w:t>
      </w:r>
    </w:p>
    <w:p>
      <w:pPr>
        <w:spacing w:after="0" w:line="99" w:lineRule="exact"/>
        <w:rPr>
          <w:sz w:val="20"/>
          <w:szCs w:val="20"/>
          <w:color w:val="auto"/>
        </w:rPr>
      </w:pPr>
    </w:p>
    <w:p>
      <w:pPr>
        <w:ind w:right="80" w:firstLine="268"/>
        <w:spacing w:after="0" w:line="270" w:lineRule="auto"/>
        <w:rPr>
          <w:sz w:val="20"/>
          <w:szCs w:val="20"/>
          <w:color w:val="auto"/>
        </w:rPr>
      </w:pPr>
      <w:r>
        <w:rPr>
          <w:rFonts w:ascii="Arial" w:cs="Arial" w:eastAsia="Arial" w:hAnsi="Arial"/>
          <w:sz w:val="15"/>
          <w:szCs w:val="15"/>
          <w:color w:val="auto"/>
        </w:rPr>
        <w:t>In 2021, we have established five key operating objectives to drive improved value for shareholders, as our near-term priority remains to return to sustainable profitability. We continue to execute our strategy around these objectives:</w:t>
      </w:r>
    </w:p>
    <w:p>
      <w:pPr>
        <w:spacing w:after="0" w:line="58" w:lineRule="exact"/>
        <w:rPr>
          <w:sz w:val="20"/>
          <w:szCs w:val="20"/>
          <w:color w:val="auto"/>
        </w:rPr>
      </w:pPr>
    </w:p>
    <w:p>
      <w:pPr>
        <w:ind w:left="540" w:hanging="263"/>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Accelerating growth, by expanding our client base and our product offerings, and by leveraging our MSR asset vehicle with Oaktree;</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Strengthening recapture performance, by expanding our operating capacity;</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Improving our cost leadership position, by driving productivity and efficiencies, with our technology and continuous improvement initiatives;</w:t>
      </w:r>
    </w:p>
    <w:p>
      <w:pPr>
        <w:spacing w:after="0" w:line="5" w:lineRule="exact"/>
        <w:rPr>
          <w:rFonts w:ascii="Arial" w:cs="Arial" w:eastAsia="Arial" w:hAnsi="Arial"/>
          <w:sz w:val="15"/>
          <w:szCs w:val="15"/>
          <w:color w:val="auto"/>
        </w:rPr>
      </w:pPr>
    </w:p>
    <w:p>
      <w:pPr>
        <w:ind w:left="540" w:right="420" w:hanging="263"/>
        <w:spacing w:after="0" w:line="248"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Maintaining high quality operational execution, through our technology and continuous improvement initiatives, and our commitment to employee engagement and customer satisfaction; and</w:t>
      </w:r>
    </w:p>
    <w:p>
      <w:pPr>
        <w:ind w:left="540" w:hanging="263"/>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Expanding servicing and other revenue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MAV and Oaktree Relationship</w:t>
      </w:r>
    </w:p>
    <w:p>
      <w:pPr>
        <w:spacing w:after="0" w:line="99" w:lineRule="exact"/>
        <w:rPr>
          <w:sz w:val="20"/>
          <w:szCs w:val="20"/>
          <w:color w:val="auto"/>
        </w:rPr>
      </w:pPr>
    </w:p>
    <w:p>
      <w:pPr>
        <w:ind w:right="180" w:firstLine="268"/>
        <w:spacing w:after="0" w:line="270" w:lineRule="auto"/>
        <w:rPr>
          <w:sz w:val="20"/>
          <w:szCs w:val="20"/>
          <w:color w:val="auto"/>
        </w:rPr>
      </w:pPr>
      <w:r>
        <w:rPr>
          <w:rFonts w:ascii="Arial" w:cs="Arial" w:eastAsia="Arial" w:hAnsi="Arial"/>
          <w:sz w:val="15"/>
          <w:szCs w:val="15"/>
          <w:color w:val="auto"/>
        </w:rPr>
        <w:t>On May 3, 2021, we formally launched MAV, our MSR asset vehicle and entered into a number of definitive agreements with Oaktree. Oaktree and Ocwen committed 85% and 15%, respectively, to fund GSE MSR investments on a pro rata basis up</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4" w:name="page65"/>
    <w:bookmarkEnd w:id="64"/>
    <w:p>
      <w:pPr>
        <w:ind w:right="20"/>
        <w:spacing w:after="0" w:line="251" w:lineRule="auto"/>
        <w:rPr>
          <w:sz w:val="20"/>
          <w:szCs w:val="20"/>
          <w:color w:val="auto"/>
        </w:rPr>
      </w:pPr>
      <w:r>
        <w:rPr>
          <w:rFonts w:ascii="Arial" w:cs="Arial" w:eastAsia="Arial" w:hAnsi="Arial"/>
          <w:sz w:val="15"/>
          <w:szCs w:val="15"/>
          <w:color w:val="auto"/>
        </w:rPr>
        <w:t>to a total aggregate commitment of $250 million over a term of three years following closing (subject to extension). This joint venture is structured to provide Oaktree with MSR investment opportunities and returns, while providing PMC scale and income through subservicing and recapture services. Additionally, PMC earns direct MSR investment income through its 15% ownership stake and potential carried interest on investment returns exceeding certain thresholds. Under the arrangement, MAV has a non-compete to purchase certain GSE MSRs through specific channels in cooperation with PMC. In addition, Ocwen must offer MAV the first opportunity to purchase GSE MSRs sold by Ocwen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In exchange, PMC receives exclusive subservicing and recapture rights, subject generally to ongoing performance and financial standards.</w:t>
      </w:r>
    </w:p>
    <w:p>
      <w:pPr>
        <w:spacing w:after="0" w:line="75" w:lineRule="exact"/>
        <w:rPr>
          <w:sz w:val="20"/>
          <w:szCs w:val="20"/>
          <w:color w:val="auto"/>
        </w:rPr>
      </w:pPr>
    </w:p>
    <w:p>
      <w:pPr>
        <w:ind w:right="1280" w:firstLine="268"/>
        <w:spacing w:after="0" w:line="372" w:lineRule="auto"/>
        <w:rPr>
          <w:sz w:val="20"/>
          <w:szCs w:val="20"/>
          <w:color w:val="auto"/>
        </w:rPr>
      </w:pPr>
      <w:r>
        <w:rPr>
          <w:rFonts w:ascii="Arial" w:cs="Arial" w:eastAsia="Arial" w:hAnsi="Arial"/>
          <w:sz w:val="15"/>
          <w:szCs w:val="15"/>
          <w:color w:val="auto"/>
        </w:rPr>
        <w:t xml:space="preserve">During the third quarter of 2021, PMC recognized $2.3 million of total servicing and subservicing fees, including ancillary income, under its agreement with MAV. </w:t>
      </w:r>
      <w:r>
        <w:rPr>
          <w:rFonts w:ascii="Arial" w:cs="Arial" w:eastAsia="Arial" w:hAnsi="Arial"/>
          <w:sz w:val="15"/>
          <w:szCs w:val="15"/>
          <w:b w:val="1"/>
          <w:bCs w:val="1"/>
          <w:color w:val="auto"/>
        </w:rPr>
        <w:t>COVID-19 Pandemic Update</w:t>
      </w:r>
    </w:p>
    <w:p>
      <w:pPr>
        <w:ind w:right="200" w:firstLine="268"/>
        <w:spacing w:after="0" w:line="259" w:lineRule="auto"/>
        <w:rPr>
          <w:sz w:val="20"/>
          <w:szCs w:val="20"/>
          <w:color w:val="auto"/>
        </w:rPr>
      </w:pPr>
      <w:r>
        <w:rPr>
          <w:rFonts w:ascii="Arial" w:cs="Arial" w:eastAsia="Arial" w:hAnsi="Arial"/>
          <w:sz w:val="15"/>
          <w:szCs w:val="15"/>
          <w:color w:val="auto"/>
        </w:rPr>
        <w:t>Our financial performance in 2020 was affected by the Coronavirus Disease 2019 (COVID-19) pandemic, mostly due to large losses on MSRs and lower revenue in our Servicing business, partially offset by the growth and profitability of our Originations business. Furthermore, the CARES Act allowed us to recognize income tax benefits in 2020 mostly due to the carryback of a portion of our prior net operating losses.</w:t>
      </w:r>
    </w:p>
    <w:p>
      <w:pPr>
        <w:spacing w:after="0" w:line="66"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In 2021, our Servicing business continued to be impacted by the COVID-19 pandemic, with the large number of loans placed under forbearance and the moratorium on foreclosures. The collection and recognition of servicing fees and ancillary income related to forbearance loans are delayed or reduced. In addition, the foreclosure moratorium delayed our collection and recognition of deferred service fees. While the foreclosure moratorium ended on July 31, 2021, the eviction moratorium was extended through September 30, 2021 for foreclosed borrowers. In addition, extensions of forbearance plans remain available until the maximum number of months of extensions is reached. The majority of borrowers who entered into forbearance in the second quarter of 2020 and subsequently extended will start exiting forbearance in the fourth quarter of 2021.</w:t>
      </w:r>
    </w:p>
    <w:p>
      <w:pPr>
        <w:spacing w:after="0" w:line="55" w:lineRule="exact"/>
        <w:rPr>
          <w:sz w:val="20"/>
          <w:szCs w:val="20"/>
          <w:color w:val="auto"/>
        </w:rPr>
      </w:pPr>
    </w:p>
    <w:p>
      <w:pPr>
        <w:ind w:right="80" w:firstLine="268"/>
        <w:spacing w:after="0" w:line="255" w:lineRule="auto"/>
        <w:rPr>
          <w:sz w:val="20"/>
          <w:szCs w:val="20"/>
          <w:color w:val="auto"/>
        </w:rPr>
      </w:pPr>
      <w:r>
        <w:rPr>
          <w:rFonts w:ascii="Arial" w:cs="Arial" w:eastAsia="Arial" w:hAnsi="Arial"/>
          <w:sz w:val="15"/>
          <w:szCs w:val="15"/>
          <w:color w:val="auto"/>
        </w:rPr>
        <w:t>As of September 30, 2021, we managed 53,300 loans under forbearance, (or 4.1% of our total portfolio), 13,400 of which related to our owned MSRs (excluding NRZ), or 2.0% of our owned MSR servicing portfolio (excluding NRZ). As of September 30, 2021, the number of loans under forbearance continued to trend down, as illustrated by the below chart of forbearance plans by investor for our owned MSR portfolio (excluding NRZ). We expect an increase in loan modifications in the near term, including in the fourth quarter of 2021, as borrowers reach their available extensions of forbearance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50800</wp:posOffset>
            </wp:positionV>
            <wp:extent cx="3206750" cy="1316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750"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268"/>
        <w:spacing w:after="0" w:line="307" w:lineRule="auto"/>
        <w:rPr>
          <w:sz w:val="20"/>
          <w:szCs w:val="20"/>
          <w:color w:val="auto"/>
        </w:rPr>
      </w:pPr>
      <w:r>
        <w:rPr>
          <w:rFonts w:ascii="Arial" w:cs="Arial" w:eastAsia="Arial" w:hAnsi="Arial"/>
          <w:sz w:val="13"/>
          <w:szCs w:val="13"/>
          <w:color w:val="auto"/>
        </w:rPr>
        <w:t>We continue to operate through a secure remote workforce model for substantially all of our global workforce and continue to adhere to COVID-19 health and safety-related requirements and best practices across all of our locations. We monitor the impact of the pandemic on our workforce and have established business resiliency plans for all our locations. At September 30, 2021, we had approximately 5,200 employees, of which approximately 3,200 were located in India and approximately 400 were based in the Philippines. While we have contingency and continuity plans in place, we cannot guarantee that our operations will not be negatively impacted. To date, our operations have not been significantly affected.</w:t>
      </w:r>
    </w:p>
    <w:p>
      <w:pPr>
        <w:spacing w:after="0" w:line="38" w:lineRule="exact"/>
        <w:rPr>
          <w:sz w:val="20"/>
          <w:szCs w:val="20"/>
          <w:color w:val="auto"/>
        </w:rPr>
      </w:pPr>
    </w:p>
    <w:p>
      <w:pPr>
        <w:ind w:right="540" w:firstLine="268"/>
        <w:spacing w:after="0" w:line="270" w:lineRule="auto"/>
        <w:rPr>
          <w:sz w:val="20"/>
          <w:szCs w:val="20"/>
          <w:color w:val="auto"/>
        </w:rPr>
      </w:pPr>
      <w:r>
        <w:rPr>
          <w:rFonts w:ascii="Arial" w:cs="Arial" w:eastAsia="Arial" w:hAnsi="Arial"/>
          <w:sz w:val="15"/>
          <w:szCs w:val="15"/>
          <w:color w:val="auto"/>
        </w:rPr>
        <w:t>Uncertainties related to the duration and severity of the pandemic and related economic impact remain and make it difficult for us to determine the continued ongoing effect the pandemic may have on us and our business, financial condition, liquidity or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and Financial Condition</w:t>
      </w:r>
    </w:p>
    <w:p>
      <w:pPr>
        <w:spacing w:after="0" w:line="99" w:lineRule="exact"/>
        <w:rPr>
          <w:sz w:val="20"/>
          <w:szCs w:val="20"/>
          <w:color w:val="auto"/>
        </w:rPr>
      </w:pPr>
    </w:p>
    <w:p>
      <w:pPr>
        <w:ind w:right="80" w:firstLine="268"/>
        <w:spacing w:after="0" w:line="348" w:lineRule="auto"/>
        <w:rPr>
          <w:sz w:val="20"/>
          <w:szCs w:val="20"/>
          <w:color w:val="auto"/>
        </w:rPr>
      </w:pPr>
      <w:r>
        <w:rPr>
          <w:rFonts w:ascii="Arial" w:cs="Arial" w:eastAsia="Arial" w:hAnsi="Arial"/>
          <w:sz w:val="13"/>
          <w:szCs w:val="13"/>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analysis of financial condition and results of operations appearing in our Annual Report on Form 10-K for the fiscal year ended December 31,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6"/>
                <w:szCs w:val="16"/>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Arial" w:cs="Arial" w:eastAsia="Arial" w:hAnsi="Arial"/>
                <w:sz w:val="15"/>
                <w:szCs w:val="15"/>
                <w:b w:val="1"/>
                <w:bCs w:val="1"/>
                <w:color w:val="auto"/>
                <w:w w:val="93"/>
              </w:rPr>
              <w:t>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Results of Operations Summary</w:t>
            </w: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 Change</w:t>
            </w:r>
          </w:p>
        </w:tc>
        <w:tc>
          <w:tcPr>
            <w:tcW w:w="16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70"/>
        </w:trPr>
        <w:tc>
          <w:tcPr>
            <w:tcW w:w="31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206.6</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184.4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12 %</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562.8</w:t>
            </w: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568.4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29.3</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51.1</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42.7</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108.1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92.8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 net</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17.6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283.1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265.4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756.1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729.9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4"/>
        </w:trPr>
        <w:tc>
          <w:tcPr>
            <w:tcW w:w="3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(72.5)</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(57.6)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(231.4)</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72.2</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195.4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Servicing and origination</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26.6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82.0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60.5</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25.5</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77.8</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13.2</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47.2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Occupancy and equipment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7.9</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37.7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13.0</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145.4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149.8</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434.9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431.5</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4"/>
        </w:trPr>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4.2</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12.8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(33.5)</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(83.6)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Pledged MSR liability expense, net</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(91.2)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(39.8)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(105.7)</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n/m</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Earnings of equity method investee</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0.4</w:t>
            </w:r>
          </w:p>
        </w:tc>
        <w:tc>
          <w:tcPr>
            <w:tcW w:w="1100" w:type="dxa"/>
            <w:vAlign w:val="bottom"/>
            <w:gridSpan w:val="2"/>
          </w:tcPr>
          <w:p>
            <w:pPr>
              <w:jc w:val="center"/>
              <w:ind w:left="6"/>
              <w:spacing w:after="0"/>
              <w:rPr>
                <w:sz w:val="20"/>
                <w:szCs w:val="20"/>
                <w:color w:val="auto"/>
              </w:rPr>
            </w:pPr>
            <w:r>
              <w:rPr>
                <w:rFonts w:ascii="Arial" w:cs="Arial" w:eastAsia="Arial" w:hAnsi="Arial"/>
                <w:sz w:val="15"/>
                <w:szCs w:val="15"/>
                <w:color w:val="auto"/>
                <w:w w:val="87"/>
              </w:rPr>
              <w:t>166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3.4</w:t>
            </w:r>
          </w:p>
        </w:tc>
        <w:tc>
          <w:tcPr>
            <w:tcW w:w="110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w w:val="89"/>
              </w:rPr>
              <w:t>(44)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other expense, net</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(121.1)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(65.4)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(264.0)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(171.9)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14"/>
        </w:trPr>
        <w:tc>
          <w:tcPr>
            <w:tcW w:w="3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(22.2)</w:t>
            </w:r>
          </w:p>
        </w:tc>
        <w:tc>
          <w:tcPr>
            <w:tcW w:w="1100" w:type="dxa"/>
            <w:vAlign w:val="bottom"/>
            <w:gridSpan w:val="2"/>
          </w:tcPr>
          <w:p>
            <w:pPr>
              <w:jc w:val="center"/>
              <w:ind w:left="26"/>
              <w:spacing w:after="0"/>
              <w:rPr>
                <w:sz w:val="20"/>
                <w:szCs w:val="20"/>
                <w:color w:val="auto"/>
              </w:rPr>
            </w:pPr>
            <w:r>
              <w:rPr>
                <w:rFonts w:ascii="Arial" w:cs="Arial" w:eastAsia="Arial" w:hAnsi="Arial"/>
                <w:sz w:val="15"/>
                <w:szCs w:val="15"/>
                <w:color w:val="auto"/>
                <w:w w:val="91"/>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(104.9)</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(11.9)</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(71.9)</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58"/>
        </w:trPr>
        <w:tc>
          <w:tcPr>
            <w:tcW w:w="3100" w:type="dxa"/>
            <w:vAlign w:val="bottom"/>
          </w:tcPr>
          <w:p>
            <w:pPr>
              <w:ind w:left="120"/>
              <w:spacing w:after="0" w:line="159" w:lineRule="exact"/>
              <w:rPr>
                <w:sz w:val="20"/>
                <w:szCs w:val="20"/>
                <w:color w:val="auto"/>
              </w:rPr>
            </w:pPr>
            <w:r>
              <w:rPr>
                <w:rFonts w:ascii="Arial" w:cs="Arial" w:eastAsia="Arial" w:hAnsi="Arial"/>
                <w:sz w:val="15"/>
                <w:szCs w:val="15"/>
                <w:b w:val="1"/>
                <w:bCs w:val="1"/>
                <w:color w:val="auto"/>
              </w:rPr>
              <w:t>Net income (loss)</w:t>
            </w:r>
          </w:p>
        </w:tc>
        <w:tc>
          <w:tcPr>
            <w:tcW w:w="1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rPr>
              <w:t>21.6</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(10.3)</w:t>
            </w:r>
          </w:p>
        </w:tc>
        <w:tc>
          <w:tcPr>
            <w:tcW w:w="1100" w:type="dxa"/>
            <w:vAlign w:val="bottom"/>
            <w:gridSpan w:val="2"/>
          </w:tcPr>
          <w:p>
            <w:pPr>
              <w:jc w:val="right"/>
              <w:ind w:right="86"/>
              <w:spacing w:after="0" w:line="159" w:lineRule="exact"/>
              <w:rPr>
                <w:sz w:val="20"/>
                <w:szCs w:val="20"/>
                <w:color w:val="auto"/>
              </w:rPr>
            </w:pPr>
            <w:r>
              <w:rPr>
                <w:rFonts w:ascii="Arial" w:cs="Arial" w:eastAsia="Arial" w:hAnsi="Arial"/>
                <w:sz w:val="15"/>
                <w:szCs w:val="15"/>
                <w:color w:val="auto"/>
              </w:rPr>
              <w:t>(309)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19.8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rPr>
              <w:t>(33.0)</w:t>
            </w:r>
          </w:p>
        </w:tc>
        <w:tc>
          <w:tcPr>
            <w:tcW w:w="1100" w:type="dxa"/>
            <w:vAlign w:val="bottom"/>
            <w:gridSpan w:val="2"/>
          </w:tcPr>
          <w:p>
            <w:pPr>
              <w:jc w:val="right"/>
              <w:ind w:right="66"/>
              <w:spacing w:after="0" w:line="159" w:lineRule="exact"/>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5"/>
                <w:szCs w:val="15"/>
                <w:b w:val="1"/>
                <w:bCs w:val="1"/>
                <w:color w:val="auto"/>
                <w:w w:val="97"/>
              </w:rPr>
              <w:t>Segment income (loss) before income taxes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22.5</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71.1</w:t>
            </w:r>
          </w:p>
        </w:tc>
        <w:tc>
          <w:tcPr>
            <w:tcW w:w="110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Items and Other</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(29.4)</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(90.9)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(101.7)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(22.2)</w:t>
            </w:r>
          </w:p>
        </w:tc>
        <w:tc>
          <w:tcPr>
            <w:tcW w:w="1100" w:type="dxa"/>
            <w:vAlign w:val="bottom"/>
            <w:gridSpan w:val="2"/>
          </w:tcPr>
          <w:p>
            <w:pPr>
              <w:jc w:val="center"/>
              <w:ind w:left="26"/>
              <w:spacing w:after="0"/>
              <w:rPr>
                <w:sz w:val="20"/>
                <w:szCs w:val="20"/>
                <w:color w:val="auto"/>
              </w:rPr>
            </w:pPr>
            <w:r>
              <w:rPr>
                <w:rFonts w:ascii="Arial" w:cs="Arial" w:eastAsia="Arial" w:hAnsi="Arial"/>
                <w:sz w:val="15"/>
                <w:szCs w:val="15"/>
                <w:color w:val="auto"/>
                <w:w w:val="90"/>
              </w:rPr>
              <w:t>(146)%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(104.9)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rPr>
                <w:sz w:val="20"/>
                <w:szCs w:val="20"/>
                <w:color w:val="auto"/>
              </w:rPr>
            </w:pPr>
            <w:r>
              <w:rPr>
                <w:rFonts w:ascii="Arial" w:cs="Arial" w:eastAsia="Arial" w:hAnsi="Arial"/>
                <w:sz w:val="15"/>
                <w:szCs w:val="15"/>
                <w:color w:val="auto"/>
              </w:rPr>
              <w:t>n/m: not meaningful</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246"/>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3"/>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20"/>
                <w:szCs w:val="20"/>
                <w:color w:val="auto"/>
              </w:rPr>
            </w:pPr>
            <w:r>
              <w:rPr>
                <w:rFonts w:ascii="Arial" w:cs="Arial" w:eastAsia="Arial" w:hAnsi="Arial"/>
                <w:sz w:val="15"/>
                <w:szCs w:val="15"/>
                <w:b w:val="1"/>
                <w:bCs w:val="1"/>
                <w:i w:val="1"/>
                <w:iCs w:val="1"/>
                <w:color w:val="auto"/>
              </w:rPr>
              <w:t>Total Revenue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8"/>
        </w:trPr>
        <w:tc>
          <w:tcPr>
            <w:tcW w:w="5900" w:type="dxa"/>
            <w:vAlign w:val="bottom"/>
            <w:gridSpan w:val="6"/>
          </w:tcPr>
          <w:p>
            <w:pPr>
              <w:jc w:val="right"/>
              <w:ind w:right="766"/>
              <w:spacing w:after="0"/>
              <w:rPr>
                <w:sz w:val="20"/>
                <w:szCs w:val="20"/>
                <w:color w:val="auto"/>
              </w:rPr>
            </w:pPr>
            <w:r>
              <w:rPr>
                <w:rFonts w:ascii="Arial" w:cs="Arial" w:eastAsia="Arial" w:hAnsi="Arial"/>
                <w:sz w:val="15"/>
                <w:szCs w:val="15"/>
                <w:color w:val="auto"/>
                <w:w w:val="93"/>
              </w:rPr>
              <w:t>The below table presents total revenue by segment and at the consolidated level:</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24"/>
        </w:trPr>
        <w:tc>
          <w:tcPr>
            <w:tcW w:w="2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86"/>
              <w:spacing w:after="0"/>
              <w:rPr>
                <w:sz w:val="20"/>
                <w:szCs w:val="20"/>
                <w:color w:val="auto"/>
              </w:rPr>
            </w:pPr>
            <w:r>
              <w:rPr>
                <w:rFonts w:ascii="Arial" w:cs="Arial" w:eastAsia="Arial" w:hAnsi="Arial"/>
                <w:sz w:val="15"/>
                <w:szCs w:val="15"/>
                <w:b w:val="1"/>
                <w:bCs w:val="1"/>
                <w:color w:val="auto"/>
                <w:w w:val="95"/>
              </w:rPr>
              <w:t>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2"/>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81"/>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224.3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197.3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189"/>
        </w:trPr>
        <w:tc>
          <w:tcPr>
            <w:tcW w:w="296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55.4</w:t>
            </w:r>
          </w:p>
        </w:tc>
        <w:tc>
          <w:tcPr>
            <w:tcW w:w="1200" w:type="dxa"/>
            <w:vAlign w:val="bottom"/>
            <w:gridSpan w:val="2"/>
          </w:tcPr>
          <w:p>
            <w:pPr>
              <w:jc w:val="right"/>
              <w:ind w:right="106"/>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180.4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124.8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45</w:t>
            </w:r>
          </w:p>
        </w:tc>
      </w:tr>
      <w:tr>
        <w:trPr>
          <w:trHeight w:val="190"/>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1.5</w:t>
            </w:r>
          </w:p>
        </w:tc>
        <w:tc>
          <w:tcPr>
            <w:tcW w:w="12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5.2</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(17)</w:t>
            </w:r>
          </w:p>
        </w:tc>
      </w:tr>
      <w:tr>
        <w:trPr>
          <w:trHeight w:val="181"/>
        </w:trPr>
        <w:tc>
          <w:tcPr>
            <w:tcW w:w="2960" w:type="dxa"/>
            <w:vAlign w:val="bottom"/>
          </w:tcPr>
          <w:p>
            <w:pPr>
              <w:ind w:left="120"/>
              <w:spacing w:after="0"/>
              <w:rPr>
                <w:sz w:val="20"/>
                <w:szCs w:val="20"/>
                <w:color w:val="auto"/>
              </w:rPr>
            </w:pPr>
            <w:r>
              <w:rPr>
                <w:rFonts w:ascii="Arial" w:cs="Arial" w:eastAsia="Arial" w:hAnsi="Arial"/>
                <w:sz w:val="15"/>
                <w:szCs w:val="15"/>
                <w:b w:val="1"/>
                <w:bCs w:val="1"/>
                <w:color w:val="auto"/>
              </w:rPr>
              <w:t>Total segment revenue</w:t>
            </w:r>
          </w:p>
        </w:tc>
        <w:tc>
          <w:tcPr>
            <w:tcW w:w="180" w:type="dxa"/>
            <w:vAlign w:val="bottom"/>
          </w:tcPr>
          <w:p>
            <w:pPr>
              <w:spacing w:after="0"/>
              <w:rPr>
                <w:sz w:val="15"/>
                <w:szCs w:val="15"/>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b w:val="1"/>
                <w:bCs w:val="1"/>
                <w:color w:val="auto"/>
              </w:rPr>
              <w:t>284.6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b w:val="1"/>
                <w:bCs w:val="1"/>
                <w:color w:val="auto"/>
              </w:rPr>
              <w:t>254.1</w:t>
            </w:r>
          </w:p>
        </w:tc>
        <w:tc>
          <w:tcPr>
            <w:tcW w:w="120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b w:val="1"/>
                <w:bCs w:val="1"/>
                <w:color w:val="auto"/>
              </w:rPr>
              <w:t>781.7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b w:val="1"/>
                <w:bCs w:val="1"/>
                <w:color w:val="auto"/>
              </w:rPr>
              <w:t>722.1</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rPr>
              <w:t>8</w:t>
            </w:r>
          </w:p>
        </w:tc>
      </w:tr>
      <w:tr>
        <w:trPr>
          <w:trHeight w:val="189"/>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Inter-segment elimination (1)</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w:t>
            </w:r>
          </w:p>
        </w:tc>
        <w:tc>
          <w:tcPr>
            <w:tcW w:w="12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(113)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7.8</w:t>
            </w:r>
          </w:p>
        </w:tc>
        <w:tc>
          <w:tcPr>
            <w:tcW w:w="1100" w:type="dxa"/>
            <w:vAlign w:val="bottom"/>
            <w:gridSpan w:val="2"/>
            <w:shd w:val="clear" w:color="auto" w:fill="CCEEFF"/>
          </w:tcPr>
          <w:p>
            <w:pPr>
              <w:jc w:val="right"/>
              <w:ind w:right="266"/>
              <w:spacing w:after="0"/>
              <w:rPr>
                <w:sz w:val="20"/>
                <w:szCs w:val="20"/>
                <w:color w:val="auto"/>
              </w:rPr>
            </w:pPr>
            <w:r>
              <w:rPr>
                <w:rFonts w:ascii="Arial" w:cs="Arial" w:eastAsia="Arial" w:hAnsi="Arial"/>
                <w:sz w:val="15"/>
                <w:szCs w:val="15"/>
                <w:color w:val="auto"/>
              </w:rPr>
              <w:t>(426)</w:t>
            </w:r>
          </w:p>
        </w:tc>
      </w:tr>
      <w:tr>
        <w:trPr>
          <w:trHeight w:val="181"/>
        </w:trPr>
        <w:tc>
          <w:tcPr>
            <w:tcW w:w="2960" w:type="dxa"/>
            <w:vAlign w:val="bottom"/>
          </w:tcPr>
          <w:p>
            <w:pPr>
              <w:ind w:left="20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283.1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265.4</w:t>
            </w:r>
          </w:p>
        </w:tc>
        <w:tc>
          <w:tcPr>
            <w:tcW w:w="1200" w:type="dxa"/>
            <w:vAlign w:val="bottom"/>
            <w:gridSpan w:val="2"/>
          </w:tcPr>
          <w:p>
            <w:pPr>
              <w:jc w:val="right"/>
              <w:ind w:right="106"/>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756.1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729.9</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80" w:right="460" w:hanging="271"/>
        <w:spacing w:after="0" w:line="285" w:lineRule="auto"/>
        <w:tabs>
          <w:tab w:leader="none" w:pos="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fair value change of inter-segment economic hedge derivatives reported within Total revenue (gain on loans held for sale) is eliminated at the consolidated level with an offset in MSR valuation adjustments, net.</w:t>
      </w:r>
    </w:p>
    <w:p>
      <w:pPr>
        <w:spacing w:after="0" w:line="44"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Total segment revenue was $284.6 million for the third quarter of 2021, $30.5 million or 12% higher than the second quarter of 2021, driven by a $27.0 million revenue increase from Servicing and a $3.4 million revenue increase from Originations. The Servicing revenue increase is mostly due to $23.3 million incremental servicing fees due to the net growth of our owned MSR portfolio, including the large MSR bulk acquisitions in June 2021, and a $22.5 million gain on sale of loans acquired through the exercise of call rights, offset in part by a $23.5 million decline in Reverse mortgage revenue, net driven by unrealized fair value losses on our net reverse portfolio due to increasing interest rates and spread widening. The increase in Originations revenue is mostly due to higher loan production volume.</w:t>
      </w:r>
    </w:p>
    <w:p>
      <w:pPr>
        <w:spacing w:after="0" w:line="72"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As compared to the nine months ended September 30, 2020, total segment revenue for the nine months ended September 30, 2021 was $59.6 million or 8% higher, due to a $55.6 million increase in Originations revenue and a $4.9 million increase in Servicing revenue. The increase in Originations revenue is primarily due to an increase in forward and reverse production volume, partially offset by lower margins. The increase in Servicing revenue is primarily due to the $22.5 million gain on sale of loans acquired through the exercise of call rights in the third quarter of 2021, offset by a $13.3 million decline in Reverse mortgage revenue, net due to increasing interest rates. In addition, servicing fees declined by $8.3 million driven by a reduction in fees collected on behalf of NRZ after the termination of the PMC servicing agreement by NRZ in February 2020, and a reduction in ancillary income, mostly due to lower average servicing volume, the COVID-19 environment and lower interest rates, partially offset by the growth in our owned MSR portfolio.</w:t>
      </w:r>
    </w:p>
    <w:p>
      <w:pPr>
        <w:spacing w:after="0" w:line="56" w:lineRule="exact"/>
        <w:rPr>
          <w:sz w:val="20"/>
          <w:szCs w:val="20"/>
          <w:color w:val="auto"/>
        </w:rPr>
      </w:pPr>
    </w:p>
    <w:p>
      <w:pPr>
        <w:ind w:right="60" w:firstLine="268"/>
        <w:spacing w:after="0" w:line="301" w:lineRule="auto"/>
        <w:rPr>
          <w:sz w:val="20"/>
          <w:szCs w:val="20"/>
          <w:color w:val="auto"/>
        </w:rPr>
      </w:pPr>
      <w:r>
        <w:rPr>
          <w:rFonts w:ascii="Arial" w:cs="Arial" w:eastAsia="Arial" w:hAnsi="Arial"/>
          <w:sz w:val="13"/>
          <w:szCs w:val="13"/>
          <w:color w:val="auto"/>
        </w:rPr>
        <w:t>Total revenue (after elimination of inter-segment derivative fair value changes) was $283.1 million for the third quarter of 2021, $17.7 million or 7% higher than the second quarter of 2021, driven by the factors described above and in part by the presentation of macro-hedging derivative gains and losses reported within MSR valuation adjustments, net at the consolidated level, as disclosed in Note 4 – Loans Held for Sale, Note 15 – Derivative Financial Instruments and Hedging Activities and Note 19 – Business Segment Reporting. Effective May 2021, we replaced our macro-hedging strategies with two distinct strategies to separately hedge the pipeline and our MSR exposure with third party derivatives. However, we have and may continue to use inter-segment derivatives between the two strategies. Refer to Item 3 - Quantitative and qualitative disclosures about market risk for further detail.</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the respective Segment Results of Operations for additional information.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20"/>
                <w:szCs w:val="20"/>
                <w:color w:val="auto"/>
              </w:rPr>
            </w:pPr>
            <w:r>
              <w:rPr>
                <w:rFonts w:ascii="Arial" w:cs="Arial" w:eastAsia="Arial" w:hAnsi="Arial"/>
                <w:sz w:val="15"/>
                <w:szCs w:val="15"/>
                <w:b w:val="1"/>
                <w:bCs w:val="1"/>
                <w:i w:val="1"/>
                <w:iCs w:val="1"/>
                <w:color w:val="auto"/>
              </w:rPr>
              <w:t>MSR Valuation Adjustments, Net</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5220" w:type="dxa"/>
            <w:vAlign w:val="bottom"/>
          </w:tcPr>
          <w:p>
            <w:pPr>
              <w:ind w:left="280"/>
              <w:spacing w:after="0"/>
              <w:rPr>
                <w:sz w:val="20"/>
                <w:szCs w:val="20"/>
                <w:color w:val="auto"/>
              </w:rPr>
            </w:pPr>
            <w:r>
              <w:rPr>
                <w:rFonts w:ascii="Arial" w:cs="Arial" w:eastAsia="Arial" w:hAnsi="Arial"/>
                <w:sz w:val="15"/>
                <w:szCs w:val="15"/>
                <w:color w:val="auto"/>
                <w:w w:val="90"/>
              </w:rPr>
              <w:t>The table below presents the key components of MSR valuation adjustments, net:</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24"/>
        </w:trPr>
        <w:tc>
          <w:tcPr>
            <w:tcW w:w="5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46"/>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Nine Months Ended</w:t>
            </w:r>
          </w:p>
        </w:tc>
      </w:tr>
      <w:tr>
        <w:trPr>
          <w:trHeight w:val="325"/>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24"/>
                <w:szCs w:val="24"/>
                <w:color w:val="auto"/>
              </w:rPr>
            </w:pPr>
          </w:p>
        </w:tc>
        <w:tc>
          <w:tcPr>
            <w:tcW w:w="1260" w:type="dxa"/>
            <w:vAlign w:val="bottom"/>
          </w:tcPr>
          <w:p>
            <w:pPr>
              <w:jc w:val="right"/>
              <w:ind w:right="186"/>
              <w:spacing w:after="0"/>
              <w:rPr>
                <w:sz w:val="20"/>
                <w:szCs w:val="20"/>
                <w:color w:val="auto"/>
              </w:rPr>
            </w:pPr>
            <w:r>
              <w:rPr>
                <w:rFonts w:ascii="Arial" w:cs="Arial" w:eastAsia="Arial" w:hAnsi="Arial"/>
                <w:sz w:val="15"/>
                <w:szCs w:val="15"/>
                <w:b w:val="1"/>
                <w:bCs w:val="1"/>
                <w:color w:val="auto"/>
                <w:w w:val="95"/>
              </w:rPr>
              <w:t>September 30,</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Segment Results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2020</w:t>
            </w:r>
          </w:p>
        </w:tc>
      </w:tr>
      <w:tr>
        <w:trPr>
          <w:trHeight w:val="181"/>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realization of expected cash flows (1)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(127.9)</w:t>
            </w:r>
          </w:p>
        </w:tc>
      </w:tr>
      <w:tr>
        <w:trPr>
          <w:trHeight w:val="189"/>
        </w:trPr>
        <w:tc>
          <w:tcPr>
            <w:tcW w:w="5220" w:type="dxa"/>
            <w:vAlign w:val="bottom"/>
          </w:tcPr>
          <w:p>
            <w:pPr>
              <w:ind w:left="120"/>
              <w:spacing w:after="0"/>
              <w:rPr>
                <w:sz w:val="20"/>
                <w:szCs w:val="20"/>
                <w:color w:val="auto"/>
              </w:rPr>
            </w:pPr>
            <w:r>
              <w:rPr>
                <w:rFonts w:ascii="Arial" w:cs="Arial" w:eastAsia="Arial" w:hAnsi="Arial"/>
                <w:sz w:val="15"/>
                <w:szCs w:val="15"/>
                <w:color w:val="auto"/>
              </w:rPr>
              <w:t>MSR fair value changes due to interest rate and assumption updates</w:t>
            </w:r>
          </w:p>
        </w:tc>
        <w:tc>
          <w:tcPr>
            <w:tcW w:w="18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(47.2)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100.7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(169.0)</w:t>
            </w:r>
          </w:p>
        </w:tc>
      </w:tr>
      <w:tr>
        <w:trPr>
          <w:trHeight w:val="190"/>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fair value gain (loss)</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34.3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47.1</w:t>
            </w:r>
          </w:p>
        </w:tc>
      </w:tr>
      <w:tr>
        <w:trPr>
          <w:trHeight w:val="180"/>
        </w:trPr>
        <w:tc>
          <w:tcPr>
            <w:tcW w:w="5220" w:type="dxa"/>
            <w:vAlign w:val="bottom"/>
          </w:tcPr>
          <w:p>
            <w:pPr>
              <w:ind w:left="220"/>
              <w:spacing w:after="0"/>
              <w:rPr>
                <w:sz w:val="20"/>
                <w:szCs w:val="20"/>
                <w:color w:val="auto"/>
              </w:rPr>
            </w:pPr>
            <w:r>
              <w:rPr>
                <w:rFonts w:ascii="Arial" w:cs="Arial" w:eastAsia="Arial" w:hAnsi="Arial"/>
                <w:sz w:val="15"/>
                <w:szCs w:val="15"/>
                <w:color w:val="auto"/>
              </w:rPr>
              <w:t>Total Servicing</w:t>
            </w:r>
          </w:p>
        </w:tc>
        <w:tc>
          <w:tcPr>
            <w:tcW w:w="180" w:type="dxa"/>
            <w:vAlign w:val="bottom"/>
          </w:tcPr>
          <w:p>
            <w:pPr>
              <w:spacing w:after="0"/>
              <w:rPr>
                <w:sz w:val="15"/>
                <w:szCs w:val="15"/>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(69.9)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(103.2)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(249.8)</w:t>
            </w:r>
          </w:p>
        </w:tc>
      </w:tr>
      <w:tr>
        <w:trPr>
          <w:trHeight w:val="190"/>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Originations - MSR fair value changes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26.3</w:t>
            </w:r>
          </w:p>
        </w:tc>
      </w:tr>
      <w:tr>
        <w:trPr>
          <w:trHeight w:val="189"/>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Inter-segment elimination - derivative fair value gain (loss) (2)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(7.8)</w:t>
            </w:r>
          </w:p>
        </w:tc>
      </w:tr>
      <w:tr>
        <w:trPr>
          <w:trHeight w:val="20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(72.4)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(231.3)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00" w:hanging="191"/>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terms realization of expected cash flows and runoff may be used interchangeably within this discussion.</w:t>
      </w:r>
    </w:p>
    <w:p>
      <w:pPr>
        <w:spacing w:after="0" w:line="18" w:lineRule="exact"/>
        <w:rPr>
          <w:rFonts w:ascii="Arial" w:cs="Arial" w:eastAsia="Arial" w:hAnsi="Arial"/>
          <w:sz w:val="13"/>
          <w:szCs w:val="13"/>
          <w:color w:val="auto"/>
        </w:rPr>
      </w:pPr>
    </w:p>
    <w:p>
      <w:pPr>
        <w:ind w:right="220" w:firstLine="9"/>
        <w:spacing w:after="0" w:line="266" w:lineRule="auto"/>
        <w:tabs>
          <w:tab w:leader="none" w:pos="189"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value change of inter-segment economic hedge derivatives reported within MSR valuation adjustments, net is eliminated at the consolidated level with an offset in Gain on loans held for sale, net (Total Revenue). Also refer to the description of the inter-segment derivative elimination in Note 19 – Business Segment Reporting.</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reported a $6.3 million loss in MSR valuation adjustments, net in the third quarter of 2021, that mostly comprised $68.9 million MSR portfolio runoff, $72.4 million fair value gains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of the MSR portfolio attributable to interest rate and assumption updates and $14.1 million hedging derivative loss. MSR portfolio runoff represents the realization of expected cash flows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and yield based on projected borrower behavior, including scheduled and unscheduled amortization of the loan UPB. The MSR portfolio runoff increased by $11.9 million between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second and third quarters of 2021 mostly due to a higher MSR UPB. The $72.4 million fair value gains of the MSR portfolio attributable to interest rate and assumption updates includes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$11.1 million gain on our owned MSR and $61.3 million gain on the MSR portfolio sold to NRZ and MAV. This NRZ and MAV MSR gain is mostly driven by assumption updates relating</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 a PLS model calibration by our third party valuation expert, and is offset by a corresponding loss separately reported with MSR pledged liability expense.</w:t>
      </w:r>
    </w:p>
    <w:p>
      <w:pPr>
        <w:spacing w:after="0" w:line="85" w:lineRule="exact"/>
        <w:rPr>
          <w:sz w:val="20"/>
          <w:szCs w:val="20"/>
          <w:color w:val="auto"/>
        </w:rPr>
      </w:pPr>
    </w:p>
    <w:p>
      <w:pPr>
        <w:ind w:right="20" w:firstLine="268"/>
        <w:spacing w:after="0" w:line="274" w:lineRule="auto"/>
        <w:rPr>
          <w:sz w:val="20"/>
          <w:szCs w:val="20"/>
          <w:color w:val="auto"/>
        </w:rPr>
      </w:pPr>
      <w:r>
        <w:rPr>
          <w:rFonts w:ascii="Arial" w:cs="Arial" w:eastAsia="Arial" w:hAnsi="Arial"/>
          <w:sz w:val="14"/>
          <w:szCs w:val="14"/>
          <w:color w:val="auto"/>
        </w:rPr>
        <w:t>Our MSR hedging policy is designed to reduce the volatility of the MSR portfolio fair value due to market interest rates, with $11.1 million fair value gains of our owned MSR portfolio attributable to interest rate and assumption updates and $14.1 million hedging derivative loss. The quarter-over-quarter fair value changes are mostly explained by interest rate changes, with a 34 basis point decrease and 6 basis point increase in the 10-year swap rate during the second and third quarter of 2021, respectively. The changes in fair value of the MSR and hedging derivatives were not offset to the same extent as per their expected hedging sensitivity measures, mainly due to non-parallel changes in the interest rate curve and the basis risk inherent in the MSR profile and the available hedging instruments. In addition, we established a higher hedge coverage on a committed MSR sale to MAV during the third quarter of 2021. Refer to Item 3. Quantitative and Qualitative Disclosures About Market Risk for additional information regarding our hedging programs.</w:t>
      </w:r>
    </w:p>
    <w:p>
      <w:pPr>
        <w:spacing w:after="0" w:line="56" w:lineRule="exact"/>
        <w:rPr>
          <w:sz w:val="20"/>
          <w:szCs w:val="20"/>
          <w:color w:val="auto"/>
        </w:rPr>
      </w:pPr>
    </w:p>
    <w:p>
      <w:pPr>
        <w:ind w:right="140" w:firstLine="268"/>
        <w:spacing w:after="0" w:line="286" w:lineRule="auto"/>
        <w:rPr>
          <w:sz w:val="20"/>
          <w:szCs w:val="20"/>
          <w:color w:val="auto"/>
        </w:rPr>
      </w:pPr>
      <w:r>
        <w:rPr>
          <w:rFonts w:ascii="Arial" w:cs="Arial" w:eastAsia="Arial" w:hAnsi="Arial"/>
          <w:sz w:val="14"/>
          <w:szCs w:val="14"/>
          <w:color w:val="auto"/>
        </w:rPr>
        <w:t>The $6.0 million decline in the quarter in MSR fair value changes reported in Originations, from $8.8 million to $2.8 million, is due to a decline in our cash window MSR originations volume and margin. The change from $11.3 million loss in the second quarter of 2021 to $1.5 million gain on Originations inter-segment derivatives in the third quarter of 2021 is mostly due to the change in interest rates. These inter-segment derivatives economically hedge the fair value changes of the Originations pipeline.</w:t>
      </w:r>
    </w:p>
    <w:p>
      <w:pPr>
        <w:spacing w:after="0" w:line="49" w:lineRule="exact"/>
        <w:rPr>
          <w:sz w:val="20"/>
          <w:szCs w:val="20"/>
          <w:color w:val="auto"/>
        </w:rPr>
      </w:pPr>
    </w:p>
    <w:p>
      <w:pPr>
        <w:ind w:right="20" w:firstLine="268"/>
        <w:spacing w:after="0" w:line="298" w:lineRule="auto"/>
        <w:rPr>
          <w:sz w:val="20"/>
          <w:szCs w:val="20"/>
          <w:color w:val="auto"/>
        </w:rPr>
      </w:pPr>
      <w:r>
        <w:rPr>
          <w:rFonts w:ascii="Arial" w:cs="Arial" w:eastAsia="Arial" w:hAnsi="Arial"/>
          <w:sz w:val="13"/>
          <w:szCs w:val="13"/>
          <w:color w:val="auto"/>
        </w:rPr>
        <w:t>For the nine months ended September 30, 2021, we reported a $57.6 million loss in MSR valuation adjustments, net. As detailed in the above table, the loss is mostly due to $175.1 million MSR portfolio runoff, $100.7 million MSR fair value gain due to interest rate and assumption update, $28.9 million loss on MSR hedging derivative instruments, $20.1 million revaluation gain on MSR purchases reported in Originations and a $25.5 million gain on derivatives hedging the pipeline within the Originations segment. The $100.7 million fair value gains due to interest rate and assumption update comprises $29.4 million gain on our owned MSRs and $71.3 million gain on MSRs sold to NRZ and MAV. The factors described above for the third quarter of 2021 and the comparison with prior period similarly apply. The MSR portfolio runoff increased by $47.2 million between the nine months ended September 30, 2020 and nine months ended September 30, 2021 mostly due to a higher MSR portfolio driven by MSR acquisitions and continued elevated levels of prepayments.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and Originations for additional information.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95" w:lineRule="exact"/>
        <w:rPr>
          <w:sz w:val="20"/>
          <w:szCs w:val="20"/>
          <w:color w:val="auto"/>
        </w:rPr>
      </w:pPr>
    </w:p>
    <w:p>
      <w:pPr>
        <w:ind w:right="120" w:firstLine="268"/>
        <w:spacing w:after="0" w:line="253" w:lineRule="auto"/>
        <w:rPr>
          <w:sz w:val="20"/>
          <w:szCs w:val="20"/>
          <w:color w:val="auto"/>
        </w:rPr>
      </w:pPr>
      <w:r>
        <w:rPr>
          <w:rFonts w:ascii="Arial" w:cs="Arial" w:eastAsia="Arial" w:hAnsi="Arial"/>
          <w:sz w:val="15"/>
          <w:szCs w:val="15"/>
          <w:color w:val="auto"/>
        </w:rPr>
        <w:t>Compensation and benefits expense for the third quarter of 2021 decreased $3.2 million, or 4%, as compared to the second quarter of 2021. Incentive compensation decreased $3.2 million, mostly due to a decrease in the fair value of cash-settled share-based awards as a result of a decrease in our common stock price during the quarter. While our total average headcount increased by 4% from the second quarter of 2021 to the third quarter of 2021 due to our initiative to expand our Originations platform and increase volumes, the related increase in salaries expense was offset by a reduction in COVID-19 related benefits. Overall, our offshore-to-total average headcount ratio remained constant at 69% for both the third quarter of 2021 and second quarter of 2021.</w:t>
      </w:r>
    </w:p>
    <w:p>
      <w:pPr>
        <w:spacing w:after="0" w:line="72" w:lineRule="exact"/>
        <w:rPr>
          <w:sz w:val="20"/>
          <w:szCs w:val="20"/>
          <w:color w:val="auto"/>
        </w:rPr>
      </w:pPr>
    </w:p>
    <w:p>
      <w:pPr>
        <w:ind w:right="40" w:firstLine="268"/>
        <w:spacing w:after="0" w:line="252" w:lineRule="auto"/>
        <w:rPr>
          <w:sz w:val="20"/>
          <w:szCs w:val="20"/>
          <w:color w:val="auto"/>
        </w:rPr>
      </w:pPr>
      <w:r>
        <w:rPr>
          <w:rFonts w:ascii="Arial" w:cs="Arial" w:eastAsia="Arial" w:hAnsi="Arial"/>
          <w:sz w:val="15"/>
          <w:szCs w:val="15"/>
          <w:color w:val="auto"/>
        </w:rPr>
        <w:t>As compared to the nine months ended September 30, 2020, compensation and benefits expense for the nine months ended September 30, 2021 increased $14.0 million, or 7%. Salaries and benefits, commissions, and incentive compensation increased $5.0 million, $6.0 million, and $3.0 million, respectively. Originations segment compensation and benefits expense increased by $28.4 million, mostly due to additional commissions and salaries driven by additional headcount to support higher loan production levels. Servicing segment compensation and benefits expense decreased by $10.7 million, mostly driven by a decline in average headcount that was largely due to the scaling down of our workforce to our loan count and our cost re-engineering initiatives. Our total average headcount declined by 6%, and overall, our offshore-to-total average headcount ratio decreased from 72% in the nine months ended September 30, 2020 to 69% in the nine months ended September 30, 2021.</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and Origination Expense</w:t>
      </w:r>
    </w:p>
    <w:p>
      <w:pPr>
        <w:spacing w:after="0" w:line="95" w:lineRule="exact"/>
        <w:rPr>
          <w:sz w:val="20"/>
          <w:szCs w:val="20"/>
          <w:color w:val="auto"/>
        </w:rPr>
      </w:pPr>
    </w:p>
    <w:p>
      <w:pPr>
        <w:ind w:right="80" w:firstLine="268"/>
        <w:spacing w:after="0" w:line="270" w:lineRule="auto"/>
        <w:rPr>
          <w:sz w:val="20"/>
          <w:szCs w:val="20"/>
          <w:color w:val="auto"/>
        </w:rPr>
      </w:pPr>
      <w:r>
        <w:rPr>
          <w:rFonts w:ascii="Arial" w:cs="Arial" w:eastAsia="Arial" w:hAnsi="Arial"/>
          <w:sz w:val="15"/>
          <w:szCs w:val="15"/>
          <w:color w:val="auto"/>
        </w:rPr>
        <w:t>Servicing and origination expense for the third quarter of 2021 increased $1.3 million, or 5%, as compared to the second quarter of 2021. Net servicing expenses increased $1.5 million largely due to $2.5 million additional interim subservicing expenses on MSR bulk acquisitions.</w:t>
      </w:r>
    </w:p>
    <w:p>
      <w:pPr>
        <w:spacing w:after="0" w:line="58"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Servicing and origination expense for the nine months ended September 30, 2021 increased $21.5 million, or 36%, as compared to the nine months ended September 30, 2020, primarily due to an increase in volumes. Servicing expense for the nine months ended September 30, 2021 increased $17.4 million, or 32%, as compared to the nine months ended September 30, 2020, primarily due to an $11.8 million increase in provision expense for servicing related reserves driven by significant recoveries during the nine months ended September 30, 2020 which did not recur in 2021, a $4.5 million increase in interim subservicing expense on MSR bulk acquisitions, a $2.6 million increase in our subservicer expenses primarily attributable to growth in the reverse portfolio, and a $2.2 million increase in satisfaction and interest payoff expense attributed to higher payoff volume. These increases were partially offset by a $5.9 million decrease in provisions associated with the volume of government-insured claim receivables due to the foreclosure moratorium during the nine months ended September 30, 2021. Originations expenses increased by $4.9 million due to the increase in loan production volume in all channels.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95"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Professional services expense for the third quarter of 2021 decreased $7.1 million, or 28%, as compared to the second quarter of 2021, primarily due to a $6.9 million decline in legal expenses. The decline in legal expenses is primarily due to a $6.8 million lower provision for litigation settlements.</w:t>
      </w:r>
    </w:p>
    <w:p>
      <w:pPr>
        <w:spacing w:after="0" w:line="58" w:lineRule="exact"/>
        <w:rPr>
          <w:sz w:val="20"/>
          <w:szCs w:val="20"/>
          <w:color w:val="auto"/>
        </w:rPr>
      </w:pPr>
    </w:p>
    <w:p>
      <w:pPr>
        <w:ind w:firstLine="268"/>
        <w:spacing w:after="0" w:line="252" w:lineRule="auto"/>
        <w:rPr>
          <w:sz w:val="20"/>
          <w:szCs w:val="20"/>
          <w:color w:val="auto"/>
        </w:rPr>
      </w:pPr>
      <w:r>
        <w:rPr>
          <w:rFonts w:ascii="Arial" w:cs="Arial" w:eastAsia="Arial" w:hAnsi="Arial"/>
          <w:sz w:val="15"/>
          <w:szCs w:val="15"/>
          <w:color w:val="auto"/>
        </w:rPr>
        <w:t>Professional services expense for the nine months ended September 30, 2021 decreased $16.6 million, or 21%, as compared to the nine months ended September 30, 2020, primarily due to a $9.8 million decline in other professional services and a $6.3 million decline in legal expenses. Cost reduction initiatives and higher utilization of professional services in 2020, including strategic vendor sourcing, cloud migration and consulting, resulted in lower other professional fees in 2021. In addition, professional services for the nine months ended September 30, 2021 include $3.2 million of advisory fees related to the launch of our MSR investment joint venture with Oaktree, MAV Canopy. Professional services for the nine months ended September 30, 2020 include $4.7 million of COVID-19 related expenses. The decline in legal expenses is primarily due to expenses recorded in the first nine months of 2020 related to the CFPB and Florida matters.</w:t>
      </w:r>
    </w:p>
    <w:p>
      <w:pPr>
        <w:spacing w:after="0" w:line="73" w:lineRule="exact"/>
        <w:rPr>
          <w:sz w:val="20"/>
          <w:szCs w:val="20"/>
          <w:color w:val="auto"/>
        </w:rPr>
      </w:pPr>
    </w:p>
    <w:p>
      <w:pPr>
        <w:ind w:right="140" w:firstLine="268"/>
        <w:spacing w:after="0" w:line="270" w:lineRule="auto"/>
        <w:rPr>
          <w:sz w:val="20"/>
          <w:szCs w:val="20"/>
          <w:color w:val="auto"/>
        </w:rPr>
      </w:pPr>
      <w:r>
        <w:rPr>
          <w:rFonts w:ascii="Arial" w:cs="Arial" w:eastAsia="Arial" w:hAnsi="Arial"/>
          <w:sz w:val="15"/>
          <w:szCs w:val="15"/>
          <w:color w:val="auto"/>
        </w:rPr>
        <w:t>Occupancy and equipment expense for the third quarter of 2021 increased $1.1 million, or 14%, as compared to the second quarter of 2021 primarily due to an increase in postage and mailing expenses and record storage costs, mostly as a result of an increase in the average number of loans serviced.</w:t>
      </w:r>
    </w:p>
    <w:p>
      <w:pPr>
        <w:spacing w:after="0" w:line="58" w:lineRule="exact"/>
        <w:rPr>
          <w:sz w:val="20"/>
          <w:szCs w:val="20"/>
          <w:color w:val="auto"/>
        </w:rPr>
      </w:pPr>
    </w:p>
    <w:p>
      <w:pPr>
        <w:ind w:right="40" w:firstLine="268"/>
        <w:spacing w:after="0" w:line="276" w:lineRule="auto"/>
        <w:rPr>
          <w:sz w:val="20"/>
          <w:szCs w:val="20"/>
          <w:color w:val="auto"/>
        </w:rPr>
      </w:pPr>
      <w:r>
        <w:rPr>
          <w:rFonts w:ascii="Arial" w:cs="Arial" w:eastAsia="Arial" w:hAnsi="Arial"/>
          <w:sz w:val="14"/>
          <w:szCs w:val="14"/>
          <w:color w:val="auto"/>
        </w:rPr>
        <w:t>Occupancy and equipment expense for the nine months ended September 30, 2021 decreased $12.0 million, or 32%, as compared to the nine months ended September 30, 2020. Depreciation expense, facility maintenance and utility expenses, and interest on lease liabilities decreased $5.4 million, $2.6 million and $1.5 million, respectively, compared to the nine months ended September 30, 2020, largely due to our cost reduction efforts in 2020 which included closing and consolidating certain facilities. Postage and mailing expenses decreased $1.8 million compared to the nine months ended September 30, 2020, largely due to a decline in letter volume attributed to COVID-19, timing of mailings and a decline in the average number of loans serviced, partially offset by an increase in letter volume due to growth in the Originations segment.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69" w:name="page70"/>
    <w:bookmarkEnd w:id="69"/>
    <w:p>
      <w:pPr>
        <w:ind w:right="80" w:firstLine="268"/>
        <w:spacing w:after="0" w:line="270" w:lineRule="auto"/>
        <w:rPr>
          <w:sz w:val="20"/>
          <w:szCs w:val="20"/>
          <w:color w:val="auto"/>
        </w:rPr>
      </w:pPr>
      <w:r>
        <w:rPr>
          <w:rFonts w:ascii="Arial" w:cs="Arial" w:eastAsia="Arial" w:hAnsi="Arial"/>
          <w:sz w:val="15"/>
          <w:szCs w:val="15"/>
          <w:color w:val="auto"/>
        </w:rPr>
        <w:t>Technology and communication expense for the third quarter of 2021 increased $1.6 million, or 12%, as compared to the second quarter of 2021 primarily driven by the growth of our Originations segment.</w:t>
      </w:r>
    </w:p>
    <w:p>
      <w:pPr>
        <w:spacing w:after="0" w:line="58" w:lineRule="exact"/>
        <w:rPr>
          <w:sz w:val="20"/>
          <w:szCs w:val="20"/>
          <w:color w:val="auto"/>
        </w:rPr>
      </w:pPr>
    </w:p>
    <w:p>
      <w:pPr>
        <w:ind w:right="180" w:firstLine="268"/>
        <w:spacing w:after="0" w:line="255" w:lineRule="auto"/>
        <w:rPr>
          <w:sz w:val="20"/>
          <w:szCs w:val="20"/>
          <w:color w:val="auto"/>
        </w:rPr>
      </w:pPr>
      <w:r>
        <w:rPr>
          <w:rFonts w:ascii="Arial" w:cs="Arial" w:eastAsia="Arial" w:hAnsi="Arial"/>
          <w:sz w:val="15"/>
          <w:szCs w:val="15"/>
          <w:color w:val="auto"/>
        </w:rPr>
        <w:t>Technology and communication expense for the nine months ended September 30, 2021 decreased $6.1 million, or 13%, as compared to the nine months ended September 30, 2020. Telephone expense declined $4.0 million as compared to the nine months ended September 30, 2020, largely driven by facility closures, our transition to a more cost-effective alternative telephone system, consolidation of telecommunication vendors and other cost savings initiatives. Depreciation expense decreased $2.4 million compared to the nine months ended September 30, 2020.</w:t>
      </w:r>
    </w:p>
    <w:p>
      <w:pPr>
        <w:spacing w:after="0" w:line="58" w:lineRule="exact"/>
        <w:rPr>
          <w:sz w:val="20"/>
          <w:szCs w:val="20"/>
          <w:color w:val="auto"/>
        </w:rPr>
      </w:pPr>
    </w:p>
    <w:p>
      <w:pPr>
        <w:ind w:right="40" w:firstLine="268"/>
        <w:spacing w:after="0" w:line="281" w:lineRule="auto"/>
        <w:rPr>
          <w:sz w:val="20"/>
          <w:szCs w:val="20"/>
          <w:color w:val="auto"/>
        </w:rPr>
      </w:pPr>
      <w:r>
        <w:rPr>
          <w:rFonts w:ascii="Arial" w:cs="Arial" w:eastAsia="Arial" w:hAnsi="Arial"/>
          <w:sz w:val="13"/>
          <w:szCs w:val="13"/>
          <w:color w:val="auto"/>
        </w:rPr>
        <w:t>Other expenses for the third quarter of 2021 increased $2.1 million as compared to the second quarter of 2021, primarily due to reversal of $1.2 million of provisions related to miscellaneous items in the second quarter of 2021. For the nine months ended September 30, 2021, other expenses increased $2.5 million as compared to the nine months ended September 30, 2020 due to a $2.2 million increase in advertising expense in our Originations segment as part of our initiative to expand our origination platform and increase volumes.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(Loss)</w:t>
      </w:r>
    </w:p>
    <w:p>
      <w:pPr>
        <w:spacing w:after="0" w:line="95" w:lineRule="exact"/>
        <w:rPr>
          <w:sz w:val="20"/>
          <w:szCs w:val="20"/>
          <w:color w:val="auto"/>
        </w:rPr>
      </w:pPr>
    </w:p>
    <w:p>
      <w:pPr>
        <w:ind w:right="20" w:firstLine="268"/>
        <w:spacing w:after="0" w:line="259" w:lineRule="auto"/>
        <w:rPr>
          <w:sz w:val="20"/>
          <w:szCs w:val="20"/>
          <w:color w:val="auto"/>
        </w:rPr>
      </w:pPr>
      <w:r>
        <w:rPr>
          <w:rFonts w:ascii="Arial" w:cs="Arial" w:eastAsia="Arial" w:hAnsi="Arial"/>
          <w:sz w:val="15"/>
          <w:szCs w:val="15"/>
          <w:color w:val="auto"/>
        </w:rPr>
        <w:t>The $3.7 million increase in interest income during the third quarter of 2021 as compared to the second quarter of 2021, and the $3.2 million increase in interest income during the nine months ended September 30, 2021 as compared to the nine months ended September 30, 2020, is primarily attributable to the Originations segment and as a result of the increase in loan production volumes.</w:t>
      </w:r>
    </w:p>
    <w:p>
      <w:pPr>
        <w:spacing w:after="0" w:line="55" w:lineRule="exact"/>
        <w:rPr>
          <w:sz w:val="20"/>
          <w:szCs w:val="20"/>
          <w:color w:val="auto"/>
        </w:rPr>
      </w:pPr>
    </w:p>
    <w:p>
      <w:pPr>
        <w:ind w:right="80" w:firstLine="268"/>
        <w:spacing w:after="0" w:line="253" w:lineRule="auto"/>
        <w:rPr>
          <w:sz w:val="20"/>
          <w:szCs w:val="20"/>
          <w:color w:val="auto"/>
        </w:rPr>
      </w:pPr>
      <w:r>
        <w:rPr>
          <w:rFonts w:ascii="Arial" w:cs="Arial" w:eastAsia="Arial" w:hAnsi="Arial"/>
          <w:sz w:val="14"/>
          <w:szCs w:val="14"/>
          <w:color w:val="auto"/>
        </w:rPr>
        <w:t>Interest expense for the third quarter of 2021 increased $7.1 million, or 21%, as compared to the second quarter of 2021, due to an increased average debt balance, partially offset by a lower cost of funds. The $1.1 billion or 47% higher debt balance is driven by a higher MSR portfolio - largely due to bulk acquisitions - and additional warehouse loans. The reduction in our average cost of funds is primarily driven by our asset backed financing facilities with a 70 basis point lower effective interest rate.</w:t>
      </w:r>
    </w:p>
    <w:p>
      <w:pPr>
        <w:spacing w:after="0" w:line="59" w:lineRule="exact"/>
        <w:rPr>
          <w:sz w:val="20"/>
          <w:szCs w:val="20"/>
          <w:color w:val="auto"/>
        </w:rPr>
      </w:pPr>
    </w:p>
    <w:p>
      <w:pPr>
        <w:ind w:right="260" w:firstLine="268"/>
        <w:spacing w:after="0" w:line="286" w:lineRule="auto"/>
        <w:rPr>
          <w:sz w:val="20"/>
          <w:szCs w:val="20"/>
          <w:color w:val="auto"/>
        </w:rPr>
      </w:pPr>
      <w:r>
        <w:rPr>
          <w:rFonts w:ascii="Arial" w:cs="Arial" w:eastAsia="Arial" w:hAnsi="Arial"/>
          <w:sz w:val="14"/>
          <w:szCs w:val="14"/>
          <w:color w:val="auto"/>
        </w:rPr>
        <w:t>Interest expense for the nine months ended September 30, 2021 increased $19.0 million, or 23%, as compared to the nine months ended September 30, 2020, due to a $0.7 billion increased average debt to finance our increased loan production volumes and MSR portfolio, partially offset by a lower cost of funds. The lower cost of funds on asset backed financing facilities is partially offset by the issuance of higher rate senior secured notes as part of our corporate debt refinancing on March 4, 2021.</w:t>
      </w:r>
    </w:p>
    <w:p>
      <w:pPr>
        <w:spacing w:after="0" w:line="49" w:lineRule="exact"/>
        <w:rPr>
          <w:sz w:val="20"/>
          <w:szCs w:val="20"/>
          <w:color w:val="auto"/>
        </w:rPr>
      </w:pPr>
    </w:p>
    <w:p>
      <w:pPr>
        <w:ind w:right="20" w:firstLine="268"/>
        <w:spacing w:after="0" w:line="286" w:lineRule="auto"/>
        <w:rPr>
          <w:sz w:val="20"/>
          <w:szCs w:val="20"/>
          <w:color w:val="auto"/>
        </w:rPr>
      </w:pPr>
      <w:r>
        <w:rPr>
          <w:rFonts w:ascii="Arial" w:cs="Arial" w:eastAsia="Arial" w:hAnsi="Arial"/>
          <w:sz w:val="14"/>
          <w:szCs w:val="14"/>
          <w:color w:val="auto"/>
        </w:rPr>
        <w:t>Pledged MSR liability expense for the third quarter of 2021 increased $51.4 million, as compared to the second quarter of 2021, largely due to a $52.1 million unfavorable fair value adjustment attributable to interest rate and assumption update offset by a $0.8 million decline in servicing fee remittance due to runoff of the portfolio. Fair value adjustments attributable to interest rate and assumption update and runoff are offset by corresponding fair value adjustments of the transferred MSR not qualifying for sale accounting.</w:t>
      </w:r>
    </w:p>
    <w:p>
      <w:pPr>
        <w:spacing w:after="0" w:line="49" w:lineRule="exact"/>
        <w:rPr>
          <w:sz w:val="20"/>
          <w:szCs w:val="20"/>
          <w:color w:val="auto"/>
        </w:rPr>
      </w:pPr>
    </w:p>
    <w:p>
      <w:pPr>
        <w:jc w:val="both"/>
        <w:ind w:right="40" w:firstLine="268"/>
        <w:spacing w:after="0" w:line="307" w:lineRule="auto"/>
        <w:rPr>
          <w:sz w:val="20"/>
          <w:szCs w:val="20"/>
          <w:color w:val="auto"/>
        </w:rPr>
      </w:pPr>
      <w:r>
        <w:rPr>
          <w:rFonts w:ascii="Arial" w:cs="Arial" w:eastAsia="Arial" w:hAnsi="Arial"/>
          <w:sz w:val="13"/>
          <w:szCs w:val="13"/>
          <w:color w:val="auto"/>
        </w:rPr>
        <w:t>Pledged MSR liability expense for the nine months ended September 30, 2021 increased $63.1 million as compared to the nine months ended September 30, 2020, primarily due to an $82.2 million unfavorable fair value change due to interest rate and assumption update. Also, the lump-sum cash payments received from NRZ in 2017 and 2018 were fully amortized as of the end of the second quarter of 2020 ($34.2 million in the nine months ended September 30, 2020). These increases in expense were partially offset by a $52.6 million decline in servicing fee remittance. The decline in net servicing fee remittance was driven by the runoff of the portfolio and the termination of the PMC agreement by NRZ in February 2020.</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95" w:lineRule="exact"/>
        <w:rPr>
          <w:sz w:val="20"/>
          <w:szCs w:val="20"/>
          <w:color w:val="auto"/>
        </w:rPr>
      </w:pPr>
    </w:p>
    <w:p>
      <w:pPr>
        <w:jc w:val="both"/>
        <w:ind w:right="160" w:firstLine="268"/>
        <w:spacing w:after="0" w:line="286" w:lineRule="auto"/>
        <w:rPr>
          <w:sz w:val="20"/>
          <w:szCs w:val="20"/>
          <w:color w:val="auto"/>
        </w:rPr>
      </w:pPr>
      <w:r>
        <w:rPr>
          <w:rFonts w:ascii="Arial" w:cs="Arial" w:eastAsia="Arial" w:hAnsi="Arial"/>
          <w:sz w:val="14"/>
          <w:szCs w:val="14"/>
          <w:color w:val="auto"/>
        </w:rPr>
        <w:t>Loss on debt extinguishment of $15.5 million for the nine months ended September 30, 2021 was recognized in the first quarter of 2021 and resulted from our early repayment of the SSTL due May 2022, PHH 6.375% senior unsecured notes due August 2021, and PMC 8.375% senior secured notes due November 2022. The loss includes the write-off of unamortized debt issuance costs and discount, as well as contractual prepayment premiums totaling $9.8 million on the SSTL and PMC 8.375% senior secured notes.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Earnings of equity method investee represent our 15% share of MAV Canopy from May 3, 2021. See Note 10 - Investment in Equity Method Investee for further detail.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Benefit (Expense)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During the third quarter of 2021, we recognized $11.3 million of tax benefit on $10.3 million of pre-tax income. During the second quarter of 2021, we recognized $11.9 million of</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income tax benefit on a $22.2 million pre-tax loss. Our effective tax rates for the third quarter of 2021 and second quarter of 2021 were (110.0)% and 53.6%, respectively, and were affected by the factors described below. The tax benefit recognized in the third quarter of 2021 was driven primarily by additional estimated tax benefit related to the carryback of our 2020 NOL</w:t>
      </w:r>
    </w:p>
    <w:p>
      <w:pPr>
        <w:spacing w:after="0"/>
        <w:rPr>
          <w:sz w:val="20"/>
          <w:szCs w:val="20"/>
          <w:color w:val="auto"/>
        </w:rPr>
      </w:pPr>
      <w:r>
        <w:rPr>
          <w:rFonts w:ascii="Arial" w:cs="Arial" w:eastAsia="Arial" w:hAnsi="Arial"/>
          <w:sz w:val="15"/>
          <w:szCs w:val="15"/>
          <w:color w:val="auto"/>
        </w:rPr>
        <w:t>under the CARES Act. The tax benefit recognized in the second quarter of</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00" w:top="853" w:right="37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2021 was primarily due to the favorable resolution of various uncertain tax positions as well as the income tax benefit recognized on the pre-tax loss for the quarter.</w:t>
      </w:r>
    </w:p>
    <w:p>
      <w:pPr>
        <w:spacing w:after="0" w:line="84" w:lineRule="exact"/>
        <w:rPr>
          <w:sz w:val="20"/>
          <w:szCs w:val="20"/>
          <w:color w:val="auto"/>
        </w:rPr>
      </w:pPr>
    </w:p>
    <w:p>
      <w:pPr>
        <w:ind w:firstLine="268"/>
        <w:spacing w:after="0" w:line="298" w:lineRule="auto"/>
        <w:rPr>
          <w:sz w:val="20"/>
          <w:szCs w:val="20"/>
          <w:color w:val="auto"/>
        </w:rPr>
      </w:pPr>
      <w:r>
        <w:rPr>
          <w:rFonts w:ascii="Arial" w:cs="Arial" w:eastAsia="Arial" w:hAnsi="Arial"/>
          <w:sz w:val="13"/>
          <w:szCs w:val="13"/>
          <w:color w:val="auto"/>
        </w:rPr>
        <w:t>For the nine months ended September 30, 2021 and 2020, we recognized an income tax benefit of $20.1 million and $71.9 million on pre-tax losses of $0.3 million and $104.9 million, respectively. For the nine months ended September 30, 2021, the income tax benefit was driven primarily by $12.9 million of additional income tax benefit recognized related to our CARES Act claims and $8.6 million of income tax benefit recognized related to the favorable resolution of various uncertain tax positions during the period. For the nine months ended September 30, 2020, the income tax benefit was driven by the $71.5 million of estimated income tax benefit recognized under the CARES Act. Income tax benefits of $21.5 million and $65.0 million recognized during the nine months ended September 30, 2021 and 2020, respectively, related solely to prior period uncertain tax positions and prior period losses with no relationship to operating results of those periods. This in turn resulted in the high effective tax rates of 6,002.4% and 68.6% for the nine months ended September 30, 2021 and 2020, respectively.</w:t>
      </w:r>
    </w:p>
    <w:p>
      <w:pPr>
        <w:spacing w:after="0" w:line="46" w:lineRule="exact"/>
        <w:rPr>
          <w:sz w:val="20"/>
          <w:szCs w:val="20"/>
          <w:color w:val="auto"/>
        </w:rPr>
      </w:pPr>
    </w:p>
    <w:p>
      <w:pPr>
        <w:ind w:right="20" w:firstLine="268"/>
        <w:spacing w:after="0" w:line="299" w:lineRule="auto"/>
        <w:rPr>
          <w:sz w:val="20"/>
          <w:szCs w:val="20"/>
          <w:color w:val="auto"/>
        </w:rPr>
      </w:pPr>
      <w:r>
        <w:rPr>
          <w:rFonts w:ascii="Arial" w:cs="Arial" w:eastAsia="Arial" w:hAnsi="Arial"/>
          <w:sz w:val="13"/>
          <w:szCs w:val="13"/>
          <w:color w:val="auto"/>
        </w:rPr>
        <w:t>The $51.8 million reduction in income tax benefit for the nine months ended September 30, 2021, compared with the nine months ended September 30, 2020, is primarily due to $71.5 million of estimated income tax benefit recognized under the CARES Act during the nine months ended September 30, 2020 as a result of modification of the tax rules to allow the carryback of NOLs arising in 2018, 2019 and 2020 tax years to the five prior tax years and the increase to the business interest expense limitation under IRC Section 163(j). The reduction in income tax benefit for the 2021 period attributed to the $71.5 million income tax benefit recognized in 2020 was partially offset by $12.9 million of additional tax benefit recognized in 2021</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related to our CARES Act claims and $8.6 million related to the favorable resolution of various uncertain tax positions during 2021. In 2020, we collected $51.4 million, which represents the tax refund associated with the NOLs generated in 2018 carried back to prior tax years, and recognized a $24.0 million receivable which represents the tax refund associated with the NOLs generated in 2019. We collected this $24.0 million tax refund receivable from the U.S. Internal Revenue Service in January 2021. See Note 17 – Income Taxes for additional information.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3"/>
        </w:trPr>
        <w:tc>
          <w:tcPr>
            <w:tcW w:w="5340" w:type="dxa"/>
            <w:vAlign w:val="bottom"/>
          </w:tcPr>
          <w:p>
            <w:pPr>
              <w:ind w:left="20"/>
              <w:spacing w:after="0"/>
              <w:rPr>
                <w:sz w:val="20"/>
                <w:szCs w:val="20"/>
                <w:color w:val="auto"/>
              </w:rPr>
            </w:pPr>
            <w:r>
              <w:rPr>
                <w:rFonts w:ascii="Arial" w:cs="Arial" w:eastAsia="Arial" w:hAnsi="Arial"/>
                <w:sz w:val="15"/>
                <w:szCs w:val="15"/>
                <w:b w:val="1"/>
                <w:bCs w:val="1"/>
                <w:color w:val="auto"/>
              </w:rPr>
              <w:t>Financial Condition Summary</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260" w:type="dxa"/>
            <w:vAlign w:val="bottom"/>
          </w:tcPr>
          <w:p>
            <w:pPr>
              <w:spacing w:after="0"/>
              <w:rPr>
                <w:sz w:val="16"/>
                <w:szCs w:val="16"/>
                <w:color w:val="auto"/>
              </w:rPr>
            </w:pPr>
          </w:p>
        </w:tc>
        <w:tc>
          <w:tcPr>
            <w:tcW w:w="1160" w:type="dxa"/>
            <w:vAlign w:val="bottom"/>
          </w:tcPr>
          <w:p>
            <w:pPr>
              <w:jc w:val="right"/>
              <w:ind w:right="306"/>
              <w:spacing w:after="0"/>
              <w:rPr>
                <w:sz w:val="20"/>
                <w:szCs w:val="20"/>
                <w:color w:val="auto"/>
              </w:rPr>
            </w:pPr>
            <w:r>
              <w:rPr>
                <w:rFonts w:ascii="Arial" w:cs="Arial" w:eastAsia="Arial" w:hAnsi="Arial"/>
                <w:sz w:val="15"/>
                <w:szCs w:val="15"/>
                <w:b w:val="1"/>
                <w:bCs w:val="1"/>
                <w:color w:val="auto"/>
              </w:rPr>
              <w:t>$ Change</w:t>
            </w:r>
          </w:p>
        </w:tc>
        <w:tc>
          <w:tcPr>
            <w:tcW w:w="1220" w:type="dxa"/>
            <w:vAlign w:val="bottom"/>
          </w:tcPr>
          <w:p>
            <w:pPr>
              <w:jc w:val="right"/>
              <w:ind w:right="146"/>
              <w:spacing w:after="0"/>
              <w:rPr>
                <w:sz w:val="20"/>
                <w:szCs w:val="20"/>
                <w:color w:val="auto"/>
              </w:rPr>
            </w:pPr>
            <w:r>
              <w:rPr>
                <w:rFonts w:ascii="Arial" w:cs="Arial" w:eastAsia="Arial" w:hAnsi="Arial"/>
                <w:sz w:val="15"/>
                <w:szCs w:val="15"/>
                <w:b w:val="1"/>
                <w:bCs w:val="1"/>
                <w:color w:val="auto"/>
              </w:rPr>
              <w:t>% Change</w:t>
            </w:r>
          </w:p>
        </w:tc>
      </w:tr>
      <w:tr>
        <w:trPr>
          <w:trHeight w:val="181"/>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236.1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284.8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(48.7)</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12.8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18</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MSRs, at fair value</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2,176.3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1,294.8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881.4</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Advances, net</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828.2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(88.6)</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(11)</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933.7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387.8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545.9</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141</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Loans held for investment, at fair value</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7,108.7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7,006.9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101.8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Receivables</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(4.6)</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Investment in equity method investee</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19.8</w:t>
            </w:r>
          </w:p>
        </w:tc>
        <w:tc>
          <w:tcPr>
            <w:tcW w:w="122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557.7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588.4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(30.7)</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w:t>
            </w:r>
          </w:p>
        </w:tc>
      </w:tr>
      <w:tr>
        <w:trPr>
          <w:trHeight w:val="181"/>
        </w:trPr>
        <w:tc>
          <w:tcPr>
            <w:tcW w:w="5340" w:type="dxa"/>
            <w:vAlign w:val="bottom"/>
          </w:tcPr>
          <w:p>
            <w:pPr>
              <w:ind w:left="12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12,040.2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10,651.1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1,389.1</w:t>
            </w:r>
          </w:p>
        </w:tc>
        <w:tc>
          <w:tcPr>
            <w:tcW w:w="12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6"/>
        </w:trPr>
        <w:tc>
          <w:tcPr>
            <w:tcW w:w="5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Total Assets by Segment</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10,790.5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9,847.6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942.9</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r>
      <w:tr>
        <w:trPr>
          <w:trHeight w:val="189"/>
        </w:trPr>
        <w:tc>
          <w:tcPr>
            <w:tcW w:w="534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865.0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379.2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485.8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128</w:t>
            </w:r>
          </w:p>
        </w:tc>
      </w:tr>
      <w:tr>
        <w:trPr>
          <w:trHeight w:val="189"/>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Items and Other</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384.7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424.3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(39.6)</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w:t>
            </w:r>
          </w:p>
        </w:tc>
      </w:tr>
      <w:tr>
        <w:trPr>
          <w:trHeight w:val="181"/>
        </w:trPr>
        <w:tc>
          <w:tcPr>
            <w:tcW w:w="53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12,040.2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10,651.1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1,389.1</w:t>
            </w:r>
          </w:p>
        </w:tc>
        <w:tc>
          <w:tcPr>
            <w:tcW w:w="12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6"/>
        </w:trPr>
        <w:tc>
          <w:tcPr>
            <w:tcW w:w="5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HMBS-related borrowings,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6,782.6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6,772.7</w:t>
            </w:r>
          </w:p>
        </w:tc>
        <w:tc>
          <w:tcPr>
            <w:tcW w:w="10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9.9</w:t>
            </w:r>
          </w:p>
        </w:tc>
        <w:tc>
          <w:tcPr>
            <w:tcW w:w="12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financing liabilities, at fair value</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576.7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134.2</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23</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Advance match funded liabilities</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516.6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(64.7)</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(11)</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 warehouse facilities</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1,069.2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451.7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617.5</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137</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MSR financing facilities, net</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945.7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437.7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508.1</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116</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term loan</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(179.8)</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(100)</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Senior notes, net</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612.7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311.9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300.8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96</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932.7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924.0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8.8</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r>
      <w:tr>
        <w:trPr>
          <w:trHeight w:val="180"/>
        </w:trPr>
        <w:tc>
          <w:tcPr>
            <w:tcW w:w="5340" w:type="dxa"/>
            <w:vAlign w:val="bottom"/>
          </w:tcPr>
          <w:p>
            <w:pPr>
              <w:ind w:left="120"/>
              <w:spacing w:after="0"/>
              <w:rPr>
                <w:sz w:val="20"/>
                <w:szCs w:val="20"/>
                <w:color w:val="auto"/>
              </w:rPr>
            </w:pPr>
            <w:r>
              <w:rPr>
                <w:rFonts w:ascii="Arial" w:cs="Arial" w:eastAsia="Arial" w:hAnsi="Arial"/>
                <w:sz w:val="15"/>
                <w:szCs w:val="15"/>
                <w:color w:val="auto"/>
              </w:rPr>
              <w:t>Total liabilities</w:t>
            </w:r>
          </w:p>
        </w:tc>
        <w:tc>
          <w:tcPr>
            <w:tcW w:w="120" w:type="dxa"/>
            <w:vAlign w:val="bottom"/>
          </w:tcPr>
          <w:p>
            <w:pPr>
              <w:spacing w:after="0"/>
              <w:rPr>
                <w:sz w:val="15"/>
                <w:szCs w:val="15"/>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11,570.4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10,235.8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1,334.6</w:t>
            </w:r>
          </w:p>
        </w:tc>
        <w:tc>
          <w:tcPr>
            <w:tcW w:w="12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134"/>
        </w:trPr>
        <w:tc>
          <w:tcPr>
            <w:tcW w:w="5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469.9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415.4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54.5</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13</w:t>
            </w:r>
          </w:p>
        </w:tc>
      </w:tr>
      <w:tr>
        <w:trPr>
          <w:trHeight w:val="134"/>
        </w:trPr>
        <w:tc>
          <w:tcPr>
            <w:tcW w:w="53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1"/>
        </w:trPr>
        <w:tc>
          <w:tcPr>
            <w:tcW w:w="5340" w:type="dxa"/>
            <w:vAlign w:val="bottom"/>
          </w:tcPr>
          <w:p>
            <w:pPr>
              <w:ind w:left="120"/>
              <w:spacing w:after="0"/>
              <w:rPr>
                <w:sz w:val="20"/>
                <w:szCs w:val="20"/>
                <w:color w:val="auto"/>
              </w:rPr>
            </w:pPr>
            <w:r>
              <w:rPr>
                <w:rFonts w:ascii="Arial" w:cs="Arial" w:eastAsia="Arial" w:hAnsi="Arial"/>
                <w:sz w:val="15"/>
                <w:szCs w:val="15"/>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12,040.2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10,651.1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1,389.1</w:t>
            </w:r>
          </w:p>
        </w:tc>
        <w:tc>
          <w:tcPr>
            <w:tcW w:w="12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6"/>
        </w:trPr>
        <w:tc>
          <w:tcPr>
            <w:tcW w:w="5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Total Liabilities by Segment</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10,005.8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9,163.5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842.2</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r>
      <w:tr>
        <w:trPr>
          <w:trHeight w:val="189"/>
        </w:trPr>
        <w:tc>
          <w:tcPr>
            <w:tcW w:w="534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819.3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428.5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390.8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91</w:t>
            </w:r>
          </w:p>
        </w:tc>
      </w:tr>
      <w:tr>
        <w:trPr>
          <w:trHeight w:val="189"/>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Items and Other</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745.3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643.7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101.6</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16</w:t>
            </w:r>
          </w:p>
        </w:tc>
      </w:tr>
      <w:tr>
        <w:trPr>
          <w:trHeight w:val="181"/>
        </w:trPr>
        <w:tc>
          <w:tcPr>
            <w:tcW w:w="53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11,570.4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10,235.8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1,334.6</w:t>
            </w:r>
          </w:p>
        </w:tc>
        <w:tc>
          <w:tcPr>
            <w:tcW w:w="12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6"/>
        </w:trPr>
        <w:tc>
          <w:tcPr>
            <w:tcW w:w="5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Book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51.13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47.81</w:t>
            </w:r>
          </w:p>
        </w:tc>
        <w:tc>
          <w:tcPr>
            <w:tcW w:w="10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3.32</w:t>
            </w:r>
          </w:p>
        </w:tc>
        <w:tc>
          <w:tcPr>
            <w:tcW w:w="1220" w:type="dxa"/>
            <w:vAlign w:val="bottom"/>
          </w:tcPr>
          <w:p>
            <w:pPr>
              <w:jc w:val="right"/>
              <w:spacing w:after="0"/>
              <w:rPr>
                <w:sz w:val="20"/>
                <w:szCs w:val="20"/>
                <w:color w:val="auto"/>
              </w:rPr>
            </w:pPr>
            <w:r>
              <w:rPr>
                <w:rFonts w:ascii="Arial" w:cs="Arial" w:eastAsia="Arial" w:hAnsi="Arial"/>
                <w:sz w:val="15"/>
                <w:szCs w:val="15"/>
                <w:color w:val="auto"/>
              </w:rPr>
              <w:t>7 %</w:t>
            </w:r>
          </w:p>
        </w:tc>
      </w:tr>
    </w:tbl>
    <w:p>
      <w:pPr>
        <w:spacing w:after="0" w:line="146"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Total assets increased $1.4 billion between December 31, 2020 and September 30, 2021, mostly due to the $545.9 million, or 141%, increase in our loans held for sale portfolio - driven by higher production volumes - and an $881.4 million, or 68%, increase in our MSR portfolio - mostly driven by MSR bulk acquisitions and new capitalized MSRs. Loans held for investment increased by $101.8 million mostly due to the continued growth of our reverse mortgage business. Servicing advances declined $88.6 million mostly due to heightened payoff activity and lower delinquencies. The $30.7 million decrease in other assets is mostly attributable to the decrease in contingent repurchase rights related to loans that have been repurchased from Ginnie Mae.</w:t>
      </w:r>
    </w:p>
    <w:p>
      <w:pPr>
        <w:spacing w:after="0" w:line="72" w:lineRule="exact"/>
        <w:rPr>
          <w:sz w:val="20"/>
          <w:szCs w:val="20"/>
          <w:color w:val="auto"/>
        </w:rPr>
      </w:pPr>
    </w:p>
    <w:p>
      <w:pPr>
        <w:ind w:right="340" w:firstLine="268"/>
        <w:spacing w:after="0" w:line="286" w:lineRule="auto"/>
        <w:rPr>
          <w:sz w:val="20"/>
          <w:szCs w:val="20"/>
          <w:color w:val="auto"/>
        </w:rPr>
      </w:pPr>
      <w:r>
        <w:rPr>
          <w:rFonts w:ascii="Arial" w:cs="Arial" w:eastAsia="Arial" w:hAnsi="Arial"/>
          <w:sz w:val="14"/>
          <w:szCs w:val="14"/>
          <w:color w:val="auto"/>
        </w:rPr>
        <w:t>Total liabilities increased by $1.3 billion as compared to December 31, 2020, with similar effects as described above. Our borrowings under warehouse lines and MSR financing facilities increased $617.5 million and $508.1 million, respectively, due to higher loan production volumes and MSR bulk acquisitions, respectively. Our senior notes increased $300.8 million due to the refinancing transactions completed on March 4, 2021 and May 3, 2021. We issued $627.1 million of new senior notes, net</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00" w:top="872" w:right="379" w:bottom="1440" w:gutter="0" w:footer="0" w:header="0"/>
        </w:sectPr>
      </w:pPr>
    </w:p>
    <w:bookmarkStart w:id="72" w:name="page73"/>
    <w:bookmarkEnd w:id="72"/>
    <w:p>
      <w:pPr>
        <w:jc w:val="both"/>
        <w:ind w:right="100"/>
        <w:spacing w:after="0" w:line="259" w:lineRule="auto"/>
        <w:rPr>
          <w:sz w:val="20"/>
          <w:szCs w:val="20"/>
          <w:color w:val="auto"/>
        </w:rPr>
      </w:pPr>
      <w:r>
        <w:rPr>
          <w:rFonts w:ascii="Arial" w:cs="Arial" w:eastAsia="Arial" w:hAnsi="Arial"/>
          <w:sz w:val="15"/>
          <w:szCs w:val="15"/>
          <w:color w:val="auto"/>
        </w:rPr>
        <w:t>of discount, repaid in full $313.1 million of existing senior notes and repaid the $185.0 million SSTL. Advance match funded liabilities decreased $64.7 million consistent with the decline in servicing advances. Further, the $8.8 million increase in other liabilities is driven by the increase in derivatives and purchase price holdback on MSR bulk acquisitions, partially offset by a decrease in the Ginnie Mae contingent repurchase rights of loans under forbearance.</w:t>
      </w:r>
    </w:p>
    <w:p>
      <w:pPr>
        <w:spacing w:after="0" w:line="66" w:lineRule="exact"/>
        <w:rPr>
          <w:sz w:val="20"/>
          <w:szCs w:val="20"/>
          <w:color w:val="auto"/>
        </w:rPr>
      </w:pPr>
    </w:p>
    <w:p>
      <w:pPr>
        <w:ind w:right="20" w:firstLine="268"/>
        <w:spacing w:after="0" w:line="270" w:lineRule="auto"/>
        <w:rPr>
          <w:sz w:val="20"/>
          <w:szCs w:val="20"/>
          <w:color w:val="auto"/>
        </w:rPr>
      </w:pPr>
      <w:r>
        <w:rPr>
          <w:rFonts w:ascii="Arial" w:cs="Arial" w:eastAsia="Arial" w:hAnsi="Arial"/>
          <w:sz w:val="15"/>
          <w:szCs w:val="15"/>
          <w:color w:val="auto"/>
        </w:rPr>
        <w:t>Total equity increased $54.5 million during the nine months ended September 30, 2021 mostly due to the $32.1 million issuance of common stock and warrants to Oaktree in March and May 2021, and $19.8 million net income. See Note 14 – Equity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Outlook</w:t>
      </w:r>
    </w:p>
    <w:p>
      <w:pPr>
        <w:spacing w:after="0" w:line="99"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The following discussion provides outlook information for certain key drivers of our financial performance. Also refer to the Segment results of operations section for further detail, the description of our business environment, initiatives and risks.</w:t>
      </w:r>
    </w:p>
    <w:p>
      <w:pPr>
        <w:spacing w:after="0" w:line="58" w:lineRule="exact"/>
        <w:rPr>
          <w:sz w:val="20"/>
          <w:szCs w:val="20"/>
          <w:color w:val="auto"/>
        </w:rPr>
      </w:pPr>
    </w:p>
    <w:p>
      <w:pPr>
        <w:ind w:right="260"/>
        <w:spacing w:after="0" w:line="253" w:lineRule="auto"/>
        <w:rPr>
          <w:sz w:val="20"/>
          <w:szCs w:val="20"/>
          <w:color w:val="auto"/>
        </w:rPr>
      </w:pPr>
      <w:r>
        <w:rPr>
          <w:rFonts w:ascii="Arial" w:cs="Arial" w:eastAsia="Arial" w:hAnsi="Arial"/>
          <w:sz w:val="15"/>
          <w:szCs w:val="15"/>
          <w:i w:val="1"/>
          <w:iCs w:val="1"/>
          <w:color w:val="auto"/>
        </w:rPr>
        <w:t xml:space="preserve">Servicing fee revenue </w:t>
      </w:r>
      <w:r>
        <w:rPr>
          <w:rFonts w:ascii="Arial" w:cs="Arial" w:eastAsia="Arial" w:hAnsi="Arial"/>
          <w:sz w:val="15"/>
          <w:szCs w:val="15"/>
          <w:color w:val="auto"/>
        </w:rPr>
        <w:t>- Our servicing fee revenue is a function of the volume being serviced - UPB for servicing fees and loan count for subservicing fees. We expect we will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replenish and grow our servicing portfolio through our multi-channel Originations platform for the remainder of 2021. In addition, we continuously evaluate the relative mix between servicing and subservicing volume. The expected volume increase is also intended to exceed the portfolio serviced on behalf of NRZ that may end in July 2022. Servicing revenue and ancillary income have been adversely impacted by COVID-19, which may persist throughout 2021 and beyond, until forbearance plan exits and the end of foreclosure and eviction moratoria or related restrictions.</w:t>
      </w:r>
    </w:p>
    <w:p>
      <w:pPr>
        <w:spacing w:after="0" w:line="72"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i w:val="1"/>
          <w:iCs w:val="1"/>
          <w:color w:val="auto"/>
        </w:rPr>
        <w:t xml:space="preserve">Gain on sale of loans held for sale </w:t>
      </w:r>
      <w:r>
        <w:rPr>
          <w:rFonts w:ascii="Arial" w:cs="Arial" w:eastAsia="Arial" w:hAnsi="Arial"/>
          <w:sz w:val="14"/>
          <w:szCs w:val="14"/>
          <w:color w:val="auto"/>
        </w:rPr>
        <w:t>- Our gain on sale is driven by both volume and margin and is channel-sensitive, with consumer direct generating relatively higher margins than</w:t>
      </w:r>
      <w:r>
        <w:rPr>
          <w:rFonts w:ascii="Arial" w:cs="Arial" w:eastAsia="Arial" w:hAnsi="Arial"/>
          <w:sz w:val="14"/>
          <w:szCs w:val="14"/>
          <w:i w:val="1"/>
          <w:iCs w:val="1"/>
          <w:color w:val="auto"/>
        </w:rPr>
        <w:t xml:space="preserve"> </w:t>
      </w:r>
      <w:r>
        <w:rPr>
          <w:rFonts w:ascii="Arial" w:cs="Arial" w:eastAsia="Arial" w:hAnsi="Arial"/>
          <w:sz w:val="14"/>
          <w:szCs w:val="14"/>
          <w:color w:val="auto"/>
        </w:rPr>
        <w:t>correspondent. While we continue to increase our recapture rate by expanding our channel operating capacity, the volume mix is expected to shift to purchase as the volume of refinance activity by borrowers is expected to continue to decline, consistent with expected industry trends. Intense competition is expected to perdure in the correspondent channel and Agency Cash Window and co-issue programs for the remainder of 2021 imposing a trade-off between volumes and margins.</w:t>
      </w:r>
    </w:p>
    <w:p>
      <w:pPr>
        <w:spacing w:after="0" w:line="54"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i w:val="1"/>
          <w:iCs w:val="1"/>
          <w:color w:val="auto"/>
        </w:rPr>
        <w:t xml:space="preserve">Reverse mortgage revenue, net </w:t>
      </w:r>
      <w:r>
        <w:rPr>
          <w:rFonts w:ascii="Arial" w:cs="Arial" w:eastAsia="Arial" w:hAnsi="Arial"/>
          <w:sz w:val="15"/>
          <w:szCs w:val="15"/>
          <w:color w:val="auto"/>
        </w:rPr>
        <w:t>- The reverse mortgage origination gain is driven by the same factors as gain on sale of loans held for sale, with smaller volumes in the reverse mortgage</w:t>
      </w:r>
      <w:r>
        <w:rPr>
          <w:rFonts w:ascii="Arial" w:cs="Arial" w:eastAsia="Arial" w:hAnsi="Arial"/>
          <w:sz w:val="15"/>
          <w:szCs w:val="15"/>
          <w:i w:val="1"/>
          <w:iCs w:val="1"/>
          <w:color w:val="auto"/>
        </w:rPr>
        <w:t xml:space="preserve"> </w:t>
      </w:r>
      <w:r>
        <w:rPr>
          <w:rFonts w:ascii="Arial" w:cs="Arial" w:eastAsia="Arial" w:hAnsi="Arial"/>
          <w:sz w:val="15"/>
          <w:szCs w:val="15"/>
          <w:color w:val="auto"/>
        </w:rPr>
        <w:t>market and generally larger margins. With our experience and brand in the marketplace, we expect to continue to grow our volumes at similar margins in each channel, however the channel mix may vary. With the assignment of RMS subservicing agreement to PMC on October 1, 2021, reverse mortgage servicing revenue is expected to grow significantly, absent any significant change in interest rates.</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5"/>
          <w:szCs w:val="15"/>
          <w:i w:val="1"/>
          <w:iCs w:val="1"/>
          <w:color w:val="auto"/>
        </w:rPr>
        <w:t xml:space="preserve">MSR valuation adjustments, net - </w:t>
      </w:r>
      <w:r>
        <w:rPr>
          <w:rFonts w:ascii="Arial" w:cs="Arial" w:eastAsia="Arial" w:hAnsi="Arial"/>
          <w:sz w:val="15"/>
          <w:szCs w:val="15"/>
          <w:color w:val="auto"/>
        </w:rPr>
        <w:t>Our net MSR fair value changes include multiple components. First, the MSR realization of cash flows is effectively an amortization of our investment as</w:t>
      </w:r>
      <w:r>
        <w:rPr>
          <w:rFonts w:ascii="Arial" w:cs="Arial" w:eastAsia="Arial" w:hAnsi="Arial"/>
          <w:sz w:val="15"/>
          <w:szCs w:val="15"/>
          <w:i w:val="1"/>
          <w:iCs w:val="1"/>
          <w:color w:val="auto"/>
        </w:rPr>
        <w:t xml:space="preserve"> </w:t>
      </w:r>
      <w:r>
        <w:rPr>
          <w:rFonts w:ascii="Arial" w:cs="Arial" w:eastAsia="Arial" w:hAnsi="Arial"/>
          <w:sz w:val="15"/>
          <w:szCs w:val="15"/>
          <w:color w:val="auto"/>
        </w:rPr>
        <w:t>the underlying loans amortize and payoff and is a function of the UPB of the MSR. We expect the MSR realization of cash flows to increase as we have recently grown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now larger MSR portfolio. Refer to the sensitivity analysis in Item 3 - Quantitative and Qualitative Disclosures About Market Risk for further detail.</w:t>
      </w:r>
    </w:p>
    <w:p>
      <w:pPr>
        <w:spacing w:after="0" w:line="72"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 Compensation and benefits is a significant component of our cost-to-service and cost-per-loan and is directly correlated to headcount levels. Headcount in Servicing is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driven by the number of loans or UPB being serviced, and by the relative mix of performing, delinquent and defaulted loans. As servicing volume is expected to increase (see above), we expect an increase in our workforce with partial offset from an increased relative share of performing loans through our MSR acquisitions. We expect our Originations workforce to remain largely stable or moderately increase in the near term to accompany the growth of the channels. Other operating expenses are expected to favorably correlate with volumes, as productivity and efficiencies are expected with our technology and continuous improvement initiatives.</w:t>
      </w:r>
    </w:p>
    <w:p>
      <w:pPr>
        <w:spacing w:after="0" w:line="5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i w:val="1"/>
          <w:iCs w:val="1"/>
          <w:color w:val="auto"/>
        </w:rPr>
        <w:t xml:space="preserve">Stockholders’ equity </w:t>
      </w:r>
      <w:r>
        <w:rPr>
          <w:rFonts w:ascii="Arial" w:cs="Arial" w:eastAsia="Arial" w:hAnsi="Arial"/>
          <w:sz w:val="15"/>
          <w:szCs w:val="15"/>
          <w:color w:val="auto"/>
        </w:rPr>
        <w:t>- With the above considerations, we expect our businesses to generate net income and increase our equity for the remainder of 2021, absent any significant change in</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rates.</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460" w:firstLine="268"/>
        <w:spacing w:after="0" w:line="270" w:lineRule="auto"/>
        <w:rPr>
          <w:sz w:val="20"/>
          <w:szCs w:val="20"/>
          <w:color w:val="auto"/>
        </w:rPr>
      </w:pPr>
      <w:r>
        <w:rPr>
          <w:rFonts w:ascii="Arial" w:cs="Arial" w:eastAsia="Arial" w:hAnsi="Arial"/>
          <w:sz w:val="15"/>
          <w:szCs w:val="15"/>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73" w:name="page74"/>
    <w:bookmarkEnd w:id="73"/>
    <w:p>
      <w:pPr>
        <w:ind w:left="20"/>
        <w:spacing w:after="0"/>
        <w:rPr>
          <w:sz w:val="20"/>
          <w:szCs w:val="20"/>
          <w:color w:val="auto"/>
        </w:rPr>
      </w:pPr>
      <w:r>
        <w:rPr>
          <w:rFonts w:ascii="Arial" w:cs="Arial" w:eastAsia="Arial" w:hAnsi="Arial"/>
          <w:sz w:val="15"/>
          <w:szCs w:val="15"/>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ectPr>
          <w:pgSz w:w="11900" w:h="16838" w:orient="portrait"/>
          <w:cols w:equalWidth="0" w:num="1">
            <w:col w:w="11200"/>
          </w:cols>
          <w:pgMar w:left="300" w:top="1005" w:right="399" w:bottom="1440" w:gutter="0" w:footer="0" w:header="0"/>
        </w:sectPr>
      </w:pPr>
    </w:p>
    <w:p>
      <w:pPr>
        <w:spacing w:after="0" w:line="266"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In addition, we earn performance or incentive fees depending on operational and other metrics exceeding certain service level agreement targets. We also earn fees under both subservicing and special servicing arrangements with banks and other institutions that own the MSRs. Subservicing and special servicing fees are earned either as a percentage of UPB or on a per-loan basis. Per-loan fees typically vary based on type of investor and on delinquency status.</w:t>
      </w:r>
    </w:p>
    <w:p>
      <w:pPr>
        <w:spacing w:after="0" w:line="72"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As of September 30, 2021, we serviced approximately 1.3 million mortgage loans with an aggregate UPB of $248.3 billion. The average UPB of loans serviced during the third quarter of 2021 increased by 23% or $45.3 billion compared to the second quarter of 2021, mostly due to the two large bulk MSR acquisitions that aggregated to $55.1 billion closed in June 2021. Compared to the nine months ended September 30, 2020, the average UPB of loans serviced during the nine months ended September 30, 2021 increased by 4% or $7.8 billion mostly due to the large bulk acquisitions described above and our portfolio replenishment and growth strategy, partially offset by the termination of the PMC servicing agreement by NRZ with the transfer of $34.2 billion UPB of loans completed in October 2020, and the heightened portfolio runoff.</w:t>
      </w:r>
    </w:p>
    <w:p>
      <w:pPr>
        <w:spacing w:after="0" w:line="55" w:lineRule="exact"/>
        <w:rPr>
          <w:sz w:val="20"/>
          <w:szCs w:val="20"/>
          <w:color w:val="auto"/>
        </w:rPr>
      </w:pPr>
    </w:p>
    <w:p>
      <w:pPr>
        <w:jc w:val="both"/>
        <w:ind w:right="40" w:firstLine="268"/>
        <w:spacing w:after="0" w:line="279" w:lineRule="auto"/>
        <w:rPr>
          <w:sz w:val="20"/>
          <w:szCs w:val="20"/>
          <w:color w:val="auto"/>
        </w:rPr>
      </w:pPr>
      <w:r>
        <w:rPr>
          <w:rFonts w:ascii="Arial" w:cs="Arial" w:eastAsia="Arial" w:hAnsi="Arial"/>
          <w:sz w:val="14"/>
          <w:szCs w:val="14"/>
          <w:color w:val="auto"/>
        </w:rPr>
        <w:t>NRZ is our largest subservicing client, accounting for 24% and 34%, respectively, of the UPB and loan count in our servicing portfolio as of September 30, 2021. NRZ servicing fees retained by Ocwen represented approximately 14% of the total servicing and subservicing fees earned by Ocwen, net of servicing fees remitted to NRZ and excluding ancillary income, for the third quarter of 2021, and 17% for the second quarter of 2021. NRZ’s portfolio represents approximately 62% of all delinquent loans that Ocwen serviced, for which the cost to service and the associated risks are higher. However, consistent with a subservicing relationship, NRZ is responsible for funding the advances we service for NRZ.</w:t>
      </w:r>
    </w:p>
    <w:p>
      <w:pPr>
        <w:spacing w:after="0" w:line="54"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such as our Agency loans. Our Non-Agency portfolio is significantly seasoned, with an average loan age of approximately 16 years, exhibiting little response to movements in market interest rates. Valuation is also impacted by loan delinquency rates whereby as delinquency rates rise, the value of the servicing portfolio declines. The MSR portfolio is an investment that decreases in value over time, through portfolio runoff, as we realize its cash flows and yield. MSR portfolio runoff is an expense to our Servicing segment as a fair value loss, and represents the realization of expected cash flows and yield based on projected borrower behavior, including scheduled amortization of the loan UPB together with prepayments.</w:t>
      </w:r>
    </w:p>
    <w:p>
      <w:pPr>
        <w:spacing w:after="0" w:line="75"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For those MSR sale transactions with NRZ and MAV that do not achieve sale accounting treatment, we present on a gross basis the pledged MSR as an asset at fair value and the corresponding liability amount pledged MSR liability on our balance sheet. The changes in fair value of the pledged MSR are reflected as MSR valuation adjustments, net and the corresponding changes in fair value of the pledged MSR liability are reported within Pledged MSR liability expense, without any significant net earnings impact. In addition, the total servicing fees collected on transactions that do not qualify for sale accounting are reported within Servicing and subservicing fees, and the servicing fees remitted on these transactions, net of our subservicing fees, are presented within Pledged MSR liability expense.</w:t>
      </w:r>
    </w:p>
    <w:p>
      <w:pPr>
        <w:spacing w:after="0" w:line="72" w:lineRule="exact"/>
        <w:rPr>
          <w:sz w:val="20"/>
          <w:szCs w:val="20"/>
          <w:color w:val="auto"/>
        </w:rPr>
      </w:pPr>
    </w:p>
    <w:p>
      <w:pPr>
        <w:ind w:right="600" w:firstLine="268"/>
        <w:spacing w:after="0" w:line="270" w:lineRule="auto"/>
        <w:rPr>
          <w:sz w:val="20"/>
          <w:szCs w:val="20"/>
          <w:color w:val="auto"/>
        </w:rPr>
      </w:pPr>
      <w:r>
        <w:rPr>
          <w:rFonts w:ascii="Arial" w:cs="Arial" w:eastAsia="Arial" w:hAnsi="Arial"/>
          <w:sz w:val="15"/>
          <w:szCs w:val="15"/>
          <w:color w:val="auto"/>
        </w:rPr>
        <w:t>Our Servicing business continues to be adversely affected by the COVID-19 pandemic, with the loans placed under forbearance, the moratorium on foreclosures and elevated prepayments of our MSR portfolio due to interest rates. See further discussion within Overview, COVID-19 Pandemic Update.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Loan Resolutions</w:t>
      </w:r>
    </w:p>
    <w:p>
      <w:pPr>
        <w:spacing w:after="0" w:line="95" w:lineRule="exact"/>
        <w:rPr>
          <w:sz w:val="20"/>
          <w:szCs w:val="20"/>
          <w:color w:val="auto"/>
        </w:rPr>
      </w:pPr>
    </w:p>
    <w:p>
      <w:pPr>
        <w:ind w:right="20" w:firstLine="268"/>
        <w:spacing w:after="0" w:line="296" w:lineRule="auto"/>
        <w:rPr>
          <w:sz w:val="20"/>
          <w:szCs w:val="20"/>
          <w:color w:val="auto"/>
        </w:rPr>
      </w:pPr>
      <w:r>
        <w:rPr>
          <w:rFonts w:ascii="Arial" w:cs="Arial" w:eastAsia="Arial" w:hAnsi="Arial"/>
          <w:sz w:val="13"/>
          <w:szCs w:val="13"/>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1005" w:right="399" w:bottom="1440" w:gutter="0" w:footer="0" w:header="0"/>
          <w:type w:val="continuous"/>
        </w:sectPr>
      </w:pPr>
    </w:p>
    <w:bookmarkStart w:id="74" w:name="page75"/>
    <w:bookmarkEnd w:id="74"/>
    <w:p>
      <w:pPr>
        <w:ind w:firstLine="268"/>
        <w:spacing w:after="0" w:line="270" w:lineRule="auto"/>
        <w:rPr>
          <w:sz w:val="20"/>
          <w:szCs w:val="20"/>
          <w:color w:val="auto"/>
        </w:rPr>
      </w:pPr>
      <w:r>
        <w:rPr>
          <w:rFonts w:ascii="Arial" w:cs="Arial" w:eastAsia="Arial" w:hAnsi="Arial"/>
          <w:sz w:val="15"/>
          <w:szCs w:val="15"/>
          <w:color w:val="auto"/>
        </w:rPr>
        <w:t>Our future financial performance will be less impacted by loan resolutions because, under our NRZ agreements, NRZ receives all deferred servicing fees. Deferred servicing fees related to delinquent borrower payments were $152.7 million at September 30, 2021, of which $120.5 million were attributable to NRZ agreements.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Advance Obligation</w:t>
      </w:r>
    </w:p>
    <w:p>
      <w:pPr>
        <w:spacing w:after="0" w:line="95"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55" w:lineRule="exact"/>
        <w:rPr>
          <w:sz w:val="20"/>
          <w:szCs w:val="20"/>
          <w:color w:val="auto"/>
        </w:rPr>
      </w:pPr>
    </w:p>
    <w:p>
      <w:pPr>
        <w:ind w:right="160" w:firstLine="268"/>
        <w:spacing w:after="0" w:line="279" w:lineRule="auto"/>
        <w:rPr>
          <w:sz w:val="20"/>
          <w:szCs w:val="20"/>
          <w:color w:val="auto"/>
        </w:rPr>
      </w:pPr>
      <w:r>
        <w:rPr>
          <w:rFonts w:ascii="Arial" w:cs="Arial" w:eastAsia="Arial" w:hAnsi="Arial"/>
          <w:sz w:val="14"/>
          <w:szCs w:val="14"/>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Third-Party Servicer Ratings</w:t>
      </w:r>
    </w:p>
    <w:p>
      <w:pPr>
        <w:spacing w:after="0" w:line="95"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key servicer ratings: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3580" w:type="dxa"/>
            <w:vAlign w:val="bottom"/>
            <w:tcBorders>
              <w:bottom w:val="single" w:sz="8" w:color="auto"/>
            </w:tcBorders>
            <w:gridSpan w:val="5"/>
          </w:tcPr>
          <w:p>
            <w:pPr>
              <w:jc w:val="center"/>
              <w:ind w:left="1146"/>
              <w:spacing w:after="0"/>
              <w:rPr>
                <w:sz w:val="20"/>
                <w:szCs w:val="20"/>
                <w:color w:val="auto"/>
              </w:rPr>
            </w:pPr>
            <w:r>
              <w:rPr>
                <w:rFonts w:ascii="Arial" w:cs="Arial" w:eastAsia="Arial" w:hAnsi="Arial"/>
                <w:sz w:val="15"/>
                <w:szCs w:val="15"/>
                <w:b w:val="1"/>
                <w:bCs w:val="1"/>
                <w:color w:val="auto"/>
                <w:w w:val="94"/>
              </w:rPr>
              <w:t>PHH Mortgage Corporation (PMC)</w:t>
            </w:r>
          </w:p>
        </w:tc>
        <w:tc>
          <w:tcPr>
            <w:tcW w:w="1240" w:type="dxa"/>
            <w:vAlign w:val="bottom"/>
            <w:tcBorders>
              <w:bottom w:val="single" w:sz="8" w:color="auto"/>
            </w:tcBorders>
          </w:tcPr>
          <w:p>
            <w:pPr>
              <w:spacing w:after="0"/>
              <w:rPr>
                <w:sz w:val="16"/>
                <w:szCs w:val="16"/>
                <w:color w:val="auto"/>
              </w:rPr>
            </w:pPr>
          </w:p>
        </w:tc>
      </w:tr>
      <w:tr>
        <w:trPr>
          <w:trHeight w:val="181"/>
        </w:trPr>
        <w:tc>
          <w:tcPr>
            <w:tcW w:w="64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Moody’s</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S&amp;P</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w w:val="89"/>
              </w:rPr>
              <w:t>Fitch</w:t>
            </w:r>
          </w:p>
        </w:tc>
      </w:tr>
      <w:tr>
        <w:trPr>
          <w:trHeight w:val="181"/>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Prime Servicer</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6"/>
              </w:rPr>
              <w:t>SQ3</w:t>
            </w: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Subprime Servicer</w:t>
            </w: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86"/>
              </w:rPr>
              <w:t>SQ3</w:t>
            </w: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Special Servicer</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6"/>
              </w:rPr>
              <w:t>SQ3</w:t>
            </w: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RSS3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Second/Subordinate Lien Servicer</w:t>
            </w: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86"/>
              </w:rPr>
              <w:t>SQ3</w:t>
            </w: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Home Equity Servicer</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Alt-A Servicer</w:t>
            </w: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rPr>
              <w:t>—</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Master Servicer</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SQ3+</w:t>
            </w: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9"/>
              </w:rPr>
              <w:t>Above Average</w:t>
            </w:r>
          </w:p>
        </w:tc>
        <w:tc>
          <w:tcPr>
            <w:tcW w:w="1240" w:type="dxa"/>
            <w:vAlign w:val="bottom"/>
            <w:shd w:val="clear" w:color="auto" w:fill="CCEEFF"/>
          </w:tcPr>
          <w:p>
            <w:pPr>
              <w:jc w:val="center"/>
              <w:ind w:right="246"/>
              <w:spacing w:after="0"/>
              <w:rPr>
                <w:sz w:val="20"/>
                <w:szCs w:val="20"/>
                <w:color w:val="auto"/>
              </w:rPr>
            </w:pPr>
            <w:r>
              <w:rPr>
                <w:rFonts w:ascii="Arial" w:cs="Arial" w:eastAsia="Arial" w:hAnsi="Arial"/>
                <w:sz w:val="15"/>
                <w:szCs w:val="15"/>
                <w:color w:val="auto"/>
                <w:w w:val="95"/>
              </w:rPr>
              <w:t>RMS3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Ratings Outlook</w:t>
            </w: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rPr>
              <w:t>N/A</w:t>
            </w: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4"/>
              </w:rPr>
              <w:t>Stable</w:t>
            </w:r>
          </w:p>
        </w:tc>
        <w:tc>
          <w:tcPr>
            <w:tcW w:w="1240" w:type="dxa"/>
            <w:vAlign w:val="bottom"/>
          </w:tcPr>
          <w:p>
            <w:pPr>
              <w:jc w:val="center"/>
              <w:ind w:right="246"/>
              <w:spacing w:after="0"/>
              <w:rPr>
                <w:sz w:val="20"/>
                <w:szCs w:val="20"/>
                <w:color w:val="auto"/>
              </w:rPr>
            </w:pPr>
            <w:r>
              <w:rPr>
                <w:rFonts w:ascii="Arial" w:cs="Arial" w:eastAsia="Arial" w:hAnsi="Arial"/>
                <w:sz w:val="15"/>
                <w:szCs w:val="15"/>
                <w:color w:val="auto"/>
                <w:w w:val="84"/>
              </w:rPr>
              <w:t>Stable</w:t>
            </w:r>
          </w:p>
        </w:tc>
      </w:tr>
      <w:tr>
        <w:trPr>
          <w:trHeight w:val="134"/>
        </w:trPr>
        <w:tc>
          <w:tcPr>
            <w:tcW w:w="64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Date of last action</w:t>
            </w:r>
          </w:p>
        </w:tc>
        <w:tc>
          <w:tcPr>
            <w:tcW w:w="164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September 28, 2021</w:t>
            </w: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8"/>
              </w:rPr>
              <w:t>June 29, 2021</w:t>
            </w:r>
          </w:p>
        </w:tc>
        <w:tc>
          <w:tcPr>
            <w:tcW w:w="1240" w:type="dxa"/>
            <w:vAlign w:val="bottom"/>
          </w:tcPr>
          <w:p>
            <w:pPr>
              <w:jc w:val="center"/>
              <w:ind w:right="246"/>
              <w:spacing w:after="0"/>
              <w:rPr>
                <w:sz w:val="20"/>
                <w:szCs w:val="20"/>
                <w:color w:val="auto"/>
              </w:rPr>
            </w:pPr>
            <w:r>
              <w:rPr>
                <w:rFonts w:ascii="Arial" w:cs="Arial" w:eastAsia="Arial" w:hAnsi="Arial"/>
                <w:sz w:val="15"/>
                <w:szCs w:val="15"/>
                <w:color w:val="auto"/>
                <w:w w:val="95"/>
              </w:rPr>
              <w:t>April 28, 2021</w:t>
            </w:r>
          </w:p>
        </w:tc>
      </w:tr>
    </w:tbl>
    <w:p>
      <w:pPr>
        <w:spacing w:after="0" w:line="146" w:lineRule="exact"/>
        <w:rPr>
          <w:sz w:val="20"/>
          <w:szCs w:val="20"/>
          <w:color w:val="auto"/>
        </w:rPr>
      </w:pPr>
    </w:p>
    <w:p>
      <w:pPr>
        <w:ind w:right="40" w:firstLine="268"/>
        <w:spacing w:after="0" w:line="293" w:lineRule="auto"/>
        <w:rPr>
          <w:sz w:val="20"/>
          <w:szCs w:val="20"/>
          <w:color w:val="auto"/>
        </w:rPr>
      </w:pPr>
      <w:r>
        <w:rPr>
          <w:rFonts w:ascii="Arial" w:cs="Arial" w:eastAsia="Arial" w:hAnsi="Arial"/>
          <w:sz w:val="13"/>
          <w:szCs w:val="13"/>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March 24, 2020, Fitch placed all U.S. RMBS servicer ratings on Negative outlook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5" w:name="page76"/>
    <w:bookmarkEnd w:id="75"/>
    <w:p>
      <w:pPr>
        <w:ind w:right="400" w:firstLine="268"/>
        <w:spacing w:after="0" w:line="270" w:lineRule="auto"/>
        <w:rPr>
          <w:sz w:val="20"/>
          <w:szCs w:val="20"/>
          <w:color w:val="auto"/>
        </w:rPr>
      </w:pPr>
      <w:r>
        <w:rPr>
          <w:rFonts w:ascii="Arial" w:cs="Arial" w:eastAsia="Arial" w:hAnsi="Arial"/>
          <w:sz w:val="15"/>
          <w:szCs w:val="15"/>
          <w:color w:val="auto"/>
        </w:rPr>
        <w:t>The following table presents selected results of operations of our Servicing segment. The amounts presented are before the elimination of balances and transactions with our other segments: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6"/>
                <w:szCs w:val="16"/>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Arial" w:cs="Arial" w:eastAsia="Arial" w:hAnsi="Arial"/>
                <w:sz w:val="15"/>
                <w:szCs w:val="15"/>
                <w:b w:val="1"/>
                <w:bCs w:val="1"/>
                <w:color w:val="auto"/>
                <w:w w:val="93"/>
              </w:rPr>
              <w:t>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2"/>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31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Residential</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204.6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554.5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562.7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89"/>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Commercial</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0.9</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2.5</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w:t>
            </w:r>
          </w:p>
        </w:tc>
      </w:tr>
      <w:tr>
        <w:trPr>
          <w:trHeight w:val="181"/>
        </w:trPr>
        <w:tc>
          <w:tcPr>
            <w:tcW w:w="3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205.4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182.1</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556.9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565.2</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4.1</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264</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10.5</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12.8</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(104)</w:t>
            </w: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revenue, net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0.5</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3.2</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(60)</w:t>
            </w:r>
          </w:p>
        </w:tc>
      </w:tr>
      <w:tr>
        <w:trPr>
          <w:trHeight w:val="181"/>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197.3</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596.9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592.0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r>
      <w:tr>
        <w:trPr>
          <w:trHeight w:val="170"/>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(69.9)</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(249.9)</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(59)</w:t>
            </w:r>
          </w:p>
        </w:tc>
      </w:tr>
      <w:tr>
        <w:trPr>
          <w:trHeight w:val="134"/>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Compensation and benefits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26.1</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85.7</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(13)</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23.0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54.6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32</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5.5</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24.2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(23)</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10.3</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19.8</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22</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5.4</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20.0</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(15)</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overhead allocations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12.4</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48.3</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(24)</w:t>
            </w: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37</w:t>
            </w:r>
          </w:p>
        </w:tc>
      </w:tr>
      <w:tr>
        <w:trPr>
          <w:trHeight w:val="181"/>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80.8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83.6</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247.2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255.5</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w:t>
            </w:r>
          </w:p>
        </w:tc>
      </w:tr>
      <w:tr>
        <w:trPr>
          <w:trHeight w:val="114"/>
        </w:trPr>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6.3</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(22)</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(23.3)</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(69.8)</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Pledged MSR liability expense</w:t>
            </w: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(91.1)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(39.8)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(105.8)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60</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8.3</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(42)</w:t>
            </w:r>
          </w:p>
        </w:tc>
      </w:tr>
      <w:tr>
        <w:trPr>
          <w:trHeight w:val="180"/>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other expense, net</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(116.2)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(59.0)</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(231.8)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(160.9)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44</w:t>
            </w:r>
          </w:p>
        </w:tc>
      </w:tr>
      <w:tr>
        <w:trPr>
          <w:trHeight w:val="114"/>
        </w:trPr>
        <w:tc>
          <w:tcPr>
            <w:tcW w:w="3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81"/>
        </w:trPr>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(74.3)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(120)%</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52"/>
        </w:trPr>
        <w:tc>
          <w:tcPr>
            <w:tcW w:w="31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n/m: not meaningful</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8"/>
        </w:trPr>
        <w:tc>
          <w:tcPr>
            <w:tcW w:w="4500" w:type="dxa"/>
            <w:vAlign w:val="bottom"/>
          </w:tcPr>
          <w:p>
            <w:pPr>
              <w:ind w:left="280"/>
              <w:spacing w:after="0"/>
              <w:rPr>
                <w:sz w:val="20"/>
                <w:szCs w:val="20"/>
                <w:color w:val="auto"/>
              </w:rPr>
            </w:pPr>
            <w:r>
              <w:rPr>
                <w:rFonts w:ascii="Arial" w:cs="Arial" w:eastAsia="Arial" w:hAnsi="Arial"/>
                <w:sz w:val="15"/>
                <w:szCs w:val="15"/>
                <w:color w:val="auto"/>
              </w:rPr>
              <w:t>The following tables provide selected operating statistics: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12"/>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24"/>
                <w:szCs w:val="24"/>
                <w:color w:val="auto"/>
              </w:rPr>
            </w:pPr>
          </w:p>
        </w:tc>
        <w:tc>
          <w:tcPr>
            <w:tcW w:w="1160" w:type="dxa"/>
            <w:vAlign w:val="bottom"/>
          </w:tcPr>
          <w:p>
            <w:pPr>
              <w:jc w:val="right"/>
              <w:ind w:right="386"/>
              <w:spacing w:after="0"/>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06"/>
              <w:spacing w:after="0"/>
              <w:rPr>
                <w:sz w:val="20"/>
                <w:szCs w:val="20"/>
                <w:color w:val="auto"/>
              </w:rPr>
            </w:pPr>
            <w:r>
              <w:rPr>
                <w:rFonts w:ascii="Arial" w:cs="Arial" w:eastAsia="Arial" w:hAnsi="Arial"/>
                <w:sz w:val="15"/>
                <w:szCs w:val="15"/>
                <w:b w:val="1"/>
                <w:bCs w:val="1"/>
                <w:color w:val="auto"/>
                <w:w w:val="95"/>
              </w:rPr>
              <w:t>September 30,</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2"/>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5"/>
                <w:szCs w:val="15"/>
                <w:b w:val="1"/>
                <w:bCs w:val="1"/>
                <w:color w:val="auto"/>
              </w:rPr>
              <w:t>% Change</w:t>
            </w:r>
          </w:p>
        </w:tc>
        <w:tc>
          <w:tcPr>
            <w:tcW w:w="180" w:type="dxa"/>
            <w:vAlign w:val="bottom"/>
          </w:tcPr>
          <w:p>
            <w:pPr>
              <w:spacing w:after="0"/>
              <w:rPr>
                <w:sz w:val="18"/>
                <w:szCs w:val="18"/>
                <w:color w:val="auto"/>
              </w:rPr>
            </w:pPr>
          </w:p>
        </w:tc>
        <w:tc>
          <w:tcPr>
            <w:tcW w:w="1280" w:type="dxa"/>
            <w:vAlign w:val="bottom"/>
          </w:tcPr>
          <w:p>
            <w:pPr>
              <w:jc w:val="right"/>
              <w:ind w:right="506"/>
              <w:spacing w:after="0"/>
              <w:rPr>
                <w:sz w:val="20"/>
                <w:szCs w:val="20"/>
                <w:color w:val="auto"/>
              </w:rPr>
            </w:pPr>
            <w:r>
              <w:rPr>
                <w:rFonts w:ascii="Arial" w:cs="Arial" w:eastAsia="Arial" w:hAnsi="Arial"/>
                <w:sz w:val="15"/>
                <w:szCs w:val="15"/>
                <w:b w:val="1"/>
                <w:bCs w:val="1"/>
                <w:color w:val="auto"/>
              </w:rPr>
              <w:t>2020</w:t>
            </w:r>
          </w:p>
        </w:tc>
        <w:tc>
          <w:tcPr>
            <w:tcW w:w="60" w:type="dxa"/>
            <w:vAlign w:val="bottom"/>
          </w:tcPr>
          <w:p>
            <w:pPr>
              <w:spacing w:after="0"/>
              <w:rPr>
                <w:sz w:val="18"/>
                <w:szCs w:val="18"/>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45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Residential Assets Serviced</w:t>
            </w: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9"/>
        </w:trPr>
        <w:tc>
          <w:tcPr>
            <w:tcW w:w="4500" w:type="dxa"/>
            <w:vAlign w:val="bottom"/>
          </w:tcPr>
          <w:p>
            <w:pPr>
              <w:ind w:left="120"/>
              <w:spacing w:after="0"/>
              <w:rPr>
                <w:sz w:val="20"/>
                <w:szCs w:val="20"/>
                <w:color w:val="auto"/>
              </w:rPr>
            </w:pPr>
            <w:r>
              <w:rPr>
                <w:rFonts w:ascii="Arial" w:cs="Arial" w:eastAsia="Arial" w:hAnsi="Arial"/>
                <w:sz w:val="15"/>
                <w:szCs w:val="15"/>
                <w:i w:val="1"/>
                <w:iCs w:val="1"/>
                <w:color w:val="auto"/>
              </w:rPr>
              <w:t>Unpaid principal balance (UPB) in billions: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Performing loans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38 %</w:t>
            </w: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Non-performing loans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8.3</w:t>
            </w:r>
          </w:p>
        </w:tc>
        <w:tc>
          <w:tcPr>
            <w:tcW w:w="1140" w:type="dxa"/>
            <w:vAlign w:val="bottom"/>
            <w:gridSpan w:val="2"/>
          </w:tcPr>
          <w:p>
            <w:pPr>
              <w:jc w:val="right"/>
              <w:ind w:right="66"/>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11.1</w:t>
            </w:r>
          </w:p>
        </w:tc>
        <w:tc>
          <w:tcPr>
            <w:tcW w:w="1140" w:type="dxa"/>
            <w:vAlign w:val="bottom"/>
            <w:gridSpan w:val="2"/>
          </w:tcPr>
          <w:p>
            <w:pPr>
              <w:jc w:val="right"/>
              <w:ind w:right="66"/>
              <w:spacing w:after="0"/>
              <w:rPr>
                <w:sz w:val="20"/>
                <w:szCs w:val="20"/>
                <w:color w:val="auto"/>
              </w:rPr>
            </w:pPr>
            <w:r>
              <w:rPr>
                <w:rFonts w:ascii="Arial" w:cs="Arial" w:eastAsia="Arial" w:hAnsi="Arial"/>
                <w:sz w:val="15"/>
                <w:szCs w:val="15"/>
                <w:color w:val="auto"/>
              </w:rPr>
              <w:t>(30)</w:t>
            </w: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Non-performing real estate</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(35)</w:t>
            </w:r>
          </w:p>
        </w:tc>
      </w:tr>
      <w:tr>
        <w:trPr>
          <w:trHeight w:val="181"/>
        </w:trPr>
        <w:tc>
          <w:tcPr>
            <w:tcW w:w="4500" w:type="dxa"/>
            <w:vAlign w:val="bottom"/>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237.3</w:t>
            </w:r>
          </w:p>
        </w:tc>
        <w:tc>
          <w:tcPr>
            <w:tcW w:w="1140" w:type="dxa"/>
            <w:vAlign w:val="bottom"/>
            <w:gridSpan w:val="2"/>
          </w:tcPr>
          <w:p>
            <w:pPr>
              <w:jc w:val="right"/>
              <w:ind w:right="106"/>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34 %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96"/>
        </w:trPr>
        <w:tc>
          <w:tcPr>
            <w:tcW w:w="4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Conventional loans (2)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133.7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9 %</w:t>
            </w:r>
          </w:p>
        </w:tc>
        <w:tc>
          <w:tcPr>
            <w:tcW w:w="8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72.9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Government-insured loans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w:t>
            </w: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Non-Agency loans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(13)</w:t>
            </w:r>
          </w:p>
        </w:tc>
      </w:tr>
      <w:tr>
        <w:trPr>
          <w:trHeight w:val="206"/>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34 %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76"/>
        </w:trPr>
        <w:tc>
          <w:tcPr>
            <w:tcW w:w="4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portfolio (5)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84 %</w:t>
            </w: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Subservicing portfolio</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19.2</w:t>
            </w:r>
          </w:p>
        </w:tc>
        <w:tc>
          <w:tcPr>
            <w:tcW w:w="1140" w:type="dxa"/>
            <w:vAlign w:val="bottom"/>
            <w:gridSpan w:val="2"/>
          </w:tcPr>
          <w:p>
            <w:pPr>
              <w:jc w:val="right"/>
              <w:ind w:right="106"/>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21.8</w:t>
            </w:r>
          </w:p>
        </w:tc>
        <w:tc>
          <w:tcPr>
            <w:tcW w:w="1140" w:type="dxa"/>
            <w:vAlign w:val="bottom"/>
            <w:gridSpan w:val="2"/>
          </w:tcPr>
          <w:p>
            <w:pPr>
              <w:jc w:val="right"/>
              <w:ind w:right="106"/>
              <w:spacing w:after="0"/>
              <w:rPr>
                <w:sz w:val="20"/>
                <w:szCs w:val="20"/>
                <w:color w:val="auto"/>
              </w:rPr>
            </w:pPr>
            <w:r>
              <w:rPr>
                <w:rFonts w:ascii="Arial" w:cs="Arial" w:eastAsia="Arial" w:hAnsi="Arial"/>
                <w:sz w:val="15"/>
                <w:szCs w:val="15"/>
                <w:color w:val="auto"/>
              </w:rPr>
              <w:t>9</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MAV (3)</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n/m</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NRZ (3) (6)</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(32)</w:t>
            </w:r>
          </w:p>
        </w:tc>
      </w:tr>
      <w:tr>
        <w:trPr>
          <w:trHeight w:val="206"/>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w:t>
            </w:r>
          </w:p>
        </w:tc>
        <w:tc>
          <w:tcPr>
            <w:tcW w:w="11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76"/>
        </w:trPr>
        <w:tc>
          <w:tcPr>
            <w:tcW w:w="4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89"/>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Number (in 000’s):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Performing loans (1)</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1,255.6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1,220.7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1,138.0</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10 %</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Non-performing loans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4500" w:type="dxa"/>
            <w:vAlign w:val="bottom"/>
          </w:tcPr>
          <w:p>
            <w:pPr>
              <w:ind w:left="280"/>
              <w:spacing w:after="0"/>
              <w:rPr>
                <w:sz w:val="20"/>
                <w:szCs w:val="20"/>
                <w:color w:val="auto"/>
              </w:rPr>
            </w:pPr>
            <w:r>
              <w:rPr>
                <w:rFonts w:ascii="Arial" w:cs="Arial" w:eastAsia="Arial" w:hAnsi="Arial"/>
                <w:sz w:val="15"/>
                <w:szCs w:val="15"/>
                <w:color w:val="auto"/>
              </w:rPr>
              <w:t>Non-performing loans - NRZ</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190"/>
        </w:trPr>
        <w:tc>
          <w:tcPr>
            <w:tcW w:w="4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Non-performing loans - Other</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(26)</w:t>
            </w:r>
          </w:p>
        </w:tc>
      </w:tr>
      <w:tr>
        <w:trPr>
          <w:trHeight w:val="180"/>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43.3</w:t>
            </w:r>
          </w:p>
        </w:tc>
        <w:tc>
          <w:tcPr>
            <w:tcW w:w="1140" w:type="dxa"/>
            <w:vAlign w:val="bottom"/>
            <w:gridSpan w:val="2"/>
          </w:tcPr>
          <w:p>
            <w:pPr>
              <w:jc w:val="right"/>
              <w:ind w:right="66"/>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55.9</w:t>
            </w:r>
          </w:p>
        </w:tc>
        <w:tc>
          <w:tcPr>
            <w:tcW w:w="1140" w:type="dxa"/>
            <w:vAlign w:val="bottom"/>
            <w:gridSpan w:val="2"/>
          </w:tcPr>
          <w:p>
            <w:pPr>
              <w:jc w:val="right"/>
              <w:ind w:right="66"/>
              <w:spacing w:after="0"/>
              <w:rPr>
                <w:sz w:val="20"/>
                <w:szCs w:val="20"/>
                <w:color w:val="auto"/>
              </w:rPr>
            </w:pPr>
            <w:r>
              <w:rPr>
                <w:rFonts w:ascii="Arial" w:cs="Arial" w:eastAsia="Arial" w:hAnsi="Arial"/>
                <w:sz w:val="15"/>
                <w:szCs w:val="15"/>
                <w:color w:val="auto"/>
              </w:rPr>
              <w:t>(26)</w:t>
            </w: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Non-performing real estate</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(38)</w:t>
            </w:r>
          </w:p>
        </w:tc>
      </w:tr>
      <w:tr>
        <w:trPr>
          <w:trHeight w:val="181"/>
        </w:trPr>
        <w:tc>
          <w:tcPr>
            <w:tcW w:w="4500" w:type="dxa"/>
            <w:vAlign w:val="bottom"/>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8 %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96"/>
        </w:trPr>
        <w:tc>
          <w:tcPr>
            <w:tcW w:w="4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Conventional loans (2)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561.3</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430.8</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41 %</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Government-insured loans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Non-Agency loans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520.4</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572.5</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(12)</w:t>
            </w:r>
          </w:p>
        </w:tc>
      </w:tr>
      <w:tr>
        <w:trPr>
          <w:trHeight w:val="206"/>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76"/>
        </w:trPr>
        <w:tc>
          <w:tcPr>
            <w:tcW w:w="4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portfolio</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Subservicing portfolio</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77.3</w:t>
            </w:r>
          </w:p>
        </w:tc>
        <w:tc>
          <w:tcPr>
            <w:tcW w:w="1140" w:type="dxa"/>
            <w:vAlign w:val="bottom"/>
            <w:gridSpan w:val="2"/>
          </w:tcPr>
          <w:p>
            <w:pPr>
              <w:jc w:val="right"/>
              <w:ind w:right="106"/>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88.1</w:t>
            </w:r>
          </w:p>
        </w:tc>
        <w:tc>
          <w:tcPr>
            <w:tcW w:w="1140" w:type="dxa"/>
            <w:vAlign w:val="bottom"/>
            <w:gridSpan w:val="2"/>
          </w:tcPr>
          <w:p>
            <w:pPr>
              <w:jc w:val="right"/>
              <w:ind w:right="106"/>
              <w:spacing w:after="0"/>
              <w:rPr>
                <w:sz w:val="20"/>
                <w:szCs w:val="20"/>
                <w:color w:val="auto"/>
              </w:rPr>
            </w:pPr>
            <w:r>
              <w:rPr>
                <w:rFonts w:ascii="Arial" w:cs="Arial" w:eastAsia="Arial" w:hAnsi="Arial"/>
                <w:sz w:val="15"/>
                <w:szCs w:val="15"/>
                <w:color w:val="auto"/>
              </w:rPr>
              <w:t>6</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MAV (3)</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n/m</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NRZ (3) (6)</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463.3</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651.3</w:t>
            </w:r>
          </w:p>
        </w:tc>
        <w:tc>
          <w:tcPr>
            <w:tcW w:w="114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(32)</w:t>
            </w:r>
          </w:p>
        </w:tc>
      </w:tr>
      <w:tr>
        <w:trPr>
          <w:trHeight w:val="206"/>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722"/>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2"/>
        </w:trPr>
        <w:tc>
          <w:tcPr>
            <w:tcW w:w="4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5"/>
                <w:szCs w:val="15"/>
                <w:b w:val="1"/>
                <w:bCs w:val="1"/>
                <w:color w:val="auto"/>
                <w:w w:val="95"/>
              </w:rPr>
              <w:t>Nine Months Ended September 30,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24"/>
                <w:szCs w:val="24"/>
                <w:color w:val="auto"/>
              </w:rPr>
            </w:pPr>
          </w:p>
        </w:tc>
        <w:tc>
          <w:tcPr>
            <w:tcW w:w="1260" w:type="dxa"/>
            <w:vAlign w:val="bottom"/>
          </w:tcPr>
          <w:p>
            <w:pPr>
              <w:jc w:val="right"/>
              <w:ind w:right="226"/>
              <w:spacing w:after="0"/>
              <w:rPr>
                <w:sz w:val="20"/>
                <w:szCs w:val="20"/>
                <w:color w:val="auto"/>
              </w:rPr>
            </w:pPr>
            <w:r>
              <w:rPr>
                <w:rFonts w:ascii="Arial" w:cs="Arial" w:eastAsia="Arial" w:hAnsi="Arial"/>
                <w:sz w:val="15"/>
                <w:szCs w:val="15"/>
                <w:b w:val="1"/>
                <w:bCs w:val="1"/>
                <w:color w:val="auto"/>
                <w:w w:val="96"/>
              </w:rPr>
              <w:t>June 30, 2021</w:t>
            </w:r>
          </w:p>
        </w:tc>
        <w:tc>
          <w:tcPr>
            <w:tcW w:w="80" w:type="dxa"/>
            <w:vAlign w:val="bottom"/>
          </w:tcPr>
          <w:p>
            <w:pPr>
              <w:spacing w:after="0"/>
              <w:rPr>
                <w:sz w:val="24"/>
                <w:szCs w:val="24"/>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rPr>
              <w:t>% Change</w:t>
            </w:r>
          </w:p>
        </w:tc>
        <w:tc>
          <w:tcPr>
            <w:tcW w:w="1220" w:type="dxa"/>
            <w:vAlign w:val="bottom"/>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0"/>
        </w:trPr>
        <w:tc>
          <w:tcPr>
            <w:tcW w:w="296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5"/>
                <w:szCs w:val="15"/>
                <w:i w:val="1"/>
                <w:iCs w:val="1"/>
                <w:color w:val="auto"/>
              </w:rPr>
              <w:t>Prepayment speed (CPR) (4):</w:t>
            </w: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0"/>
              <w:spacing w:after="0"/>
              <w:rPr>
                <w:sz w:val="20"/>
                <w:szCs w:val="20"/>
                <w:color w:val="auto"/>
              </w:rPr>
            </w:pPr>
            <w:r>
              <w:rPr>
                <w:rFonts w:ascii="Arial" w:cs="Arial" w:eastAsia="Arial" w:hAnsi="Arial"/>
                <w:sz w:val="15"/>
                <w:szCs w:val="15"/>
                <w:color w:val="auto"/>
              </w:rPr>
              <w:t>% Voluntary CPR</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17.3 %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15.6 %</w:t>
            </w:r>
          </w:p>
        </w:tc>
        <w:tc>
          <w:tcPr>
            <w:tcW w:w="1060" w:type="dxa"/>
            <w:vAlign w:val="bottom"/>
            <w:gridSpan w:val="2"/>
          </w:tcPr>
          <w:p>
            <w:pPr>
              <w:ind w:left="720"/>
              <w:spacing w:after="0"/>
              <w:rPr>
                <w:sz w:val="20"/>
                <w:szCs w:val="20"/>
                <w:color w:val="auto"/>
              </w:rPr>
            </w:pPr>
            <w:r>
              <w:rPr>
                <w:rFonts w:ascii="Arial" w:cs="Arial" w:eastAsia="Arial" w:hAnsi="Arial"/>
                <w:sz w:val="15"/>
                <w:szCs w:val="15"/>
                <w:color w:val="auto"/>
                <w:w w:val="93"/>
              </w:rPr>
              <w:t>11 %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18.2 %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14.2 %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28 %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 Involuntary CPR</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1.4</w:t>
            </w:r>
          </w:p>
        </w:tc>
        <w:tc>
          <w:tcPr>
            <w:tcW w:w="104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0"/>
              <w:spacing w:after="0"/>
              <w:rPr>
                <w:sz w:val="20"/>
                <w:szCs w:val="20"/>
                <w:color w:val="auto"/>
              </w:rPr>
            </w:pPr>
            <w:r>
              <w:rPr>
                <w:rFonts w:ascii="Arial" w:cs="Arial" w:eastAsia="Arial" w:hAnsi="Arial"/>
                <w:sz w:val="15"/>
                <w:szCs w:val="15"/>
                <w:color w:val="auto"/>
              </w:rPr>
              <w:t>% Total CPR</w:t>
            </w:r>
          </w:p>
        </w:tc>
        <w:tc>
          <w:tcPr>
            <w:tcW w:w="120" w:type="dxa"/>
            <w:vAlign w:val="bottom"/>
          </w:tcPr>
          <w:p>
            <w:pPr>
              <w:spacing w:after="0"/>
              <w:rPr>
                <w:sz w:val="16"/>
                <w:szCs w:val="16"/>
                <w:color w:val="auto"/>
              </w:rPr>
            </w:pP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19.6</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19.1</w:t>
            </w:r>
          </w:p>
        </w:tc>
        <w:tc>
          <w:tcPr>
            <w:tcW w:w="1040" w:type="dxa"/>
            <w:vAlign w:val="bottom"/>
            <w:gridSpan w:val="2"/>
          </w:tcPr>
          <w:p>
            <w:pPr>
              <w:jc w:val="right"/>
              <w:ind w:right="106"/>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5"/>
                <w:szCs w:val="15"/>
                <w:color w:val="auto"/>
                <w:w w:val="97"/>
              </w:rPr>
              <w:t xml:space="preserve">Number of completed modifications </w:t>
            </w:r>
            <w:r>
              <w:rPr>
                <w:rFonts w:ascii="Arial" w:cs="Arial" w:eastAsia="Arial" w:hAnsi="Arial"/>
                <w:sz w:val="15"/>
                <w:szCs w:val="15"/>
                <w:i w:val="1"/>
                <w:iCs w:val="1"/>
                <w:color w:val="auto"/>
                <w:w w:val="97"/>
              </w:rPr>
              <w:t>(in 000’s)</w:t>
            </w:r>
          </w:p>
        </w:tc>
        <w:tc>
          <w:tcPr>
            <w:tcW w:w="120" w:type="dxa"/>
            <w:vAlign w:val="bottom"/>
          </w:tcPr>
          <w:p>
            <w:pPr>
              <w:spacing w:after="0"/>
              <w:rPr>
                <w:sz w:val="16"/>
                <w:szCs w:val="16"/>
                <w:color w:val="auto"/>
              </w:rPr>
            </w:pP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4.1</w:t>
            </w:r>
          </w:p>
        </w:tc>
        <w:tc>
          <w:tcPr>
            <w:tcW w:w="1060" w:type="dxa"/>
            <w:vAlign w:val="bottom"/>
            <w:gridSpan w:val="2"/>
          </w:tcPr>
          <w:p>
            <w:pPr>
              <w:ind w:left="720"/>
              <w:spacing w:after="0"/>
              <w:rPr>
                <w:sz w:val="20"/>
                <w:szCs w:val="20"/>
                <w:color w:val="auto"/>
              </w:rPr>
            </w:pPr>
            <w:r>
              <w:rPr>
                <w:rFonts w:ascii="Arial" w:cs="Arial" w:eastAsia="Arial" w:hAnsi="Arial"/>
                <w:sz w:val="15"/>
                <w:szCs w:val="15"/>
                <w:color w:val="auto"/>
                <w:w w:val="93"/>
              </w:rPr>
              <w:t>11 %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22.6</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color w:val="auto"/>
                <w:w w:val="99"/>
              </w:rPr>
              <w:t>Revenue recognized in connection with loan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7.1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7.2</w:t>
            </w:r>
          </w:p>
        </w:tc>
        <w:tc>
          <w:tcPr>
            <w:tcW w:w="1380" w:type="dxa"/>
            <w:vAlign w:val="bottom"/>
            <w:gridSpan w:val="4"/>
            <w:vMerge w:val="restart"/>
            <w:shd w:val="clear" w:color="auto" w:fill="CCEEFF"/>
          </w:tcPr>
          <w:p>
            <w:pPr>
              <w:ind w:left="740"/>
              <w:spacing w:after="0"/>
              <w:rPr>
                <w:sz w:val="20"/>
                <w:szCs w:val="20"/>
                <w:color w:val="auto"/>
              </w:rPr>
            </w:pPr>
            <w:r>
              <w:rPr>
                <w:rFonts w:ascii="Arial" w:cs="Arial" w:eastAsia="Arial" w:hAnsi="Arial"/>
                <w:sz w:val="15"/>
                <w:szCs w:val="15"/>
                <w:color w:val="auto"/>
              </w:rPr>
              <w:t>(1)%  $</w:t>
            </w:r>
          </w:p>
        </w:tc>
        <w:tc>
          <w:tcPr>
            <w:tcW w:w="122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modifications</w:t>
            </w:r>
          </w:p>
        </w:tc>
        <w:tc>
          <w:tcPr>
            <w:tcW w:w="1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80" w:right="80" w:hanging="271"/>
        <w:spacing w:after="0" w:line="260" w:lineRule="auto"/>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280" w:right="520" w:hanging="271"/>
        <w:spacing w:after="0" w:line="271" w:lineRule="auto"/>
        <w:tabs>
          <w:tab w:leader="none" w:pos="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Conventional loans include 77,522 and 81,193 prime loans with a UPB of $14.2 billion and $14.6 billion at September 30, 2021 and June 30, 2021, respectively, that we service or subservice. This compares to 98,461 prime loans with a UPB of $18.0 billion at September 30, 2020. Prime loans are generally good credit quality loans that meet GSE underwriting standards.</w:t>
      </w: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Loans serviced or subserviced pursuant to our agreements with NRZ or MAV.</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Average CPR includes voluntary and involuntary prepayments and scheduled principal amortization (not reflected in the above table).</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$6.8 billion UPB of reverse mortgage loans - securitized and unsecuritized - that are recognized in our consolidated balance sheet at September 30, 2021.</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$2.3 billion UPB of subserviced loans at September 30, 2021.</w:t>
      </w:r>
    </w:p>
    <w:p>
      <w:pPr>
        <w:spacing w:after="0" w:line="81"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5"/>
          <w:szCs w:val="15"/>
          <w:color w:val="auto"/>
        </w:rPr>
        <w:t>The following table provides selected operating statistics related to our reverse mortgage loans reported within our Servicing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6"/>
                <w:szCs w:val="16"/>
                <w:color w:val="auto"/>
              </w:rPr>
            </w:pPr>
          </w:p>
        </w:tc>
        <w:tc>
          <w:tcPr>
            <w:tcW w:w="1220" w:type="dxa"/>
            <w:vAlign w:val="bottom"/>
          </w:tcPr>
          <w:p>
            <w:pPr>
              <w:jc w:val="right"/>
              <w:ind w:right="406"/>
              <w:spacing w:after="0"/>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26"/>
              <w:spacing w:after="0"/>
              <w:rPr>
                <w:sz w:val="20"/>
                <w:szCs w:val="20"/>
                <w:color w:val="auto"/>
              </w:rPr>
            </w:pPr>
            <w:r>
              <w:rPr>
                <w:rFonts w:ascii="Arial" w:cs="Arial" w:eastAsia="Arial" w:hAnsi="Arial"/>
                <w:sz w:val="15"/>
                <w:szCs w:val="15"/>
                <w:b w:val="1"/>
                <w:bCs w:val="1"/>
                <w:color w:val="auto"/>
                <w:w w:val="97"/>
              </w:rPr>
              <w:t>September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200" w:type="dxa"/>
            <w:vAlign w:val="bottom"/>
          </w:tcPr>
          <w:p>
            <w:pPr>
              <w:spacing w:after="0"/>
              <w:rPr>
                <w:sz w:val="18"/>
                <w:szCs w:val="18"/>
                <w:color w:val="auto"/>
              </w:rPr>
            </w:pPr>
          </w:p>
        </w:tc>
        <w:tc>
          <w:tcPr>
            <w:tcW w:w="1320" w:type="dxa"/>
            <w:vAlign w:val="bottom"/>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442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Reverse Mortgage Loans</w:t>
            </w: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i w:val="1"/>
                <w:iCs w:val="1"/>
                <w:color w:val="auto"/>
              </w:rPr>
              <w:t>Unpaid principal balance (UPB) in millions: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4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investment (1)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6,390.0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6,341.2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6,849.9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89"/>
        </w:trPr>
        <w:tc>
          <w:tcPr>
            <w:tcW w:w="4420" w:type="dxa"/>
            <w:vAlign w:val="bottom"/>
          </w:tcPr>
          <w:p>
            <w:pPr>
              <w:ind w:left="200"/>
              <w:spacing w:after="0"/>
              <w:rPr>
                <w:sz w:val="20"/>
                <w:szCs w:val="20"/>
                <w:color w:val="auto"/>
              </w:rPr>
            </w:pPr>
            <w:r>
              <w:rPr>
                <w:rFonts w:ascii="Arial" w:cs="Arial" w:eastAsia="Arial" w:hAnsi="Arial"/>
                <w:sz w:val="15"/>
                <w:szCs w:val="15"/>
                <w:color w:val="auto"/>
              </w:rPr>
              <w:t>Active Buyouts (2)</w:t>
            </w:r>
          </w:p>
        </w:tc>
        <w:tc>
          <w:tcPr>
            <w:tcW w:w="18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24.5</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41.1</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189"/>
        </w:trPr>
        <w:tc>
          <w:tcPr>
            <w:tcW w:w="4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Inactive Buyouts (2)</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81.0</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102 %</w:t>
            </w:r>
          </w:p>
        </w:tc>
      </w:tr>
      <w:tr>
        <w:trPr>
          <w:trHeight w:val="181"/>
        </w:trPr>
        <w:tc>
          <w:tcPr>
            <w:tcW w:w="4420" w:type="dxa"/>
            <w:vAlign w:val="bottom"/>
          </w:tcPr>
          <w:p>
            <w:pPr>
              <w:ind w:left="40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6,512.9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6,446.7</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6,936.2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74"/>
        </w:trPr>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4420" w:type="dxa"/>
            <w:vAlign w:val="bottom"/>
          </w:tcPr>
          <w:p>
            <w:pPr>
              <w:ind w:left="200"/>
              <w:spacing w:after="0"/>
              <w:rPr>
                <w:sz w:val="20"/>
                <w:szCs w:val="20"/>
                <w:color w:val="auto"/>
              </w:rPr>
            </w:pPr>
            <w:r>
              <w:rPr>
                <w:rFonts w:ascii="Arial" w:cs="Arial" w:eastAsia="Arial" w:hAnsi="Arial"/>
                <w:sz w:val="15"/>
                <w:szCs w:val="15"/>
                <w:i w:val="1"/>
                <w:iCs w:val="1"/>
                <w:color w:val="auto"/>
              </w:rPr>
              <w:t>Inactive buyouts % to total</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1.40 %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1.26 %</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0.65 %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115 %</w:t>
            </w:r>
          </w:p>
        </w:tc>
      </w:tr>
      <w:tr>
        <w:trPr>
          <w:trHeight w:val="223"/>
        </w:trPr>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i w:val="1"/>
                <w:iCs w:val="1"/>
                <w:color w:val="auto"/>
              </w:rPr>
              <w:t>Future draw commitments (UPB) in millions:</w:t>
            </w:r>
          </w:p>
        </w:tc>
        <w:tc>
          <w:tcPr>
            <w:tcW w:w="18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2,064.7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2,045.5</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1,618.2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28 %</w:t>
            </w:r>
          </w:p>
        </w:tc>
      </w:tr>
      <w:tr>
        <w:trPr>
          <w:trHeight w:val="212"/>
        </w:trPr>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i w:val="1"/>
                <w:iCs w:val="1"/>
                <w:color w:val="auto"/>
              </w:rPr>
              <w:t>Fair value in millions: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4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investment (1)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6,874.0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6,928.5</w:t>
            </w:r>
          </w:p>
        </w:tc>
        <w:tc>
          <w:tcPr>
            <w:tcW w:w="106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6,715.1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r>
      <w:tr>
        <w:trPr>
          <w:trHeight w:val="189"/>
        </w:trPr>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HMBS related borrowings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6,782.6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6,823.9</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6,606.5</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3</w:t>
            </w:r>
          </w:p>
        </w:tc>
      </w:tr>
      <w:tr>
        <w:trPr>
          <w:trHeight w:val="206"/>
        </w:trPr>
        <w:tc>
          <w:tcPr>
            <w:tcW w:w="4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Net asset value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91.5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104.5</w:t>
            </w:r>
          </w:p>
        </w:tc>
        <w:tc>
          <w:tcPr>
            <w:tcW w:w="10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108.6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677"/>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2"/>
        </w:trPr>
        <w:tc>
          <w:tcPr>
            <w:tcW w:w="4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8" w:name="page79"/>
    <w:bookmarkEnd w:id="78"/>
    <w:p>
      <w:pPr>
        <w:ind w:left="280" w:hanging="271"/>
        <w:spacing w:after="0"/>
        <w:tabs>
          <w:tab w:leader="none" w:pos="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Securitized loans only; excludes unsecuritized loans as reported within the Originations segment.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Buyouts are reported as Loans held for sale, Accounts Receivable or REO depending on the loan and foreclosure status.</w:t>
      </w:r>
    </w:p>
    <w:p>
      <w:pPr>
        <w:spacing w:after="0" w:line="81"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5"/>
          <w:szCs w:val="15"/>
          <w:color w:val="auto"/>
        </w:rPr>
        <w:t>The following table provides a breakdown of our servicer advances: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September 30, 2021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Principal and</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Taxes and</w:t>
            </w: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6"/>
              </w:rPr>
              <w:t>Foreclosures,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Principal and</w:t>
            </w:r>
          </w:p>
        </w:tc>
        <w:tc>
          <w:tcPr>
            <w:tcW w:w="14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Taxes and</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Foreclosures,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Advances by investor type</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6"/>
              </w:rPr>
              <w:t>bankruptcy, REO</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6"/>
              </w:rPr>
              <w:t>bankruptcy, REO</w:t>
            </w:r>
          </w:p>
        </w:tc>
        <w:tc>
          <w:tcPr>
            <w:tcW w:w="240" w:type="dxa"/>
            <w:vAlign w:val="bottom"/>
          </w:tcPr>
          <w:p>
            <w:pPr>
              <w:spacing w:after="0"/>
              <w:rPr>
                <w:sz w:val="11"/>
                <w:szCs w:val="11"/>
                <w:color w:val="auto"/>
              </w:rPr>
            </w:pPr>
          </w:p>
        </w:tc>
        <w:tc>
          <w:tcPr>
            <w:tcW w:w="800" w:type="dxa"/>
            <w:vAlign w:val="bottom"/>
            <w:vMerge w:val="restart"/>
          </w:tcPr>
          <w:p>
            <w:pPr>
              <w:jc w:val="right"/>
              <w:ind w:right="28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Interest</w:t>
            </w: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Insurance</w:t>
            </w:r>
          </w:p>
        </w:tc>
        <w:tc>
          <w:tcPr>
            <w:tcW w:w="1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and other</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Insurance</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and other</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Conventional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5"/>
                <w:szCs w:val="15"/>
                <w:color w:val="auto"/>
              </w:rPr>
              <w:t>Government-insured</w:t>
            </w:r>
          </w:p>
        </w:tc>
        <w:tc>
          <w:tcPr>
            <w:tcW w:w="1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Non-Agency</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630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81"/>
        </w:trPr>
        <w:tc>
          <w:tcPr>
            <w:tcW w:w="1980" w:type="dxa"/>
            <w:vAlign w:val="bottom"/>
          </w:tcPr>
          <w:p>
            <w:pPr>
              <w:ind w:left="120"/>
              <w:spacing w:after="0"/>
              <w:rPr>
                <w:sz w:val="20"/>
                <w:szCs w:val="20"/>
                <w:color w:val="auto"/>
              </w:rPr>
            </w:pPr>
            <w:r>
              <w:rPr>
                <w:rFonts w:ascii="Arial" w:cs="Arial" w:eastAsia="Arial" w:hAnsi="Arial"/>
                <w:sz w:val="15"/>
                <w:szCs w:val="15"/>
                <w:color w:val="auto"/>
              </w:rPr>
              <w:t>Total,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740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provides information regarding the changes in our portfolio of residential assets serviced or subserviced: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5"/>
                <w:szCs w:val="15"/>
                <w:b w:val="1"/>
                <w:bCs w:val="1"/>
                <w:color w:val="auto"/>
              </w:rPr>
              <w:t>Amount of UPB (</w:t>
            </w:r>
            <w:r>
              <w:rPr>
                <w:rFonts w:ascii="Arial" w:cs="Arial" w:eastAsia="Arial" w:hAnsi="Arial"/>
                <w:sz w:val="15"/>
                <w:szCs w:val="15"/>
                <w:b w:val="1"/>
                <w:bCs w:val="1"/>
                <w:i w:val="1"/>
                <w:iCs w:val="1"/>
                <w:color w:val="auto"/>
              </w:rPr>
              <w:t>$ in billions)</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Count (000’s)</w:t>
            </w:r>
          </w:p>
        </w:tc>
        <w:tc>
          <w:tcPr>
            <w:tcW w:w="1040" w:type="dxa"/>
            <w:vAlign w:val="bottom"/>
            <w:tcBorders>
              <w:bottom w:val="single" w:sz="8" w:color="auto"/>
            </w:tcBorders>
          </w:tcPr>
          <w:p>
            <w:pPr>
              <w:spacing w:after="0"/>
              <w:rPr>
                <w:sz w:val="16"/>
                <w:szCs w:val="16"/>
                <w:color w:val="auto"/>
              </w:rPr>
            </w:pPr>
          </w:p>
        </w:tc>
      </w:tr>
      <w:tr>
        <w:trPr>
          <w:trHeight w:val="181"/>
        </w:trPr>
        <w:tc>
          <w:tcPr>
            <w:tcW w:w="47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Portfolio at January 1</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1,107.6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1,419.9</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Additions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28.8</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Servicing transfers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r>
      <w:tr>
        <w:trPr>
          <w:trHeight w:val="180"/>
        </w:trPr>
        <w:tc>
          <w:tcPr>
            <w:tcW w:w="4780" w:type="dxa"/>
            <w:vAlign w:val="bottom"/>
          </w:tcPr>
          <w:p>
            <w:pPr>
              <w:ind w:left="20"/>
              <w:spacing w:after="0"/>
              <w:rPr>
                <w:sz w:val="20"/>
                <w:szCs w:val="20"/>
                <w:color w:val="auto"/>
              </w:rPr>
            </w:pPr>
            <w:r>
              <w:rPr>
                <w:rFonts w:ascii="Arial" w:cs="Arial" w:eastAsia="Arial" w:hAnsi="Arial"/>
                <w:sz w:val="15"/>
                <w:szCs w:val="15"/>
                <w:b w:val="1"/>
                <w:bCs w:val="1"/>
                <w:color w:val="auto"/>
              </w:rPr>
              <w:t>Portfolio at March 31</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1040" w:type="dxa"/>
            <w:vAlign w:val="bottom"/>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208.8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1,063.2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1,396.3</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Additions (1)</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Sales</w:t>
            </w:r>
          </w:p>
        </w:tc>
        <w:tc>
          <w:tcPr>
            <w:tcW w:w="10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transfers (2)</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189"/>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Portfolio at June 30</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1,269.9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1,367.4</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Additions (1) (2)</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39.9</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1066"/>
              <w:spacing w:after="0"/>
              <w:rPr>
                <w:sz w:val="20"/>
                <w:szCs w:val="20"/>
                <w:color w:val="auto"/>
              </w:rPr>
            </w:pPr>
            <w:r>
              <w:rPr>
                <w:rFonts w:ascii="Arial" w:cs="Arial" w:eastAsia="Arial" w:hAnsi="Arial"/>
                <w:sz w:val="15"/>
                <w:szCs w:val="15"/>
                <w:color w:val="auto"/>
              </w:rPr>
              <w:t>—</w:t>
            </w:r>
          </w:p>
        </w:tc>
        <w:tc>
          <w:tcPr>
            <w:tcW w:w="116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Servicing transfers (2)</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(149.6)</w:t>
            </w:r>
          </w:p>
        </w:tc>
      </w:tr>
      <w:tr>
        <w:trPr>
          <w:trHeight w:val="189"/>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w:t>
            </w:r>
          </w:p>
        </w:tc>
      </w:tr>
      <w:tr>
        <w:trPr>
          <w:trHeight w:val="181"/>
        </w:trPr>
        <w:tc>
          <w:tcPr>
            <w:tcW w:w="4780" w:type="dxa"/>
            <w:vAlign w:val="bottom"/>
          </w:tcPr>
          <w:p>
            <w:pPr>
              <w:ind w:left="20"/>
              <w:spacing w:after="0"/>
              <w:rPr>
                <w:sz w:val="20"/>
                <w:szCs w:val="20"/>
                <w:color w:val="auto"/>
              </w:rPr>
            </w:pPr>
            <w:r>
              <w:rPr>
                <w:rFonts w:ascii="Arial" w:cs="Arial" w:eastAsia="Arial" w:hAnsi="Arial"/>
                <w:sz w:val="15"/>
                <w:szCs w:val="15"/>
                <w:b w:val="1"/>
                <w:bCs w:val="1"/>
                <w:color w:val="auto"/>
              </w:rPr>
              <w:t>Portfolio at September 30</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248.3</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185.9</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1,301.9</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1,202.2</w:t>
            </w:r>
          </w:p>
        </w:tc>
      </w:tr>
      <w:tr>
        <w:trPr>
          <w:trHeight w:val="20"/>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80" w:hanging="271"/>
        <w:spacing w:after="0" w:line="256" w:lineRule="auto"/>
        <w:tabs>
          <w:tab w:leader="none" w:pos="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Additions include purchased MSRs on portfolios consisting of 2,323 loans with a UPB of $0.6 billion that have not yet transferred to the Black Knight MSP servicing system as of September 30, 2021. Because we have legal title to the MSRs, the UPB and count of the loans are included in our reported servicing portfolio. The seller continues to subservice the loans on an interim basis until the servicing transfer date.</w:t>
      </w:r>
    </w:p>
    <w:p>
      <w:pPr>
        <w:spacing w:after="0" w:line="1" w:lineRule="exact"/>
        <w:rPr>
          <w:rFonts w:ascii="Arial" w:cs="Arial" w:eastAsia="Arial" w:hAnsi="Arial"/>
          <w:sz w:val="13"/>
          <w:szCs w:val="13"/>
          <w:color w:val="auto"/>
        </w:rPr>
      </w:pPr>
    </w:p>
    <w:p>
      <w:pPr>
        <w:ind w:left="340" w:hanging="331"/>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Excludes the volume UPB associated with short-term interim subservicing for some clients as a support to their originate-to-sell business, where loans are boarded and deboarded within the same quarter.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11"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20"/>
                <w:szCs w:val="20"/>
                <w:color w:val="auto"/>
              </w:rPr>
            </w:pPr>
            <w:r>
              <w:rPr>
                <w:rFonts w:ascii="Arial" w:cs="Arial" w:eastAsia="Arial" w:hAnsi="Arial"/>
                <w:sz w:val="15"/>
                <w:szCs w:val="15"/>
                <w:b w:val="1"/>
                <w:bCs w:val="1"/>
                <w:color w:val="auto"/>
              </w:rPr>
              <w:t>Servicing and Subservicing Fees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2"/>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140" w:type="dxa"/>
            <w:vAlign w:val="bottom"/>
          </w:tcPr>
          <w:p>
            <w:pPr>
              <w:jc w:val="right"/>
              <w:ind w:right="34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86"/>
              <w:spacing w:after="0"/>
              <w:rPr>
                <w:sz w:val="20"/>
                <w:szCs w:val="20"/>
                <w:color w:val="auto"/>
              </w:rPr>
            </w:pPr>
            <w:r>
              <w:rPr>
                <w:rFonts w:ascii="Arial" w:cs="Arial" w:eastAsia="Arial" w:hAnsi="Arial"/>
                <w:sz w:val="15"/>
                <w:szCs w:val="15"/>
                <w:b w:val="1"/>
                <w:bCs w:val="1"/>
                <w:color w:val="auto"/>
                <w:w w:val="95"/>
              </w:rPr>
              <w:t>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2"/>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6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31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Loan servicing and subservicing fees:</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9"/>
        </w:trPr>
        <w:tc>
          <w:tcPr>
            <w:tcW w:w="3100" w:type="dxa"/>
            <w:vAlign w:val="bottom"/>
          </w:tcPr>
          <w:p>
            <w:pPr>
              <w:ind w:left="100"/>
              <w:spacing w:after="0"/>
              <w:rPr>
                <w:sz w:val="20"/>
                <w:szCs w:val="20"/>
                <w:color w:val="auto"/>
              </w:rPr>
            </w:pPr>
            <w:r>
              <w:rPr>
                <w:rFonts w:ascii="Arial" w:cs="Arial" w:eastAsia="Arial" w:hAnsi="Arial"/>
                <w:sz w:val="15"/>
                <w:szCs w:val="15"/>
                <w:color w:val="auto"/>
              </w:rPr>
              <w:t>Servicing</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79.4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246.4</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161.1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53 %</w:t>
            </w:r>
          </w:p>
        </w:tc>
      </w:tr>
      <w:tr>
        <w:trPr>
          <w:trHeight w:val="190"/>
        </w:trPr>
        <w:tc>
          <w:tcPr>
            <w:tcW w:w="3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(66)</w:t>
            </w:r>
          </w:p>
        </w:tc>
      </w:tr>
      <w:tr>
        <w:trPr>
          <w:trHeight w:val="189"/>
        </w:trPr>
        <w:tc>
          <w:tcPr>
            <w:tcW w:w="3100" w:type="dxa"/>
            <w:vAlign w:val="bottom"/>
          </w:tcPr>
          <w:p>
            <w:pPr>
              <w:ind w:left="100"/>
              <w:spacing w:after="0"/>
              <w:rPr>
                <w:sz w:val="20"/>
                <w:szCs w:val="20"/>
                <w:color w:val="auto"/>
              </w:rPr>
            </w:pPr>
            <w:r>
              <w:rPr>
                <w:rFonts w:ascii="Arial" w:cs="Arial" w:eastAsia="Arial" w:hAnsi="Arial"/>
                <w:sz w:val="15"/>
                <w:szCs w:val="15"/>
                <w:color w:val="auto"/>
              </w:rPr>
              <w:t>MAV</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5"/>
                <w:szCs w:val="15"/>
                <w:color w:val="auto"/>
              </w:rPr>
              <w:t>n/m</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90"/>
        </w:trPr>
        <w:tc>
          <w:tcPr>
            <w:tcW w:w="3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NRZ</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299.1</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(22)</w:t>
            </w:r>
          </w:p>
        </w:tc>
      </w:tr>
      <w:tr>
        <w:trPr>
          <w:trHeight w:val="180"/>
        </w:trPr>
        <w:tc>
          <w:tcPr>
            <w:tcW w:w="3100" w:type="dxa"/>
            <w:vAlign w:val="bottom"/>
          </w:tcPr>
          <w:p>
            <w:pPr>
              <w:ind w:left="160"/>
              <w:spacing w:after="0"/>
              <w:rPr>
                <w:sz w:val="20"/>
                <w:szCs w:val="20"/>
                <w:color w:val="auto"/>
              </w:rPr>
            </w:pPr>
            <w:r>
              <w:rPr>
                <w:rFonts w:ascii="Arial" w:cs="Arial" w:eastAsia="Arial" w:hAnsi="Arial"/>
                <w:sz w:val="15"/>
                <w:szCs w:val="15"/>
                <w:color w:val="auto"/>
              </w:rPr>
              <w:t>Servicing and subservicing fees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159.7</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486.3</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w:t>
            </w:r>
          </w:p>
        </w:tc>
      </w:tr>
      <w:tr>
        <w:trPr>
          <w:trHeight w:val="189"/>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Ancillary income</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78.9</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(15)</w:t>
            </w:r>
          </w:p>
        </w:tc>
      </w:tr>
      <w:tr>
        <w:trPr>
          <w:trHeight w:val="181"/>
        </w:trPr>
        <w:tc>
          <w:tcPr>
            <w:tcW w:w="3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13 %</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85"/>
        </w:trPr>
        <w:tc>
          <w:tcPr>
            <w:tcW w:w="3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bl>
    <w:p>
      <w:pPr>
        <w:spacing w:after="0" w:line="112" w:lineRule="exact"/>
        <w:rPr>
          <w:sz w:val="20"/>
          <w:szCs w:val="20"/>
          <w:color w:val="auto"/>
        </w:rPr>
      </w:pPr>
    </w:p>
    <w:p>
      <w:pPr>
        <w:ind w:right="100" w:firstLine="268"/>
        <w:spacing w:after="0" w:line="255" w:lineRule="auto"/>
        <w:rPr>
          <w:sz w:val="20"/>
          <w:szCs w:val="20"/>
          <w:color w:val="auto"/>
        </w:rPr>
      </w:pPr>
      <w:r>
        <w:rPr>
          <w:rFonts w:ascii="Arial" w:cs="Arial" w:eastAsia="Arial" w:hAnsi="Arial"/>
          <w:sz w:val="15"/>
          <w:szCs w:val="15"/>
          <w:color w:val="auto"/>
        </w:rPr>
        <w:t>We reported $205.4 million total servicing and subservicing fees in the third quarter of 2021, a $23.3 million, or 13% increase as compared to the second quarter of 2021. Our fee income increase is primarily due to a $23.7 million, or 30% increase in servicing fees on our owned MSRs driven by a 33% increase in our average UPB serviced. The increase in our UPB serviced is largely driven by bulk acquisitions during the second quarter of 2021. Partially offsetting this increase, fees collected on behalf of NRZ declined by $2.7 million due to a 5% decline in average UPB.</w:t>
      </w:r>
    </w:p>
    <w:p>
      <w:pPr>
        <w:spacing w:after="0" w:line="70" w:lineRule="exact"/>
        <w:rPr>
          <w:sz w:val="20"/>
          <w:szCs w:val="20"/>
          <w:color w:val="auto"/>
        </w:rPr>
      </w:pPr>
    </w:p>
    <w:p>
      <w:pPr>
        <w:ind w:right="40" w:firstLine="268"/>
        <w:spacing w:after="0" w:line="251" w:lineRule="auto"/>
        <w:rPr>
          <w:sz w:val="20"/>
          <w:szCs w:val="20"/>
          <w:color w:val="auto"/>
        </w:rPr>
      </w:pPr>
      <w:r>
        <w:rPr>
          <w:rFonts w:ascii="Arial" w:cs="Arial" w:eastAsia="Arial" w:hAnsi="Arial"/>
          <w:sz w:val="15"/>
          <w:szCs w:val="15"/>
          <w:color w:val="auto"/>
        </w:rPr>
        <w:t>The $8.3 million, or 1% decline in total servicing and subservicing fees in the nine months ended September 30, 2021 as compared to the nine months ended September 30, 2020 is primarily driven by our successful, gradual replacement of the NRZ volumes with new relationships and volumes sourced by our Originations business. Specifically, the $66.0 million reduction in fees collected on behalf of NRZ due to portfolio runoff and the PMC servicing termination, the $17.2 million decrease in subservicing fees mostly due to NRZ fees being reported as subservicing fees from the termination date through the loan deboarding date instead of as NRZ MSR servicing fees in prior periods, and the $12.0 million reduction in ancillary income due to the COVID-19 environment and lower interest rates, were largely offset by the $85.3 million or 53% increase in our owned MSR servicing fee income. The increase in servicing fees on our owned MSR as compared to the nine months ended September 30, 2020 is due to a 58% increase in our average volume serviced, primarily driven by bulk acquisitions and the growth in our correspondent lending volumes.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80" w:name="page81"/>
    <w:bookmarkEnd w:id="80"/>
    <w:p>
      <w:pPr>
        <w:ind w:left="280"/>
        <w:spacing w:after="0"/>
        <w:rPr>
          <w:sz w:val="20"/>
          <w:szCs w:val="20"/>
          <w:color w:val="auto"/>
        </w:rPr>
      </w:pPr>
      <w:r>
        <w:rPr>
          <w:rFonts w:ascii="Arial" w:cs="Arial" w:eastAsia="Arial" w:hAnsi="Arial"/>
          <w:sz w:val="15"/>
          <w:szCs w:val="15"/>
          <w:color w:val="auto"/>
        </w:rPr>
        <w:t>The following table below presents the respective drivers of residential loan servicing (owned MSR) and subservicing fees.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2"/>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160" w:type="dxa"/>
            <w:vAlign w:val="bottom"/>
          </w:tcPr>
          <w:p>
            <w:pPr>
              <w:jc w:val="right"/>
              <w:ind w:right="38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126"/>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300" w:type="dxa"/>
            <w:vAlign w:val="bottom"/>
          </w:tcPr>
          <w:p>
            <w:pPr>
              <w:spacing w:after="0"/>
              <w:rPr>
                <w:sz w:val="18"/>
                <w:szCs w:val="18"/>
                <w:color w:val="auto"/>
              </w:rPr>
            </w:pPr>
          </w:p>
        </w:tc>
        <w:tc>
          <w:tcPr>
            <w:tcW w:w="1080" w:type="dxa"/>
            <w:vAlign w:val="bottom"/>
          </w:tcPr>
          <w:p>
            <w:pPr>
              <w:jc w:val="right"/>
              <w:ind w:right="466"/>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486"/>
              <w:spacing w:after="0"/>
              <w:rPr>
                <w:sz w:val="20"/>
                <w:szCs w:val="20"/>
                <w:color w:val="auto"/>
              </w:rPr>
            </w:pPr>
            <w:r>
              <w:rPr>
                <w:rFonts w:ascii="Arial" w:cs="Arial" w:eastAsia="Arial" w:hAnsi="Arial"/>
                <w:sz w:val="15"/>
                <w:szCs w:val="15"/>
                <w:b w:val="1"/>
                <w:bCs w:val="1"/>
                <w:color w:val="auto"/>
                <w:w w:val="77"/>
              </w:rPr>
              <w:t>2020</w:t>
            </w:r>
          </w:p>
        </w:tc>
        <w:tc>
          <w:tcPr>
            <w:tcW w:w="1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312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Servicing and subservicing fee</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3120" w:type="dxa"/>
            <w:vAlign w:val="bottom"/>
          </w:tcPr>
          <w:p>
            <w:pPr>
              <w:ind w:left="100"/>
              <w:spacing w:after="0"/>
              <w:rPr>
                <w:sz w:val="20"/>
                <w:szCs w:val="20"/>
                <w:color w:val="auto"/>
              </w:rPr>
            </w:pPr>
            <w:r>
              <w:rPr>
                <w:rFonts w:ascii="Arial" w:cs="Arial" w:eastAsia="Arial" w:hAnsi="Arial"/>
                <w:sz w:val="15"/>
                <w:szCs w:val="15"/>
                <w:color w:val="auto"/>
              </w:rPr>
              <w:t>Servicing fee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79.4</w:t>
            </w:r>
          </w:p>
        </w:tc>
        <w:tc>
          <w:tcPr>
            <w:tcW w:w="1080" w:type="dxa"/>
            <w:vAlign w:val="bottom"/>
            <w:gridSpan w:val="2"/>
          </w:tcPr>
          <w:p>
            <w:pPr>
              <w:ind w:left="740"/>
              <w:spacing w:after="0"/>
              <w:rPr>
                <w:sz w:val="20"/>
                <w:szCs w:val="20"/>
                <w:color w:val="auto"/>
              </w:rPr>
            </w:pPr>
            <w:r>
              <w:rPr>
                <w:rFonts w:ascii="Arial" w:cs="Arial" w:eastAsia="Arial" w:hAnsi="Arial"/>
                <w:sz w:val="15"/>
                <w:szCs w:val="15"/>
                <w:color w:val="auto"/>
                <w:w w:val="93"/>
              </w:rPr>
              <w:t>30 %</w:t>
            </w:r>
          </w:p>
        </w:tc>
        <w:tc>
          <w:tcPr>
            <w:tcW w:w="1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246.4</w:t>
            </w:r>
          </w:p>
        </w:tc>
        <w:tc>
          <w:tcPr>
            <w:tcW w:w="180" w:type="dxa"/>
            <w:vAlign w:val="bottom"/>
          </w:tcPr>
          <w:p>
            <w:pPr>
              <w:spacing w:after="0"/>
              <w:rPr>
                <w:sz w:val="16"/>
                <w:szCs w:val="16"/>
                <w:color w:val="auto"/>
              </w:rPr>
            </w:pPr>
          </w:p>
        </w:tc>
        <w:tc>
          <w:tcPr>
            <w:tcW w:w="560" w:type="dxa"/>
            <w:vAlign w:val="bottom"/>
          </w:tcPr>
          <w:p>
            <w:pPr>
              <w:jc w:val="right"/>
              <w:ind w:right="3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161.1</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53 %</w:t>
            </w:r>
          </w:p>
        </w:tc>
      </w:tr>
      <w:tr>
        <w:trPr>
          <w:trHeight w:val="190"/>
        </w:trPr>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Average servicing fee (% of UPB)</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0.27</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94"/>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0.27</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23"/>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9"/>
        </w:trPr>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 fee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2.6</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9.0</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189"/>
        </w:trPr>
        <w:tc>
          <w:tcPr>
            <w:tcW w:w="3120" w:type="dxa"/>
            <w:vAlign w:val="bottom"/>
          </w:tcPr>
          <w:p>
            <w:pPr>
              <w:ind w:left="120"/>
              <w:spacing w:after="0"/>
              <w:rPr>
                <w:sz w:val="20"/>
                <w:szCs w:val="20"/>
                <w:color w:val="auto"/>
              </w:rPr>
            </w:pPr>
            <w:r>
              <w:rPr>
                <w:rFonts w:ascii="Arial" w:cs="Arial" w:eastAsia="Arial" w:hAnsi="Arial"/>
                <w:sz w:val="15"/>
                <w:szCs w:val="15"/>
                <w:color w:val="auto"/>
              </w:rPr>
              <w:t>Average monthly fee per loan (in dollars)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12</w:t>
            </w:r>
          </w:p>
        </w:tc>
        <w:tc>
          <w:tcPr>
            <w:tcW w:w="1080" w:type="dxa"/>
            <w:vAlign w:val="bottom"/>
            <w:gridSpan w:val="2"/>
          </w:tcPr>
          <w:p>
            <w:pPr>
              <w:ind w:left="76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6"/>
                <w:szCs w:val="16"/>
                <w:color w:val="auto"/>
              </w:rPr>
            </w:pPr>
          </w:p>
        </w:tc>
        <w:tc>
          <w:tcPr>
            <w:tcW w:w="560" w:type="dxa"/>
            <w:vAlign w:val="bottom"/>
          </w:tcPr>
          <w:p>
            <w:pPr>
              <w:jc w:val="right"/>
              <w:ind w:right="3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43 %</w:t>
            </w:r>
          </w:p>
        </w:tc>
      </w:tr>
      <w:tr>
        <w:trPr>
          <w:trHeight w:val="223"/>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3120" w:type="dxa"/>
            <w:vAlign w:val="bottom"/>
          </w:tcPr>
          <w:p>
            <w:pPr>
              <w:ind w:left="40"/>
              <w:spacing w:after="0"/>
              <w:rPr>
                <w:sz w:val="20"/>
                <w:szCs w:val="20"/>
                <w:color w:val="auto"/>
              </w:rPr>
            </w:pPr>
            <w:r>
              <w:rPr>
                <w:rFonts w:ascii="Arial" w:cs="Arial" w:eastAsia="Arial" w:hAnsi="Arial"/>
                <w:sz w:val="15"/>
                <w:szCs w:val="15"/>
                <w:b w:val="1"/>
                <w:bCs w:val="1"/>
                <w:color w:val="auto"/>
              </w:rPr>
              <w:t>Residential assets serviced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12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Average UPB ($ in billions):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120" w:type="dxa"/>
            <w:vAlign w:val="bottom"/>
          </w:tcPr>
          <w:p>
            <w:pPr>
              <w:ind w:left="200"/>
              <w:spacing w:after="0"/>
              <w:rPr>
                <w:sz w:val="20"/>
                <w:szCs w:val="20"/>
                <w:color w:val="auto"/>
              </w:rPr>
            </w:pPr>
            <w:r>
              <w:rPr>
                <w:rFonts w:ascii="Arial" w:cs="Arial" w:eastAsia="Arial" w:hAnsi="Arial"/>
                <w:sz w:val="15"/>
                <w:szCs w:val="15"/>
                <w:color w:val="auto"/>
              </w:rPr>
              <w:t>Servicing portfolio</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154.1</w:t>
            </w:r>
          </w:p>
        </w:tc>
        <w:tc>
          <w:tcPr>
            <w:tcW w:w="10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116.0</w:t>
            </w:r>
          </w:p>
        </w:tc>
        <w:tc>
          <w:tcPr>
            <w:tcW w:w="1080" w:type="dxa"/>
            <w:vAlign w:val="bottom"/>
            <w:gridSpan w:val="2"/>
          </w:tcPr>
          <w:p>
            <w:pPr>
              <w:ind w:left="740"/>
              <w:spacing w:after="0"/>
              <w:rPr>
                <w:sz w:val="20"/>
                <w:szCs w:val="20"/>
                <w:color w:val="auto"/>
              </w:rPr>
            </w:pPr>
            <w:r>
              <w:rPr>
                <w:rFonts w:ascii="Arial" w:cs="Arial" w:eastAsia="Arial" w:hAnsi="Arial"/>
                <w:sz w:val="15"/>
                <w:szCs w:val="15"/>
                <w:color w:val="auto"/>
                <w:w w:val="93"/>
              </w:rPr>
              <w:t>33 %</w:t>
            </w:r>
          </w:p>
        </w:tc>
        <w:tc>
          <w:tcPr>
            <w:tcW w:w="10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121.5</w:t>
            </w:r>
          </w:p>
        </w:tc>
        <w:tc>
          <w:tcPr>
            <w:tcW w:w="180" w:type="dxa"/>
            <w:vAlign w:val="bottom"/>
          </w:tcPr>
          <w:p>
            <w:pPr>
              <w:spacing w:after="0"/>
              <w:rPr>
                <w:sz w:val="16"/>
                <w:szCs w:val="16"/>
                <w:color w:val="auto"/>
              </w:rPr>
            </w:pPr>
          </w:p>
        </w:tc>
        <w:tc>
          <w:tcPr>
            <w:tcW w:w="560" w:type="dxa"/>
            <w:vAlign w:val="bottom"/>
          </w:tcPr>
          <w:p>
            <w:pPr>
              <w:jc w:val="right"/>
              <w:ind w:right="3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76.7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58 %</w:t>
            </w:r>
          </w:p>
        </w:tc>
      </w:tr>
      <w:tr>
        <w:trPr>
          <w:trHeight w:val="190"/>
        </w:trPr>
        <w:tc>
          <w:tcPr>
            <w:tcW w:w="3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Subservicing portfolio</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17.9</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189"/>
        </w:trPr>
        <w:tc>
          <w:tcPr>
            <w:tcW w:w="3120" w:type="dxa"/>
            <w:vAlign w:val="bottom"/>
          </w:tcPr>
          <w:p>
            <w:pPr>
              <w:ind w:left="200"/>
              <w:spacing w:after="0"/>
              <w:rPr>
                <w:sz w:val="20"/>
                <w:szCs w:val="20"/>
                <w:color w:val="auto"/>
              </w:rPr>
            </w:pPr>
            <w:r>
              <w:rPr>
                <w:rFonts w:ascii="Arial" w:cs="Arial" w:eastAsia="Arial" w:hAnsi="Arial"/>
                <w:sz w:val="15"/>
                <w:szCs w:val="15"/>
                <w:color w:val="auto"/>
              </w:rPr>
              <w:t>MAV</w:t>
            </w: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n/m</w:t>
            </w:r>
          </w:p>
        </w:tc>
        <w:tc>
          <w:tcPr>
            <w:tcW w:w="300" w:type="dxa"/>
            <w:vAlign w:val="bottom"/>
          </w:tcPr>
          <w:p>
            <w:pPr>
              <w:spacing w:after="0"/>
              <w:rPr>
                <w:sz w:val="16"/>
                <w:szCs w:val="16"/>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7.4</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90"/>
        </w:trPr>
        <w:tc>
          <w:tcPr>
            <w:tcW w:w="3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NRZ</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62.9</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62.9</w:t>
            </w:r>
          </w:p>
        </w:tc>
        <w:tc>
          <w:tcPr>
            <w:tcW w:w="1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158"/>
        </w:trPr>
        <w:tc>
          <w:tcPr>
            <w:tcW w:w="3120" w:type="dxa"/>
            <w:vAlign w:val="bottom"/>
          </w:tcPr>
          <w:p>
            <w:pPr>
              <w:ind w:left="300"/>
              <w:spacing w:after="0" w:line="15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242.0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196.7</w:t>
            </w:r>
          </w:p>
        </w:tc>
        <w:tc>
          <w:tcPr>
            <w:tcW w:w="1080" w:type="dxa"/>
            <w:vAlign w:val="bottom"/>
            <w:gridSpan w:val="2"/>
          </w:tcPr>
          <w:p>
            <w:pPr>
              <w:ind w:left="740"/>
              <w:spacing w:after="0" w:line="159" w:lineRule="exact"/>
              <w:rPr>
                <w:sz w:val="20"/>
                <w:szCs w:val="20"/>
                <w:color w:val="auto"/>
              </w:rPr>
            </w:pPr>
            <w:r>
              <w:rPr>
                <w:rFonts w:ascii="Arial" w:cs="Arial" w:eastAsia="Arial" w:hAnsi="Arial"/>
                <w:sz w:val="15"/>
                <w:szCs w:val="15"/>
                <w:color w:val="auto"/>
                <w:w w:val="93"/>
              </w:rPr>
              <w:t>23 %</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212.7</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ind w:right="386"/>
              <w:spacing w:after="0" w:line="159" w:lineRule="exact"/>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rPr>
              <w:t>205.0</w:t>
            </w:r>
          </w:p>
        </w:tc>
        <w:tc>
          <w:tcPr>
            <w:tcW w:w="108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4 %</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52"/>
        </w:trPr>
        <w:tc>
          <w:tcPr>
            <w:tcW w:w="3120" w:type="dxa"/>
            <w:vAlign w:val="bottom"/>
            <w:shd w:val="clear" w:color="auto" w:fill="CCEEFF"/>
          </w:tcPr>
          <w:p>
            <w:pPr>
              <w:ind w:left="120"/>
              <w:spacing w:after="0" w:line="152" w:lineRule="exact"/>
              <w:rPr>
                <w:sz w:val="20"/>
                <w:szCs w:val="20"/>
                <w:color w:val="auto"/>
              </w:rPr>
            </w:pPr>
            <w:r>
              <w:rPr>
                <w:rFonts w:ascii="Arial" w:cs="Arial" w:eastAsia="Arial" w:hAnsi="Arial"/>
                <w:sz w:val="15"/>
                <w:szCs w:val="15"/>
                <w:i w:val="1"/>
                <w:iCs w:val="1"/>
                <w:color w:val="auto"/>
              </w:rPr>
              <w:t>Average number (in 000’s):</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9"/>
        </w:trPr>
        <w:tc>
          <w:tcPr>
            <w:tcW w:w="3120" w:type="dxa"/>
            <w:vAlign w:val="bottom"/>
          </w:tcPr>
          <w:p>
            <w:pPr>
              <w:ind w:left="200"/>
              <w:spacing w:after="0"/>
              <w:rPr>
                <w:sz w:val="20"/>
                <w:szCs w:val="20"/>
                <w:color w:val="auto"/>
              </w:rPr>
            </w:pPr>
            <w:r>
              <w:rPr>
                <w:rFonts w:ascii="Arial" w:cs="Arial" w:eastAsia="Arial" w:hAnsi="Arial"/>
                <w:sz w:val="15"/>
                <w:szCs w:val="15"/>
                <w:color w:val="auto"/>
              </w:rPr>
              <w:t>Servicing portfolio</w:t>
            </w: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716.2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576.0</w:t>
            </w:r>
          </w:p>
        </w:tc>
        <w:tc>
          <w:tcPr>
            <w:tcW w:w="1080" w:type="dxa"/>
            <w:vAlign w:val="bottom"/>
            <w:gridSpan w:val="2"/>
          </w:tcPr>
          <w:p>
            <w:pPr>
              <w:ind w:left="740"/>
              <w:spacing w:after="0"/>
              <w:rPr>
                <w:sz w:val="20"/>
                <w:szCs w:val="20"/>
                <w:color w:val="auto"/>
              </w:rPr>
            </w:pPr>
            <w:r>
              <w:rPr>
                <w:rFonts w:ascii="Arial" w:cs="Arial" w:eastAsia="Arial" w:hAnsi="Arial"/>
                <w:sz w:val="15"/>
                <w:szCs w:val="15"/>
                <w:color w:val="auto"/>
                <w:w w:val="93"/>
              </w:rPr>
              <w:t>24 %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596.6</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469.7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27 %</w:t>
            </w:r>
          </w:p>
        </w:tc>
      </w:tr>
      <w:tr>
        <w:trPr>
          <w:trHeight w:val="190"/>
        </w:trPr>
        <w:tc>
          <w:tcPr>
            <w:tcW w:w="3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Subservicing portfolio</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73.0</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83.6</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348.9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189"/>
        </w:trPr>
        <w:tc>
          <w:tcPr>
            <w:tcW w:w="3120" w:type="dxa"/>
            <w:vAlign w:val="bottom"/>
          </w:tcPr>
          <w:p>
            <w:pPr>
              <w:ind w:left="200"/>
              <w:spacing w:after="0"/>
              <w:rPr>
                <w:sz w:val="20"/>
                <w:szCs w:val="20"/>
                <w:color w:val="auto"/>
              </w:rPr>
            </w:pPr>
            <w:r>
              <w:rPr>
                <w:rFonts w:ascii="Arial" w:cs="Arial" w:eastAsia="Arial" w:hAnsi="Arial"/>
                <w:sz w:val="15"/>
                <w:szCs w:val="15"/>
                <w:color w:val="auto"/>
              </w:rPr>
              <w:t>MAV</w:t>
            </w: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n/m</w:t>
            </w:r>
          </w:p>
        </w:tc>
        <w:tc>
          <w:tcPr>
            <w:tcW w:w="300" w:type="dxa"/>
            <w:vAlign w:val="bottom"/>
          </w:tcPr>
          <w:p>
            <w:pPr>
              <w:spacing w:after="0"/>
              <w:rPr>
                <w:sz w:val="16"/>
                <w:szCs w:val="16"/>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31.8</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89"/>
        </w:trPr>
        <w:tc>
          <w:tcPr>
            <w:tcW w:w="3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NRZ</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453.5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473.1</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472.6</w:t>
            </w:r>
          </w:p>
        </w:tc>
        <w:tc>
          <w:tcPr>
            <w:tcW w:w="1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543.2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81"/>
        </w:trPr>
        <w:tc>
          <w:tcPr>
            <w:tcW w:w="3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1,283.4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1,122.1</w:t>
            </w:r>
          </w:p>
        </w:tc>
        <w:tc>
          <w:tcPr>
            <w:tcW w:w="1080" w:type="dxa"/>
            <w:vAlign w:val="bottom"/>
            <w:gridSpan w:val="2"/>
          </w:tcPr>
          <w:p>
            <w:pPr>
              <w:ind w:left="740"/>
              <w:spacing w:after="0"/>
              <w:rPr>
                <w:sz w:val="20"/>
                <w:szCs w:val="20"/>
                <w:color w:val="auto"/>
              </w:rPr>
            </w:pPr>
            <w:r>
              <w:rPr>
                <w:rFonts w:ascii="Arial" w:cs="Arial" w:eastAsia="Arial" w:hAnsi="Arial"/>
                <w:sz w:val="15"/>
                <w:szCs w:val="15"/>
                <w:color w:val="auto"/>
                <w:w w:val="93"/>
              </w:rPr>
              <w:t>14 %</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1,184.6</w:t>
            </w: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1,361.9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40" w:firstLine="268"/>
        <w:spacing w:after="0" w:line="306" w:lineRule="auto"/>
        <w:rPr>
          <w:sz w:val="20"/>
          <w:szCs w:val="20"/>
          <w:color w:val="auto"/>
        </w:rPr>
      </w:pPr>
      <w:r>
        <w:rPr>
          <w:rFonts w:ascii="Arial" w:cs="Arial" w:eastAsia="Arial" w:hAnsi="Arial"/>
          <w:sz w:val="14"/>
          <w:szCs w:val="14"/>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 (through the second quarter of 2020 only):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ind w:left="20"/>
              <w:spacing w:after="0"/>
              <w:rPr>
                <w:sz w:val="20"/>
                <w:szCs w:val="20"/>
                <w:color w:val="auto"/>
              </w:rPr>
            </w:pPr>
            <w:r>
              <w:rPr>
                <w:rFonts w:ascii="Arial" w:cs="Arial" w:eastAsia="Arial" w:hAnsi="Arial"/>
                <w:sz w:val="15"/>
                <w:szCs w:val="15"/>
                <w:b w:val="1"/>
                <w:bCs w:val="1"/>
                <w:color w:val="auto"/>
              </w:rPr>
              <w:t>NRZ servicing and subservicing fees</w:t>
            </w:r>
          </w:p>
        </w:tc>
        <w:tc>
          <w:tcPr>
            <w:tcW w:w="120" w:type="dxa"/>
            <w:vAlign w:val="bottom"/>
          </w:tcPr>
          <w:p>
            <w:pPr>
              <w:spacing w:after="0"/>
              <w:rPr>
                <w:sz w:val="16"/>
                <w:szCs w:val="16"/>
                <w:color w:val="auto"/>
              </w:rPr>
            </w:pPr>
          </w:p>
        </w:tc>
        <w:tc>
          <w:tcPr>
            <w:tcW w:w="3140" w:type="dxa"/>
            <w:vAlign w:val="bottom"/>
            <w:gridSpan w:val="5"/>
          </w:tcPr>
          <w:p>
            <w:pPr>
              <w:ind w:left="7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6"/>
                <w:szCs w:val="16"/>
                <w:color w:val="auto"/>
              </w:rPr>
            </w:pPr>
          </w:p>
        </w:tc>
        <w:tc>
          <w:tcPr>
            <w:tcW w:w="3080" w:type="dxa"/>
            <w:vAlign w:val="bottom"/>
            <w:gridSpan w:val="4"/>
          </w:tcPr>
          <w:p>
            <w:pPr>
              <w:jc w:val="right"/>
              <w:ind w:right="886"/>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w w:val="89"/>
              </w:rPr>
              <w:t>September 30, 2021</w:t>
            </w: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w w:val="98"/>
              </w:rPr>
              <w:t>June 30, 2021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88"/>
              </w:rPr>
              <w:t>September 30, 2020</w:t>
            </w:r>
          </w:p>
        </w:tc>
        <w:tc>
          <w:tcPr>
            <w:tcW w:w="0" w:type="dxa"/>
            <w:vAlign w:val="bottom"/>
          </w:tcPr>
          <w:p>
            <w:pPr>
              <w:spacing w:after="0"/>
              <w:rPr>
                <w:sz w:val="1"/>
                <w:szCs w:val="1"/>
                <w:color w:val="auto"/>
              </w:rPr>
            </w:pPr>
          </w:p>
        </w:tc>
      </w:tr>
      <w:tr>
        <w:trPr>
          <w:trHeight w:val="18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Servicing fees collected on behalf of NRZ</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75.0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233.1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299.1</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Servicing fees remitted to NRZ (1)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(53.6)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(165.1)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(218.6)</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subservicing fees on NRZ agreements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45"/>
        </w:trPr>
        <w:tc>
          <w:tcPr>
            <w:tcW w:w="4820" w:type="dxa"/>
            <w:vAlign w:val="bottom"/>
          </w:tcPr>
          <w:p>
            <w:pPr>
              <w:ind w:left="20"/>
              <w:spacing w:after="0" w:line="146" w:lineRule="exact"/>
              <w:rPr>
                <w:sz w:val="20"/>
                <w:szCs w:val="20"/>
                <w:color w:val="auto"/>
              </w:rPr>
            </w:pPr>
            <w:r>
              <w:rPr>
                <w:rFonts w:ascii="Arial" w:cs="Arial" w:eastAsia="Arial" w:hAnsi="Arial"/>
                <w:sz w:val="15"/>
                <w:szCs w:val="15"/>
                <w:color w:val="auto"/>
                <w:w w:val="95"/>
              </w:rPr>
              <w:t>Amortization gain of lump-sum cash payments received (including fair value</w:t>
            </w:r>
          </w:p>
        </w:tc>
        <w:tc>
          <w:tcPr>
            <w:tcW w:w="12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420" w:type="dxa"/>
            <w:vAlign w:val="bottom"/>
            <w:vMerge w:val="restart"/>
          </w:tcPr>
          <w:p>
            <w:pPr>
              <w:jc w:val="right"/>
              <w:ind w:right="106"/>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189"/>
        </w:trPr>
        <w:tc>
          <w:tcPr>
            <w:tcW w:w="4820" w:type="dxa"/>
            <w:vAlign w:val="bottom"/>
          </w:tcPr>
          <w:p>
            <w:pPr>
              <w:ind w:left="160"/>
              <w:spacing w:after="0"/>
              <w:rPr>
                <w:sz w:val="20"/>
                <w:szCs w:val="20"/>
                <w:color w:val="auto"/>
              </w:rPr>
            </w:pPr>
            <w:r>
              <w:rPr>
                <w:rFonts w:ascii="Arial" w:cs="Arial" w:eastAsia="Arial" w:hAnsi="Arial"/>
                <w:sz w:val="15"/>
                <w:szCs w:val="15"/>
                <w:color w:val="auto"/>
              </w:rPr>
              <w:t>change) (1)(3)</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820" w:type="dxa"/>
            <w:vAlign w:val="bottom"/>
            <w:tcBorders>
              <w:top w:val="single" w:sz="8" w:color="CCEEFF"/>
            </w:tcBorders>
            <w:shd w:val="clear" w:color="auto" w:fill="CCEEFF"/>
          </w:tcPr>
          <w:p>
            <w:pPr>
              <w:ind w:left="120"/>
              <w:spacing w:after="0" w:line="126" w:lineRule="exact"/>
              <w:rPr>
                <w:sz w:val="20"/>
                <w:szCs w:val="20"/>
                <w:color w:val="auto"/>
              </w:rPr>
            </w:pPr>
            <w:r>
              <w:rPr>
                <w:rFonts w:ascii="Arial" w:cs="Arial" w:eastAsia="Arial" w:hAnsi="Arial"/>
                <w:sz w:val="14"/>
                <w:szCs w:val="14"/>
                <w:color w:val="auto"/>
              </w:rPr>
              <w:t>Total retained subservicing fees and amortization gain of lump-sum cash</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21.5</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22.5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68.0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187"/>
        </w:trPr>
        <w:tc>
          <w:tcPr>
            <w:tcW w:w="48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5"/>
                <w:szCs w:val="15"/>
                <w:color w:val="auto"/>
              </w:rPr>
              <w:t>payments (including fair value change)</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NRZ UPB ($ in billions) (4)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74.2</w:t>
            </w:r>
          </w:p>
        </w:tc>
        <w:tc>
          <w:tcPr>
            <w:tcW w:w="0" w:type="dxa"/>
            <w:vAlign w:val="bottom"/>
          </w:tcPr>
          <w:p>
            <w:pPr>
              <w:spacing w:after="0"/>
              <w:rPr>
                <w:sz w:val="1"/>
                <w:szCs w:val="1"/>
                <w:color w:val="auto"/>
              </w:rPr>
            </w:pPr>
          </w:p>
        </w:tc>
      </w:tr>
      <w:tr>
        <w:trPr>
          <w:trHeight w:val="145"/>
        </w:trPr>
        <w:tc>
          <w:tcPr>
            <w:tcW w:w="4820" w:type="dxa"/>
            <w:vAlign w:val="bottom"/>
          </w:tcPr>
          <w:p>
            <w:pPr>
              <w:ind w:left="20"/>
              <w:spacing w:after="0" w:line="146" w:lineRule="exact"/>
              <w:rPr>
                <w:sz w:val="20"/>
                <w:szCs w:val="20"/>
                <w:color w:val="auto"/>
              </w:rPr>
            </w:pPr>
            <w:r>
              <w:rPr>
                <w:rFonts w:ascii="Arial" w:cs="Arial" w:eastAsia="Arial" w:hAnsi="Arial"/>
                <w:sz w:val="15"/>
                <w:szCs w:val="15"/>
                <w:color w:val="auto"/>
                <w:w w:val="91"/>
              </w:rPr>
              <w:t>Average annualized retained subservicing fees as a % of NRZ UPB (excluding</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0" w:type="dxa"/>
            <w:vAlign w:val="bottom"/>
          </w:tcPr>
          <w:p>
            <w:pPr>
              <w:spacing w:after="0"/>
              <w:rPr>
                <w:sz w:val="1"/>
                <w:szCs w:val="1"/>
                <w:color w:val="auto"/>
              </w:rPr>
            </w:pPr>
          </w:p>
        </w:tc>
      </w:tr>
      <w:tr>
        <w:trPr>
          <w:trHeight w:val="188"/>
        </w:trPr>
        <w:tc>
          <w:tcPr>
            <w:tcW w:w="4820" w:type="dxa"/>
            <w:vAlign w:val="bottom"/>
          </w:tcPr>
          <w:p>
            <w:pPr>
              <w:ind w:left="160"/>
              <w:spacing w:after="0"/>
              <w:rPr>
                <w:sz w:val="20"/>
                <w:szCs w:val="20"/>
                <w:color w:val="auto"/>
              </w:rPr>
            </w:pPr>
            <w:r>
              <w:rPr>
                <w:rFonts w:ascii="Arial" w:cs="Arial" w:eastAsia="Arial" w:hAnsi="Arial"/>
                <w:sz w:val="15"/>
                <w:szCs w:val="15"/>
                <w:color w:val="auto"/>
              </w:rPr>
              <w:t>amortization gain of lump-sum cash payments)</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80" w:right="140" w:hanging="271"/>
        <w:spacing w:after="0" w:line="260" w:lineRule="auto"/>
        <w:tabs>
          <w:tab w:leader="none" w:pos="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Reported within Pledged MSR liability expense. The NRZ servicing fee includes the total servicing fees collected on behalf of NRZ relating to the MSR sold but not derecognized from our balance sheet. Under GAAP, we separately present servicing fee collected and remitted on a gross basis, with the servicing fee remitted to NRZ reported as Pledged MSR liability expense.</w:t>
      </w:r>
    </w:p>
    <w:p>
      <w:pPr>
        <w:ind w:left="280" w:hanging="271"/>
        <w:spacing w:after="0"/>
        <w:tabs>
          <w:tab w:leader="none" w:pos="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Excludes the servicing fees of loans under the PMC servicing agreement after February 20, 2020 due to the notice of termination by NRZ, and subservicing fees earned under subservicing agreements.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1" w:name="page82"/>
    <w:bookmarkEnd w:id="81"/>
    <w:p>
      <w:pPr>
        <w:ind w:left="280" w:right="80" w:hanging="271"/>
        <w:spacing w:after="0" w:line="253" w:lineRule="auto"/>
        <w:tabs>
          <w:tab w:leader="none" w:pos="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8 — MSR Transfers Not Qualifying for Sale Accounting for further information.</w:t>
      </w:r>
    </w:p>
    <w:p>
      <w:pPr>
        <w:spacing w:after="0" w:line="2" w:lineRule="exact"/>
        <w:rPr>
          <w:rFonts w:ascii="Arial" w:cs="Arial" w:eastAsia="Arial" w:hAnsi="Arial"/>
          <w:sz w:val="13"/>
          <w:szCs w:val="13"/>
          <w:color w:val="auto"/>
        </w:rPr>
      </w:pPr>
    </w:p>
    <w:p>
      <w:pPr>
        <w:ind w:left="280" w:hanging="271"/>
        <w:spacing w:after="0"/>
        <w:tabs>
          <w:tab w:leader="none" w:pos="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Excludes the UPB of loans subserviced under the PMC servicing agreement after February 20, 2020 due to the notice of termination by NRZ, and excludes the UPB of loans under subservicing agreements.</w:t>
      </w:r>
    </w:p>
    <w:p>
      <w:pPr>
        <w:spacing w:after="0" w:line="93" w:lineRule="exact"/>
        <w:rPr>
          <w:sz w:val="20"/>
          <w:szCs w:val="20"/>
          <w:color w:val="auto"/>
        </w:rPr>
      </w:pPr>
    </w:p>
    <w:p>
      <w:pPr>
        <w:ind w:right="160" w:firstLine="268"/>
        <w:spacing w:after="0" w:line="270" w:lineRule="auto"/>
        <w:rPr>
          <w:sz w:val="20"/>
          <w:szCs w:val="20"/>
          <w:color w:val="auto"/>
        </w:rPr>
      </w:pPr>
      <w:r>
        <w:rPr>
          <w:rFonts w:ascii="Arial" w:cs="Arial" w:eastAsia="Arial" w:hAnsi="Arial"/>
          <w:sz w:val="15"/>
          <w:szCs w:val="15"/>
          <w:color w:val="auto"/>
        </w:rPr>
        <w:t>The net retained fee of our NRZ portfolio declined $1.0 million, or 5%, in the third quarter of 2021 as compared to the second quarter of 2021 primarily due to the 5% decline in UPB serviced associated with portfolio runoff and prepayments.</w:t>
      </w:r>
    </w:p>
    <w:p>
      <w:pPr>
        <w:spacing w:after="0" w:line="58" w:lineRule="exact"/>
        <w:rPr>
          <w:sz w:val="20"/>
          <w:szCs w:val="20"/>
          <w:color w:val="auto"/>
        </w:rPr>
      </w:pPr>
    </w:p>
    <w:p>
      <w:pPr>
        <w:ind w:firstLine="268"/>
        <w:spacing w:after="0" w:line="279" w:lineRule="auto"/>
        <w:rPr>
          <w:sz w:val="20"/>
          <w:szCs w:val="20"/>
          <w:color w:val="auto"/>
        </w:rPr>
      </w:pPr>
      <w:r>
        <w:rPr>
          <w:rFonts w:ascii="Arial" w:cs="Arial" w:eastAsia="Arial" w:hAnsi="Arial"/>
          <w:sz w:val="14"/>
          <w:szCs w:val="14"/>
          <w:color w:val="auto"/>
        </w:rPr>
        <w:t>The net retained fee of our NRZ portfolio decreased by $12.5 million, or 16%, in the nine months ended September 30, 2021 as compared to the nine months ended September 30, 2020. The decline in the NRZ fee collection and remittance is primarily driven by the decline in the average UPB of 15%, explained by the NRZ portfolio runoff and the derecognition of the MSRs in connection with the termination of the PMC agreement by NRZ on February 20, 2020. As the NRZ relationship is effectively a subservicing agreement, the COVID-19 environment, loans under forbearance and the fee collection do not impact our financial results to the same extent as for serviced loans with our owned MSRs.</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detail of our ancillary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160"/>
              <w:spacing w:after="0"/>
              <w:rPr>
                <w:sz w:val="20"/>
                <w:szCs w:val="20"/>
                <w:color w:val="auto"/>
              </w:rPr>
            </w:pPr>
            <w:r>
              <w:rPr>
                <w:rFonts w:ascii="Arial" w:cs="Arial" w:eastAsia="Arial" w:hAnsi="Arial"/>
                <w:sz w:val="15"/>
                <w:szCs w:val="15"/>
                <w:b w:val="1"/>
                <w:bCs w:val="1"/>
                <w:color w:val="auto"/>
              </w:rPr>
              <w:t>Ancillary Income</w:t>
            </w: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1"/>
        </w:trPr>
        <w:tc>
          <w:tcPr>
            <w:tcW w:w="3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87"/>
              </w:rPr>
              <w:t>September 30, 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4"/>
              </w:rPr>
              <w:t>June 30, 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88"/>
              </w:rPr>
              <w:t>September 30, 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87"/>
              </w:rPr>
              <w:t>September 30, 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81"/>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Late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88"/>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94"/>
              </w:rPr>
              <w:t>(18)%</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Custodial accounts (float earnings)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w:t>
            </w:r>
          </w:p>
        </w:tc>
        <w:tc>
          <w:tcPr>
            <w:tcW w:w="1080" w:type="dxa"/>
            <w:vAlign w:val="bottom"/>
            <w:gridSpan w:val="2"/>
          </w:tcPr>
          <w:p>
            <w:pPr>
              <w:ind w:left="780"/>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8.8</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(60)</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 collection fees</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(15)</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Recording fees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9.8</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8</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Boarding and deboarding fees</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(71)</w:t>
            </w: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79</w:t>
            </w:r>
          </w:p>
        </w:tc>
      </w:tr>
      <w:tr>
        <w:trPr>
          <w:trHeight w:val="20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Ancillary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78.9</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5"/>
                <w:szCs w:val="15"/>
                <w:color w:val="auto"/>
                <w:w w:val="94"/>
              </w:rPr>
              <w:t>(15)%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220" w:firstLine="268"/>
        <w:spacing w:after="0" w:line="348" w:lineRule="auto"/>
        <w:rPr>
          <w:sz w:val="20"/>
          <w:szCs w:val="20"/>
          <w:color w:val="auto"/>
        </w:rPr>
      </w:pPr>
      <w:r>
        <w:rPr>
          <w:rFonts w:ascii="Arial" w:cs="Arial" w:eastAsia="Arial" w:hAnsi="Arial"/>
          <w:sz w:val="13"/>
          <w:szCs w:val="13"/>
          <w:color w:val="auto"/>
        </w:rPr>
        <w:t>As compared to the nine months ended September 30, 2020, ancillary income for the nine months ended September 30, 2021 declined by $12.0 million, or 15%, due to the combined effect of lower boarding and deboarding fees, the COVID-19 environment restricting late fees or collection fees on loans under forbearance, and lower interest rates on float earnings.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Gain on Loans Held for Sale, Net</w:t>
      </w:r>
    </w:p>
    <w:p>
      <w:pPr>
        <w:spacing w:after="0" w:line="95" w:lineRule="exact"/>
        <w:rPr>
          <w:sz w:val="20"/>
          <w:szCs w:val="20"/>
          <w:color w:val="auto"/>
        </w:rPr>
      </w:pPr>
    </w:p>
    <w:p>
      <w:pPr>
        <w:ind w:right="160" w:firstLine="268"/>
        <w:spacing w:after="0" w:line="270" w:lineRule="auto"/>
        <w:rPr>
          <w:sz w:val="20"/>
          <w:szCs w:val="20"/>
          <w:color w:val="auto"/>
        </w:rPr>
      </w:pPr>
      <w:r>
        <w:rPr>
          <w:rFonts w:ascii="Arial" w:cs="Arial" w:eastAsia="Arial" w:hAnsi="Arial"/>
          <w:sz w:val="15"/>
          <w:szCs w:val="15"/>
          <w:color w:val="auto"/>
        </w:rPr>
        <w:t>Gain on loans held for sale, net for the third quarter of 2021 increased $27.5 million as compared to the second quarter of 2021 primarily due to a $22.5 million gain recognized in the third quarter of 2021 on the sale of loans acquired in connection with the exercise of call rights relating to certain Non-Agency trusts.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95" w:lineRule="exact"/>
        <w:rPr>
          <w:sz w:val="20"/>
          <w:szCs w:val="20"/>
          <w:color w:val="auto"/>
        </w:rPr>
      </w:pPr>
    </w:p>
    <w:p>
      <w:pPr>
        <w:ind w:right="80" w:firstLine="268"/>
        <w:spacing w:after="0" w:line="252" w:lineRule="auto"/>
        <w:rPr>
          <w:sz w:val="20"/>
          <w:szCs w:val="20"/>
          <w:color w:val="auto"/>
        </w:rPr>
      </w:pPr>
      <w:r>
        <w:rPr>
          <w:rFonts w:ascii="Arial" w:cs="Arial" w:eastAsia="Arial" w:hAnsi="Arial"/>
          <w:sz w:val="15"/>
          <w:szCs w:val="15"/>
          <w:color w:val="auto"/>
        </w:rPr>
        <w:t>Reverse mortgage revenue, net is the net change in fair value of securitized loans held for investment and HMBS-related borrowings.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our compensation for servicing the portfolio, that is typically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760"/>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1"/>
        </w:trPr>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87"/>
              </w:rPr>
              <w:t>September 30, 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4"/>
              </w:rPr>
              <w:t>June 30, 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88"/>
              </w:rPr>
              <w:t>September 30, 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4"/>
              </w:rPr>
              <w:t>September 30, 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81"/>
        </w:trPr>
        <w:tc>
          <w:tcPr>
            <w:tcW w:w="3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14.4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4 %</w:t>
            </w:r>
          </w:p>
        </w:tc>
      </w:tr>
      <w:tr>
        <w:trPr>
          <w:trHeight w:val="189"/>
        </w:trPr>
        <w:tc>
          <w:tcPr>
            <w:tcW w:w="31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fair value changes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(426)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w w:val="90"/>
              </w:rPr>
              <w:t>(1.5)</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915</w:t>
            </w:r>
          </w:p>
        </w:tc>
      </w:tr>
      <w:tr>
        <w:trPr>
          <w:trHeight w:val="206"/>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Reverse mortgage revenue, net (Servicing)</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rPr>
              <w:t>12.8</w:t>
            </w:r>
          </w:p>
        </w:tc>
        <w:tc>
          <w:tcPr>
            <w:tcW w:w="11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(104)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right="80" w:firstLine="268"/>
        <w:spacing w:after="0" w:line="259" w:lineRule="auto"/>
        <w:rPr>
          <w:sz w:val="20"/>
          <w:szCs w:val="20"/>
          <w:color w:val="auto"/>
        </w:rPr>
      </w:pPr>
      <w:r>
        <w:rPr>
          <w:rFonts w:ascii="Arial" w:cs="Arial" w:eastAsia="Arial" w:hAnsi="Arial"/>
          <w:sz w:val="15"/>
          <w:szCs w:val="15"/>
          <w:color w:val="auto"/>
        </w:rPr>
        <w:t>The decrease in Reverse mortgage revenue, net of $23.5 million, or 224%, for the third quarter of 2021 as compared to the second quarter of 2021 is primarily attributable to increasing interest rates observed in the market during the third quarter of 2021 and opposite rate movements in the second quarter of 2021, and unfavorable yield spread widening in the third quarter of 2021 directly impacting the tail value of the HECM reverse mortgage loans.</w:t>
      </w:r>
    </w:p>
    <w:p>
      <w:pPr>
        <w:spacing w:after="0" w:line="66"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As compared to the nine months ended September 30, 2020, Reverse mortgage revenue for the nine months ended September 30, 2021 decreased $13.3 million, or 104%, primarily due to the impact of increasing interest rates and unfavorable impacts of yield spread tightening as compared to the 2020 period.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95" w:lineRule="exact"/>
        <w:rPr>
          <w:sz w:val="20"/>
          <w:szCs w:val="20"/>
          <w:color w:val="auto"/>
        </w:rPr>
      </w:pPr>
    </w:p>
    <w:p>
      <w:pPr>
        <w:ind w:right="180" w:firstLine="268"/>
        <w:spacing w:after="0" w:line="270" w:lineRule="auto"/>
        <w:rPr>
          <w:sz w:val="20"/>
          <w:szCs w:val="20"/>
          <w:color w:val="auto"/>
        </w:rPr>
      </w:pPr>
      <w:r>
        <w:rPr>
          <w:rFonts w:ascii="Arial" w:cs="Arial" w:eastAsia="Arial" w:hAnsi="Arial"/>
          <w:sz w:val="15"/>
          <w:szCs w:val="15"/>
          <w:color w:val="auto"/>
        </w:rPr>
        <w:t>The following tables summarize the MSR valuation adjustments, net reported in our Servicing segment, with the breakdown of the total MSRs recorded on our balance sheet between our owned MSRs and the pledged MSRs transferred to NRZ and MAV that did not achieve sale accounting treatment:</w:t>
      </w:r>
    </w:p>
    <w:p>
      <w:pPr>
        <w:spacing w:after="0" w:line="154" w:lineRule="exact"/>
        <w:rPr>
          <w:sz w:val="20"/>
          <w:szCs w:val="20"/>
          <w:color w:val="auto"/>
        </w:rPr>
      </w:pPr>
    </w:p>
    <w:p>
      <w:pPr>
        <w:ind w:left="3920"/>
        <w:spacing w:after="0"/>
        <w:tabs>
          <w:tab w:leader="none" w:pos="8140" w:val="left"/>
        </w:tabs>
        <w:rPr>
          <w:sz w:val="20"/>
          <w:szCs w:val="20"/>
          <w:color w:val="auto"/>
        </w:rPr>
      </w:pPr>
      <w:r>
        <w:rPr>
          <w:rFonts w:ascii="Arial" w:cs="Arial" w:eastAsia="Arial" w:hAnsi="Arial"/>
          <w:sz w:val="15"/>
          <w:szCs w:val="15"/>
          <w:b w:val="1"/>
          <w:bCs w:val="1"/>
          <w:color w:val="auto"/>
        </w:rPr>
        <w:t>Three Months Ended September 30, 2021</w:t>
      </w:r>
      <w:r>
        <w:rPr>
          <w:sz w:val="20"/>
          <w:szCs w:val="20"/>
          <w:color w:val="auto"/>
        </w:rPr>
        <w:tab/>
      </w:r>
      <w:r>
        <w:rPr>
          <w:rFonts w:ascii="Arial" w:cs="Arial" w:eastAsia="Arial" w:hAnsi="Arial"/>
          <w:sz w:val="13"/>
          <w:szCs w:val="13"/>
          <w:b w:val="1"/>
          <w:bCs w:val="1"/>
          <w:color w:val="auto"/>
        </w:rPr>
        <w:t>Three Months Ended June 30, 2021</w:t>
      </w:r>
    </w:p>
    <w:p>
      <w:pPr>
        <w:sectPr>
          <w:pgSz w:w="11900" w:h="16838" w:orient="portrait"/>
          <w:cols w:equalWidth="0" w:num="1">
            <w:col w:w="11280"/>
          </w:cols>
          <w:pgMar w:left="300" w:top="883" w:right="319" w:bottom="1440" w:gutter="0" w:footer="0" w:header="0"/>
        </w:sectPr>
      </w:pPr>
    </w:p>
    <w:p>
      <w:pPr>
        <w:spacing w:after="0" w:line="20" w:lineRule="exact"/>
        <w:rPr>
          <w:sz w:val="20"/>
          <w:szCs w:val="20"/>
          <w:color w:val="auto"/>
        </w:rPr>
      </w:pPr>
    </w:p>
    <w:tbl>
      <w:tblPr>
        <w:tblLayout w:type="fixed"/>
        <w:tblInd w:w="326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380" w:type="dxa"/>
            <w:vAlign w:val="bottom"/>
            <w:tcBorders>
              <w:top w:val="single" w:sz="8" w:color="auto"/>
            </w:tcBorders>
            <w:vMerge w:val="restart"/>
          </w:tcPr>
          <w:p>
            <w:pPr>
              <w:ind w:left="260"/>
              <w:spacing w:after="0"/>
              <w:rPr>
                <w:sz w:val="20"/>
                <w:szCs w:val="20"/>
                <w:color w:val="auto"/>
              </w:rPr>
            </w:pPr>
            <w:r>
              <w:rPr>
                <w:rFonts w:ascii="Arial" w:cs="Arial" w:eastAsia="Arial" w:hAnsi="Arial"/>
                <w:sz w:val="15"/>
                <w:szCs w:val="15"/>
                <w:b w:val="1"/>
                <w:bCs w:val="1"/>
                <w:color w:val="auto"/>
                <w:w w:val="99"/>
              </w:rPr>
              <w:t>Owned MSR (1)</w:t>
            </w:r>
          </w:p>
        </w:tc>
        <w:tc>
          <w:tcPr>
            <w:tcW w:w="13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w w:val="94"/>
              </w:rPr>
              <w:t>Pledged MSR (NRZ</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5"/>
              </w:rPr>
              <w:t>and MAV)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500" w:type="dxa"/>
            <w:vAlign w:val="bottom"/>
            <w:tcBorders>
              <w:top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Owned MSR (1)</w:t>
            </w:r>
          </w:p>
        </w:tc>
        <w:tc>
          <w:tcPr>
            <w:tcW w:w="12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0" w:space="80"/>
            <w:col w:w="3980"/>
          </w:cols>
          <w:pgMar w:left="300" w:top="883"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Runoff (3)</w:t>
            </w: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center"/>
              <w:ind w:left="326"/>
              <w:spacing w:after="0"/>
              <w:rPr>
                <w:sz w:val="20"/>
                <w:szCs w:val="20"/>
                <w:color w:val="auto"/>
              </w:rPr>
            </w:pPr>
            <w:r>
              <w:rPr>
                <w:rFonts w:ascii="Arial" w:cs="Arial" w:eastAsia="Arial" w:hAnsi="Arial"/>
                <w:sz w:val="15"/>
                <w:szCs w:val="15"/>
                <w:color w:val="auto"/>
                <w:w w:val="91"/>
              </w:rPr>
              <w:t>(68.9)</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1"/>
              </w:rPr>
              <w:t>(47.1)</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center"/>
              <w:ind w:left="326"/>
              <w:spacing w:after="0"/>
              <w:rPr>
                <w:sz w:val="20"/>
                <w:szCs w:val="20"/>
                <w:color w:val="auto"/>
              </w:rPr>
            </w:pPr>
            <w:r>
              <w:rPr>
                <w:rFonts w:ascii="Arial" w:cs="Arial" w:eastAsia="Arial" w:hAnsi="Arial"/>
                <w:sz w:val="15"/>
                <w:szCs w:val="15"/>
                <w:color w:val="auto"/>
                <w:w w:val="91"/>
              </w:rPr>
              <w:t>(57.0)</w:t>
            </w:r>
          </w:p>
        </w:tc>
        <w:tc>
          <w:tcPr>
            <w:tcW w:w="3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1"/>
              </w:rPr>
              <w:t>(36.1)</w:t>
            </w: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Rate and assumption change (1)</w:t>
            </w:r>
          </w:p>
        </w:tc>
        <w:tc>
          <w:tcPr>
            <w:tcW w:w="520" w:type="dxa"/>
            <w:vAlign w:val="bottom"/>
          </w:tcPr>
          <w:p>
            <w:pPr>
              <w:spacing w:after="0"/>
              <w:rPr>
                <w:sz w:val="16"/>
                <w:szCs w:val="16"/>
                <w:color w:val="auto"/>
              </w:rPr>
            </w:pPr>
          </w:p>
        </w:tc>
        <w:tc>
          <w:tcPr>
            <w:tcW w:w="800" w:type="dxa"/>
            <w:vAlign w:val="bottom"/>
          </w:tcPr>
          <w:p>
            <w:pPr>
              <w:jc w:val="center"/>
              <w:ind w:left="346"/>
              <w:spacing w:after="0"/>
              <w:rPr>
                <w:sz w:val="20"/>
                <w:szCs w:val="20"/>
                <w:color w:val="auto"/>
              </w:rPr>
            </w:pPr>
            <w:r>
              <w:rPr>
                <w:rFonts w:ascii="Arial" w:cs="Arial" w:eastAsia="Arial" w:hAnsi="Arial"/>
                <w:sz w:val="15"/>
                <w:szCs w:val="15"/>
                <w:color w:val="auto"/>
                <w:w w:val="88"/>
              </w:rPr>
              <w:t>72.4</w:t>
            </w:r>
          </w:p>
        </w:tc>
        <w:tc>
          <w:tcPr>
            <w:tcW w:w="300" w:type="dxa"/>
            <w:vAlign w:val="bottom"/>
          </w:tcPr>
          <w:p>
            <w:pPr>
              <w:spacing w:after="0"/>
              <w:rPr>
                <w:sz w:val="16"/>
                <w:szCs w:val="16"/>
                <w:color w:val="auto"/>
              </w:rPr>
            </w:pPr>
          </w:p>
        </w:tc>
        <w:tc>
          <w:tcPr>
            <w:tcW w:w="1020" w:type="dxa"/>
            <w:vAlign w:val="bottom"/>
          </w:tcPr>
          <w:p>
            <w:pPr>
              <w:jc w:val="center"/>
              <w:ind w:left="566"/>
              <w:spacing w:after="0"/>
              <w:rPr>
                <w:sz w:val="20"/>
                <w:szCs w:val="20"/>
                <w:color w:val="auto"/>
              </w:rPr>
            </w:pPr>
            <w:r>
              <w:rPr>
                <w:rFonts w:ascii="Arial" w:cs="Arial" w:eastAsia="Arial" w:hAnsi="Arial"/>
                <w:sz w:val="15"/>
                <w:szCs w:val="15"/>
                <w:color w:val="auto"/>
                <w:w w:val="88"/>
              </w:rPr>
              <w:t>11.1</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center"/>
              <w:ind w:left="326"/>
              <w:spacing w:after="0"/>
              <w:rPr>
                <w:sz w:val="20"/>
                <w:szCs w:val="20"/>
                <w:color w:val="auto"/>
              </w:rPr>
            </w:pPr>
            <w:r>
              <w:rPr>
                <w:rFonts w:ascii="Arial" w:cs="Arial" w:eastAsia="Arial" w:hAnsi="Arial"/>
                <w:sz w:val="15"/>
                <w:szCs w:val="15"/>
                <w:color w:val="auto"/>
                <w:w w:val="91"/>
              </w:rPr>
              <w:t>(47.2)</w:t>
            </w:r>
          </w:p>
        </w:tc>
        <w:tc>
          <w:tcPr>
            <w:tcW w:w="300" w:type="dxa"/>
            <w:vAlign w:val="bottom"/>
          </w:tcPr>
          <w:p>
            <w:pPr>
              <w:spacing w:after="0"/>
              <w:rPr>
                <w:sz w:val="16"/>
                <w:szCs w:val="16"/>
                <w:color w:val="auto"/>
              </w:rPr>
            </w:pPr>
          </w:p>
        </w:tc>
        <w:tc>
          <w:tcPr>
            <w:tcW w:w="1020" w:type="dxa"/>
            <w:vAlign w:val="bottom"/>
          </w:tcPr>
          <w:p>
            <w:pPr>
              <w:jc w:val="center"/>
              <w:ind w:left="586"/>
              <w:spacing w:after="0"/>
              <w:rPr>
                <w:sz w:val="20"/>
                <w:szCs w:val="20"/>
                <w:color w:val="auto"/>
              </w:rPr>
            </w:pPr>
            <w:r>
              <w:rPr>
                <w:rFonts w:ascii="Arial" w:cs="Arial" w:eastAsia="Arial" w:hAnsi="Arial"/>
                <w:sz w:val="15"/>
                <w:szCs w:val="15"/>
                <w:color w:val="auto"/>
                <w:w w:val="91"/>
              </w:rPr>
              <w:t>(55.6)</w:t>
            </w: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Hedging gain (loss)</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26"/>
              <w:spacing w:after="0"/>
              <w:rPr>
                <w:sz w:val="20"/>
                <w:szCs w:val="20"/>
                <w:color w:val="auto"/>
              </w:rPr>
            </w:pPr>
            <w:r>
              <w:rPr>
                <w:rFonts w:ascii="Arial" w:cs="Arial" w:eastAsia="Arial" w:hAnsi="Arial"/>
                <w:sz w:val="15"/>
                <w:szCs w:val="15"/>
                <w:color w:val="auto"/>
                <w:w w:val="91"/>
              </w:rPr>
              <w:t>(14.1)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1"/>
              </w:rPr>
              <w:t>(14.1)</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46"/>
              <w:spacing w:after="0"/>
              <w:rPr>
                <w:sz w:val="20"/>
                <w:szCs w:val="20"/>
                <w:color w:val="auto"/>
              </w:rPr>
            </w:pPr>
            <w:r>
              <w:rPr>
                <w:rFonts w:ascii="Arial" w:cs="Arial" w:eastAsia="Arial" w:hAnsi="Arial"/>
                <w:sz w:val="15"/>
                <w:szCs w:val="15"/>
                <w:color w:val="auto"/>
                <w:w w:val="88"/>
              </w:rPr>
              <w:t>34.3</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606"/>
              <w:spacing w:after="0"/>
              <w:rPr>
                <w:sz w:val="20"/>
                <w:szCs w:val="20"/>
                <w:color w:val="auto"/>
              </w:rPr>
            </w:pPr>
            <w:r>
              <w:rPr>
                <w:rFonts w:ascii="Arial" w:cs="Arial" w:eastAsia="Arial" w:hAnsi="Arial"/>
                <w:sz w:val="15"/>
                <w:szCs w:val="15"/>
                <w:color w:val="auto"/>
                <w:w w:val="88"/>
              </w:rPr>
              <w:t>34.3</w:t>
            </w: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center"/>
              <w:ind w:left="326"/>
              <w:spacing w:after="0"/>
              <w:rPr>
                <w:sz w:val="20"/>
                <w:szCs w:val="20"/>
                <w:color w:val="auto"/>
              </w:rPr>
            </w:pPr>
            <w:r>
              <w:rPr>
                <w:rFonts w:ascii="Arial" w:cs="Arial" w:eastAsia="Arial" w:hAnsi="Arial"/>
                <w:sz w:val="15"/>
                <w:szCs w:val="15"/>
                <w:color w:val="auto"/>
                <w:w w:val="91"/>
              </w:rPr>
              <w:t>(10.6)</w:t>
            </w: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center"/>
              <w:ind w:left="546"/>
              <w:spacing w:after="0"/>
              <w:rPr>
                <w:sz w:val="20"/>
                <w:szCs w:val="20"/>
                <w:color w:val="auto"/>
              </w:rPr>
            </w:pPr>
            <w:r>
              <w:rPr>
                <w:rFonts w:ascii="Arial" w:cs="Arial" w:eastAsia="Arial" w:hAnsi="Arial"/>
                <w:sz w:val="15"/>
                <w:szCs w:val="15"/>
                <w:color w:val="auto"/>
                <w:w w:val="91"/>
              </w:rPr>
              <w:t>(50.1)</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39.5</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center"/>
              <w:ind w:left="326"/>
              <w:spacing w:after="0"/>
              <w:rPr>
                <w:sz w:val="20"/>
                <w:szCs w:val="20"/>
                <w:color w:val="auto"/>
              </w:rPr>
            </w:pPr>
            <w:r>
              <w:rPr>
                <w:rFonts w:ascii="Arial" w:cs="Arial" w:eastAsia="Arial" w:hAnsi="Arial"/>
                <w:sz w:val="15"/>
                <w:szCs w:val="15"/>
                <w:color w:val="auto"/>
                <w:w w:val="91"/>
              </w:rPr>
              <w:t>(69.9)</w:t>
            </w: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1"/>
              </w:rPr>
              <w:t>(57.4)</w:t>
            </w:r>
          </w:p>
        </w:tc>
        <w:tc>
          <w:tcPr>
            <w:tcW w:w="5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w:t>
            </w:r>
          </w:p>
        </w:tc>
      </w:tr>
      <w:tr>
        <w:trPr>
          <w:trHeight w:val="20"/>
        </w:trPr>
        <w:tc>
          <w:tcPr>
            <w:tcW w:w="3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2"/>
        </w:trPr>
        <w:tc>
          <w:tcPr>
            <w:tcW w:w="3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8"/>
              </w:rPr>
              <w:t>Nine Months Ended September 30,</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181"/>
        </w:trPr>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26"/>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26"/>
              <w:spacing w:after="0"/>
              <w:rPr>
                <w:sz w:val="20"/>
                <w:szCs w:val="20"/>
                <w:color w:val="auto"/>
              </w:rPr>
            </w:pPr>
            <w:r>
              <w:rPr>
                <w:rFonts w:ascii="Arial" w:cs="Arial" w:eastAsia="Arial" w:hAnsi="Arial"/>
                <w:sz w:val="15"/>
                <w:szCs w:val="15"/>
                <w:b w:val="1"/>
                <w:bCs w:val="1"/>
                <w:color w:val="auto"/>
              </w:rPr>
              <w:t>2020</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80"/>
          </w:cols>
          <w:pgMar w:left="300" w:top="883" w:right="319" w:bottom="1440" w:gutter="0" w:footer="0" w:header="0"/>
          <w:type w:val="continuous"/>
        </w:sectPr>
      </w:pPr>
    </w:p>
    <w:tbl>
      <w:tblPr>
        <w:tblLayout w:type="fixed"/>
        <w:tblInd w:w="3260" w:type="dxa"/>
        <w:tblCellMar>
          <w:top w:w="0" w:type="dxa"/>
          <w:left w:w="0" w:type="dxa"/>
          <w:bottom w:w="0" w:type="dxa"/>
          <w:right w:w="0" w:type="dxa"/>
        </w:tblCellMar>
      </w:tblPr>
      <w:tr>
        <w:trPr>
          <w:trHeight w:val="136"/>
        </w:trPr>
        <w:tc>
          <w:tcPr>
            <w:tcW w:w="124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280" w:type="dxa"/>
            <w:vAlign w:val="bottom"/>
            <w:tcBorders>
              <w:top w:val="single" w:sz="8" w:color="auto"/>
            </w:tcBorders>
            <w:vMerge w:val="restart"/>
          </w:tcPr>
          <w:p>
            <w:pPr>
              <w:ind w:left="320"/>
              <w:spacing w:after="0"/>
              <w:rPr>
                <w:sz w:val="20"/>
                <w:szCs w:val="20"/>
                <w:color w:val="auto"/>
              </w:rPr>
            </w:pPr>
            <w:r>
              <w:rPr>
                <w:rFonts w:ascii="Arial" w:cs="Arial" w:eastAsia="Arial" w:hAnsi="Arial"/>
                <w:sz w:val="15"/>
                <w:szCs w:val="15"/>
                <w:b w:val="1"/>
                <w:bCs w:val="1"/>
                <w:color w:val="auto"/>
              </w:rPr>
              <w:t>Owned MSR</w:t>
            </w:r>
          </w:p>
        </w:tc>
        <w:tc>
          <w:tcPr>
            <w:tcW w:w="1440" w:type="dxa"/>
            <w:vAlign w:val="bottom"/>
            <w:tcBorders>
              <w:top w:val="single" w:sz="8" w:color="auto"/>
            </w:tcBorders>
          </w:tcPr>
          <w:p>
            <w:pPr>
              <w:jc w:val="center"/>
              <w:ind w:left="46"/>
              <w:spacing w:after="0" w:line="136" w:lineRule="exact"/>
              <w:rPr>
                <w:sz w:val="20"/>
                <w:szCs w:val="20"/>
                <w:color w:val="auto"/>
              </w:rPr>
            </w:pPr>
            <w:r>
              <w:rPr>
                <w:rFonts w:ascii="Arial" w:cs="Arial" w:eastAsia="Arial" w:hAnsi="Arial"/>
                <w:sz w:val="15"/>
                <w:szCs w:val="15"/>
                <w:b w:val="1"/>
                <w:bCs w:val="1"/>
                <w:color w:val="auto"/>
                <w:w w:val="94"/>
              </w:rPr>
              <w:t>Pledged MSR (NRZ</w:t>
            </w:r>
          </w:p>
        </w:tc>
        <w:tc>
          <w:tcPr>
            <w:tcW w:w="0" w:type="dxa"/>
            <w:vAlign w:val="bottom"/>
          </w:tcPr>
          <w:p>
            <w:pPr>
              <w:spacing w:after="0"/>
              <w:rPr>
                <w:sz w:val="1"/>
                <w:szCs w:val="1"/>
                <w:color w:val="auto"/>
              </w:rPr>
            </w:pPr>
          </w:p>
        </w:tc>
      </w:tr>
      <w:tr>
        <w:trPr>
          <w:trHeight w:val="189"/>
        </w:trPr>
        <w:tc>
          <w:tcPr>
            <w:tcW w:w="12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40" w:type="dxa"/>
            <w:vAlign w:val="bottom"/>
          </w:tcPr>
          <w:p>
            <w:pPr>
              <w:jc w:val="center"/>
              <w:ind w:left="46"/>
              <w:spacing w:after="0"/>
              <w:rPr>
                <w:sz w:val="20"/>
                <w:szCs w:val="20"/>
                <w:color w:val="auto"/>
              </w:rPr>
            </w:pPr>
            <w:r>
              <w:rPr>
                <w:rFonts w:ascii="Arial" w:cs="Arial" w:eastAsia="Arial" w:hAnsi="Arial"/>
                <w:sz w:val="15"/>
                <w:szCs w:val="15"/>
                <w:b w:val="1"/>
                <w:bCs w:val="1"/>
                <w:color w:val="auto"/>
                <w:w w:val="95"/>
              </w:rPr>
              <w:t>and MAV)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26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380" w:type="dxa"/>
            <w:vAlign w:val="bottom"/>
            <w:tcBorders>
              <w:top w:val="single" w:sz="8" w:color="auto"/>
            </w:tcBorders>
            <w:vMerge w:val="restart"/>
          </w:tcPr>
          <w:p>
            <w:pPr>
              <w:ind w:left="320"/>
              <w:spacing w:after="0"/>
              <w:rPr>
                <w:sz w:val="20"/>
                <w:szCs w:val="20"/>
                <w:color w:val="auto"/>
              </w:rPr>
            </w:pPr>
            <w:r>
              <w:rPr>
                <w:rFonts w:ascii="Arial" w:cs="Arial" w:eastAsia="Arial" w:hAnsi="Arial"/>
                <w:sz w:val="15"/>
                <w:szCs w:val="15"/>
                <w:b w:val="1"/>
                <w:bCs w:val="1"/>
                <w:color w:val="auto"/>
              </w:rPr>
              <w:t>Owned MSR</w:t>
            </w: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89"/>
        </w:trPr>
        <w:tc>
          <w:tcPr>
            <w:tcW w:w="12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0" w:space="80"/>
            <w:col w:w="3980"/>
          </w:cols>
          <w:pgMar w:left="300" w:top="883"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Runoff (3)</w:t>
            </w:r>
          </w:p>
        </w:tc>
        <w:tc>
          <w:tcPr>
            <w:tcW w:w="48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(175.1)</w:t>
            </w: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w:t>
            </w: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(127.9)</w:t>
            </w:r>
          </w:p>
        </w:tc>
        <w:tc>
          <w:tcPr>
            <w:tcW w:w="48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w:t>
            </w: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Rate and assumption change (1)</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100.7</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(169.0)</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(154.4)</w:t>
            </w: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(14.6)</w:t>
            </w: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Hedging gain (loss)</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4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(103.2)</w:t>
            </w: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(114.2)</w:t>
            </w: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(249.9)</w:t>
            </w:r>
          </w:p>
        </w:tc>
        <w:tc>
          <w:tcPr>
            <w:tcW w:w="4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(178.6)</w:t>
            </w:r>
          </w:p>
        </w:tc>
        <w:tc>
          <w:tcPr>
            <w:tcW w:w="5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(71.3)</w:t>
            </w:r>
          </w:p>
        </w:tc>
      </w:tr>
      <w:tr>
        <w:trPr>
          <w:trHeight w:val="20"/>
        </w:trPr>
        <w:tc>
          <w:tcPr>
            <w:tcW w:w="3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80" w:right="40" w:hanging="271"/>
        <w:spacing w:after="0" w:line="260" w:lineRule="auto"/>
        <w:tabs>
          <w:tab w:leader="none" w:pos="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Excludes gains of $2.8 million, $8.8 million, $20.1 million and $26.3 million in the third quarter of 2021, second quarter of 2021, nine months ended September 30, 2021 and nine months ended September 30, 2020, respectively, on the revaluation of MSRs purchased at a discount, that is reported in the Originations segment as MSR valuation adjustments, net.</w:t>
      </w:r>
    </w:p>
    <w:p>
      <w:pPr>
        <w:ind w:left="280" w:right="20" w:hanging="271"/>
        <w:spacing w:after="0" w:line="250" w:lineRule="auto"/>
        <w:tabs>
          <w:tab w:leader="none" w:pos="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For those MSR sale transactions with NRZ and MAV that do not achieve sale accounting treatment, we present gross the pledged MSR as an asset and the corresponding liability amount pledged MSR liability on our balance sheet. Because we record both our pledged MSRs with NRZ and the associated MSR liability at fair value, the changes in fair value of the pledged MSR liability are largely offset by the changes in fair value of the associated pledged MSR asset, presented in MSR valuation adjustments, net. Although fair value changes are separately presented in our statement of operations, we are not exposed to any fair value changes of the MSR pledged to NRZ, and we are only exposed to fair value changes of the MSR pledged to MAV net of the MSR pledged liability to MAV. See Note 8 — MSR Transfers Not Qualifying for Sale Accounting for further information.</w:t>
      </w:r>
    </w:p>
    <w:p>
      <w:pPr>
        <w:spacing w:after="0" w:line="1" w:lineRule="exact"/>
        <w:rPr>
          <w:rFonts w:ascii="Arial" w:cs="Arial" w:eastAsia="Arial" w:hAnsi="Arial"/>
          <w:sz w:val="13"/>
          <w:szCs w:val="13"/>
          <w:color w:val="auto"/>
        </w:rPr>
      </w:pPr>
    </w:p>
    <w:p>
      <w:pPr>
        <w:ind w:left="280" w:hanging="271"/>
        <w:spacing w:after="0"/>
        <w:tabs>
          <w:tab w:leader="none" w:pos="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terms runoff and realization of expected future cash flows may be used interchangeably within this discussion.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type w:val="continuous"/>
        </w:sectPr>
      </w:pPr>
    </w:p>
    <w:bookmarkStart w:id="83" w:name="page84"/>
    <w:bookmarkEnd w:id="83"/>
    <w:p>
      <w:pPr>
        <w:ind w:right="100" w:firstLine="268"/>
        <w:spacing w:after="0" w:line="270" w:lineRule="auto"/>
        <w:rPr>
          <w:sz w:val="20"/>
          <w:szCs w:val="20"/>
          <w:color w:val="auto"/>
        </w:rPr>
      </w:pPr>
      <w:r>
        <w:rPr>
          <w:rFonts w:ascii="Arial" w:cs="Arial" w:eastAsia="Arial" w:hAnsi="Arial"/>
          <w:sz w:val="14"/>
          <w:szCs w:val="14"/>
          <w:color w:val="auto"/>
        </w:rPr>
        <w:t>We reported a $10.6 million loss in MSR valuation adjustments, net for the third quarter of 2021, comprised of a $50.1 million loss on our owned MSRs and a $39.5 million gain on the MSRs transferred to NRZ and MAV. The $50.1 million loss on our owned MSRs for the third quarter of 2021 is mainly comprised of $47.1 million MSR portfolio runoff. MSR portfolio runoff represents the realization of expected cash flows and yield based on projected borrower behavior, including scheduled amortization of the loan UPB together with actual prepayments. In addition, MSR valuation adjustments, net includes a $11.1 million gain on the MSR portfolio attributed to rate and assumption change and a $14.1 million hedging loss. The gain on rate and assumption change is primarily due to a $15.1 million increase in market interest rates (the 10 year swap rate increased by 6 basis points in the third quarter of 2021), partially offset by a loss on assumption updates driven by prepayment model variance and calibration. Our MSR hedging policy is designed to reduce the volatility of the MSR portfolio fair value due to market interest rates. The changes in fair value of the MSR and hedging derivatives were not offset to the same extent as per their expected hedging sensitivity measures, mainly due to non-parallel changes in the interest rate curve and the basis risk inherent in the MSR profile and the available hedging instruments. In addition, we established a higher hedge coverage on a committed MSR sale to MAV during the third quarter of 2021. Refer to Item 3. Quantitative and Qualitative Disclosures About Market Risk for additional information regarding our MSR hedging strategy.</w:t>
      </w:r>
    </w:p>
    <w:p>
      <w:pPr>
        <w:spacing w:after="0" w:line="62" w:lineRule="exact"/>
        <w:rPr>
          <w:sz w:val="20"/>
          <w:szCs w:val="20"/>
          <w:color w:val="auto"/>
        </w:rPr>
      </w:pPr>
    </w:p>
    <w:p>
      <w:pPr>
        <w:jc w:val="both"/>
        <w:ind w:right="100" w:firstLine="268"/>
        <w:spacing w:after="0" w:line="291" w:lineRule="auto"/>
        <w:rPr>
          <w:sz w:val="20"/>
          <w:szCs w:val="20"/>
          <w:color w:val="auto"/>
        </w:rPr>
      </w:pPr>
      <w:r>
        <w:rPr>
          <w:rFonts w:ascii="Arial" w:cs="Arial" w:eastAsia="Arial" w:hAnsi="Arial"/>
          <w:sz w:val="13"/>
          <w:szCs w:val="13"/>
          <w:color w:val="auto"/>
        </w:rPr>
        <w:t>During the nine months ended September 30, 2021, we reported a $103.2 million loss in MSR valuation adjustments, net, comprised of a $114.2 million loss on our owned MSRs and a $11.0 million gain on the MSRs transferred to NRZ and MAV. The $114.2 million loss on our owned MSRs is mostly comprised of a $114.8 million MSR portfolio runoff, and includes 29.4 million gain on the MSR portfolio attributed to rate and assumption change, offset by $28.9 million hedging loss. The factors described above for the third quarter of 2021 similarly apply.</w:t>
      </w:r>
    </w:p>
    <w:p>
      <w:pPr>
        <w:spacing w:after="0" w:line="1" w:lineRule="exact"/>
        <w:rPr>
          <w:sz w:val="20"/>
          <w:szCs w:val="20"/>
          <w:color w:val="auto"/>
        </w:rPr>
      </w:pPr>
    </w:p>
    <w:p>
      <w:pPr>
        <w:ind w:right="260"/>
        <w:spacing w:after="0" w:line="256" w:lineRule="auto"/>
        <w:rPr>
          <w:sz w:val="20"/>
          <w:szCs w:val="20"/>
          <w:color w:val="auto"/>
        </w:rPr>
      </w:pPr>
      <w:r>
        <w:rPr>
          <w:rFonts w:ascii="Arial" w:cs="Arial" w:eastAsia="Arial" w:hAnsi="Arial"/>
          <w:sz w:val="15"/>
          <w:szCs w:val="15"/>
          <w:color w:val="auto"/>
        </w:rPr>
        <w:t>The gain on rate and assumption change is primarily due to an increase in market interest rates (the 10 year swap rate increased by 58 basis points in the nine months ended September 30, 2021), partially offset by a loss on assumption updates driven by prepayment model calibration.</w:t>
      </w:r>
    </w:p>
    <w:p>
      <w:pPr>
        <w:spacing w:after="0" w:line="68"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The following table provides information regarding the changes in the fair value and the UPB of our portfolio of owned MSRs during the third quarter of 2021, with the breakdown by investor type.</w:t>
      </w:r>
    </w:p>
    <w:tbl>
      <w:tblPr>
        <w:tblLayout w:type="fixed"/>
        <w:tblInd w:w="0" w:type="dxa"/>
        <w:tblCellMar>
          <w:top w:w="0" w:type="dxa"/>
          <w:left w:w="0" w:type="dxa"/>
          <w:bottom w:w="0" w:type="dxa"/>
          <w:right w:w="0" w:type="dxa"/>
        </w:tblCellMar>
      </w:tblPr>
      <w:tr>
        <w:trPr>
          <w:trHeight w:val="169"/>
        </w:trPr>
        <w:tc>
          <w:tcPr>
            <w:tcW w:w="1020" w:type="dxa"/>
            <w:vAlign w:val="bottom"/>
            <w:tcBorders>
              <w:right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6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UPB ($ in billions)</w:t>
            </w:r>
          </w:p>
        </w:tc>
        <w:tc>
          <w:tcPr>
            <w:tcW w:w="4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rPr>
              <w:t>GSEs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Ginnie Mae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jc w:val="right"/>
              <w:ind w:right="93"/>
              <w:spacing w:after="0" w:line="128" w:lineRule="exact"/>
              <w:rPr>
                <w:sz w:val="20"/>
                <w:szCs w:val="20"/>
                <w:color w:val="auto"/>
              </w:rPr>
            </w:pPr>
            <w:r>
              <w:rPr>
                <w:rFonts w:ascii="Arial" w:cs="Arial" w:eastAsia="Arial" w:hAnsi="Arial"/>
                <w:sz w:val="13"/>
                <w:szCs w:val="13"/>
                <w:b w:val="1"/>
                <w:bCs w:val="1"/>
                <w:color w:val="auto"/>
              </w:rPr>
              <w:t>Non-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GSEs</w:t>
            </w:r>
          </w:p>
        </w:tc>
        <w:tc>
          <w:tcPr>
            <w:tcW w:w="104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Ginnie Mae</w:t>
            </w:r>
          </w:p>
        </w:tc>
        <w:tc>
          <w:tcPr>
            <w:tcW w:w="42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3"/>
                <w:szCs w:val="13"/>
                <w:b w:val="1"/>
                <w:bCs w:val="1"/>
                <w:color w:val="auto"/>
              </w:rPr>
              <w:t>Non-</w:t>
            </w:r>
          </w:p>
        </w:tc>
        <w:tc>
          <w:tcPr>
            <w:tcW w:w="440" w:type="dxa"/>
            <w:vAlign w:val="bottom"/>
          </w:tcPr>
          <w:p>
            <w:pPr>
              <w:spacing w:after="0"/>
              <w:rPr>
                <w:sz w:val="11"/>
                <w:szCs w:val="11"/>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3"/>
              </w:rPr>
              <w:t>Agency</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Agency</w:t>
            </w:r>
          </w:p>
        </w:tc>
        <w:tc>
          <w:tcPr>
            <w:tcW w:w="6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020" w:type="dxa"/>
            <w:vAlign w:val="bottom"/>
            <w:tcBorders>
              <w:right w:val="single" w:sz="8" w:color="CCEEFF"/>
            </w:tcBorders>
            <w:shd w:val="clear" w:color="auto" w:fill="CCEEFF"/>
          </w:tcPr>
          <w:p>
            <w:pPr>
              <w:ind w:left="300"/>
              <w:spacing w:after="0" w:line="117" w:lineRule="exact"/>
              <w:rPr>
                <w:sz w:val="20"/>
                <w:szCs w:val="20"/>
                <w:color w:val="auto"/>
              </w:rPr>
            </w:pPr>
            <w:r>
              <w:rPr>
                <w:rFonts w:ascii="Arial" w:cs="Arial" w:eastAsia="Arial" w:hAnsi="Arial"/>
                <w:sz w:val="13"/>
                <w:szCs w:val="13"/>
                <w:b w:val="1"/>
                <w:bCs w:val="1"/>
                <w:color w:val="auto"/>
              </w:rPr>
              <w:t>Beginning</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112"/>
              <w:spacing w:after="0"/>
              <w:rPr>
                <w:sz w:val="20"/>
                <w:szCs w:val="20"/>
                <w:color w:val="auto"/>
              </w:rPr>
            </w:pPr>
            <w:r>
              <w:rPr>
                <w:rFonts w:ascii="Arial" w:cs="Arial" w:eastAsia="Arial" w:hAnsi="Arial"/>
                <w:sz w:val="15"/>
                <w:szCs w:val="15"/>
                <w:color w:val="auto"/>
              </w:rPr>
              <w:t>1,311.7</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5"/>
                <w:szCs w:val="15"/>
                <w:color w:val="auto"/>
              </w:rPr>
              <w:t>101.4</w:t>
            </w:r>
          </w:p>
        </w:tc>
        <w:tc>
          <w:tcPr>
            <w:tcW w:w="700" w:type="dxa"/>
            <w:vAlign w:val="bottom"/>
            <w:gridSpan w:val="3"/>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93"/>
              <w:spacing w:after="0"/>
              <w:rPr>
                <w:sz w:val="20"/>
                <w:szCs w:val="20"/>
                <w:color w:val="auto"/>
              </w:rPr>
            </w:pPr>
            <w:r>
              <w:rPr>
                <w:rFonts w:ascii="Arial" w:cs="Arial" w:eastAsia="Arial" w:hAnsi="Arial"/>
                <w:sz w:val="15"/>
                <w:szCs w:val="15"/>
                <w:color w:val="auto"/>
              </w:rPr>
              <w:t>123.9</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5"/>
                <w:szCs w:val="15"/>
                <w:color w:val="auto"/>
              </w:rPr>
              <w:t>1,537.0</w:t>
            </w:r>
          </w:p>
        </w:tc>
        <w:tc>
          <w:tcPr>
            <w:tcW w:w="76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116.5</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19.8</w:t>
            </w: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w:t>
            </w:r>
          </w:p>
        </w:tc>
        <w:tc>
          <w:tcPr>
            <w:tcW w:w="48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700" w:type="dxa"/>
            <w:vAlign w:val="bottom"/>
            <w:gridSpan w:val="3"/>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300"/>
              <w:spacing w:after="0"/>
              <w:rPr>
                <w:sz w:val="20"/>
                <w:szCs w:val="20"/>
                <w:color w:val="auto"/>
              </w:rPr>
            </w:pPr>
            <w:r>
              <w:rPr>
                <w:rFonts w:ascii="Arial" w:cs="Arial" w:eastAsia="Arial" w:hAnsi="Arial"/>
                <w:sz w:val="13"/>
                <w:szCs w:val="13"/>
                <w:color w:val="auto"/>
              </w:rPr>
              <w:t>Additions</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tcBorders>
              <w:right w:val="single" w:sz="8" w:color="CCEEFF"/>
            </w:tcBorders>
            <w:shd w:val="clear" w:color="auto" w:fill="CCEEFF"/>
          </w:tcPr>
          <w:p>
            <w:pPr>
              <w:jc w:val="center"/>
              <w:ind w:right="214"/>
              <w:spacing w:after="0"/>
              <w:rPr>
                <w:sz w:val="20"/>
                <w:szCs w:val="20"/>
                <w:color w:val="auto"/>
              </w:rPr>
            </w:pPr>
            <w:r>
              <w:rPr>
                <w:rFonts w:ascii="Arial" w:cs="Arial" w:eastAsia="Arial" w:hAnsi="Arial"/>
                <w:sz w:val="13"/>
                <w:szCs w:val="13"/>
                <w:color w:val="auto"/>
                <w:w w:val="92"/>
              </w:rPr>
              <w:t>New cap.</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rPr>
              <w:t>57.8</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3"/>
                <w:szCs w:val="13"/>
                <w:color w:val="auto"/>
              </w:rPr>
              <w:t>8.6</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0.8</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rPr>
              <w:t>67.2</w:t>
            </w:r>
          </w:p>
        </w:tc>
        <w:tc>
          <w:tcPr>
            <w:tcW w:w="3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3"/>
                <w:szCs w:val="13"/>
                <w:color w:val="auto"/>
              </w:rPr>
              <w:t>0.6</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400"/>
              <w:spacing w:after="0"/>
              <w:rPr>
                <w:sz w:val="20"/>
                <w:szCs w:val="20"/>
                <w:color w:val="auto"/>
              </w:rPr>
            </w:pPr>
            <w:r>
              <w:rPr>
                <w:rFonts w:ascii="Arial" w:cs="Arial" w:eastAsia="Arial" w:hAnsi="Arial"/>
                <w:sz w:val="13"/>
                <w:szCs w:val="13"/>
                <w:color w:val="auto"/>
                <w:w w:val="94"/>
              </w:rPr>
              <w:t>Purchases</w:t>
            </w:r>
          </w:p>
        </w:tc>
        <w:tc>
          <w:tcPr>
            <w:tcW w:w="48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3"/>
                <w:szCs w:val="13"/>
                <w:color w:val="auto"/>
              </w:rPr>
              <w:t>36.6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152"/>
              <w:spacing w:after="0"/>
              <w:rPr>
                <w:sz w:val="20"/>
                <w:szCs w:val="20"/>
                <w:color w:val="auto"/>
              </w:rPr>
            </w:pPr>
            <w:r>
              <w:rPr>
                <w:rFonts w:ascii="Arial" w:cs="Arial" w:eastAsia="Arial" w:hAnsi="Arial"/>
                <w:sz w:val="13"/>
                <w:szCs w:val="13"/>
                <w:color w:val="auto"/>
              </w:rPr>
              <w:t>(0.4)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3"/>
                <w:szCs w:val="13"/>
                <w:color w:val="auto"/>
              </w:rPr>
              <w:t>36.2</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Sales/servicing</w:t>
            </w:r>
          </w:p>
        </w:tc>
        <w:tc>
          <w:tcPr>
            <w:tcW w:w="4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3"/>
                <w:szCs w:val="13"/>
                <w:color w:val="auto"/>
              </w:rPr>
              <w:t>(1.3)</w:t>
            </w:r>
          </w:p>
        </w:tc>
        <w:tc>
          <w:tcPr>
            <w:tcW w:w="3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jc w:val="center"/>
              <w:ind w:right="174"/>
              <w:spacing w:after="0"/>
              <w:rPr>
                <w:sz w:val="20"/>
                <w:szCs w:val="20"/>
                <w:color w:val="auto"/>
              </w:rPr>
            </w:pPr>
            <w:r>
              <w:rPr>
                <w:rFonts w:ascii="Arial" w:cs="Arial" w:eastAsia="Arial" w:hAnsi="Arial"/>
                <w:sz w:val="13"/>
                <w:szCs w:val="13"/>
                <w:color w:val="auto"/>
                <w:w w:val="90"/>
              </w:rPr>
              <w:t>transfers</w:t>
            </w:r>
          </w:p>
        </w:tc>
        <w:tc>
          <w:tcPr>
            <w:tcW w:w="4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300"/>
              <w:spacing w:after="0"/>
              <w:rPr>
                <w:sz w:val="20"/>
                <w:szCs w:val="20"/>
                <w:color w:val="auto"/>
              </w:rPr>
            </w:pPr>
            <w:r>
              <w:rPr>
                <w:rFonts w:ascii="Arial" w:cs="Arial" w:eastAsia="Arial" w:hAnsi="Arial"/>
                <w:sz w:val="13"/>
                <w:szCs w:val="13"/>
                <w:color w:val="auto"/>
              </w:rPr>
              <w:t>Sales/calls</w:t>
            </w:r>
          </w:p>
        </w:tc>
        <w:tc>
          <w:tcPr>
            <w:tcW w:w="48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3"/>
                <w:szCs w:val="13"/>
                <w:color w:val="auto"/>
              </w:rPr>
              <w:t>(132.1)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3"/>
                <w:szCs w:val="13"/>
                <w:color w:val="auto"/>
              </w:rPr>
              <w:t>(132.1)</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Change in fair</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value:</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Pr>
          <w:p>
            <w:pPr>
              <w:jc w:val="center"/>
              <w:ind w:right="234"/>
              <w:spacing w:after="0" w:line="136" w:lineRule="exact"/>
              <w:rPr>
                <w:sz w:val="20"/>
                <w:szCs w:val="20"/>
                <w:color w:val="auto"/>
              </w:rPr>
            </w:pPr>
            <w:r>
              <w:rPr>
                <w:rFonts w:ascii="Arial" w:cs="Arial" w:eastAsia="Arial" w:hAnsi="Arial"/>
                <w:sz w:val="13"/>
                <w:szCs w:val="13"/>
                <w:color w:val="auto"/>
                <w:w w:val="92"/>
              </w:rPr>
              <w:t>Inputs and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tcPr>
          <w:p>
            <w:pPr>
              <w:ind w:left="220"/>
              <w:spacing w:after="0" w:line="134" w:lineRule="exact"/>
              <w:rPr>
                <w:sz w:val="20"/>
                <w:szCs w:val="20"/>
                <w:color w:val="auto"/>
              </w:rPr>
            </w:pPr>
            <w:r>
              <w:rPr>
                <w:rFonts w:ascii="Arial" w:cs="Arial" w:eastAsia="Arial" w:hAnsi="Arial"/>
                <w:sz w:val="13"/>
                <w:szCs w:val="13"/>
                <w:color w:val="auto"/>
              </w:rPr>
              <w:t>assumptions</w:t>
            </w:r>
          </w:p>
        </w:tc>
        <w:tc>
          <w:tcPr>
            <w:tcW w:w="480" w:type="dxa"/>
            <w:vAlign w:val="bottom"/>
          </w:tcPr>
          <w:p>
            <w:pPr>
              <w:spacing w:after="0"/>
              <w:rPr>
                <w:sz w:val="11"/>
                <w:szCs w:val="1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color w:val="auto"/>
              </w:rPr>
              <w:t>10.7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jc w:val="right"/>
              <w:ind w:right="152"/>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3.9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color w:val="auto"/>
              </w:rPr>
              <w:t>13.5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20" w:type="dxa"/>
            <w:vAlign w:val="bottom"/>
          </w:tcPr>
          <w:p>
            <w:pPr>
              <w:ind w:left="220"/>
              <w:spacing w:after="0"/>
              <w:rPr>
                <w:sz w:val="20"/>
                <w:szCs w:val="20"/>
                <w:color w:val="auto"/>
              </w:rPr>
            </w:pPr>
            <w:r>
              <w:rPr>
                <w:rFonts w:ascii="Arial" w:cs="Arial" w:eastAsia="Arial" w:hAnsi="Arial"/>
                <w:sz w:val="13"/>
                <w:szCs w:val="13"/>
                <w:color w:val="auto"/>
              </w:rPr>
              <w:t>(1)</w:t>
            </w: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80"/>
              <w:spacing w:after="0" w:line="139" w:lineRule="exact"/>
              <w:rPr>
                <w:sz w:val="20"/>
                <w:szCs w:val="20"/>
                <w:color w:val="auto"/>
              </w:rPr>
            </w:pPr>
            <w:r>
              <w:rPr>
                <w:rFonts w:ascii="Arial" w:cs="Arial" w:eastAsia="Arial" w:hAnsi="Arial"/>
                <w:sz w:val="13"/>
                <w:szCs w:val="13"/>
                <w:color w:val="auto"/>
              </w:rPr>
              <w:t>Realization of</w:t>
            </w:r>
          </w:p>
        </w:tc>
        <w:tc>
          <w:tcPr>
            <w:tcW w:w="4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72"/>
              <w:spacing w:after="0"/>
              <w:rPr>
                <w:sz w:val="20"/>
                <w:szCs w:val="20"/>
                <w:color w:val="auto"/>
              </w:rPr>
            </w:pPr>
            <w:r>
              <w:rPr>
                <w:rFonts w:ascii="Arial" w:cs="Arial" w:eastAsia="Arial" w:hAnsi="Arial"/>
                <w:sz w:val="13"/>
                <w:szCs w:val="13"/>
                <w:color w:val="auto"/>
              </w:rPr>
              <w:t>(35.7)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52"/>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3"/>
                <w:szCs w:val="13"/>
                <w:color w:val="auto"/>
              </w:rPr>
              <w:t>(47.1)</w:t>
            </w:r>
          </w:p>
        </w:tc>
        <w:tc>
          <w:tcPr>
            <w:tcW w:w="3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2"/>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2"/>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flows</w:t>
            </w:r>
          </w:p>
        </w:tc>
        <w:tc>
          <w:tcPr>
            <w:tcW w:w="4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020" w:type="dxa"/>
            <w:vAlign w:val="bottom"/>
          </w:tcPr>
          <w:p>
            <w:pPr>
              <w:ind w:left="300"/>
              <w:spacing w:after="0" w:line="114" w:lineRule="exact"/>
              <w:rPr>
                <w:sz w:val="20"/>
                <w:szCs w:val="20"/>
                <w:color w:val="auto"/>
              </w:rPr>
            </w:pPr>
            <w:r>
              <w:rPr>
                <w:rFonts w:ascii="Arial" w:cs="Arial" w:eastAsia="Arial" w:hAnsi="Arial"/>
                <w:sz w:val="13"/>
                <w:szCs w:val="13"/>
                <w:b w:val="1"/>
                <w:bCs w:val="1"/>
                <w:color w:val="auto"/>
              </w:rPr>
              <w:t>Ending</w:t>
            </w: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color w:val="auto"/>
              </w:rPr>
              <w:t>1,249.0</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92"/>
              <w:spacing w:after="0"/>
              <w:rPr>
                <w:sz w:val="20"/>
                <w:szCs w:val="20"/>
                <w:color w:val="auto"/>
              </w:rPr>
            </w:pPr>
            <w:r>
              <w:rPr>
                <w:rFonts w:ascii="Arial" w:cs="Arial" w:eastAsia="Arial" w:hAnsi="Arial"/>
                <w:sz w:val="13"/>
                <w:szCs w:val="13"/>
                <w:color w:val="auto"/>
              </w:rPr>
              <w:t>106.5</w:t>
            </w:r>
          </w:p>
        </w:tc>
        <w:tc>
          <w:tcPr>
            <w:tcW w:w="700" w:type="dxa"/>
            <w:vAlign w:val="bottom"/>
            <w:gridSpan w:val="3"/>
            <w:vMerge w:val="restart"/>
          </w:tcPr>
          <w:p>
            <w:pPr>
              <w:ind w:left="5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117.9</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1,473.4</w:t>
            </w:r>
          </w:p>
        </w:tc>
        <w:tc>
          <w:tcPr>
            <w:tcW w:w="760" w:type="dxa"/>
            <w:vAlign w:val="bottom"/>
            <w:gridSpan w:val="3"/>
            <w:vMerge w:val="restart"/>
          </w:tcPr>
          <w:p>
            <w:pPr>
              <w:ind w:left="6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2"/>
              <w:spacing w:after="0"/>
              <w:rPr>
                <w:sz w:val="20"/>
                <w:szCs w:val="20"/>
                <w:color w:val="auto"/>
              </w:rPr>
            </w:pPr>
            <w:r>
              <w:rPr>
                <w:rFonts w:ascii="Arial" w:cs="Arial" w:eastAsia="Arial" w:hAnsi="Arial"/>
                <w:sz w:val="13"/>
                <w:szCs w:val="13"/>
                <w:color w:val="auto"/>
              </w:rPr>
              <w:t>105.7</w:t>
            </w:r>
          </w:p>
        </w:tc>
        <w:tc>
          <w:tcPr>
            <w:tcW w:w="80" w:type="dxa"/>
            <w:vAlign w:val="bottom"/>
          </w:tcPr>
          <w:p>
            <w:pPr>
              <w:spacing w:after="0"/>
              <w:rPr>
                <w:sz w:val="9"/>
                <w:szCs w:val="9"/>
                <w:color w:val="auto"/>
              </w:rPr>
            </w:pPr>
          </w:p>
        </w:tc>
        <w:tc>
          <w:tcPr>
            <w:tcW w:w="48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32"/>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9"/>
                <w:szCs w:val="9"/>
                <w:color w:val="auto"/>
              </w:rPr>
            </w:pP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18.4</w:t>
            </w:r>
          </w:p>
        </w:tc>
        <w:tc>
          <w:tcPr>
            <w:tcW w:w="60" w:type="dxa"/>
            <w:vAlign w:val="bottom"/>
          </w:tcPr>
          <w:p>
            <w:pPr>
              <w:spacing w:after="0"/>
              <w:rPr>
                <w:sz w:val="9"/>
                <w:szCs w:val="9"/>
                <w:color w:val="auto"/>
              </w:rPr>
            </w:pPr>
          </w:p>
        </w:tc>
        <w:tc>
          <w:tcPr>
            <w:tcW w:w="4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136.3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balance</w:t>
            </w:r>
          </w:p>
        </w:tc>
        <w:tc>
          <w:tcPr>
            <w:tcW w:w="4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20" w:type="dxa"/>
            <w:vAlign w:val="bottom"/>
            <w:tcBorders>
              <w:right w:val="single" w:sz="8" w:color="CCEEFF"/>
            </w:tcBorders>
            <w:shd w:val="clear" w:color="auto" w:fill="CCEEFF"/>
          </w:tcPr>
          <w:p>
            <w:pPr>
              <w:ind w:left="300"/>
              <w:spacing w:after="0" w:line="99" w:lineRule="exact"/>
              <w:rPr>
                <w:sz w:val="20"/>
                <w:szCs w:val="20"/>
                <w:color w:val="auto"/>
              </w:rPr>
            </w:pPr>
            <w:r>
              <w:rPr>
                <w:rFonts w:ascii="Arial" w:cs="Arial" w:eastAsia="Arial" w:hAnsi="Arial"/>
                <w:sz w:val="11"/>
                <w:szCs w:val="11"/>
                <w:color w:val="auto"/>
              </w:rPr>
              <w:t>Fair value</w:t>
            </w:r>
          </w:p>
        </w:tc>
        <w:tc>
          <w:tcPr>
            <w:tcW w:w="48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3"/>
                <w:szCs w:val="13"/>
                <w:color w:val="auto"/>
              </w:rPr>
              <w:t>1.18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3"/>
                <w:szCs w:val="13"/>
                <w:color w:val="auto"/>
              </w:rPr>
              <w:t>0.87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0.64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3"/>
                <w:szCs w:val="13"/>
                <w:color w:val="auto"/>
              </w:rPr>
              <w:t>1.08</w:t>
            </w: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 of UPB)</w:t>
            </w:r>
          </w:p>
        </w:tc>
        <w:tc>
          <w:tcPr>
            <w:tcW w:w="4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00" w:type="dxa"/>
            <w:vAlign w:val="bottom"/>
            <w:tcBorders>
              <w:right w:val="single" w:sz="8" w:color="CCEEFF"/>
            </w:tcBorders>
            <w:vMerge w:val="continue"/>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Pr>
          <w:p>
            <w:pPr>
              <w:ind w:left="300"/>
              <w:spacing w:after="0" w:line="136" w:lineRule="exact"/>
              <w:rPr>
                <w:sz w:val="20"/>
                <w:szCs w:val="20"/>
                <w:color w:val="auto"/>
              </w:rPr>
            </w:pPr>
            <w:r>
              <w:rPr>
                <w:rFonts w:ascii="Arial" w:cs="Arial" w:eastAsia="Arial" w:hAnsi="Arial"/>
                <w:sz w:val="13"/>
                <w:szCs w:val="13"/>
                <w:color w:val="auto"/>
              </w:rPr>
              <w:t>Fair value</w:t>
            </w:r>
          </w:p>
        </w:tc>
        <w:tc>
          <w:tcPr>
            <w:tcW w:w="480" w:type="dxa"/>
            <w:vAlign w:val="bottom"/>
          </w:tcPr>
          <w:p>
            <w:pPr>
              <w:spacing w:after="0"/>
              <w:rPr>
                <w:sz w:val="11"/>
                <w:szCs w:val="1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color w:val="auto"/>
              </w:rPr>
              <w:t>4.56</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x</w:t>
            </w:r>
          </w:p>
        </w:tc>
        <w:tc>
          <w:tcPr>
            <w:tcW w:w="420" w:type="dxa"/>
            <w:vAlign w:val="bottom"/>
          </w:tcPr>
          <w:p>
            <w:pPr>
              <w:spacing w:after="0"/>
              <w:rPr>
                <w:sz w:val="11"/>
                <w:szCs w:val="1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3"/>
                <w:szCs w:val="13"/>
                <w:color w:val="auto"/>
              </w:rPr>
              <w:t>2.46</w:t>
            </w:r>
          </w:p>
        </w:tc>
        <w:tc>
          <w:tcPr>
            <w:tcW w:w="700" w:type="dxa"/>
            <w:vAlign w:val="bottom"/>
            <w:gridSpan w:val="3"/>
            <w:vMerge w:val="restart"/>
          </w:tcPr>
          <w:p>
            <w:pPr>
              <w:jc w:val="right"/>
              <w:ind w:right="540"/>
              <w:spacing w:after="0"/>
              <w:rPr>
                <w:sz w:val="20"/>
                <w:szCs w:val="20"/>
                <w:color w:val="auto"/>
              </w:rPr>
            </w:pPr>
            <w:r>
              <w:rPr>
                <w:rFonts w:ascii="Arial" w:cs="Arial" w:eastAsia="Arial" w:hAnsi="Arial"/>
                <w:sz w:val="13"/>
                <w:szCs w:val="13"/>
                <w:color w:val="auto"/>
              </w:rPr>
              <w:t>x</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1.95</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x</w:t>
            </w:r>
          </w:p>
        </w:tc>
        <w:tc>
          <w:tcPr>
            <w:tcW w:w="500" w:type="dxa"/>
            <w:vAlign w:val="bottom"/>
          </w:tcPr>
          <w:p>
            <w:pPr>
              <w:spacing w:after="0"/>
              <w:rPr>
                <w:sz w:val="11"/>
                <w:szCs w:val="1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3"/>
                <w:szCs w:val="13"/>
                <w:color w:val="auto"/>
              </w:rPr>
              <w:t>3.90</w:t>
            </w:r>
          </w:p>
        </w:tc>
        <w:tc>
          <w:tcPr>
            <w:tcW w:w="760" w:type="dxa"/>
            <w:vAlign w:val="bottom"/>
            <w:gridSpan w:val="3"/>
            <w:vMerge w:val="restart"/>
          </w:tcPr>
          <w:p>
            <w:pPr>
              <w:jc w:val="right"/>
              <w:ind w:right="500"/>
              <w:spacing w:after="0"/>
              <w:rPr>
                <w:sz w:val="20"/>
                <w:szCs w:val="20"/>
                <w:color w:val="auto"/>
              </w:rPr>
            </w:pPr>
            <w:r>
              <w:rPr>
                <w:rFonts w:ascii="Arial" w:cs="Arial" w:eastAsia="Arial" w:hAnsi="Arial"/>
                <w:sz w:val="13"/>
                <w:szCs w:val="13"/>
                <w:color w:val="auto"/>
              </w:rPr>
              <w:t>x</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3"/>
                <w:szCs w:val="13"/>
                <w:color w:val="auto"/>
              </w:rPr>
              <w:t>multiple (2)</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80" w:hanging="271"/>
        <w:spacing w:after="0"/>
        <w:tabs>
          <w:tab w:leader="none" w:pos="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Mostly changes in interest rates, except for gains of $2.8 million on the revaluation of purchased MSRs, that are reported in the Originations segment.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Multiple of average servicing fee and UPB.</w:t>
      </w:r>
    </w:p>
    <w:p>
      <w:pPr>
        <w:spacing w:after="0" w:line="82" w:lineRule="exact"/>
        <w:rPr>
          <w:sz w:val="20"/>
          <w:szCs w:val="20"/>
          <w:color w:val="auto"/>
        </w:rPr>
      </w:pPr>
    </w:p>
    <w:p>
      <w:pPr>
        <w:ind w:right="140" w:firstLine="268"/>
        <w:spacing w:after="0" w:line="298" w:lineRule="auto"/>
        <w:rPr>
          <w:sz w:val="20"/>
          <w:szCs w:val="20"/>
          <w:color w:val="auto"/>
        </w:rPr>
      </w:pPr>
      <w:r>
        <w:rPr>
          <w:rFonts w:ascii="Arial" w:cs="Arial" w:eastAsia="Arial" w:hAnsi="Arial"/>
          <w:sz w:val="13"/>
          <w:szCs w:val="13"/>
          <w:color w:val="auto"/>
        </w:rPr>
        <w:t>The $39.5 million and $11.0 million gains on the transferred MSRs not qualifying for sale accounting (transferred to NRZ and MAV) for the third quarter of 2021 and the nine months ended September 30, 2021, respectively, do not affect our net income as offset by a corresponding loss on the pledged MSR liability, reported as Pledged MSR liability expense. The factors underlying the fair value gain of the MSRs not qualifying for sale accounting are similar to our owned MSR, discussed above, including rate and assumption changes and runoff, noting the transfers of MSRs to MAV in the third quarter of 2021 which did not qualify for sale accounting and the decline in the NRZ MSR portfolio, with a $34.2 billion lower UPB due to the termination of the PMC servicing agreement by NRZ in February 2020. In addition, the $61.3 million fair value gain attributable to rates and assumptions-offset by a corresponding MSR pledged liability expense-in the third quarter of 2021 is mostly driven by assumption updates relating to a PLS model calibration by our third party valuation expert.</w:t>
      </w: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853"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20"/>
                <w:szCs w:val="20"/>
                <w:color w:val="auto"/>
              </w:rPr>
            </w:pPr>
            <w:r>
              <w:rPr>
                <w:rFonts w:ascii="Arial" w:cs="Arial" w:eastAsia="Arial" w:hAnsi="Arial"/>
                <w:sz w:val="15"/>
                <w:szCs w:val="15"/>
                <w:b w:val="1"/>
                <w:bCs w:val="1"/>
                <w:i w:val="1"/>
                <w:iCs w:val="1"/>
                <w:color w:val="auto"/>
              </w:rPr>
              <w:t>Compensation and Benefits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9"/>
        </w:trPr>
        <w:tc>
          <w:tcPr>
            <w:tcW w:w="2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Nine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1"/>
        </w:trPr>
        <w:tc>
          <w:tcPr>
            <w:tcW w:w="2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88"/>
              </w:rPr>
              <w:t>September 30, 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6"/>
              </w:rPr>
              <w:t>June 30, 2021</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88"/>
              </w:rPr>
              <w:t>September 30, 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88"/>
              </w:rPr>
              <w:t>September 30, 2020</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 Change</w:t>
            </w:r>
          </w:p>
        </w:tc>
      </w:tr>
      <w:tr>
        <w:trPr>
          <w:trHeight w:val="181"/>
        </w:trPr>
        <w:tc>
          <w:tcPr>
            <w:tcW w:w="28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26.1</w:t>
            </w:r>
          </w:p>
        </w:tc>
        <w:tc>
          <w:tcPr>
            <w:tcW w:w="1300" w:type="dxa"/>
            <w:vAlign w:val="bottom"/>
            <w:gridSpan w:val="4"/>
            <w:shd w:val="clear" w:color="auto" w:fill="CCEEFF"/>
          </w:tcPr>
          <w:p>
            <w:pPr>
              <w:ind w:left="780"/>
              <w:spacing w:after="0"/>
              <w:rPr>
                <w:sz w:val="20"/>
                <w:szCs w:val="20"/>
                <w:color w:val="auto"/>
              </w:rPr>
            </w:pPr>
            <w:r>
              <w:rPr>
                <w:rFonts w:ascii="Arial" w:cs="Arial" w:eastAsia="Arial" w:hAnsi="Arial"/>
                <w:sz w:val="15"/>
                <w:szCs w:val="15"/>
                <w:color w:val="auto"/>
              </w:rPr>
              <w:t>(9)%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94"/>
              </w:rPr>
              <w:t>(13)%</w:t>
            </w:r>
          </w:p>
        </w:tc>
      </w:tr>
      <w:tr>
        <w:trPr>
          <w:trHeight w:val="134"/>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Average Employment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2840" w:type="dxa"/>
            <w:vAlign w:val="bottom"/>
          </w:tcPr>
          <w:p>
            <w:pPr>
              <w:ind w:left="120"/>
              <w:spacing w:after="0"/>
              <w:rPr>
                <w:sz w:val="20"/>
                <w:szCs w:val="20"/>
                <w:color w:val="auto"/>
              </w:rPr>
            </w:pPr>
            <w:r>
              <w:rPr>
                <w:rFonts w:ascii="Arial" w:cs="Arial" w:eastAsia="Arial" w:hAnsi="Arial"/>
                <w:sz w:val="15"/>
                <w:szCs w:val="15"/>
                <w:color w:val="auto"/>
              </w:rPr>
              <w:t>India and other</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2,410</w:t>
            </w:r>
          </w:p>
        </w:tc>
        <w:tc>
          <w:tcPr>
            <w:tcW w:w="1100" w:type="dxa"/>
            <w:vAlign w:val="bottom"/>
            <w:gridSpan w:val="2"/>
          </w:tcPr>
          <w:p>
            <w:pPr>
              <w:ind w:left="840"/>
              <w:spacing w:after="0"/>
              <w:rPr>
                <w:sz w:val="20"/>
                <w:szCs w:val="20"/>
                <w:color w:val="auto"/>
              </w:rPr>
            </w:pPr>
            <w:r>
              <w:rPr>
                <w:rFonts w:ascii="Arial" w:cs="Arial" w:eastAsia="Arial" w:hAnsi="Arial"/>
                <w:sz w:val="15"/>
                <w:szCs w:val="15"/>
                <w:color w:val="auto"/>
                <w:w w:val="92"/>
              </w:rPr>
              <w:t>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2,968</w:t>
            </w:r>
          </w:p>
        </w:tc>
        <w:tc>
          <w:tcPr>
            <w:tcW w:w="1080" w:type="dxa"/>
            <w:vAlign w:val="bottom"/>
            <w:gridSpan w:val="2"/>
          </w:tcPr>
          <w:p>
            <w:pPr>
              <w:ind w:left="680"/>
              <w:spacing w:after="0"/>
              <w:rPr>
                <w:sz w:val="20"/>
                <w:szCs w:val="20"/>
                <w:color w:val="auto"/>
              </w:rPr>
            </w:pPr>
            <w:r>
              <w:rPr>
                <w:rFonts w:ascii="Arial" w:cs="Arial" w:eastAsia="Arial" w:hAnsi="Arial"/>
                <w:sz w:val="15"/>
                <w:szCs w:val="15"/>
                <w:color w:val="auto"/>
              </w:rPr>
              <w:t>(18)</w:t>
            </w:r>
          </w:p>
        </w:tc>
      </w:tr>
      <w:tr>
        <w:trPr>
          <w:trHeight w:val="189"/>
        </w:trPr>
        <w:tc>
          <w:tcPr>
            <w:tcW w:w="2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U.S.</w:t>
            </w: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(11)</w:t>
            </w:r>
          </w:p>
        </w:tc>
      </w:tr>
      <w:tr>
        <w:trPr>
          <w:trHeight w:val="181"/>
        </w:trPr>
        <w:tc>
          <w:tcPr>
            <w:tcW w:w="2840" w:type="dxa"/>
            <w:vAlign w:val="bottom"/>
          </w:tcPr>
          <w:p>
            <w:pPr>
              <w:ind w:left="200"/>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3,053</w:t>
            </w:r>
          </w:p>
        </w:tc>
        <w:tc>
          <w:tcPr>
            <w:tcW w:w="1100" w:type="dxa"/>
            <w:vAlign w:val="bottom"/>
            <w:gridSpan w:val="2"/>
          </w:tcPr>
          <w:p>
            <w:pPr>
              <w:ind w:left="84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3,704</w:t>
            </w:r>
          </w:p>
        </w:tc>
        <w:tc>
          <w:tcPr>
            <w:tcW w:w="1080" w:type="dxa"/>
            <w:vAlign w:val="bottom"/>
            <w:gridSpan w:val="2"/>
          </w:tcPr>
          <w:p>
            <w:pPr>
              <w:ind w:left="680"/>
              <w:spacing w:after="0"/>
              <w:rPr>
                <w:sz w:val="20"/>
                <w:szCs w:val="20"/>
                <w:color w:val="auto"/>
              </w:rPr>
            </w:pPr>
            <w:r>
              <w:rPr>
                <w:rFonts w:ascii="Arial" w:cs="Arial" w:eastAsia="Arial" w:hAnsi="Arial"/>
                <w:sz w:val="15"/>
                <w:szCs w:val="15"/>
                <w:color w:val="auto"/>
              </w:rPr>
              <w:t>(17)</w:t>
            </w: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right="60" w:firstLine="268"/>
        <w:spacing w:after="0" w:line="259" w:lineRule="auto"/>
        <w:rPr>
          <w:sz w:val="20"/>
          <w:szCs w:val="20"/>
          <w:color w:val="auto"/>
        </w:rPr>
      </w:pPr>
      <w:r>
        <w:rPr>
          <w:rFonts w:ascii="Arial" w:cs="Arial" w:eastAsia="Arial" w:hAnsi="Arial"/>
          <w:sz w:val="15"/>
          <w:szCs w:val="15"/>
          <w:color w:val="auto"/>
        </w:rPr>
        <w:t>Compensation and benefits expense for the third quarter of 2021 declined $2.3 million, or 9%, as compared to the second quarter of 2021. Salaries and benefit expenses decreased $1.7 million, primarily due to a reduction in COVID-19 related benefits, and incentive compensation decreased $0.7 million mostly due to a decrease in the fair value of cash-settled share-based awards as a result of the decrease in our common stock price during the quarter.</w:t>
      </w:r>
    </w:p>
    <w:p>
      <w:pPr>
        <w:spacing w:after="0" w:line="66" w:lineRule="exact"/>
        <w:rPr>
          <w:sz w:val="20"/>
          <w:szCs w:val="20"/>
          <w:color w:val="auto"/>
        </w:rPr>
      </w:pPr>
    </w:p>
    <w:p>
      <w:pPr>
        <w:ind w:right="100" w:firstLine="268"/>
        <w:spacing w:after="0" w:line="253" w:lineRule="auto"/>
        <w:rPr>
          <w:sz w:val="20"/>
          <w:szCs w:val="20"/>
          <w:color w:val="auto"/>
        </w:rPr>
      </w:pPr>
      <w:r>
        <w:rPr>
          <w:rFonts w:ascii="Arial" w:cs="Arial" w:eastAsia="Arial" w:hAnsi="Arial"/>
          <w:sz w:val="15"/>
          <w:szCs w:val="15"/>
          <w:color w:val="auto"/>
        </w:rPr>
        <w:t>Compensation and benefits expense for the nine months ended September 30, 2021 declined $10.8 million, or 13%, as compared to the nine months ended September 30, 2020, primarily due to an $8.7 million decrease in salaries and benefit expenses as a result of the 17% decline in our average servicing headcount. A $1.4 million decrease in commissions and incentive compensation also contributed to the decline in Compensation and benefits. The decline in servicing headcount reflects the scaling down of our platform to the number of loans being serviced and our cost re-engineering initiatives. During the nine months ended September 30, 2021, we serviced 13% fewer loans, on average, as compared to the nine months ended September 30, 2020.</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Expense</w:t>
      </w:r>
    </w:p>
    <w:p>
      <w:pPr>
        <w:spacing w:after="0" w:line="95" w:lineRule="exact"/>
        <w:rPr>
          <w:sz w:val="20"/>
          <w:szCs w:val="20"/>
          <w:color w:val="auto"/>
        </w:rPr>
      </w:pPr>
    </w:p>
    <w:p>
      <w:pPr>
        <w:jc w:val="both"/>
        <w:ind w:right="80" w:firstLine="268"/>
        <w:spacing w:after="0" w:line="259" w:lineRule="auto"/>
        <w:rPr>
          <w:sz w:val="20"/>
          <w:szCs w:val="20"/>
          <w:color w:val="auto"/>
        </w:rPr>
      </w:pPr>
      <w:r>
        <w:rPr>
          <w:rFonts w:ascii="Arial" w:cs="Arial" w:eastAsia="Arial" w:hAnsi="Arial"/>
          <w:sz w:val="15"/>
          <w:szCs w:val="15"/>
          <w:color w:val="auto"/>
        </w:rPr>
        <w:t>Servicing expense primarily includes claim losses and interest curtailments on government-insured loans, provision expense for advances and servicing representation and warranties, and certain loan-volume related expenses. Servicing expense increased in the third quarter of 2021 by $1.5 million, or 6%, as compared to the second quarter of 2021, primarily due to $2.5 million of interim subservicing expenses on MSR bulk acquisitions.</w:t>
      </w:r>
    </w:p>
    <w:p>
      <w:pPr>
        <w:spacing w:after="0" w:line="66" w:lineRule="exact"/>
        <w:rPr>
          <w:sz w:val="20"/>
          <w:szCs w:val="20"/>
          <w:color w:val="auto"/>
        </w:rPr>
      </w:pPr>
    </w:p>
    <w:p>
      <w:pPr>
        <w:ind w:right="340" w:firstLine="268"/>
        <w:spacing w:after="0" w:line="301" w:lineRule="auto"/>
        <w:rPr>
          <w:sz w:val="20"/>
          <w:szCs w:val="20"/>
          <w:color w:val="auto"/>
        </w:rPr>
      </w:pPr>
      <w:r>
        <w:rPr>
          <w:rFonts w:ascii="Arial" w:cs="Arial" w:eastAsia="Arial" w:hAnsi="Arial"/>
          <w:sz w:val="13"/>
          <w:szCs w:val="13"/>
          <w:color w:val="auto"/>
        </w:rPr>
        <w:t>Servicing expense for the nine months ended September 30, 2021 increased $17.4 million, or 32%, as compared to the nine months ended September 30, 2020, primarily due to an $11.8 million increase in provision expense for servicing related reserves driven by improved recoveries during the nine months ended September 30, 2020, a $4.5 million increase in interim subservicing expense on MSR bulk acquisitions, a $2.6 million increase in our subservicer expenses primarily attributable to growth in the reverse portfolio, and a $2.2 million increase in satisfaction and interest payoff expense attributed to higher payoff volume. These increases were partially offset by a $5.9 million decrease in provisions associated with the volume of government-insured claim receivables due to the foreclosure moratorium during the nine months ended September 30, 2021.</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84" w:lineRule="exact"/>
        <w:rPr>
          <w:sz w:val="20"/>
          <w:szCs w:val="20"/>
          <w:color w:val="auto"/>
        </w:rPr>
      </w:pPr>
    </w:p>
    <w:p>
      <w:pPr>
        <w:ind w:right="20" w:firstLine="268"/>
        <w:spacing w:after="0" w:line="281" w:lineRule="auto"/>
        <w:rPr>
          <w:sz w:val="20"/>
          <w:szCs w:val="20"/>
          <w:color w:val="auto"/>
        </w:rPr>
      </w:pPr>
      <w:r>
        <w:rPr>
          <w:rFonts w:ascii="Arial" w:cs="Arial" w:eastAsia="Arial" w:hAnsi="Arial"/>
          <w:sz w:val="13"/>
          <w:szCs w:val="13"/>
          <w:color w:val="auto"/>
        </w:rPr>
        <w:t>Other operating expenses (total operating expenses less compensation and benefit expense and servicer expense) remained mostly constant during the third quarter of 2021 as compared to the second quarter of 2021, with the exception of a $3.6 million decline in Professional services expense. The decline in Professional services expense is mostly driven by a $3.9 million decrease in legal expenses in the third quarter of 2021 that was primarily due to a higher provision expense in the second quarter associated with a larger volume of settlements.</w:t>
      </w:r>
    </w:p>
    <w:p>
      <w:pPr>
        <w:spacing w:after="0" w:line="43" w:lineRule="exact"/>
        <w:rPr>
          <w:sz w:val="20"/>
          <w:szCs w:val="20"/>
          <w:color w:val="auto"/>
        </w:rPr>
      </w:pPr>
    </w:p>
    <w:p>
      <w:pPr>
        <w:ind w:right="20" w:firstLine="268"/>
        <w:spacing w:after="0" w:line="294" w:lineRule="auto"/>
        <w:rPr>
          <w:sz w:val="20"/>
          <w:szCs w:val="20"/>
          <w:color w:val="auto"/>
        </w:rPr>
      </w:pPr>
      <w:r>
        <w:rPr>
          <w:rFonts w:ascii="Arial" w:cs="Arial" w:eastAsia="Arial" w:hAnsi="Arial"/>
          <w:sz w:val="13"/>
          <w:szCs w:val="13"/>
          <w:color w:val="auto"/>
        </w:rPr>
        <w:t>Other operating expenses decreased by $15.0 million in the nine months ended September 30, 2021 as compared to the nine months ended September 30, 2020, in large part due to the effect of cost saving initiatives with an $11.8 million reduction of Corporate overhead allocations attributable to the decline in support group operating expenses, including technology savings, and the lower relative weight of Servicing headcount to the consolidated organization (due to growth of the Originations segment). Occupancy and equipment expense decreased $5.5 million primarily due to a $3.7 million decrease resulting from a reduction in servicing headcount and office space (and thus lower allocations from the Corporate segment) and a $1.9 million decrease in postage and mailing expenses mostly as a result of the decline in letter volume attributed to COVID-19, timing of mailings and the decline in the average number of loans serviced. Technology and communications expense declined $3.0 million primarily due to cost savings associated with the implementation of data solutions as well as consolidation of telecommunication vendors in the second quarter of 2020. These declines in expenses were partially offset by a $4.4 million increase in Professional services, primarily due to $6.4 million higher legal expenses, offset by $2.1 million lower other professional services fee mostly as a result of lower COVID-19 related outsourcing expenses. The increase in legal expenses is due to a higher provision for litigation settlements in the nine months ended September 30, 2021 and a provision reversal during the nine months ended September 30, 2020.</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20"/>
                <w:szCs w:val="20"/>
                <w:color w:val="auto"/>
              </w:rPr>
            </w:pPr>
            <w:r>
              <w:rPr>
                <w:rFonts w:ascii="Arial" w:cs="Arial" w:eastAsia="Arial" w:hAnsi="Arial"/>
                <w:sz w:val="15"/>
                <w:szCs w:val="15"/>
                <w:b w:val="1"/>
                <w:bCs w:val="1"/>
                <w:i w:val="1"/>
                <w:iCs w:val="1"/>
                <w:color w:val="auto"/>
              </w:rPr>
              <w:t>Other Income (Expense)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8"/>
        </w:trPr>
        <w:tc>
          <w:tcPr>
            <w:tcW w:w="7000" w:type="dxa"/>
            <w:vAlign w:val="bottom"/>
            <w:gridSpan w:val="9"/>
          </w:tcPr>
          <w:p>
            <w:pPr>
              <w:ind w:left="280"/>
              <w:spacing w:after="0"/>
              <w:rPr>
                <w:sz w:val="20"/>
                <w:szCs w:val="20"/>
                <w:color w:val="auto"/>
              </w:rPr>
            </w:pPr>
            <w:r>
              <w:rPr>
                <w:rFonts w:ascii="Arial" w:cs="Arial" w:eastAsia="Arial" w:hAnsi="Arial"/>
                <w:sz w:val="15"/>
                <w:szCs w:val="15"/>
                <w:color w:val="auto"/>
                <w:w w:val="98"/>
              </w:rPr>
              <w:t>Other income (expense) includes primarily net interest expense and the pledged MSR liability expense.</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24"/>
        </w:trPr>
        <w:tc>
          <w:tcPr>
            <w:tcW w:w="2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6"/>
                <w:szCs w:val="16"/>
                <w:color w:val="auto"/>
              </w:rPr>
            </w:pPr>
          </w:p>
        </w:tc>
        <w:tc>
          <w:tcPr>
            <w:tcW w:w="1160" w:type="dxa"/>
            <w:vAlign w:val="bottom"/>
          </w:tcPr>
          <w:p>
            <w:pPr>
              <w:jc w:val="right"/>
              <w:ind w:right="38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300" w:type="dxa"/>
            <w:vAlign w:val="bottom"/>
          </w:tcPr>
          <w:p>
            <w:pPr>
              <w:jc w:val="right"/>
              <w:ind w:right="226"/>
              <w:spacing w:after="0"/>
              <w:rPr>
                <w:sz w:val="20"/>
                <w:szCs w:val="20"/>
                <w:color w:val="auto"/>
              </w:rPr>
            </w:pPr>
            <w:r>
              <w:rPr>
                <w:rFonts w:ascii="Arial" w:cs="Arial" w:eastAsia="Arial" w:hAnsi="Arial"/>
                <w:sz w:val="15"/>
                <w:szCs w:val="15"/>
                <w:b w:val="1"/>
                <w:bCs w:val="1"/>
                <w:color w:val="auto"/>
                <w:w w:val="95"/>
              </w:rPr>
              <w:t>September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2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Interest Expense</w:t>
            </w: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5"/>
                <w:szCs w:val="15"/>
                <w:color w:val="auto"/>
              </w:rPr>
              <w:t>Advance match funded liabilities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4.3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19.5</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(41)%</w:t>
            </w:r>
          </w:p>
        </w:tc>
      </w:tr>
      <w:tr>
        <w:trPr>
          <w:trHeight w:val="190"/>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Mortgage loan warehouse facilities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53 %</w:t>
            </w:r>
          </w:p>
        </w:tc>
      </w:tr>
      <w:tr>
        <w:trPr>
          <w:trHeight w:val="189"/>
        </w:trPr>
        <w:tc>
          <w:tcPr>
            <w:tcW w:w="2780" w:type="dxa"/>
            <w:vAlign w:val="bottom"/>
          </w:tcPr>
          <w:p>
            <w:pPr>
              <w:ind w:left="120"/>
              <w:spacing w:after="0"/>
              <w:rPr>
                <w:sz w:val="20"/>
                <w:szCs w:val="20"/>
                <w:color w:val="auto"/>
              </w:rPr>
            </w:pPr>
            <w:r>
              <w:rPr>
                <w:rFonts w:ascii="Arial" w:cs="Arial" w:eastAsia="Arial" w:hAnsi="Arial"/>
                <w:sz w:val="15"/>
                <w:szCs w:val="15"/>
                <w:color w:val="auto"/>
              </w:rPr>
              <w:t>MSR financing facilities</w:t>
            </w: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4.8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81 %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12.7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42 %</w:t>
            </w:r>
          </w:p>
        </w:tc>
      </w:tr>
      <w:tr>
        <w:trPr>
          <w:trHeight w:val="190"/>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Corporate debt interest expense allocation</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11.4</w:t>
            </w:r>
          </w:p>
        </w:tc>
        <w:tc>
          <w:tcPr>
            <w:tcW w:w="10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28.8</w:t>
            </w:r>
          </w:p>
        </w:tc>
        <w:tc>
          <w:tcPr>
            <w:tcW w:w="10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13</w:t>
            </w:r>
          </w:p>
        </w:tc>
      </w:tr>
      <w:tr>
        <w:trPr>
          <w:trHeight w:val="189"/>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Escrow and other</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4.9</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(7)</w:t>
            </w:r>
          </w:p>
        </w:tc>
      </w:tr>
      <w:tr>
        <w:trPr>
          <w:trHeight w:val="206"/>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interest expense</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69.8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76"/>
        </w:trPr>
        <w:tc>
          <w:tcPr>
            <w:tcW w:w="2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9"/>
        </w:trPr>
        <w:tc>
          <w:tcPr>
            <w:tcW w:w="27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Average balances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5"/>
                <w:szCs w:val="15"/>
                <w:color w:val="auto"/>
              </w:rPr>
              <w:t>Average balance of advances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737.1</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757.3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755.6</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924.2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(18)%</w:t>
            </w:r>
          </w:p>
        </w:tc>
      </w:tr>
      <w:tr>
        <w:trPr>
          <w:trHeight w:val="190"/>
        </w:trPr>
        <w:tc>
          <w:tcPr>
            <w:tcW w:w="27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Advance match funded liabilities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496.5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502.3</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626.8</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(18)</w:t>
            </w:r>
          </w:p>
        </w:tc>
      </w:tr>
      <w:tr>
        <w:trPr>
          <w:trHeight w:val="189"/>
        </w:trPr>
        <w:tc>
          <w:tcPr>
            <w:tcW w:w="2780" w:type="dxa"/>
            <w:vAlign w:val="bottom"/>
          </w:tcPr>
          <w:p>
            <w:pPr>
              <w:ind w:left="100"/>
              <w:spacing w:after="0"/>
              <w:rPr>
                <w:sz w:val="20"/>
                <w:szCs w:val="20"/>
                <w:color w:val="auto"/>
              </w:rPr>
            </w:pPr>
            <w:r>
              <w:rPr>
                <w:rFonts w:ascii="Arial" w:cs="Arial" w:eastAsia="Arial" w:hAnsi="Arial"/>
                <w:sz w:val="15"/>
                <w:szCs w:val="15"/>
                <w:color w:val="auto"/>
              </w:rPr>
              <w:t>Mortgage loan warehouse facilities</w:t>
            </w: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373.5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203.4</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111.7</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120</w:t>
            </w:r>
          </w:p>
        </w:tc>
      </w:tr>
      <w:tr>
        <w:trPr>
          <w:trHeight w:val="190"/>
        </w:trPr>
        <w:tc>
          <w:tcPr>
            <w:tcW w:w="27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financing facilities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996.7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476.6</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316.6</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99</w:t>
            </w:r>
          </w:p>
        </w:tc>
      </w:tr>
      <w:tr>
        <w:trPr>
          <w:trHeight w:val="134"/>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9"/>
        </w:trPr>
        <w:tc>
          <w:tcPr>
            <w:tcW w:w="27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Effective average interest rate</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5"/>
                <w:szCs w:val="15"/>
                <w:color w:val="auto"/>
              </w:rPr>
              <w:t>Advance match funded liabilities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3.40 %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4.16 %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190"/>
        </w:trPr>
        <w:tc>
          <w:tcPr>
            <w:tcW w:w="27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Mortgage loan warehouse facilities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89"/>
        </w:trPr>
        <w:tc>
          <w:tcPr>
            <w:tcW w:w="2780" w:type="dxa"/>
            <w:vAlign w:val="bottom"/>
          </w:tcPr>
          <w:p>
            <w:pPr>
              <w:ind w:left="100"/>
              <w:spacing w:after="0"/>
              <w:rPr>
                <w:sz w:val="20"/>
                <w:szCs w:val="20"/>
                <w:color w:val="auto"/>
              </w:rPr>
            </w:pPr>
            <w:r>
              <w:rPr>
                <w:rFonts w:ascii="Arial" w:cs="Arial" w:eastAsia="Arial" w:hAnsi="Arial"/>
                <w:sz w:val="15"/>
                <w:szCs w:val="15"/>
                <w:color w:val="auto"/>
              </w:rPr>
              <w:t>MSR financing facilities</w:t>
            </w: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3.99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5.33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190"/>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Facility costs included in interest expense</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89"/>
        </w:trPr>
        <w:tc>
          <w:tcPr>
            <w:tcW w:w="2780" w:type="dxa"/>
            <w:vAlign w:val="bottom"/>
          </w:tcPr>
          <w:p>
            <w:pPr>
              <w:ind w:left="20"/>
              <w:spacing w:after="0"/>
              <w:rPr>
                <w:sz w:val="20"/>
                <w:szCs w:val="20"/>
                <w:color w:val="auto"/>
              </w:rPr>
            </w:pPr>
            <w:r>
              <w:rPr>
                <w:rFonts w:ascii="Arial" w:cs="Arial" w:eastAsia="Arial" w:hAnsi="Arial"/>
                <w:sz w:val="15"/>
                <w:szCs w:val="15"/>
                <w:color w:val="auto"/>
              </w:rPr>
              <w:t>Average 1ML</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0.09 %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0.10 %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0.65 %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(84)%</w:t>
            </w:r>
          </w:p>
        </w:tc>
      </w:tr>
    </w:tbl>
    <w:p>
      <w:pPr>
        <w:spacing w:after="0" w:line="157" w:lineRule="exact"/>
        <w:rPr>
          <w:sz w:val="20"/>
          <w:szCs w:val="20"/>
          <w:color w:val="auto"/>
        </w:rPr>
      </w:pPr>
    </w:p>
    <w:p>
      <w:pPr>
        <w:jc w:val="both"/>
        <w:ind w:right="80" w:firstLine="268"/>
        <w:spacing w:after="0" w:line="286" w:lineRule="auto"/>
        <w:rPr>
          <w:sz w:val="20"/>
          <w:szCs w:val="20"/>
          <w:color w:val="auto"/>
        </w:rPr>
      </w:pPr>
      <w:r>
        <w:rPr>
          <w:rFonts w:ascii="Arial" w:cs="Arial" w:eastAsia="Arial" w:hAnsi="Arial"/>
          <w:sz w:val="14"/>
          <w:szCs w:val="14"/>
          <w:color w:val="auto"/>
        </w:rPr>
        <w:t>Interest expense for the third quarter of 2021 increased by $5.7 million, or 24%, as compared to the second quarter of 2021, primarily due to a $3.8 million increase in interest expense on MSR financing facilities and a $1.8 million increase in the corporate debt interest expense allocation, both associated with a larger owned MSR portfolio partially offset by a decline in the average funding cost. Interest expense on advance match funded facilities declined $1.5 million primarily due to lower average funding cost.</w:t>
      </w:r>
    </w:p>
    <w:p>
      <w:pPr>
        <w:spacing w:after="0" w:line="49" w:lineRule="exact"/>
        <w:rPr>
          <w:sz w:val="20"/>
          <w:szCs w:val="20"/>
          <w:color w:val="auto"/>
        </w:rPr>
      </w:pPr>
    </w:p>
    <w:p>
      <w:pPr>
        <w:ind w:firstLine="268"/>
        <w:spacing w:after="0" w:line="279" w:lineRule="auto"/>
        <w:rPr>
          <w:sz w:val="20"/>
          <w:szCs w:val="20"/>
          <w:color w:val="auto"/>
        </w:rPr>
      </w:pPr>
      <w:r>
        <w:rPr>
          <w:rFonts w:ascii="Arial" w:cs="Arial" w:eastAsia="Arial" w:hAnsi="Arial"/>
          <w:sz w:val="14"/>
          <w:szCs w:val="14"/>
          <w:color w:val="auto"/>
        </w:rPr>
        <w:t>As compared to the nine months ended September 30, 2020, interest expense for the nine months ended September 30, 2021 increased $2.8 million, or 4%, due to a $5.2 million increase in interest expense on MSR financing facilities, a $3.8 million increase in the corporate debt interest expense allocation and a $2.1 million increase mortgage loan warehouse facilities, mostly the result of larger MSR and Loans held for sale portfolio, partially offset by lower funding costs. These increases in interest expense were offset by an $7.9 million decline in interest expense on advance match funded facilities as the average balances of advances and borrowings and funding cost were all lower.</w:t>
      </w:r>
    </w:p>
    <w:p>
      <w:pPr>
        <w:spacing w:after="0" w:line="54" w:lineRule="exact"/>
        <w:rPr>
          <w:sz w:val="20"/>
          <w:szCs w:val="20"/>
          <w:color w:val="auto"/>
        </w:rPr>
      </w:pPr>
    </w:p>
    <w:p>
      <w:pPr>
        <w:jc w:val="both"/>
        <w:ind w:right="140" w:firstLine="268"/>
        <w:spacing w:after="0" w:line="259" w:lineRule="auto"/>
        <w:rPr>
          <w:sz w:val="20"/>
          <w:szCs w:val="20"/>
          <w:color w:val="auto"/>
        </w:rPr>
      </w:pPr>
      <w:r>
        <w:rPr>
          <w:rFonts w:ascii="Arial" w:cs="Arial" w:eastAsia="Arial" w:hAnsi="Arial"/>
          <w:sz w:val="15"/>
          <w:szCs w:val="15"/>
          <w:color w:val="auto"/>
        </w:rPr>
        <w:t>Pledged MSR liability expense relates to the MSR transfers that do not qualify for sale accounting and are presented on a gross basis in our financial statements. See Note 8 — MSR Transfers Not Qualifying for Sale Accounting to the Unaudited Consolidated Financial Statements. Pledged MSR liability expense includes the servicing fee remittance for these transfers and the fair value changes of the pledged MSR liability.</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78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26"/>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September 30, 2021</w:t>
            </w:r>
          </w:p>
        </w:tc>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w w:val="99"/>
              </w:rPr>
              <w:t>September 30, 2020</w:t>
            </w:r>
          </w:p>
        </w:tc>
        <w:tc>
          <w:tcPr>
            <w:tcW w:w="120" w:type="dxa"/>
            <w:vAlign w:val="bottom"/>
          </w:tcPr>
          <w:p>
            <w:pPr>
              <w:spacing w:after="0"/>
              <w:rPr>
                <w:sz w:val="24"/>
                <w:szCs w:val="24"/>
                <w:color w:val="auto"/>
              </w:rPr>
            </w:pPr>
          </w:p>
        </w:tc>
        <w:tc>
          <w:tcPr>
            <w:tcW w:w="760" w:type="dxa"/>
            <w:vAlign w:val="bottom"/>
          </w:tcPr>
          <w:p>
            <w:pPr>
              <w:jc w:val="right"/>
              <w:ind w:right="66"/>
              <w:spacing w:after="0"/>
              <w:rPr>
                <w:sz w:val="20"/>
                <w:szCs w:val="20"/>
                <w:color w:val="auto"/>
              </w:rPr>
            </w:pPr>
            <w:r>
              <w:rPr>
                <w:rFonts w:ascii="Arial" w:cs="Arial" w:eastAsia="Arial" w:hAnsi="Arial"/>
                <w:sz w:val="15"/>
                <w:szCs w:val="15"/>
                <w:b w:val="1"/>
                <w:bCs w:val="1"/>
                <w:color w:val="auto"/>
                <w:w w:val="88"/>
              </w:rPr>
              <w:t>$ Change</w:t>
            </w:r>
          </w:p>
        </w:tc>
      </w:tr>
      <w:tr>
        <w:trPr>
          <w:trHeight w:val="181"/>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servicing fee remittance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218.6</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Pledged MSR liability fair value (gain) loss (2)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82.2</w:t>
            </w:r>
          </w:p>
        </w:tc>
      </w:tr>
      <w:tr>
        <w:trPr>
          <w:trHeight w:val="190"/>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2017/2018 lump sum amortization gain</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206"/>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Pledged MSR liability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80" w:hanging="271"/>
        <w:spacing w:after="0"/>
        <w:tabs>
          <w:tab w:leader="none" w:pos="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Offset by corresponding amount recorded in Servicing and subservicing fee. See table below.</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Offset by corresponding amount recorded in MSR valuation adjustments, net. See table below.</w:t>
      </w:r>
    </w:p>
    <w:p>
      <w:pPr>
        <w:spacing w:after="0" w:line="82" w:lineRule="exact"/>
        <w:rPr>
          <w:sz w:val="20"/>
          <w:szCs w:val="20"/>
          <w:color w:val="auto"/>
        </w:rPr>
      </w:pPr>
    </w:p>
    <w:p>
      <w:pPr>
        <w:ind w:right="120" w:firstLine="268"/>
        <w:spacing w:after="0" w:line="306" w:lineRule="auto"/>
        <w:rPr>
          <w:sz w:val="20"/>
          <w:szCs w:val="20"/>
          <w:color w:val="auto"/>
        </w:rPr>
      </w:pPr>
      <w:r>
        <w:rPr>
          <w:rFonts w:ascii="Arial" w:cs="Arial" w:eastAsia="Arial" w:hAnsi="Arial"/>
          <w:sz w:val="14"/>
          <w:szCs w:val="14"/>
          <w:color w:val="auto"/>
        </w:rPr>
        <w:t>Pledged MSR liability expense for the third quarter of 2021 increased $51.3 million, as compared to the second quarter of 2021, largely due to unfavorable fair value adjustment of the liability, driven by interest rates. Refer to the above discussions of MSR valuation adjustments, net (Pledged MSR) and Servicing and subservicing fees (NRZ and MAV).</w:t>
      </w:r>
    </w:p>
    <w:p>
      <w:pPr>
        <w:spacing w:after="0" w:line="35" w:lineRule="exact"/>
        <w:rPr>
          <w:sz w:val="20"/>
          <w:szCs w:val="20"/>
          <w:color w:val="auto"/>
        </w:rPr>
      </w:pPr>
    </w:p>
    <w:p>
      <w:pPr>
        <w:ind w:right="40" w:firstLine="268"/>
        <w:spacing w:after="0" w:line="276" w:lineRule="auto"/>
        <w:rPr>
          <w:sz w:val="20"/>
          <w:szCs w:val="20"/>
          <w:color w:val="auto"/>
        </w:rPr>
      </w:pPr>
      <w:r>
        <w:rPr>
          <w:rFonts w:ascii="Arial" w:cs="Arial" w:eastAsia="Arial" w:hAnsi="Arial"/>
          <w:sz w:val="14"/>
          <w:szCs w:val="14"/>
          <w:color w:val="auto"/>
        </w:rPr>
        <w:t>Pledged MSR liability expense for the nine months ended September 30, 2021 increased $63.1 million, as compared to the nine months ended September 30, 2020, primarily due to a $82.2 million unfavorable fair value change on the Pledged MSR liability, driven by interest rates. In addition, we recognized a $34.2 million amortization gain recorded in the nine months ended September 30, 2020, nil in 2021, related to the lump-sum cash payments received from NRZ in 2017 and 2018. These increases in the expense were partially offset by a $52.6 million decline in net servicing fee remittance, driven by the runoff of the portfolio and the termination of the PMC agreement by NRZ in February 2020. Refer to the above discussions of MSR valuation adjustments, net (Pledged MSR to NRZ) and Servicing and subservicing fees (NRZ).</w:t>
      </w:r>
    </w:p>
    <w:p>
      <w:pPr>
        <w:spacing w:after="0" w:line="55" w:lineRule="exact"/>
        <w:rPr>
          <w:sz w:val="20"/>
          <w:szCs w:val="20"/>
          <w:color w:val="auto"/>
        </w:rPr>
      </w:pPr>
    </w:p>
    <w:p>
      <w:pPr>
        <w:ind w:right="200" w:firstLine="268"/>
        <w:spacing w:after="0" w:line="272" w:lineRule="auto"/>
        <w:rPr>
          <w:sz w:val="20"/>
          <w:szCs w:val="20"/>
          <w:color w:val="auto"/>
        </w:rPr>
      </w:pPr>
      <w:r>
        <w:rPr>
          <w:rFonts w:ascii="Arial" w:cs="Arial" w:eastAsia="Arial" w:hAnsi="Arial"/>
          <w:sz w:val="14"/>
          <w:szCs w:val="14"/>
          <w:color w:val="auto"/>
        </w:rPr>
        <w:t>The table below reflects the condensed consolidated statement of operations together with the amounts related to the pledged MSRs that largely offset each other. The table provides information related to the impact of the accounting for the MSR transfers that did not qualify for sale accounting treatment, and is not intended to reflect the profitability of these MSR transfers.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largely offset by the changes in fair value of the MSRs pledged, presented in MSR valuation adjustments, net. The net revaluation impact in the third quarter of 2021 relates to the MAV transactions - Refer to Note 8 — MSR Transfers Not Qualifying for Sale Accounting. Until the second quarter of 2020, only the NRZ lump sum amortization gain and the amount reported in “Other” in the table above affected our net earnings.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4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5"/>
                <w:szCs w:val="15"/>
                <w:color w:val="auto"/>
              </w:rPr>
            </w:pPr>
          </w:p>
        </w:tc>
        <w:tc>
          <w:tcPr>
            <w:tcW w:w="2340" w:type="dxa"/>
            <w:vAlign w:val="bottom"/>
            <w:gridSpan w:val="5"/>
          </w:tcPr>
          <w:p>
            <w:pPr>
              <w:ind w:left="62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15"/>
                <w:szCs w:val="15"/>
                <w:color w:val="auto"/>
              </w:rPr>
            </w:pPr>
          </w:p>
        </w:tc>
        <w:tc>
          <w:tcPr>
            <w:tcW w:w="2340" w:type="dxa"/>
            <w:vAlign w:val="bottom"/>
            <w:gridSpan w:val="5"/>
          </w:tcPr>
          <w:p>
            <w:pPr>
              <w:ind w:left="44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5"/>
                <w:szCs w:val="15"/>
                <w:color w:val="auto"/>
              </w:rPr>
            </w:pPr>
          </w:p>
        </w:tc>
        <w:tc>
          <w:tcPr>
            <w:tcW w:w="2280" w:type="dxa"/>
            <w:vAlign w:val="bottom"/>
            <w:gridSpan w:val="4"/>
          </w:tcPr>
          <w:p>
            <w:pPr>
              <w:jc w:val="right"/>
              <w:ind w:right="506"/>
              <w:spacing w:after="0"/>
              <w:rPr>
                <w:sz w:val="20"/>
                <w:szCs w:val="20"/>
                <w:color w:val="auto"/>
              </w:rPr>
            </w:pPr>
            <w:r>
              <w:rPr>
                <w:rFonts w:ascii="Arial" w:cs="Arial" w:eastAsia="Arial" w:hAnsi="Arial"/>
                <w:sz w:val="15"/>
                <w:szCs w:val="15"/>
                <w:b w:val="1"/>
                <w:bCs w:val="1"/>
                <w:color w:val="auto"/>
              </w:rPr>
              <w:t>September 30, 2020</w:t>
            </w: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6" w:lineRule="exact"/>
              <w:rPr>
                <w:sz w:val="20"/>
                <w:szCs w:val="20"/>
                <w:color w:val="auto"/>
              </w:rPr>
            </w:pPr>
            <w:r>
              <w:rPr>
                <w:rFonts w:ascii="Arial" w:cs="Arial" w:eastAsia="Arial" w:hAnsi="Arial"/>
                <w:sz w:val="15"/>
                <w:szCs w:val="15"/>
                <w:b w:val="1"/>
                <w:bCs w:val="1"/>
                <w:color w:val="auto"/>
                <w:w w:val="88"/>
              </w:rPr>
              <w:t>Statement of</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6"/>
              <w:spacing w:after="0" w:line="136" w:lineRule="exact"/>
              <w:rPr>
                <w:sz w:val="20"/>
                <w:szCs w:val="20"/>
                <w:color w:val="auto"/>
              </w:rPr>
            </w:pPr>
            <w:r>
              <w:rPr>
                <w:rFonts w:ascii="Arial" w:cs="Arial" w:eastAsia="Arial" w:hAnsi="Arial"/>
                <w:sz w:val="15"/>
                <w:szCs w:val="15"/>
                <w:b w:val="1"/>
                <w:bCs w:val="1"/>
                <w:color w:val="auto"/>
                <w:w w:val="91"/>
              </w:rPr>
              <w:t>Pledged MSR-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40"/>
              <w:spacing w:after="0" w:line="136" w:lineRule="exact"/>
              <w:rPr>
                <w:sz w:val="20"/>
                <w:szCs w:val="20"/>
                <w:color w:val="auto"/>
              </w:rPr>
            </w:pPr>
            <w:r>
              <w:rPr>
                <w:rFonts w:ascii="Arial" w:cs="Arial" w:eastAsia="Arial" w:hAnsi="Arial"/>
                <w:sz w:val="15"/>
                <w:szCs w:val="15"/>
                <w:b w:val="1"/>
                <w:bCs w:val="1"/>
                <w:color w:val="auto"/>
              </w:rPr>
              <w:t>Statement of</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6"/>
              <w:spacing w:after="0" w:line="136" w:lineRule="exact"/>
              <w:rPr>
                <w:sz w:val="20"/>
                <w:szCs w:val="20"/>
                <w:color w:val="auto"/>
              </w:rPr>
            </w:pPr>
            <w:r>
              <w:rPr>
                <w:rFonts w:ascii="Arial" w:cs="Arial" w:eastAsia="Arial" w:hAnsi="Arial"/>
                <w:sz w:val="15"/>
                <w:szCs w:val="15"/>
                <w:b w:val="1"/>
                <w:bCs w:val="1"/>
                <w:color w:val="auto"/>
                <w:w w:val="91"/>
              </w:rPr>
              <w:t>Pledged MSR-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6" w:lineRule="exact"/>
              <w:rPr>
                <w:sz w:val="20"/>
                <w:szCs w:val="20"/>
                <w:color w:val="auto"/>
              </w:rPr>
            </w:pPr>
            <w:r>
              <w:rPr>
                <w:rFonts w:ascii="Arial" w:cs="Arial" w:eastAsia="Arial" w:hAnsi="Arial"/>
                <w:sz w:val="15"/>
                <w:szCs w:val="15"/>
                <w:b w:val="1"/>
                <w:bCs w:val="1"/>
                <w:color w:val="auto"/>
                <w:w w:val="88"/>
              </w:rPr>
              <w:t>Statement of</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6"/>
              <w:spacing w:after="0" w:line="136" w:lineRule="exact"/>
              <w:rPr>
                <w:sz w:val="20"/>
                <w:szCs w:val="20"/>
                <w:color w:val="auto"/>
              </w:rPr>
            </w:pPr>
            <w:r>
              <w:rPr>
                <w:rFonts w:ascii="Arial" w:cs="Arial" w:eastAsia="Arial" w:hAnsi="Arial"/>
                <w:sz w:val="15"/>
                <w:szCs w:val="15"/>
                <w:b w:val="1"/>
                <w:bCs w:val="1"/>
                <w:color w:val="auto"/>
                <w:w w:val="91"/>
              </w:rPr>
              <w:t>Pledged MSR-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6" w:lineRule="exact"/>
              <w:rPr>
                <w:sz w:val="20"/>
                <w:szCs w:val="20"/>
                <w:color w:val="auto"/>
              </w:rPr>
            </w:pPr>
            <w:r>
              <w:rPr>
                <w:rFonts w:ascii="Arial" w:cs="Arial" w:eastAsia="Arial" w:hAnsi="Arial"/>
                <w:sz w:val="15"/>
                <w:szCs w:val="15"/>
                <w:b w:val="1"/>
                <w:bCs w:val="1"/>
                <w:color w:val="auto"/>
                <w:w w:val="88"/>
              </w:rPr>
              <w:t>Statement of</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6"/>
              <w:spacing w:after="0" w:line="136"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w w:val="97"/>
              </w:rPr>
              <w:t>related Amounts</w:t>
            </w:r>
          </w:p>
        </w:tc>
        <w:tc>
          <w:tcPr>
            <w:tcW w:w="14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Operations</w:t>
            </w:r>
          </w:p>
        </w:tc>
        <w:tc>
          <w:tcPr>
            <w:tcW w:w="124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related Amounts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w w:val="97"/>
              </w:rPr>
              <w:t>related Amounts</w:t>
            </w:r>
          </w:p>
        </w:tc>
        <w:tc>
          <w:tcPr>
            <w:tcW w:w="14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Operations</w:t>
            </w:r>
          </w:p>
        </w:tc>
        <w:tc>
          <w:tcPr>
            <w:tcW w:w="118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related Amounts</w:t>
            </w:r>
          </w:p>
        </w:tc>
        <w:tc>
          <w:tcPr>
            <w:tcW w:w="0" w:type="dxa"/>
            <w:vAlign w:val="bottom"/>
          </w:tcPr>
          <w:p>
            <w:pPr>
              <w:spacing w:after="0"/>
              <w:rPr>
                <w:sz w:val="1"/>
                <w:szCs w:val="1"/>
                <w:color w:val="auto"/>
              </w:rPr>
            </w:pPr>
          </w:p>
        </w:tc>
      </w:tr>
      <w:tr>
        <w:trPr>
          <w:trHeight w:val="181"/>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265.4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w w:val="90"/>
              </w:rPr>
              <w:t>729.9</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218.6</w:t>
            </w:r>
          </w:p>
        </w:tc>
        <w:tc>
          <w:tcPr>
            <w:tcW w:w="0" w:type="dxa"/>
            <w:vAlign w:val="bottom"/>
          </w:tcPr>
          <w:p>
            <w:pPr>
              <w:spacing w:after="0"/>
              <w:rPr>
                <w:sz w:val="1"/>
                <w:szCs w:val="1"/>
                <w:color w:val="auto"/>
              </w:rPr>
            </w:pPr>
          </w:p>
        </w:tc>
      </w:tr>
      <w:tr>
        <w:trPr>
          <w:trHeight w:val="145"/>
        </w:trPr>
        <w:tc>
          <w:tcPr>
            <w:tcW w:w="1420" w:type="dxa"/>
            <w:vAlign w:val="bottom"/>
          </w:tcPr>
          <w:p>
            <w:pPr>
              <w:ind w:left="20"/>
              <w:spacing w:after="0" w:line="146" w:lineRule="exact"/>
              <w:rPr>
                <w:sz w:val="20"/>
                <w:szCs w:val="20"/>
                <w:color w:val="auto"/>
              </w:rPr>
            </w:pPr>
            <w:r>
              <w:rPr>
                <w:rFonts w:ascii="Arial" w:cs="Arial" w:eastAsia="Arial" w:hAnsi="Arial"/>
                <w:sz w:val="15"/>
                <w:szCs w:val="15"/>
                <w:color w:val="auto"/>
              </w:rPr>
              <w:t>MSR valuation</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ind w:left="640"/>
              <w:spacing w:after="0"/>
              <w:rPr>
                <w:sz w:val="20"/>
                <w:szCs w:val="20"/>
                <w:color w:val="auto"/>
              </w:rPr>
            </w:pPr>
            <w:r>
              <w:rPr>
                <w:rFonts w:ascii="Arial" w:cs="Arial" w:eastAsia="Arial" w:hAnsi="Arial"/>
                <w:sz w:val="15"/>
                <w:szCs w:val="15"/>
                <w:color w:val="auto"/>
                <w:w w:val="91"/>
              </w:rPr>
              <w:t>(72.5)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left="466"/>
              <w:spacing w:after="0"/>
              <w:rPr>
                <w:sz w:val="20"/>
                <w:szCs w:val="20"/>
                <w:color w:val="auto"/>
              </w:rPr>
            </w:pPr>
            <w:r>
              <w:rPr>
                <w:rFonts w:ascii="Arial" w:cs="Arial" w:eastAsia="Arial" w:hAnsi="Arial"/>
                <w:sz w:val="15"/>
                <w:szCs w:val="15"/>
                <w:color w:val="auto"/>
                <w:w w:val="88"/>
              </w:rPr>
              <w:t>(231.4)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189"/>
        </w:trPr>
        <w:tc>
          <w:tcPr>
            <w:tcW w:w="1420" w:type="dxa"/>
            <w:vAlign w:val="bottom"/>
          </w:tcPr>
          <w:p>
            <w:pPr>
              <w:ind w:left="160"/>
              <w:spacing w:after="0"/>
              <w:rPr>
                <w:sz w:val="20"/>
                <w:szCs w:val="20"/>
                <w:color w:val="auto"/>
              </w:rPr>
            </w:pPr>
            <w:r>
              <w:rPr>
                <w:rFonts w:ascii="Arial" w:cs="Arial" w:eastAsia="Arial" w:hAnsi="Arial"/>
                <w:sz w:val="15"/>
                <w:szCs w:val="15"/>
                <w:color w:val="auto"/>
              </w:rPr>
              <w:t>adjustments, net</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color w:val="auto"/>
              </w:rPr>
              <w:t>Total operating</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5"/>
                <w:szCs w:val="15"/>
                <w:color w:val="auto"/>
              </w:rPr>
              <w:t>149.8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ind w:left="506"/>
              <w:spacing w:after="0"/>
              <w:rPr>
                <w:sz w:val="20"/>
                <w:szCs w:val="20"/>
                <w:color w:val="auto"/>
              </w:rPr>
            </w:pPr>
            <w:r>
              <w:rPr>
                <w:rFonts w:ascii="Arial" w:cs="Arial" w:eastAsia="Arial" w:hAnsi="Arial"/>
                <w:sz w:val="15"/>
                <w:szCs w:val="15"/>
                <w:color w:val="auto"/>
                <w:w w:val="90"/>
              </w:rPr>
              <w:t>431.5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expenses</w:t>
            </w: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420" w:type="dxa"/>
            <w:vAlign w:val="bottom"/>
          </w:tcPr>
          <w:p>
            <w:pPr>
              <w:ind w:left="20"/>
              <w:spacing w:after="0" w:line="146" w:lineRule="exact"/>
              <w:rPr>
                <w:sz w:val="20"/>
                <w:szCs w:val="20"/>
                <w:color w:val="auto"/>
              </w:rPr>
            </w:pPr>
            <w:r>
              <w:rPr>
                <w:rFonts w:ascii="Arial" w:cs="Arial" w:eastAsia="Arial" w:hAnsi="Arial"/>
                <w:sz w:val="15"/>
                <w:szCs w:val="15"/>
                <w:color w:val="auto"/>
              </w:rPr>
              <w:t>Total other expense,</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(121.1)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(89.7)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ind w:left="640"/>
              <w:spacing w:after="0"/>
              <w:rPr>
                <w:sz w:val="20"/>
                <w:szCs w:val="20"/>
                <w:color w:val="auto"/>
              </w:rPr>
            </w:pPr>
            <w:r>
              <w:rPr>
                <w:rFonts w:ascii="Arial" w:cs="Arial" w:eastAsia="Arial" w:hAnsi="Arial"/>
                <w:sz w:val="15"/>
                <w:szCs w:val="15"/>
                <w:color w:val="auto"/>
                <w:w w:val="91"/>
              </w:rPr>
              <w:t>(65.4)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(264.0)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(172.7)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left="466"/>
              <w:spacing w:after="0"/>
              <w:rPr>
                <w:sz w:val="20"/>
                <w:szCs w:val="20"/>
                <w:color w:val="auto"/>
              </w:rPr>
            </w:pPr>
            <w:r>
              <w:rPr>
                <w:rFonts w:ascii="Arial" w:cs="Arial" w:eastAsia="Arial" w:hAnsi="Arial"/>
                <w:sz w:val="15"/>
                <w:szCs w:val="15"/>
                <w:color w:val="auto"/>
                <w:w w:val="88"/>
              </w:rPr>
              <w:t>(171.9)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net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2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Income (loss) before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w w:val="91"/>
              </w:rPr>
              <w:t>(22.2)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center"/>
              <w:ind w:left="466"/>
              <w:spacing w:after="0"/>
              <w:rPr>
                <w:sz w:val="20"/>
                <w:szCs w:val="20"/>
                <w:color w:val="auto"/>
              </w:rPr>
            </w:pPr>
            <w:r>
              <w:rPr>
                <w:rFonts w:ascii="Arial" w:cs="Arial" w:eastAsia="Arial" w:hAnsi="Arial"/>
                <w:sz w:val="15"/>
                <w:szCs w:val="15"/>
                <w:color w:val="auto"/>
                <w:w w:val="88"/>
              </w:rPr>
              <w:t>(104.9)</w:t>
            </w:r>
          </w:p>
        </w:tc>
        <w:tc>
          <w:tcPr>
            <w:tcW w:w="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420" w:type="dxa"/>
            <w:vAlign w:val="bottom"/>
            <w:shd w:val="clear" w:color="auto" w:fill="CCEEFF"/>
          </w:tcPr>
          <w:p>
            <w:pPr>
              <w:ind w:left="160"/>
              <w:spacing w:after="0" w:line="167" w:lineRule="exact"/>
              <w:rPr>
                <w:sz w:val="20"/>
                <w:szCs w:val="20"/>
                <w:color w:val="auto"/>
              </w:rPr>
            </w:pPr>
            <w:r>
              <w:rPr>
                <w:rFonts w:ascii="Arial" w:cs="Arial" w:eastAsia="Arial" w:hAnsi="Arial"/>
                <w:sz w:val="15"/>
                <w:szCs w:val="15"/>
                <w:color w:val="auto"/>
              </w:rPr>
              <w:t>income taxes</w:t>
            </w: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sectPr>
      </w:pPr>
    </w:p>
    <w:bookmarkStart w:id="87" w:name="page88"/>
    <w:bookmarkEnd w:id="87"/>
    <w:p>
      <w:pPr>
        <w:ind w:left="20"/>
        <w:spacing w:after="0"/>
        <w:rPr>
          <w:sz w:val="20"/>
          <w:szCs w:val="20"/>
          <w:color w:val="auto"/>
        </w:rPr>
      </w:pPr>
      <w:r>
        <w:rPr>
          <w:rFonts w:ascii="Arial" w:cs="Arial" w:eastAsia="Arial" w:hAnsi="Arial"/>
          <w:sz w:val="15"/>
          <w:szCs w:val="15"/>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ectPr>
          <w:pgSz w:w="11900" w:h="16838" w:orient="portrait"/>
          <w:cols w:equalWidth="0" w:num="1">
            <w:col w:w="11260"/>
          </w:cols>
          <w:pgMar w:left="300" w:top="1095" w:right="339" w:bottom="1440" w:gutter="0" w:footer="0" w:header="0"/>
        </w:sectPr>
      </w:pPr>
    </w:p>
    <w:p>
      <w:pPr>
        <w:spacing w:after="0" w:line="266"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We originate and purchase loans and MSRs through multiple channels, including retail, wholesale, correspondent, flow MSR purchase agreements, the Agency Cash Window and Co-issue programs and bulk MSR purchases.</w:t>
      </w:r>
    </w:p>
    <w:p>
      <w:pPr>
        <w:spacing w:after="0" w:line="58" w:lineRule="exact"/>
        <w:rPr>
          <w:sz w:val="20"/>
          <w:szCs w:val="20"/>
          <w:color w:val="auto"/>
        </w:rPr>
      </w:pPr>
    </w:p>
    <w:p>
      <w:pPr>
        <w:ind w:right="140" w:firstLine="268"/>
        <w:spacing w:after="0" w:line="259" w:lineRule="auto"/>
        <w:rPr>
          <w:sz w:val="20"/>
          <w:szCs w:val="20"/>
          <w:color w:val="auto"/>
        </w:rPr>
      </w:pPr>
      <w:r>
        <w:rPr>
          <w:rFonts w:ascii="Arial" w:cs="Arial" w:eastAsia="Arial" w:hAnsi="Arial"/>
          <w:sz w:val="15"/>
          <w:szCs w:val="15"/>
          <w:color w:val="auto"/>
        </w:rPr>
        <w:t>We originate and purchase conventional loans (conforming to the underwriting standards of Fannie Mae or Freddie Mac; collectively referred to as Agency loans) and government-insured (FHA or VA) forward mortgage loans. The GSEs and Ginnie Mae guarantee these mortgage securitizations, respectively. We originate HECM loans, or reverse mortgages, that are mostly insured by the FHA and we are an approved issuer of HMBS that are guaranteed by Ginnie Mae.</w:t>
      </w:r>
    </w:p>
    <w:p>
      <w:pPr>
        <w:spacing w:after="0" w:line="66" w:lineRule="exact"/>
        <w:rPr>
          <w:sz w:val="20"/>
          <w:szCs w:val="20"/>
          <w:color w:val="auto"/>
        </w:rPr>
      </w:pPr>
    </w:p>
    <w:p>
      <w:pPr>
        <w:ind w:right="220" w:firstLine="268"/>
        <w:spacing w:after="0" w:line="279" w:lineRule="auto"/>
        <w:rPr>
          <w:sz w:val="20"/>
          <w:szCs w:val="20"/>
          <w:color w:val="auto"/>
        </w:rPr>
      </w:pPr>
      <w:r>
        <w:rPr>
          <w:rFonts w:ascii="Arial" w:cs="Arial" w:eastAsia="Arial" w:hAnsi="Arial"/>
          <w:sz w:val="14"/>
          <w:szCs w:val="14"/>
          <w:color w:val="auto"/>
        </w:rPr>
        <w:t>Within retail, our consumer direct channel for forward mortgage loans (previously called recapture) focuses on targeting existing Ocwen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volume and related gains are a natural economic hedge, to a certain degree, to the impact of declining MSR values as interest rates decline.</w:t>
      </w:r>
    </w:p>
    <w:p>
      <w:pPr>
        <w:spacing w:after="0" w:line="54" w:lineRule="exact"/>
        <w:rPr>
          <w:sz w:val="20"/>
          <w:szCs w:val="20"/>
          <w:color w:val="auto"/>
        </w:rPr>
      </w:pPr>
    </w:p>
    <w:p>
      <w:pPr>
        <w:ind w:right="320" w:firstLine="268"/>
        <w:spacing w:after="0" w:line="255" w:lineRule="auto"/>
        <w:rPr>
          <w:sz w:val="20"/>
          <w:szCs w:val="20"/>
          <w:color w:val="auto"/>
        </w:rPr>
      </w:pPr>
      <w:r>
        <w:rPr>
          <w:rFonts w:ascii="Arial" w:cs="Arial" w:eastAsia="Arial" w:hAnsi="Arial"/>
          <w:sz w:val="15"/>
          <w:szCs w:val="15"/>
          <w:color w:val="auto"/>
        </w:rPr>
        <w:t>Our forward lending correspondent channel drives higher servicing portfolio replenishment. We purchase closed loans that have been underwritten to investor guidelines from our network of correspondent sellers and sell and securitize them. As of September 30, 2021, we have relationships with 419 approved correspondent sellers, or 288 new sellers since December 31, 2020. On June 1, 2021, we expanded our network through the assignment by Texas Capital Bank (TCB), and the assumption by us, of all its correspondent loan purchase agreements with its correspondent sellers (approximately 220 sellers).</w:t>
      </w:r>
    </w:p>
    <w:p>
      <w:pPr>
        <w:spacing w:after="0" w:line="70" w:lineRule="exact"/>
        <w:rPr>
          <w:sz w:val="20"/>
          <w:szCs w:val="20"/>
          <w:color w:val="auto"/>
        </w:rPr>
      </w:pPr>
    </w:p>
    <w:p>
      <w:pPr>
        <w:ind w:right="320" w:firstLine="268"/>
        <w:spacing w:after="0" w:line="306" w:lineRule="auto"/>
        <w:rPr>
          <w:sz w:val="20"/>
          <w:szCs w:val="20"/>
          <w:color w:val="auto"/>
        </w:rPr>
      </w:pPr>
      <w:r>
        <w:rPr>
          <w:rFonts w:ascii="Arial" w:cs="Arial" w:eastAsia="Arial" w:hAnsi="Arial"/>
          <w:sz w:val="14"/>
          <w:szCs w:val="14"/>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35" w:lineRule="exact"/>
        <w:rPr>
          <w:sz w:val="20"/>
          <w:szCs w:val="20"/>
          <w:color w:val="auto"/>
        </w:rPr>
      </w:pPr>
    </w:p>
    <w:p>
      <w:pPr>
        <w:ind w:right="80" w:firstLine="268"/>
        <w:spacing w:after="0" w:line="279" w:lineRule="auto"/>
        <w:rPr>
          <w:sz w:val="20"/>
          <w:szCs w:val="20"/>
          <w:color w:val="auto"/>
        </w:rPr>
      </w:pPr>
      <w:r>
        <w:rPr>
          <w:rFonts w:ascii="Arial" w:cs="Arial" w:eastAsia="Arial" w:hAnsi="Arial"/>
          <w:sz w:val="14"/>
          <w:szCs w:val="14"/>
          <w:color w:val="auto"/>
        </w:rPr>
        <w:t>After origination, we package and sell the loans in the secondary mortgage market, through GSE and Ginnie Mae securitizations on a servicing retained basis. Origination revenues mostly include interest income earned for the period the loans are held by us, gain on sale revenue, which represents the difference between the origination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54"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7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Agency Cash Window programs.</w:t>
      </w:r>
    </w:p>
    <w:p>
      <w:pPr>
        <w:spacing w:after="0" w:line="70"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We initially recognize our MSR origination with the associated economics in our Originations business, and subsequently transfer the MSR to our Servicing segment at fair value. Our Servicing segment reflects all subsequent performance associated with the MSR, including funding cost, run-off and other fair value changes.</w:t>
      </w:r>
    </w:p>
    <w:p>
      <w:pPr>
        <w:spacing w:after="0" w:line="58" w:lineRule="exact"/>
        <w:rPr>
          <w:sz w:val="20"/>
          <w:szCs w:val="20"/>
          <w:color w:val="auto"/>
        </w:rPr>
      </w:pPr>
    </w:p>
    <w:p>
      <w:pPr>
        <w:ind w:right="240" w:firstLine="268"/>
        <w:spacing w:after="0" w:line="255" w:lineRule="auto"/>
        <w:rPr>
          <w:sz w:val="20"/>
          <w:szCs w:val="20"/>
          <w:color w:val="auto"/>
        </w:rPr>
      </w:pPr>
      <w:r>
        <w:rPr>
          <w:rFonts w:ascii="Arial" w:cs="Arial" w:eastAsia="Arial" w:hAnsi="Arial"/>
          <w:sz w:val="15"/>
          <w:szCs w:val="15"/>
          <w:color w:val="auto"/>
        </w:rPr>
        <w:t>We source additional servicing volume through our subservicing and interim servicing agreements, through our existing relationships and our enterprise sales’ initiatives. We further grow our subservicing volume through our subservicing agreement with MAV, as MAV continues to acquire MSRs.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70" w:lineRule="exact"/>
        <w:rPr>
          <w:sz w:val="20"/>
          <w:szCs w:val="20"/>
          <w:color w:val="auto"/>
        </w:rPr>
      </w:pPr>
    </w:p>
    <w:p>
      <w:pPr>
        <w:ind w:right="440" w:firstLine="268"/>
        <w:spacing w:after="0" w:line="270" w:lineRule="auto"/>
        <w:rPr>
          <w:sz w:val="20"/>
          <w:szCs w:val="20"/>
          <w:color w:val="auto"/>
        </w:rPr>
      </w:pPr>
      <w:r>
        <w:rPr>
          <w:rFonts w:ascii="Arial" w:cs="Arial" w:eastAsia="Arial" w:hAnsi="Arial"/>
          <w:sz w:val="15"/>
          <w:szCs w:val="15"/>
          <w:color w:val="auto"/>
        </w:rPr>
        <w:t>For the third quarter of 2021, our Originations business originated or purchased forward and reverse mortgage loans with a UPB of $5.9 billion and $428 million, respectively. In addition, we purchased $4.9 billion UPB MSR through the Agency Cash Window during the third quarter of 2021.</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095" w:right="339" w:bottom="1440" w:gutter="0" w:footer="0" w:header="0"/>
          <w:type w:val="continuous"/>
        </w:sectPr>
      </w:pPr>
    </w:p>
    <w:bookmarkStart w:id="88" w:name="page89"/>
    <w:bookmarkEnd w:id="88"/>
    <w:p>
      <w:pPr>
        <w:ind w:right="540" w:firstLine="268"/>
        <w:spacing w:after="0" w:line="270" w:lineRule="auto"/>
        <w:rPr>
          <w:sz w:val="20"/>
          <w:szCs w:val="20"/>
          <w:color w:val="auto"/>
        </w:rPr>
      </w:pPr>
      <w:r>
        <w:rPr>
          <w:rFonts w:ascii="Arial" w:cs="Arial" w:eastAsia="Arial" w:hAnsi="Arial"/>
          <w:sz w:val="15"/>
          <w:szCs w:val="15"/>
          <w:color w:val="auto"/>
        </w:rPr>
        <w:t>The following table presents the results of operations of our Originations segment. The amounts presented are before the elimination of balances and transactions with our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50800</wp:posOffset>
            </wp:positionV>
            <wp:extent cx="51885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88585" cy="698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86"/>
              <w:spacing w:after="0"/>
              <w:rPr>
                <w:sz w:val="20"/>
                <w:szCs w:val="20"/>
                <w:color w:val="auto"/>
              </w:rPr>
            </w:pPr>
            <w:r>
              <w:rPr>
                <w:rFonts w:ascii="Arial" w:cs="Arial" w:eastAsia="Arial" w:hAnsi="Arial"/>
                <w:sz w:val="15"/>
                <w:szCs w:val="15"/>
                <w:b w:val="1"/>
                <w:bCs w:val="1"/>
                <w:color w:val="auto"/>
                <w:w w:val="95"/>
              </w:rPr>
              <w:t>September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8"/>
                <w:szCs w:val="18"/>
                <w:color w:val="auto"/>
              </w:rPr>
            </w:pPr>
          </w:p>
        </w:tc>
        <w:tc>
          <w:tcPr>
            <w:tcW w:w="126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50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31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27.3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94.5</w:t>
            </w: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74.2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27 %</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18.8</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38.2</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48</w:t>
            </w: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revenue, net (1)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9.3</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29.3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12.4</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136</w:t>
            </w:r>
          </w:p>
        </w:tc>
      </w:tr>
      <w:tr>
        <w:trPr>
          <w:trHeight w:val="181"/>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58.8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55.4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124.8</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45</w:t>
            </w:r>
          </w:p>
        </w:tc>
      </w:tr>
      <w:tr>
        <w:trPr>
          <w:trHeight w:val="114"/>
        </w:trPr>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8.8</w:t>
            </w:r>
          </w:p>
        </w:tc>
        <w:tc>
          <w:tcPr>
            <w:tcW w:w="110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26.3</w:t>
            </w:r>
          </w:p>
        </w:tc>
        <w:tc>
          <w:tcPr>
            <w:tcW w:w="108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(24)</w:t>
            </w:r>
          </w:p>
        </w:tc>
      </w:tr>
      <w:tr>
        <w:trPr>
          <w:trHeight w:val="134"/>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Compensation and benefits</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25.3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23.9</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42.4</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67</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4.7</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104</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1.6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4.1</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16</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Technology and communications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3.5</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87</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Professional services</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1.9</w:t>
            </w:r>
          </w:p>
        </w:tc>
        <w:tc>
          <w:tcPr>
            <w:tcW w:w="1100" w:type="dxa"/>
            <w:vAlign w:val="bottom"/>
            <w:gridSpan w:val="2"/>
          </w:tcPr>
          <w:p>
            <w:pPr>
              <w:jc w:val="right"/>
              <w:ind w:right="126"/>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5.7</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33</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overhead allocations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13.6</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8</w:t>
            </w:r>
          </w:p>
        </w:tc>
      </w:tr>
      <w:tr>
        <w:trPr>
          <w:trHeight w:val="18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4.3</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52</w:t>
            </w:r>
          </w:p>
        </w:tc>
      </w:tr>
      <w:tr>
        <w:trPr>
          <w:trHeight w:val="181"/>
        </w:trPr>
        <w:tc>
          <w:tcPr>
            <w:tcW w:w="3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39.7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120.5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78.3</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54</w:t>
            </w:r>
          </w:p>
        </w:tc>
      </w:tr>
      <w:tr>
        <w:trPr>
          <w:trHeight w:val="114"/>
        </w:trPr>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2.9</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4.7</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128</w:t>
            </w:r>
          </w:p>
        </w:tc>
      </w:tr>
      <w:tr>
        <w:trPr>
          <w:trHeight w:val="190"/>
        </w:trPr>
        <w:tc>
          <w:tcPr>
            <w:tcW w:w="3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(6.6)</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127</w:t>
            </w:r>
          </w:p>
        </w:tc>
      </w:tr>
      <w:tr>
        <w:trPr>
          <w:trHeight w:val="189"/>
        </w:trPr>
        <w:tc>
          <w:tcPr>
            <w:tcW w:w="3100" w:type="dxa"/>
            <w:vAlign w:val="bottom"/>
          </w:tcPr>
          <w:p>
            <w:pPr>
              <w:ind w:left="120"/>
              <w:spacing w:after="0"/>
              <w:rPr>
                <w:sz w:val="20"/>
                <w:szCs w:val="20"/>
                <w:color w:val="auto"/>
              </w:rPr>
            </w:pPr>
            <w:r>
              <w:rPr>
                <w:rFonts w:ascii="Arial" w:cs="Arial" w:eastAsia="Arial" w:hAnsi="Arial"/>
                <w:sz w:val="15"/>
                <w:szCs w:val="15"/>
                <w:color w:val="auto"/>
              </w:rPr>
              <w:t>Other, net</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(0.2)</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0.2</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(98)</w:t>
            </w:r>
          </w:p>
        </w:tc>
      </w:tr>
      <w:tr>
        <w:trPr>
          <w:trHeight w:val="181"/>
        </w:trPr>
        <w:tc>
          <w:tcPr>
            <w:tcW w:w="3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other expense, net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(2.0)</w:t>
            </w:r>
          </w:p>
        </w:tc>
        <w:tc>
          <w:tcPr>
            <w:tcW w:w="1100" w:type="dxa"/>
            <w:vAlign w:val="bottom"/>
            <w:tcBorders>
              <w:top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(1.7)</w:t>
            </w:r>
          </w:p>
        </w:tc>
        <w:tc>
          <w:tcPr>
            <w:tcW w:w="1080" w:type="dxa"/>
            <w:vAlign w:val="bottom"/>
            <w:tcBorders>
              <w:top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152</w:t>
            </w:r>
          </w:p>
        </w:tc>
      </w:tr>
      <w:tr>
        <w:trPr>
          <w:trHeight w:val="114"/>
        </w:trPr>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14"/>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71.1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ind w:left="280" w:right="60" w:hanging="271"/>
        <w:spacing w:after="0" w:line="285" w:lineRule="auto"/>
        <w:tabs>
          <w:tab w:leader="none" w:pos="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$1.2 million, $2.3 million, $5.8 million and $3.2 million ancillary fee income related to MSR acquisitions reported as Servicing and subservicing fees at the consolidated level for the three months ended September 30, 2021 and June 30, 2021, and the nine months ended September 30, 2021 and September 30, 2020,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9" w:name="page90"/>
    <w:bookmarkEnd w:id="89"/>
    <w:p>
      <w:pPr>
        <w:ind w:left="280"/>
        <w:spacing w:after="0"/>
        <w:rPr>
          <w:sz w:val="20"/>
          <w:szCs w:val="20"/>
          <w:color w:val="auto"/>
        </w:rPr>
      </w:pPr>
      <w:r>
        <w:rPr>
          <w:rFonts w:ascii="Arial" w:cs="Arial" w:eastAsia="Arial" w:hAnsi="Arial"/>
          <w:sz w:val="15"/>
          <w:szCs w:val="15"/>
          <w:color w:val="auto"/>
        </w:rPr>
        <w:t>The following table provides selected operating statistics for our Originations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81280</wp:posOffset>
            </wp:positionV>
            <wp:extent cx="53232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23205" cy="698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200" w:type="dxa"/>
            <w:vAlign w:val="bottom"/>
          </w:tcPr>
          <w:p>
            <w:pPr>
              <w:jc w:val="right"/>
              <w:ind w:right="40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206"/>
              <w:spacing w:after="0"/>
              <w:rPr>
                <w:sz w:val="20"/>
                <w:szCs w:val="20"/>
                <w:color w:val="auto"/>
              </w:rPr>
            </w:pPr>
            <w:r>
              <w:rPr>
                <w:rFonts w:ascii="Arial" w:cs="Arial" w:eastAsia="Arial" w:hAnsi="Arial"/>
                <w:sz w:val="15"/>
                <w:szCs w:val="15"/>
                <w:b w:val="1"/>
                <w:bCs w:val="1"/>
                <w:color w:val="auto"/>
                <w:w w:val="97"/>
              </w:rPr>
              <w:t>September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0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b w:val="1"/>
                <w:bCs w:val="1"/>
                <w:color w:val="auto"/>
              </w:rPr>
              <w:t>% Change</w:t>
            </w:r>
          </w:p>
        </w:tc>
      </w:tr>
      <w:tr>
        <w:trPr>
          <w:trHeight w:val="203"/>
        </w:trPr>
        <w:tc>
          <w:tcPr>
            <w:tcW w:w="2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5"/>
                <w:szCs w:val="15"/>
                <w:b w:val="1"/>
                <w:bCs w:val="1"/>
                <w:color w:val="auto"/>
              </w:rPr>
              <w:t>Originations by Channel</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loans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9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5,393</w:t>
            </w:r>
          </w:p>
        </w:tc>
        <w:tc>
          <w:tcPr>
            <w:tcW w:w="12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2,489</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10,509</w:t>
            </w: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3,100</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239%</w:t>
            </w:r>
          </w:p>
        </w:tc>
      </w:tr>
      <w:tr>
        <w:trPr>
          <w:trHeight w:val="190"/>
        </w:trPr>
        <w:tc>
          <w:tcPr>
            <w:tcW w:w="2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Consumer Direct</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534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609</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94"/>
              </w:rPr>
              <w:t>(12)%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1,706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884</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93</w:t>
            </w:r>
          </w:p>
        </w:tc>
      </w:tr>
      <w:tr>
        <w:trPr>
          <w:trHeight w:val="180"/>
        </w:trPr>
        <w:tc>
          <w:tcPr>
            <w:tcW w:w="2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5,928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3,098</w:t>
            </w:r>
          </w:p>
        </w:tc>
        <w:tc>
          <w:tcPr>
            <w:tcW w:w="1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12,216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3,984</w:t>
            </w:r>
          </w:p>
        </w:tc>
        <w:tc>
          <w:tcPr>
            <w:tcW w:w="1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207%</w:t>
            </w:r>
          </w:p>
        </w:tc>
      </w:tr>
      <w:tr>
        <w:trPr>
          <w:trHeight w:val="114"/>
        </w:trPr>
        <w:tc>
          <w:tcPr>
            <w:tcW w:w="2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89"/>
        </w:trPr>
        <w:tc>
          <w:tcPr>
            <w:tcW w:w="2900" w:type="dxa"/>
            <w:vAlign w:val="bottom"/>
          </w:tcPr>
          <w:p>
            <w:pPr>
              <w:ind w:left="200"/>
              <w:spacing w:after="0"/>
              <w:rPr>
                <w:sz w:val="20"/>
                <w:szCs w:val="20"/>
                <w:color w:val="auto"/>
              </w:rPr>
            </w:pPr>
            <w:r>
              <w:rPr>
                <w:rFonts w:ascii="Arial" w:cs="Arial" w:eastAsia="Arial" w:hAnsi="Arial"/>
                <w:sz w:val="15"/>
                <w:szCs w:val="15"/>
                <w:color w:val="auto"/>
              </w:rPr>
              <w:t>% Purchase production</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28 %</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22 %</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26</w:t>
            </w:r>
          </w:p>
        </w:tc>
      </w:tr>
      <w:tr>
        <w:trPr>
          <w:trHeight w:val="190"/>
        </w:trPr>
        <w:tc>
          <w:tcPr>
            <w:tcW w:w="2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 Refinance production</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78</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(7)</w:t>
            </w:r>
          </w:p>
        </w:tc>
      </w:tr>
      <w:tr>
        <w:trPr>
          <w:trHeight w:val="223"/>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9"/>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loans (1)</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9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188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20 %</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336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68 %</w:t>
            </w:r>
          </w:p>
        </w:tc>
      </w:tr>
      <w:tr>
        <w:trPr>
          <w:trHeight w:val="190"/>
        </w:trPr>
        <w:tc>
          <w:tcPr>
            <w:tcW w:w="2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Wholesale</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57</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226</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(20)</w:t>
            </w:r>
          </w:p>
        </w:tc>
      </w:tr>
      <w:tr>
        <w:trPr>
          <w:trHeight w:val="189"/>
        </w:trPr>
        <w:tc>
          <w:tcPr>
            <w:tcW w:w="29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Retail</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94</w:t>
            </w:r>
          </w:p>
        </w:tc>
        <w:tc>
          <w:tcPr>
            <w:tcW w:w="106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286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108</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165</w:t>
            </w:r>
          </w:p>
        </w:tc>
      </w:tr>
      <w:tr>
        <w:trPr>
          <w:trHeight w:val="181"/>
        </w:trPr>
        <w:tc>
          <w:tcPr>
            <w:tcW w:w="29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192"/>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3"/>
              </w:rPr>
              <w:t>MSR Purchases by Channel (Forward only)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900" w:type="dxa"/>
            <w:vAlign w:val="bottom"/>
          </w:tcPr>
          <w:p>
            <w:pPr>
              <w:ind w:left="100"/>
              <w:spacing w:after="0"/>
              <w:rPr>
                <w:sz w:val="20"/>
                <w:szCs w:val="20"/>
                <w:color w:val="auto"/>
              </w:rPr>
            </w:pPr>
            <w:r>
              <w:rPr>
                <w:rFonts w:ascii="Arial" w:cs="Arial" w:eastAsia="Arial" w:hAnsi="Arial"/>
                <w:sz w:val="15"/>
                <w:szCs w:val="15"/>
                <w:color w:val="auto"/>
              </w:rPr>
              <w:t>Agency Cash Window / Flow MSR</w:t>
            </w: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4,902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6,168</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17,055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8,382</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103%</w:t>
            </w:r>
          </w:p>
        </w:tc>
      </w:tr>
      <w:tr>
        <w:trPr>
          <w:trHeight w:val="190"/>
        </w:trPr>
        <w:tc>
          <w:tcPr>
            <w:tcW w:w="29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Bulk MSR purchases</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55,133</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55,133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1,541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n/m</w:t>
            </w:r>
          </w:p>
        </w:tc>
      </w:tr>
      <w:tr>
        <w:trPr>
          <w:trHeight w:val="180"/>
        </w:trPr>
        <w:tc>
          <w:tcPr>
            <w:tcW w:w="29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4,902</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rPr>
              <w:t>61,302</w:t>
            </w:r>
          </w:p>
        </w:tc>
        <w:tc>
          <w:tcPr>
            <w:tcW w:w="1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(92)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72,189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9,923</w:t>
            </w:r>
          </w:p>
        </w:tc>
        <w:tc>
          <w:tcPr>
            <w:tcW w:w="1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627</w:t>
            </w:r>
          </w:p>
        </w:tc>
      </w:tr>
      <w:tr>
        <w:trPr>
          <w:trHeight w:val="203"/>
        </w:trPr>
        <w:tc>
          <w:tcPr>
            <w:tcW w:w="2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1"/>
        </w:trPr>
        <w:tc>
          <w:tcPr>
            <w:tcW w:w="2900" w:type="dxa"/>
            <w:vAlign w:val="bottom"/>
          </w:tcPr>
          <w:p>
            <w:pPr>
              <w:ind w:left="20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11,258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64,740</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85,436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14,577</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486%</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5"/>
        </w:trPr>
        <w:tc>
          <w:tcPr>
            <w:tcW w:w="2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5"/>
                <w:szCs w:val="15"/>
                <w:b w:val="1"/>
                <w:bCs w:val="1"/>
                <w:color w:val="auto"/>
                <w:w w:val="91"/>
              </w:rPr>
              <w:t>Short term loan commitment (at period end)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loans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189"/>
        </w:trPr>
        <w:tc>
          <w:tcPr>
            <w:tcW w:w="2900" w:type="dxa"/>
            <w:vAlign w:val="bottom"/>
          </w:tcPr>
          <w:p>
            <w:pPr>
              <w:ind w:left="120"/>
              <w:spacing w:after="0"/>
              <w:rPr>
                <w:sz w:val="20"/>
                <w:szCs w:val="20"/>
                <w:color w:val="auto"/>
              </w:rPr>
            </w:pPr>
            <w:r>
              <w:rPr>
                <w:rFonts w:ascii="Arial" w:cs="Arial" w:eastAsia="Arial" w:hAnsi="Arial"/>
                <w:sz w:val="15"/>
                <w:szCs w:val="15"/>
                <w:color w:val="auto"/>
              </w:rPr>
              <w:t>Reverse loans</w:t>
            </w: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68</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31</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160</w:t>
            </w:r>
          </w:p>
        </w:tc>
      </w:tr>
      <w:tr>
        <w:trPr>
          <w:trHeight w:val="223"/>
        </w:trPr>
        <w:tc>
          <w:tcPr>
            <w:tcW w:w="2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5"/>
                <w:szCs w:val="15"/>
                <w:b w:val="1"/>
                <w:bCs w:val="1"/>
                <w:color w:val="auto"/>
              </w:rPr>
              <w:t>Average Employment</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635</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440</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44</w:t>
            </w:r>
          </w:p>
        </w:tc>
      </w:tr>
      <w:tr>
        <w:trPr>
          <w:trHeight w:val="189"/>
        </w:trPr>
        <w:tc>
          <w:tcPr>
            <w:tcW w:w="29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India and other</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345</w:t>
            </w:r>
          </w:p>
        </w:tc>
        <w:tc>
          <w:tcPr>
            <w:tcW w:w="106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152</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136</w:t>
            </w:r>
          </w:p>
        </w:tc>
      </w:tr>
      <w:tr>
        <w:trPr>
          <w:trHeight w:val="206"/>
        </w:trPr>
        <w:tc>
          <w:tcPr>
            <w:tcW w:w="2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980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592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67 %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14" w:lineRule="exact"/>
        <w:rPr>
          <w:sz w:val="20"/>
          <w:szCs w:val="20"/>
          <w:color w:val="auto"/>
        </w:rPr>
      </w:pPr>
    </w:p>
    <w:p>
      <w:pPr>
        <w:ind w:left="280" w:hanging="271"/>
        <w:spacing w:after="0"/>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Loan production excludes reverse mortgage loan draws by borrowers disbursed subsequent to origination.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2"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i w:val="1"/>
          <w:iCs w:val="1"/>
          <w:color w:val="auto"/>
        </w:rPr>
        <w:t>Gain on Loans Held for Sale</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provides information regarding Gain on loans held for sale by channel and the related forward loan origination volume and margins: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6"/>
                <w:szCs w:val="16"/>
                <w:color w:val="auto"/>
              </w:rPr>
            </w:pPr>
          </w:p>
        </w:tc>
        <w:tc>
          <w:tcPr>
            <w:tcW w:w="1180" w:type="dxa"/>
            <w:vAlign w:val="bottom"/>
          </w:tcPr>
          <w:p>
            <w:pPr>
              <w:jc w:val="right"/>
              <w:ind w:right="38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300" w:type="dxa"/>
            <w:vAlign w:val="bottom"/>
          </w:tcPr>
          <w:p>
            <w:pPr>
              <w:jc w:val="right"/>
              <w:ind w:right="206"/>
              <w:spacing w:after="0"/>
              <w:rPr>
                <w:sz w:val="20"/>
                <w:szCs w:val="20"/>
                <w:color w:val="auto"/>
              </w:rPr>
            </w:pPr>
            <w:r>
              <w:rPr>
                <w:rFonts w:ascii="Arial" w:cs="Arial" w:eastAsia="Arial" w:hAnsi="Arial"/>
                <w:sz w:val="15"/>
                <w:szCs w:val="15"/>
                <w:b w:val="1"/>
                <w:bCs w:val="1"/>
                <w:color w:val="auto"/>
                <w:w w:val="97"/>
              </w:rPr>
              <w:t>September 30,</w:t>
            </w:r>
          </w:p>
        </w:tc>
        <w:tc>
          <w:tcPr>
            <w:tcW w:w="0" w:type="dxa"/>
            <w:vAlign w:val="bottom"/>
          </w:tcPr>
          <w:p>
            <w:pPr>
              <w:spacing w:after="0"/>
              <w:rPr>
                <w:sz w:val="1"/>
                <w:szCs w:val="1"/>
                <w:color w:val="auto"/>
              </w:rPr>
            </w:pPr>
          </w:p>
        </w:tc>
      </w:tr>
      <w:tr>
        <w:trPr>
          <w:trHeight w:val="212"/>
        </w:trPr>
        <w:tc>
          <w:tcPr>
            <w:tcW w:w="2880" w:type="dxa"/>
            <w:vAlign w:val="bottom"/>
            <w:vMerge w:val="restart"/>
          </w:tcPr>
          <w:p>
            <w:pPr>
              <w:spacing w:after="0"/>
              <w:rPr>
                <w:sz w:val="20"/>
                <w:szCs w:val="20"/>
                <w:color w:val="auto"/>
              </w:rPr>
            </w:pPr>
            <w:r>
              <w:rPr>
                <w:rFonts w:ascii="Arial" w:cs="Arial" w:eastAsia="Arial" w:hAnsi="Arial"/>
                <w:sz w:val="15"/>
                <w:szCs w:val="15"/>
                <w:b w:val="1"/>
                <w:bCs w:val="1"/>
                <w:color w:val="auto"/>
              </w:rPr>
              <w:t>Gain on Loans Held for Sale (1)</w:t>
            </w: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9"/>
        </w:trPr>
        <w:tc>
          <w:tcPr>
            <w:tcW w:w="288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4.7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16 %</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90"/>
        </w:trPr>
        <w:tc>
          <w:tcPr>
            <w:tcW w:w="2880" w:type="dxa"/>
            <w:vAlign w:val="bottom"/>
          </w:tcPr>
          <w:p>
            <w:pPr>
              <w:ind w:left="180"/>
              <w:spacing w:after="0"/>
              <w:rPr>
                <w:sz w:val="20"/>
                <w:szCs w:val="20"/>
                <w:color w:val="auto"/>
              </w:rPr>
            </w:pPr>
            <w:r>
              <w:rPr>
                <w:rFonts w:ascii="Arial" w:cs="Arial" w:eastAsia="Arial" w:hAnsi="Arial"/>
                <w:sz w:val="15"/>
                <w:szCs w:val="15"/>
                <w:color w:val="auto"/>
              </w:rPr>
              <w:t>Consumer Direct</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22.5</w:t>
            </w:r>
          </w:p>
        </w:tc>
        <w:tc>
          <w:tcPr>
            <w:tcW w:w="1040" w:type="dxa"/>
            <w:vAlign w:val="bottom"/>
            <w:gridSpan w:val="2"/>
          </w:tcPr>
          <w:p>
            <w:pPr>
              <w:jc w:val="right"/>
              <w:ind w:right="10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80.8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60.4</w:t>
            </w: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27.3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94.5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74.2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5"/>
                <w:szCs w:val="15"/>
                <w:b w:val="1"/>
                <w:bCs w:val="1"/>
                <w:color w:val="auto"/>
              </w:rPr>
              <w:t>% Gain on Sale Margin (2)</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0.18 %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0.39 %</w:t>
            </w:r>
          </w:p>
        </w:tc>
        <w:tc>
          <w:tcPr>
            <w:tcW w:w="0" w:type="dxa"/>
            <w:vAlign w:val="bottom"/>
          </w:tcPr>
          <w:p>
            <w:pPr>
              <w:spacing w:after="0"/>
              <w:rPr>
                <w:sz w:val="1"/>
                <w:szCs w:val="1"/>
                <w:color w:val="auto"/>
              </w:rPr>
            </w:pPr>
          </w:p>
        </w:tc>
      </w:tr>
      <w:tr>
        <w:trPr>
          <w:trHeight w:val="190"/>
        </w:trPr>
        <w:tc>
          <w:tcPr>
            <w:tcW w:w="2880" w:type="dxa"/>
            <w:vAlign w:val="bottom"/>
          </w:tcPr>
          <w:p>
            <w:pPr>
              <w:ind w:left="180"/>
              <w:spacing w:after="0"/>
              <w:rPr>
                <w:sz w:val="20"/>
                <w:szCs w:val="20"/>
                <w:color w:val="auto"/>
              </w:rPr>
            </w:pPr>
            <w:r>
              <w:rPr>
                <w:rFonts w:ascii="Arial" w:cs="Arial" w:eastAsia="Arial" w:hAnsi="Arial"/>
                <w:sz w:val="15"/>
                <w:szCs w:val="15"/>
                <w:color w:val="auto"/>
              </w:rPr>
              <w:t>Consumer Direct</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4.42</w:t>
            </w:r>
          </w:p>
        </w:tc>
        <w:tc>
          <w:tcPr>
            <w:tcW w:w="1040" w:type="dxa"/>
            <w:vAlign w:val="bottom"/>
            <w:gridSpan w:val="2"/>
          </w:tcPr>
          <w:p>
            <w:pPr>
              <w:jc w:val="right"/>
              <w:ind w:right="10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0.48 %</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0.74 %</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1.60 %</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Origination UPB (3)</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5,616</w:t>
            </w:r>
          </w:p>
        </w:tc>
        <w:tc>
          <w:tcPr>
            <w:tcW w:w="100" w:type="dxa"/>
            <w:vAlign w:val="bottom"/>
          </w:tcPr>
          <w:p>
            <w:pPr>
              <w:spacing w:after="0"/>
              <w:rPr>
                <w:sz w:val="16"/>
                <w:szCs w:val="16"/>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2,665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111 %</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11,103</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3,521</w:t>
            </w:r>
          </w:p>
        </w:tc>
        <w:tc>
          <w:tcPr>
            <w:tcW w:w="0" w:type="dxa"/>
            <w:vAlign w:val="bottom"/>
          </w:tcPr>
          <w:p>
            <w:pPr>
              <w:spacing w:after="0"/>
              <w:rPr>
                <w:sz w:val="1"/>
                <w:szCs w:val="1"/>
                <w:color w:val="auto"/>
              </w:rPr>
            </w:pPr>
          </w:p>
        </w:tc>
      </w:tr>
      <w:tr>
        <w:trPr>
          <w:trHeight w:val="190"/>
        </w:trPr>
        <w:tc>
          <w:tcPr>
            <w:tcW w:w="2880" w:type="dxa"/>
            <w:vAlign w:val="bottom"/>
          </w:tcPr>
          <w:p>
            <w:pPr>
              <w:ind w:left="180"/>
              <w:spacing w:after="0"/>
              <w:rPr>
                <w:sz w:val="20"/>
                <w:szCs w:val="20"/>
                <w:color w:val="auto"/>
              </w:rPr>
            </w:pPr>
            <w:r>
              <w:rPr>
                <w:rFonts w:ascii="Arial" w:cs="Arial" w:eastAsia="Arial" w:hAnsi="Arial"/>
                <w:sz w:val="15"/>
                <w:szCs w:val="15"/>
                <w:color w:val="auto"/>
              </w:rPr>
              <w:t>Consumer Direct</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510</w:t>
            </w:r>
          </w:p>
        </w:tc>
        <w:tc>
          <w:tcPr>
            <w:tcW w:w="1040" w:type="dxa"/>
            <w:vAlign w:val="bottom"/>
            <w:gridSpan w:val="2"/>
          </w:tcPr>
          <w:p>
            <w:pPr>
              <w:jc w:val="right"/>
              <w:ind w:right="10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6,154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3,175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94 %</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12,817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4,636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-1563370</wp:posOffset>
            </wp:positionV>
            <wp:extent cx="715645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6450" cy="120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-1301750</wp:posOffset>
            </wp:positionV>
            <wp:extent cx="7156450" cy="141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6450" cy="141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-1040130</wp:posOffset>
            </wp:positionV>
            <wp:extent cx="715645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6450" cy="120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-799465</wp:posOffset>
            </wp:positionV>
            <wp:extent cx="7156450" cy="141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6450" cy="141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-516255</wp:posOffset>
            </wp:positionV>
            <wp:extent cx="715645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6450" cy="120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-275590</wp:posOffset>
            </wp:positionV>
            <wp:extent cx="715645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6450" cy="1200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-1804035</wp:posOffset>
            </wp:positionV>
            <wp:extent cx="715645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645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Change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34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27 %</w:t>
      </w: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(68)%</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(54)%</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215 %</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54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176 %</w:t>
      </w:r>
    </w:p>
    <w:p>
      <w:pPr>
        <w:spacing w:after="0" w:line="130" w:lineRule="exact"/>
        <w:rPr>
          <w:sz w:val="20"/>
          <w:szCs w:val="20"/>
          <w:color w:val="auto"/>
        </w:rPr>
      </w:pPr>
    </w:p>
    <w:p>
      <w:pPr>
        <w:sectPr>
          <w:pgSz w:w="11900" w:h="16838" w:orient="portrait"/>
          <w:cols w:equalWidth="0" w:num="2">
            <w:col w:w="10200" w:space="260"/>
            <w:col w:w="800"/>
          </w:cols>
          <w:pgMar w:left="300" w:top="853" w:right="339" w:bottom="1440" w:gutter="0" w:footer="0" w:header="0"/>
        </w:sectPr>
      </w:pPr>
    </w:p>
    <w:p>
      <w:pPr>
        <w:ind w:left="280" w:hanging="271"/>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realized gains on loan sales and related new MSR capitalization, changes in fair value of IRLCs, changes in fair value of loans held for sale and economic hedging gains and losses.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Ratio of gain on Loans held for sale to volume UPB. See (3) below. Note that the ratio differs from the day-one gain on sale margin upon lock.</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Defined as the UPB of loans funded in the period plus the change in the period in the pull-through adjusted UPB of IRLCs.</w:t>
      </w:r>
    </w:p>
    <w:p>
      <w:pPr>
        <w:spacing w:after="0" w:line="82" w:lineRule="exact"/>
        <w:rPr>
          <w:sz w:val="20"/>
          <w:szCs w:val="20"/>
          <w:color w:val="auto"/>
        </w:rPr>
      </w:pPr>
    </w:p>
    <w:p>
      <w:pPr>
        <w:ind w:right="80" w:firstLine="268"/>
        <w:spacing w:after="0" w:line="252" w:lineRule="auto"/>
        <w:rPr>
          <w:sz w:val="20"/>
          <w:szCs w:val="20"/>
          <w:color w:val="auto"/>
        </w:rPr>
      </w:pPr>
      <w:r>
        <w:rPr>
          <w:rFonts w:ascii="Arial" w:cs="Arial" w:eastAsia="Arial" w:hAnsi="Arial"/>
          <w:sz w:val="15"/>
          <w:szCs w:val="15"/>
          <w:color w:val="auto"/>
        </w:rPr>
        <w:t>We recognized a $29.6 million gain on loans held for sale, net for the third quarter of 2021, a $2.3 million, or 9% increase as compared to the second quarter of 2021. The increase is primarily driven by our consumer direct channel, with an increase in margin and loan production volume. The significantly higher loan production volume in our correspondent channel generated additional gain on sale, largely offset by lower margin. The correspondent channel margin declined primarily due to a $1.3 million gain recognized in the second quarter of 2021 on certain loans favorably acquired in a bulk transaction, while consumer direct margin increased slightly through enhanced execution. Overall, the average gain on sale margin for forward loans declined from 86 basis points in the second quarter of 2021 to 48 basis points in the third quarter of 2021, mostly due to the change in the channel mix, with higher volume in correspondent, a lower margin channel.</w:t>
      </w:r>
    </w:p>
    <w:p>
      <w:pPr>
        <w:spacing w:after="0" w:line="73"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Gain on loans held for sale, net for the nine months ended September 30, 2021 increased $20.3 million, or 27%, as compared to the nine months ended September 30, 2020, all attributed to our consumer direct channel, with an increase in our loan production volume, partially offset by a lower margin. The effect of higher production volume in our correspondent channel was offset by lower margin. The combined $8.2 billion, or 176% new production volume increase in our correspondent and consumer direct channels is due to favorable market conditions for borrower refinancing, the successful integration of the TCB correspondent lending resources, and the demonstrated capability of our Originations platform. We have expanded our correspondent seller network from 119 to 419, a 252% increase in twelve months. In addition, the increase in the new production volume of our consumer direct channel is the result of investments in staffing we made to develop the capabilities of our platform. Overall, the average gain on sale margin for forward loans declined from 160 basis points in the nine months ended September 30, 2020 to 74 basis points in the nine months ended September 30, 2021, mostly due to the change in the channel mix, with higher volume in correspondent, a lower margin channel.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95" w:lineRule="exact"/>
        <w:rPr>
          <w:sz w:val="20"/>
          <w:szCs w:val="20"/>
          <w:color w:val="auto"/>
        </w:rPr>
      </w:pPr>
    </w:p>
    <w:p>
      <w:pPr>
        <w:ind w:right="380" w:firstLine="268"/>
        <w:spacing w:after="0" w:line="270" w:lineRule="auto"/>
        <w:rPr>
          <w:sz w:val="20"/>
          <w:szCs w:val="20"/>
          <w:color w:val="auto"/>
        </w:rPr>
      </w:pPr>
      <w:r>
        <w:rPr>
          <w:rFonts w:ascii="Arial" w:cs="Arial" w:eastAsia="Arial" w:hAnsi="Arial"/>
          <w:sz w:val="15"/>
          <w:szCs w:val="15"/>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Nine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6"/>
                <w:szCs w:val="16"/>
                <w:color w:val="auto"/>
              </w:rPr>
            </w:pPr>
          </w:p>
        </w:tc>
        <w:tc>
          <w:tcPr>
            <w:tcW w:w="1180" w:type="dxa"/>
            <w:vAlign w:val="bottom"/>
          </w:tcPr>
          <w:p>
            <w:pPr>
              <w:jc w:val="right"/>
              <w:ind w:right="38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6"/>
                <w:szCs w:val="16"/>
                <w:color w:val="auto"/>
              </w:rPr>
            </w:pPr>
          </w:p>
        </w:tc>
        <w:tc>
          <w:tcPr>
            <w:tcW w:w="1300" w:type="dxa"/>
            <w:vAlign w:val="bottom"/>
          </w:tcPr>
          <w:p>
            <w:pPr>
              <w:jc w:val="right"/>
              <w:ind w:right="206"/>
              <w:spacing w:after="0"/>
              <w:rPr>
                <w:sz w:val="20"/>
                <w:szCs w:val="20"/>
                <w:color w:val="auto"/>
              </w:rPr>
            </w:pPr>
            <w:r>
              <w:rPr>
                <w:rFonts w:ascii="Arial" w:cs="Arial" w:eastAsia="Arial" w:hAnsi="Arial"/>
                <w:sz w:val="15"/>
                <w:szCs w:val="15"/>
                <w:b w:val="1"/>
                <w:bCs w:val="1"/>
                <w:color w:val="auto"/>
                <w:w w:val="97"/>
              </w:rPr>
              <w:t>September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Origination UPB (1)</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435.3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347.2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1,079.2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660.8</w:t>
            </w:r>
          </w:p>
        </w:tc>
        <w:tc>
          <w:tcPr>
            <w:tcW w:w="108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3"/>
              </w:rPr>
              <w:t>63 %</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Origination margin (2)</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5.42 %</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5.78 %</w:t>
            </w:r>
          </w:p>
        </w:tc>
        <w:tc>
          <w:tcPr>
            <w:tcW w:w="108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26"/>
        </w:trPr>
        <w:tc>
          <w:tcPr>
            <w:tcW w:w="29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Reverse mortgage revenue, net (Originations)</w:t>
            </w:r>
          </w:p>
        </w:tc>
        <w:tc>
          <w:tcPr>
            <w:tcW w:w="2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18.8</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56.7</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38.2</w:t>
            </w:r>
          </w:p>
        </w:tc>
        <w:tc>
          <w:tcPr>
            <w:tcW w:w="1080" w:type="dxa"/>
            <w:vAlign w:val="bottom"/>
            <w:vMerge w:val="restart"/>
            <w:shd w:val="clear" w:color="auto" w:fill="CCEEFF"/>
          </w:tcPr>
          <w:p>
            <w:pPr>
              <w:ind w:left="740"/>
              <w:spacing w:after="0"/>
              <w:rPr>
                <w:sz w:val="20"/>
                <w:szCs w:val="20"/>
                <w:color w:val="auto"/>
              </w:rPr>
            </w:pPr>
            <w:r>
              <w:rPr>
                <w:rFonts w:ascii="Arial" w:cs="Arial" w:eastAsia="Arial" w:hAnsi="Arial"/>
                <w:sz w:val="15"/>
                <w:szCs w:val="15"/>
                <w:color w:val="auto"/>
                <w:w w:val="93"/>
              </w:rPr>
              <w:t>48 %</w:t>
            </w:r>
          </w:p>
        </w:tc>
        <w:tc>
          <w:tcPr>
            <w:tcW w:w="0" w:type="dxa"/>
            <w:vAlign w:val="bottom"/>
          </w:tcPr>
          <w:p>
            <w:pPr>
              <w:spacing w:after="0"/>
              <w:rPr>
                <w:sz w:val="1"/>
                <w:szCs w:val="1"/>
                <w:color w:val="auto"/>
              </w:rPr>
            </w:pPr>
          </w:p>
        </w:tc>
      </w:tr>
      <w:tr>
        <w:trPr>
          <w:trHeight w:val="187"/>
        </w:trPr>
        <w:tc>
          <w:tcPr>
            <w:tcW w:w="2900" w:type="dxa"/>
            <w:vAlign w:val="bottom"/>
            <w:tcBorders>
              <w:bottom w:val="single" w:sz="8" w:color="CCEEFF"/>
            </w:tcBorders>
            <w:shd w:val="clear" w:color="auto" w:fill="CCEEFF"/>
          </w:tcPr>
          <w:p>
            <w:pPr>
              <w:jc w:val="right"/>
              <w:ind w:right="2487"/>
              <w:spacing w:after="0" w:line="167" w:lineRule="exact"/>
              <w:rPr>
                <w:sz w:val="20"/>
                <w:szCs w:val="20"/>
                <w:color w:val="auto"/>
              </w:rPr>
            </w:pPr>
            <w:r>
              <w:rPr>
                <w:rFonts w:ascii="Arial" w:cs="Arial" w:eastAsia="Arial" w:hAnsi="Arial"/>
                <w:sz w:val="15"/>
                <w:szCs w:val="15"/>
                <w:color w:val="auto"/>
              </w:rPr>
              <w:t>(3)</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280" w:hanging="271"/>
        <w:spacing w:after="0"/>
        <w:tabs>
          <w:tab w:leader="none" w:pos="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Defined as the UPB of loans funded in the period plus the change in the period in the pull-through adjusted UPB of IRLCs.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Ratio of origination gain and fees - see (3) below - to origination UPB - see (1) above.</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gain on new origination, and loan fees and other.</w:t>
      </w:r>
    </w:p>
    <w:p>
      <w:pPr>
        <w:spacing w:after="0" w:line="82" w:lineRule="exact"/>
        <w:rPr>
          <w:sz w:val="20"/>
          <w:szCs w:val="20"/>
          <w:color w:val="auto"/>
        </w:rPr>
      </w:pPr>
    </w:p>
    <w:p>
      <w:pPr>
        <w:ind w:right="80" w:firstLine="268"/>
        <w:spacing w:after="0" w:line="279" w:lineRule="auto"/>
        <w:rPr>
          <w:sz w:val="20"/>
          <w:szCs w:val="20"/>
          <w:color w:val="auto"/>
        </w:rPr>
      </w:pPr>
      <w:r>
        <w:rPr>
          <w:rFonts w:ascii="Arial" w:cs="Arial" w:eastAsia="Arial" w:hAnsi="Arial"/>
          <w:sz w:val="14"/>
          <w:szCs w:val="14"/>
          <w:color w:val="auto"/>
        </w:rPr>
        <w:t>We reported $18.1 million Originations Reverse mortgage revenue, net for the third quarter of 2021, a $0.7 million, or 4% decrease as compared to the second quarter of 2021. As detailed in the above table, the decrease is driven by a lower average margin that was largely offset by a volume increase. Our reverse retail channel generated net revenue increases quarter over quarter. Although our reverse wholesale and correspondent channels generated higher volumes, margins were lower in the quarter resulting in a decline in net revenue. The decrease in margin during the third quarter is primarily attributable to unfavorable yield spread widening observed in the market.</w:t>
      </w:r>
    </w:p>
    <w:p>
      <w:pPr>
        <w:spacing w:after="0" w:line="54" w:lineRule="exact"/>
        <w:rPr>
          <w:sz w:val="20"/>
          <w:szCs w:val="20"/>
          <w:color w:val="auto"/>
        </w:rPr>
      </w:pPr>
    </w:p>
    <w:p>
      <w:pPr>
        <w:ind w:right="240" w:firstLine="268"/>
        <w:spacing w:after="0" w:line="255" w:lineRule="auto"/>
        <w:rPr>
          <w:sz w:val="20"/>
          <w:szCs w:val="20"/>
          <w:color w:val="auto"/>
        </w:rPr>
      </w:pPr>
      <w:r>
        <w:rPr>
          <w:rFonts w:ascii="Arial" w:cs="Arial" w:eastAsia="Arial" w:hAnsi="Arial"/>
          <w:sz w:val="15"/>
          <w:szCs w:val="15"/>
          <w:color w:val="auto"/>
        </w:rPr>
        <w:t>Reverse mortgage revenue, net for the nine months ended September 30, 2021 increased $18.5 million, or 48% as compared to the nine months ended September 30, 2020, primarily driven by our volume increase in the reverse retail channel. The increase in the volume of our reverse correspondent channel was largely offset by a lower average margin mostly due to unfavorable yield spread widening observed in the market. Net revenue of our reverse wholesale channel declined during the nine months ended September 30, 2021 mostly due to lower volume.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Revenue</w:t>
      </w:r>
    </w:p>
    <w:p>
      <w:pPr>
        <w:spacing w:after="0" w:line="95"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color w:val="auto"/>
        </w:rPr>
        <w:t>Other revenue for the third quarter of 2021 increased $1.8 million as compared to the second quarter of 2021, primarily driven by higher loan production volumes in the forward correspondent channel. Other revenue increased $16.9 million for the nine months ended September 30, 2021 as compared to the same period of 2020, primarily driven by higher loan production volumes in the forward correspondent and consumer direct channels.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95" w:lineRule="exact"/>
        <w:rPr>
          <w:sz w:val="20"/>
          <w:szCs w:val="20"/>
          <w:color w:val="auto"/>
        </w:rPr>
      </w:pPr>
    </w:p>
    <w:p>
      <w:pPr>
        <w:ind w:right="80" w:firstLine="268"/>
        <w:spacing w:after="0" w:line="253" w:lineRule="auto"/>
        <w:rPr>
          <w:sz w:val="20"/>
          <w:szCs w:val="20"/>
          <w:color w:val="auto"/>
        </w:rPr>
      </w:pPr>
      <w:r>
        <w:rPr>
          <w:rFonts w:ascii="Arial" w:cs="Arial" w:eastAsia="Arial" w:hAnsi="Arial"/>
          <w:sz w:val="15"/>
          <w:szCs w:val="15"/>
          <w:color w:val="auto"/>
        </w:rPr>
        <w:t>MSR valuation adjustments, net includes a gain of $2.8 million for the third quarter of 2021 due to the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We transfer the MSR from the Originations segment to the Servicing segment at fair value.</w:t>
      </w:r>
    </w:p>
    <w:p>
      <w:pPr>
        <w:spacing w:after="0" w:line="72" w:lineRule="exact"/>
        <w:rPr>
          <w:sz w:val="20"/>
          <w:szCs w:val="20"/>
          <w:color w:val="auto"/>
        </w:rPr>
      </w:pPr>
    </w:p>
    <w:p>
      <w:pPr>
        <w:ind w:right="60" w:firstLine="268"/>
        <w:spacing w:after="0" w:line="286" w:lineRule="auto"/>
        <w:rPr>
          <w:sz w:val="20"/>
          <w:szCs w:val="20"/>
          <w:color w:val="auto"/>
        </w:rPr>
      </w:pPr>
      <w:r>
        <w:rPr>
          <w:rFonts w:ascii="Arial" w:cs="Arial" w:eastAsia="Arial" w:hAnsi="Arial"/>
          <w:sz w:val="14"/>
          <w:szCs w:val="14"/>
          <w:color w:val="auto"/>
        </w:rPr>
        <w:t>MSR valuation adjustments, net for the third quarter of 2021 decreased $6.0 million as compared to the second quarter of 2021, mostly due to a decline in the volume purchased and, to a lesser extent a decline in margin. For the nine months ended September 30, 2021, MSR valuation adjustments, net decreased $6.2 million as compared to the same period of 2020. Opportunities for fair value discount or margins were larger in the early period of the pandemic and have reduced as markets normalize.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5"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Operating expenses for the third quarter of 2021 increased $3.8 million, or 10%, as compared to the second quarter of 2021, including a $1.4 million, or 6% increase in Compensation and benefits. Originations average headcount increased 16% as compared to the second quarter of 2021, reflecting the integration of the TCB correspondent lending resources, as part of our initiative to expand our origination platform and increase volumes. The net $2.4 million increase in other operating expenses is primarily driven by a $0.9 million increase in Technology and communications, a $0.6 million increase in Professional services, a $0.4 million increase in origination expenses and a $0.5 million increase in corporate overhead allocations reflecting the growth in our Originations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2" w:name="page93"/>
    <w:bookmarkEnd w:id="92"/>
    <w:p>
      <w:pPr>
        <w:ind w:right="40" w:firstLine="268"/>
        <w:spacing w:after="0" w:line="295" w:lineRule="auto"/>
        <w:rPr>
          <w:sz w:val="20"/>
          <w:szCs w:val="20"/>
          <w:color w:val="auto"/>
        </w:rPr>
      </w:pPr>
      <w:r>
        <w:rPr>
          <w:rFonts w:ascii="Arial" w:cs="Arial" w:eastAsia="Arial" w:hAnsi="Arial"/>
          <w:sz w:val="13"/>
          <w:szCs w:val="13"/>
          <w:color w:val="auto"/>
        </w:rPr>
        <w:t>Operating expenses for the nine months ended September 30, 2021 increased $42.2 million, or 54%, as compared to the nine months ended September 30, 2020, largely due to a $28.4 million, or 67% increase in Compensation and benefits (including a $6.7 million increase in commissions). Originations average headcount increased 67% as compared to the nine months ended September 30, 2020, reflecting an increase in staffing levels, including through the integration of the TCB correspondent lending resources, as part of our initiative to expand our origination platform and increase volumes. The offshore-to-total average headcount ratio for Originations increased from 26% for the nine months ended September 30, 2020 to 36% for the nine months ended September 30, 2021. Other operating expenses increased primarily due to a $4.9 million increase in origination expenses due to increased volumes, a $3.1 million increase in Technology and communications due to additional software licensing costs related to lending, capital markets and hedging systems, a $2.2 million increase in advertising expense, and a $1.8 million increase in Professional services in support of increased volumes. Certain other operating expenses are variable, and as a result, as origination volume increased so did the related expenses. Examples include credit reports included in origination expenses or certain outsourced services recorded in Professional services.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95" w:lineRule="exact"/>
        <w:rPr>
          <w:sz w:val="20"/>
          <w:szCs w:val="20"/>
          <w:color w:val="auto"/>
        </w:rPr>
      </w:pPr>
    </w:p>
    <w:p>
      <w:pPr>
        <w:ind w:right="180" w:firstLine="268"/>
        <w:spacing w:after="0" w:line="307" w:lineRule="auto"/>
        <w:rPr>
          <w:sz w:val="20"/>
          <w:szCs w:val="20"/>
          <w:color w:val="auto"/>
        </w:rPr>
      </w:pPr>
      <w:r>
        <w:rPr>
          <w:rFonts w:ascii="Arial" w:cs="Arial" w:eastAsia="Arial" w:hAnsi="Arial"/>
          <w:sz w:val="13"/>
          <w:szCs w:val="13"/>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 in interest income and interest expense during the third quarter of 2021 as compared to the second quarter of 2021, and the nine months ended September 30, 2021 as compared to the nine months ended September 30, 2020, is primarily the result of the increase in the average held for sale loan and warehouse debt balances due to increased loan production volumes.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jc w:val="both"/>
        <w:ind w:right="380" w:firstLine="268"/>
        <w:spacing w:after="0" w:line="259" w:lineRule="auto"/>
        <w:rPr>
          <w:sz w:val="20"/>
          <w:szCs w:val="20"/>
          <w:color w:val="auto"/>
        </w:rPr>
      </w:pPr>
      <w:r>
        <w:rPr>
          <w:rFonts w:ascii="Arial" w:cs="Arial" w:eastAsia="Arial" w:hAnsi="Arial"/>
          <w:sz w:val="15"/>
          <w:szCs w:val="15"/>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w:t>
      </w:r>
    </w:p>
    <w:p>
      <w:pPr>
        <w:spacing w:after="0" w:line="66"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Interest expense on direct asset-backed financings are recorded in the respective Servicing and Originations segments. Interest expense on the SSTL and the Senior Notes is allocated to the Servicing segment based on funding needs. Prior to the third quarter of 2020, we did not allocate the corporate debt and the associated interest expense to the Servicing segment. The interest expense related to the corporate debt for periods prior to the third quarter of 2020 has been allocated to the Servicing segment to conform to the current period presentation. Our cash balances are included in Corporate Items and Other.</w:t>
      </w:r>
    </w:p>
    <w:p>
      <w:pPr>
        <w:spacing w:after="0" w:line="70" w:lineRule="exact"/>
        <w:rPr>
          <w:sz w:val="20"/>
          <w:szCs w:val="20"/>
          <w:color w:val="auto"/>
        </w:rPr>
      </w:pPr>
    </w:p>
    <w:p>
      <w:pPr>
        <w:ind w:right="280" w:firstLine="268"/>
        <w:spacing w:after="0" w:line="306" w:lineRule="auto"/>
        <w:rPr>
          <w:sz w:val="20"/>
          <w:szCs w:val="20"/>
          <w:color w:val="auto"/>
        </w:rPr>
      </w:pPr>
      <w:r>
        <w:rPr>
          <w:rFonts w:ascii="Arial" w:cs="Arial" w:eastAsia="Arial" w:hAnsi="Arial"/>
          <w:sz w:val="14"/>
          <w:szCs w:val="14"/>
          <w:color w:val="auto"/>
        </w:rPr>
        <w:t>Corporate support services include finance, facilities, human resources, internal audit, legal, risk and compliance and technology functions. Corporate Items and Other also includes severance, retention, facility-related and other expenses incurred in 2020 related to our re-engineering initiatives and have not been allocated to other segments.</w:t>
      </w:r>
    </w:p>
    <w:p>
      <w:pPr>
        <w:spacing w:after="0" w:line="35" w:lineRule="exact"/>
        <w:rPr>
          <w:sz w:val="20"/>
          <w:szCs w:val="20"/>
          <w:color w:val="auto"/>
        </w:rPr>
      </w:pPr>
    </w:p>
    <w:p>
      <w:pPr>
        <w:ind w:right="60" w:firstLine="268"/>
        <w:spacing w:after="0" w:line="301" w:lineRule="auto"/>
        <w:rPr>
          <w:sz w:val="20"/>
          <w:szCs w:val="20"/>
          <w:color w:val="auto"/>
        </w:rPr>
      </w:pPr>
      <w:r>
        <w:rPr>
          <w:rFonts w:ascii="Arial" w:cs="Arial" w:eastAsia="Arial" w:hAnsi="Arial"/>
          <w:sz w:val="13"/>
          <w:szCs w:val="13"/>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50% quote share of premiums and all related losses incurred by the third-party insurer, effective June 2020, and 40% through May 2020.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43" w:lineRule="exact"/>
        <w:rPr>
          <w:sz w:val="20"/>
          <w:szCs w:val="20"/>
          <w:color w:val="auto"/>
        </w:rPr>
      </w:pPr>
    </w:p>
    <w:p>
      <w:pPr>
        <w:ind w:right="220" w:firstLine="268"/>
        <w:spacing w:after="0" w:line="253" w:lineRule="auto"/>
        <w:rPr>
          <w:sz w:val="20"/>
          <w:szCs w:val="20"/>
          <w:color w:val="auto"/>
        </w:rPr>
      </w:pPr>
      <w:r>
        <w:rPr>
          <w:rFonts w:ascii="Arial" w:cs="Arial" w:eastAsia="Arial" w:hAnsi="Arial"/>
          <w:sz w:val="15"/>
          <w:szCs w:val="15"/>
          <w:color w:val="auto"/>
        </w:rPr>
        <w:t>Certain expenses incurred by corporate support services that are not directly attributable to a segment are allocated to the Servicing and Originations segments. We allocate overhead costs incurred by corporate support services to the Servicing and Originations segments which now incorporates the utilization of various measurements primarily based on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costs related to our 2020 re-engineering initiatives, and other costs related to operating as a public company.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93" w:name="page94"/>
    <w:bookmarkEnd w:id="93"/>
    <w:p>
      <w:pPr>
        <w:ind w:right="160" w:firstLine="268"/>
        <w:spacing w:after="0" w:line="270" w:lineRule="auto"/>
        <w:rPr>
          <w:sz w:val="20"/>
          <w:szCs w:val="20"/>
          <w:color w:val="auto"/>
        </w:rPr>
      </w:pPr>
      <w:r>
        <w:rPr>
          <w:rFonts w:ascii="Arial" w:cs="Arial" w:eastAsia="Arial" w:hAnsi="Arial"/>
          <w:sz w:val="15"/>
          <w:szCs w:val="15"/>
          <w:color w:val="auto"/>
        </w:rPr>
        <w:t>The following table presents selected results of operations of Corporate Items and Other. The amounts presented are before the elimination of balances and transactions with our other segments: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4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6"/>
                <w:szCs w:val="16"/>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Arial" w:cs="Arial" w:eastAsia="Arial" w:hAnsi="Arial"/>
                <w:sz w:val="15"/>
                <w:szCs w:val="15"/>
                <w:b w:val="1"/>
                <w:bCs w:val="1"/>
                <w:color w:val="auto"/>
                <w:w w:val="93"/>
              </w:rPr>
              <w:t>September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0"/>
        </w:trPr>
        <w:tc>
          <w:tcPr>
            <w:tcW w:w="304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5"/>
                <w:szCs w:val="15"/>
                <w:color w:val="auto"/>
              </w:rPr>
              <w:t>Premiums (CRL)</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0.9</w:t>
            </w:r>
          </w:p>
        </w:tc>
        <w:tc>
          <w:tcPr>
            <w:tcW w:w="1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3.5</w:t>
            </w:r>
          </w:p>
        </w:tc>
        <w:tc>
          <w:tcPr>
            <w:tcW w:w="2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0.7</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0.1</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829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0.8</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5.2</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14"/>
        </w:trPr>
        <w:tc>
          <w:tcPr>
            <w:tcW w:w="3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19.9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22.1</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67.3</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5"/>
                <w:szCs w:val="15"/>
                <w:color w:val="auto"/>
              </w:rPr>
              <w:t>Professional services</w:t>
            </w: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9.1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13.4</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29.6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52.3</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Technology and communications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5.8</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23.7</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0.6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0.7</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9.3</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0.4</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2.6</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5.0</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5.8</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36"/>
        </w:trPr>
        <w:tc>
          <w:tcPr>
            <w:tcW w:w="3040" w:type="dxa"/>
            <w:vAlign w:val="bottom"/>
            <w:shd w:val="clear" w:color="auto" w:fill="CCEEFF"/>
          </w:tcPr>
          <w:p>
            <w:pPr>
              <w:ind w:left="180"/>
              <w:spacing w:after="0" w:line="136" w:lineRule="exact"/>
              <w:rPr>
                <w:sz w:val="20"/>
                <w:szCs w:val="20"/>
                <w:color w:val="auto"/>
              </w:rPr>
            </w:pPr>
            <w:r>
              <w:rPr>
                <w:rFonts w:ascii="Arial" w:cs="Arial" w:eastAsia="Arial" w:hAnsi="Arial"/>
                <w:sz w:val="15"/>
                <w:szCs w:val="15"/>
                <w:color w:val="auto"/>
              </w:rPr>
              <w:t>Total operating expenses before corporate</w:t>
            </w: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26"/>
              <w:spacing w:after="0" w:line="136" w:lineRule="exact"/>
              <w:rPr>
                <w:sz w:val="20"/>
                <w:szCs w:val="20"/>
                <w:color w:val="auto"/>
              </w:rPr>
            </w:pPr>
            <w:r>
              <w:rPr>
                <w:rFonts w:ascii="Arial" w:cs="Arial" w:eastAsia="Arial" w:hAnsi="Arial"/>
                <w:sz w:val="15"/>
                <w:szCs w:val="15"/>
                <w:color w:val="auto"/>
              </w:rPr>
              <w:t>38.1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26"/>
              <w:spacing w:after="0" w:line="136" w:lineRule="exact"/>
              <w:rPr>
                <w:sz w:val="20"/>
                <w:szCs w:val="20"/>
                <w:color w:val="auto"/>
              </w:rPr>
            </w:pPr>
            <w:r>
              <w:rPr>
                <w:rFonts w:ascii="Arial" w:cs="Arial" w:eastAsia="Arial" w:hAnsi="Arial"/>
                <w:sz w:val="15"/>
                <w:szCs w:val="15"/>
                <w:color w:val="auto"/>
              </w:rPr>
              <w:t>43.5</w:t>
            </w:r>
          </w:p>
        </w:tc>
        <w:tc>
          <w:tcPr>
            <w:tcW w:w="1080" w:type="dxa"/>
            <w:vAlign w:val="bottom"/>
            <w:gridSpan w:val="2"/>
            <w:shd w:val="clear" w:color="auto" w:fill="CCEEFF"/>
          </w:tcPr>
          <w:p>
            <w:pPr>
              <w:jc w:val="right"/>
              <w:ind w:right="66"/>
              <w:spacing w:after="0" w:line="136" w:lineRule="exact"/>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6"/>
              <w:spacing w:after="0" w:line="136" w:lineRule="exact"/>
              <w:rPr>
                <w:sz w:val="20"/>
                <w:szCs w:val="20"/>
                <w:color w:val="auto"/>
              </w:rPr>
            </w:pPr>
            <w:r>
              <w:rPr>
                <w:rFonts w:ascii="Arial" w:cs="Arial" w:eastAsia="Arial" w:hAnsi="Arial"/>
                <w:sz w:val="15"/>
                <w:szCs w:val="15"/>
                <w:color w:val="auto"/>
              </w:rPr>
              <w:t>118.4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26"/>
              <w:spacing w:after="0" w:line="136" w:lineRule="exact"/>
              <w:rPr>
                <w:sz w:val="20"/>
                <w:szCs w:val="20"/>
                <w:color w:val="auto"/>
              </w:rPr>
            </w:pPr>
            <w:r>
              <w:rPr>
                <w:rFonts w:ascii="Arial" w:cs="Arial" w:eastAsia="Arial" w:hAnsi="Arial"/>
                <w:sz w:val="15"/>
                <w:szCs w:val="15"/>
                <w:color w:val="auto"/>
              </w:rPr>
              <w:t>159.6</w:t>
            </w:r>
          </w:p>
        </w:tc>
        <w:tc>
          <w:tcPr>
            <w:tcW w:w="1080" w:type="dxa"/>
            <w:vAlign w:val="bottom"/>
            <w:gridSpan w:val="2"/>
            <w:shd w:val="clear" w:color="auto" w:fill="CCEEFF"/>
          </w:tcPr>
          <w:p>
            <w:pPr>
              <w:jc w:val="right"/>
              <w:ind w:right="66"/>
              <w:spacing w:after="0" w:line="136"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overhead allocations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5"/>
                <w:szCs w:val="15"/>
                <w:color w:val="auto"/>
              </w:rPr>
              <w:t>Corporate overhead allocations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segment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(11.9)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(12.4)</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(36.5)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(48.3)</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Originations segment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(5.1)</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(4.6)</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(14.8)</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(13.7)</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corporate overhead allocations</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(17.0)</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(51.3)</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(61.9)</w:t>
            </w:r>
          </w:p>
        </w:tc>
        <w:tc>
          <w:tcPr>
            <w:tcW w:w="1080" w:type="dxa"/>
            <w:vAlign w:val="bottom"/>
            <w:gridSpan w:val="2"/>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21.1</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26.5</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97.7</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14"/>
        </w:trPr>
        <w:tc>
          <w:tcPr>
            <w:tcW w:w="3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5"/>
                <w:szCs w:val="15"/>
                <w:b w:val="1"/>
                <w:bCs w:val="1"/>
                <w:color w:val="auto"/>
              </w:rPr>
              <w:t>Other income (expense), net</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0.1</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0.1</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(4.9)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(5.5)</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(7.2)</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(3.8)</w:t>
            </w:r>
          </w:p>
        </w:tc>
        <w:tc>
          <w:tcPr>
            <w:tcW w:w="108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expense, net</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(3.6)</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(4.4)</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(28.1)</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(9.3)</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Loss before income taxes</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(23.2)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(90.9)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5"/>
                <w:szCs w:val="15"/>
                <w:color w:val="auto"/>
              </w:rPr>
              <w:t>n/m: not meaningful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95" w:lineRule="exact"/>
        <w:rPr>
          <w:sz w:val="20"/>
          <w:szCs w:val="20"/>
          <w:color w:val="auto"/>
        </w:rPr>
      </w:pPr>
    </w:p>
    <w:p>
      <w:pPr>
        <w:ind w:right="160" w:firstLine="268"/>
        <w:spacing w:after="0" w:line="259" w:lineRule="auto"/>
        <w:rPr>
          <w:sz w:val="20"/>
          <w:szCs w:val="20"/>
          <w:color w:val="auto"/>
        </w:rPr>
      </w:pPr>
      <w:r>
        <w:rPr>
          <w:rFonts w:ascii="Arial" w:cs="Arial" w:eastAsia="Arial" w:hAnsi="Arial"/>
          <w:sz w:val="15"/>
          <w:szCs w:val="15"/>
          <w:color w:val="auto"/>
        </w:rPr>
        <w:t>Compensation and benefits expense for the third quarter of 2021 declined $2.2 million, or 10%, as compared to the second quarter of 2021 as a result of a $2.1 million decrease in incentive compensation mostly due to decrease in the fair value of cash-settled share-based awards associated with the decrease in our common stock price during the quarter. The average corporate headcount and the mix between onshore and offshore was mostly unchanged.</w:t>
      </w:r>
    </w:p>
    <w:p>
      <w:pPr>
        <w:spacing w:after="0" w:line="66"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As compared to the nine months ended September 30, 2020, compensation and benefits expense for the nine months ended September 30, 2021 decreased $3.6 million, or 5%, primarily as a result of a $3.8 million decrease in salaries and benefit expenses due to the effects of a 9% decline in average corporate headcount, including an 18% decrease in average onshore headcount from 322 to 263. In addition, the variance in compensation and benefits expenses included a $3.3 million increase in share-based compensation, offset by a $1.7 million decline in severance expense and a $1.5 million decrease in annual incentive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Professional Services</w:t>
      </w:r>
    </w:p>
    <w:p>
      <w:pPr>
        <w:spacing w:after="0" w:line="95" w:lineRule="exact"/>
        <w:rPr>
          <w:sz w:val="20"/>
          <w:szCs w:val="20"/>
          <w:color w:val="auto"/>
        </w:rPr>
      </w:pPr>
    </w:p>
    <w:p>
      <w:pPr>
        <w:ind w:right="200" w:firstLine="268"/>
        <w:spacing w:after="0" w:line="348" w:lineRule="auto"/>
        <w:rPr>
          <w:sz w:val="20"/>
          <w:szCs w:val="20"/>
          <w:color w:val="auto"/>
        </w:rPr>
      </w:pPr>
      <w:r>
        <w:rPr>
          <w:rFonts w:ascii="Arial" w:cs="Arial" w:eastAsia="Arial" w:hAnsi="Arial"/>
          <w:sz w:val="13"/>
          <w:szCs w:val="13"/>
          <w:color w:val="auto"/>
        </w:rPr>
        <w:t>Professional services expense for the third quarter of 2021 declined $4.2 million, or 32%, as compared to the second quarter of 2021, primarily due to a $3.0 million decrease in legal expenses and a $1.0 million decrease in other professional fees. The net decrease in legal expenses is largely due to a $2.8 million decrease in provision for litigation settlements. The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4" w:name="page95"/>
    <w:bookmarkEnd w:id="94"/>
    <w:p>
      <w:pPr>
        <w:ind w:right="260"/>
        <w:spacing w:after="0" w:line="270" w:lineRule="auto"/>
        <w:rPr>
          <w:sz w:val="20"/>
          <w:szCs w:val="20"/>
          <w:color w:val="auto"/>
        </w:rPr>
      </w:pPr>
      <w:r>
        <w:rPr>
          <w:rFonts w:ascii="Arial" w:cs="Arial" w:eastAsia="Arial" w:hAnsi="Arial"/>
          <w:sz w:val="15"/>
          <w:szCs w:val="15"/>
          <w:color w:val="auto"/>
        </w:rPr>
        <w:t>decrease in other professional fees is primarily due to $3.2 million of advisory fees incurred during second quarter of 2021 related to the setup of our MSR investment joint venture with Oaktree, MAV Canopy, partially offset by $2.4 million strategic consulting expense incurred during the third quarter of 2021.</w:t>
      </w:r>
    </w:p>
    <w:p>
      <w:pPr>
        <w:spacing w:after="0" w:line="58"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As compared to the nine months ended September 30, 2020, Professional services expense for the nine months ended September 30, 2021 declined $22.7 million, or 43%, primarily due to a $12.7 million decrease in legal expenses and a $9.7 million decline in other professional services. The net decrease in legal expenses is largely due to expenses and provision for litigation settlement recorded in the first nine months of 2020 related to the CFPB and Florida matters. Cost reduction initiatives and higher utilization of professional services in 2020, including strategic vendor sourcing, cloud migration and consulting, resulted in lower other professional fees in 2021. Other professional services for the nine months ended September 30, 2021 includes $3.2 million of advisory fees related to the setup of our MSR investment joint venture with Oaktree, MAV Canopy, which closed on May 3, 2021. Professional services expenses for the nine months ended September 30, 2020 include $3.2 million of COVID-19 related expenses.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Technology and communications and Occupancy and equipment expenses remained mostly constant in the third quarter of 2021 as compared to the second quarter of 2021.</w:t>
      </w:r>
    </w:p>
    <w:p>
      <w:pPr>
        <w:spacing w:after="0" w:line="107" w:lineRule="exact"/>
        <w:rPr>
          <w:sz w:val="20"/>
          <w:szCs w:val="20"/>
          <w:color w:val="auto"/>
        </w:rPr>
      </w:pPr>
    </w:p>
    <w:p>
      <w:pPr>
        <w:ind w:right="160" w:firstLine="268"/>
        <w:spacing w:after="0" w:line="307" w:lineRule="auto"/>
        <w:rPr>
          <w:sz w:val="20"/>
          <w:szCs w:val="20"/>
          <w:color w:val="auto"/>
        </w:rPr>
      </w:pPr>
      <w:r>
        <w:rPr>
          <w:rFonts w:ascii="Arial" w:cs="Arial" w:eastAsia="Arial" w:hAnsi="Arial"/>
          <w:sz w:val="13"/>
          <w:szCs w:val="13"/>
          <w:color w:val="auto"/>
        </w:rPr>
        <w:t>Technology and communications expense for the nine months ended September 30, 2021 declined $6.2 million, or 26%, as compared to the nine months ended September 30, 2020, primarily due to a $3.1 million decrease in telephone expense, and a $3.7 million decrease in hardware and software depreciation and related expenses. Cost re-engineering initiatives in 2020 resulted in lower Technology and communications expenses in 2021 through facility closure and the transition to a more cost-effective alternative telephone system. During the nine months ended September 30, 2020, we recognized accelerated depreciation for certain of our hardware and software assets and incurred additional expenses related to COVID-19.</w:t>
      </w:r>
    </w:p>
    <w:p>
      <w:pPr>
        <w:spacing w:after="0" w:line="38" w:lineRule="exact"/>
        <w:rPr>
          <w:sz w:val="20"/>
          <w:szCs w:val="20"/>
          <w:color w:val="auto"/>
        </w:rPr>
      </w:pPr>
    </w:p>
    <w:p>
      <w:pPr>
        <w:ind w:right="540" w:firstLine="268"/>
        <w:spacing w:after="0" w:line="317" w:lineRule="auto"/>
        <w:rPr>
          <w:sz w:val="20"/>
          <w:szCs w:val="20"/>
          <w:color w:val="auto"/>
        </w:rPr>
      </w:pPr>
      <w:r>
        <w:rPr>
          <w:rFonts w:ascii="Arial" w:cs="Arial" w:eastAsia="Arial" w:hAnsi="Arial"/>
          <w:sz w:val="13"/>
          <w:szCs w:val="13"/>
          <w:color w:val="auto"/>
        </w:rPr>
        <w:t>Occupancy and equipment expense for the nine months ended September 30, 2021 decreased $7.1 million, or 76%, as compared to the nine months ended September 30, 2020, primarily due to the recognition of facility-related costs in the second quarter of 2020, mainly accelerated depreciation and exit costs of leased properties we partially abandoned. Depreciation expense for the nine months ended September 30, 2021 declined $5.4 million as compared to the nine months ended September 30, 2020.</w:t>
      </w:r>
    </w:p>
    <w:p>
      <w:pPr>
        <w:spacing w:after="0" w:line="21" w:lineRule="exact"/>
        <w:rPr>
          <w:sz w:val="20"/>
          <w:szCs w:val="20"/>
          <w:color w:val="auto"/>
        </w:rPr>
      </w:pPr>
    </w:p>
    <w:p>
      <w:pPr>
        <w:ind w:firstLine="268"/>
        <w:spacing w:after="0" w:line="232" w:lineRule="auto"/>
        <w:rPr>
          <w:sz w:val="20"/>
          <w:szCs w:val="20"/>
          <w:color w:val="auto"/>
        </w:rPr>
      </w:pPr>
      <w:r>
        <w:rPr>
          <w:rFonts w:ascii="Arial" w:cs="Arial" w:eastAsia="Arial" w:hAnsi="Arial"/>
          <w:sz w:val="15"/>
          <w:szCs w:val="15"/>
          <w:color w:val="auto"/>
        </w:rPr>
        <w:t>Corporate overhead allocations remained mostly constant in the third quarter of 2021 as compared to the second quarter of 2021, and decreased $10.6 million for the nine months ended September 30, 2021 as compared to the nine months ended September 30, 2020. The nine month decline is mostly due to the benefits of cost savings achieved at the corporate level, specifically technology expenses, achieved through our cost re-engineering initiatives in 2020.</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Other Income (Expenses)</w:t>
      </w:r>
    </w:p>
    <w:p>
      <w:pPr>
        <w:spacing w:after="0" w:line="95" w:lineRule="exact"/>
        <w:rPr>
          <w:sz w:val="20"/>
          <w:szCs w:val="20"/>
          <w:color w:val="auto"/>
        </w:rPr>
      </w:pPr>
    </w:p>
    <w:p>
      <w:pPr>
        <w:ind w:right="120" w:firstLine="268"/>
        <w:spacing w:after="0" w:line="259" w:lineRule="auto"/>
        <w:rPr>
          <w:sz w:val="20"/>
          <w:szCs w:val="20"/>
          <w:color w:val="auto"/>
        </w:rPr>
      </w:pPr>
      <w:r>
        <w:rPr>
          <w:rFonts w:ascii="Arial" w:cs="Arial" w:eastAsia="Arial" w:hAnsi="Arial"/>
          <w:sz w:val="15"/>
          <w:szCs w:val="15"/>
          <w:color w:val="auto"/>
        </w:rPr>
        <w:t>Interest expense of the Corporate segment relates to the remaining corporate debt unallocated to other segments. Interest expense increased $7.8 million, or 108%, for the nine months ended September 30, 2021 as compared to the nine months ended September 30, 2020. The increase is primarily driven by a higher cost of corporate debt that is mostly due to the senior secured notes issued at a discount on March 4, 2021 and May 3, 2021.</w:t>
      </w:r>
    </w:p>
    <w:p>
      <w:pPr>
        <w:spacing w:after="0" w:line="66" w:lineRule="exact"/>
        <w:rPr>
          <w:sz w:val="20"/>
          <w:szCs w:val="20"/>
          <w:color w:val="auto"/>
        </w:rPr>
      </w:pPr>
    </w:p>
    <w:p>
      <w:pPr>
        <w:jc w:val="both"/>
        <w:ind w:right="100" w:firstLine="268"/>
        <w:spacing w:after="0" w:line="259" w:lineRule="auto"/>
        <w:rPr>
          <w:sz w:val="20"/>
          <w:szCs w:val="20"/>
          <w:color w:val="auto"/>
        </w:rPr>
      </w:pPr>
      <w:r>
        <w:rPr>
          <w:rFonts w:ascii="Arial" w:cs="Arial" w:eastAsia="Arial" w:hAnsi="Arial"/>
          <w:sz w:val="15"/>
          <w:szCs w:val="15"/>
          <w:color w:val="auto"/>
        </w:rPr>
        <w:t>On March 4, 2021, we recognized a loss on debt extinguishment of $15.5 million resulting from our early repayment of the SSTL due May 2022, 6.375% PHH senior unsecured notes due August 2021, and 8.375% PMC senior secured notes due November 2022. The loss on debt extinguishment includes the write-off of unamortized debt issuance costs and discount, as well as contractual prepayment premiums.</w:t>
      </w:r>
    </w:p>
    <w:p>
      <w:pPr>
        <w:spacing w:after="0" w:line="66"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We reported $2.1 million Other income in the nine months ended September 30, 2021, as compared to $3.8 million Other expense in the nine months ended September 30, 2020. The net $5.9 million favorable variance in Other, net is primarily driven by a $1.7 million loss on sale of a vacant office facility reported in the second quarter of 2020, a $1.6 million decrease in CRL loss adjustment expense due to a decline in the number of covered REO properties due to the COVID-19 foreclosure moratorium and a $1.4 million increase in foreign currency remeasurement gains related to our operations in India and the Philippines.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95" w:name="page96"/>
    <w:bookmarkEnd w:id="95"/>
    <w:p>
      <w:pPr>
        <w:ind w:left="20"/>
        <w:spacing w:after="0"/>
        <w:rPr>
          <w:sz w:val="20"/>
          <w:szCs w:val="20"/>
          <w:color w:val="auto"/>
        </w:rPr>
      </w:pPr>
      <w:r>
        <w:rPr>
          <w:rFonts w:ascii="Arial" w:cs="Arial" w:eastAsia="Arial" w:hAnsi="Arial"/>
          <w:sz w:val="15"/>
          <w:szCs w:val="15"/>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4184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9" w:lineRule="exact"/>
        <w:rPr>
          <w:sz w:val="20"/>
          <w:szCs w:val="20"/>
          <w:color w:val="auto"/>
        </w:rPr>
      </w:pPr>
    </w:p>
    <w:p>
      <w:pPr>
        <w:ind w:right="620" w:firstLine="268"/>
        <w:spacing w:after="0" w:line="270" w:lineRule="auto"/>
        <w:rPr>
          <w:sz w:val="20"/>
          <w:szCs w:val="20"/>
          <w:color w:val="auto"/>
        </w:rPr>
      </w:pPr>
      <w:r>
        <w:rPr>
          <w:rFonts w:ascii="Arial" w:cs="Arial" w:eastAsia="Arial" w:hAnsi="Arial"/>
          <w:sz w:val="15"/>
          <w:szCs w:val="15"/>
          <w:color w:val="auto"/>
        </w:rPr>
        <w:t>On March 4, 2021, we successfully completed a comprehensive refinancing of our corporate debt and a capital contribution to our licensed entity PMC, through the following transactions:</w:t>
      </w:r>
    </w:p>
    <w:p>
      <w:pPr>
        <w:spacing w:after="0" w:line="58" w:lineRule="exact"/>
        <w:rPr>
          <w:sz w:val="20"/>
          <w:szCs w:val="20"/>
          <w:color w:val="auto"/>
        </w:rPr>
      </w:pPr>
    </w:p>
    <w:p>
      <w:pPr>
        <w:ind w:left="540" w:right="20" w:hanging="263"/>
        <w:spacing w:after="0" w:line="273" w:lineRule="auto"/>
        <w:tabs>
          <w:tab w:leader="none" w:pos="536"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redeemed all of PHH’s outstanding 6.375% Senior Notes due August 2021 at a price of 100% of the $21.5 million principal amount, plus accrued and unpaid interest, and all of PMC’s 8.375% Senior Secured Notes due November 2022 at a price of 102.094% of the $291.5 million principal amount, plus accrued and unpaid interest.</w:t>
      </w:r>
    </w:p>
    <w:p>
      <w:pPr>
        <w:ind w:left="540" w:hanging="263"/>
        <w:spacing w:after="0"/>
        <w:tabs>
          <w:tab w:leader="none" w:pos="540" w:val="left"/>
        </w:tabs>
        <w:numPr>
          <w:ilvl w:val="0"/>
          <w:numId w:val="48"/>
        </w:numPr>
        <w:rPr>
          <w:rFonts w:ascii="Arial" w:cs="Arial" w:eastAsia="Arial" w:hAnsi="Arial"/>
          <w:sz w:val="11"/>
          <w:szCs w:val="11"/>
          <w:color w:val="auto"/>
        </w:rPr>
      </w:pPr>
      <w:r>
        <w:rPr>
          <w:rFonts w:ascii="Arial" w:cs="Arial" w:eastAsia="Arial" w:hAnsi="Arial"/>
          <w:sz w:val="13"/>
          <w:szCs w:val="13"/>
          <w:color w:val="auto"/>
        </w:rPr>
        <w:t>We repaid in full the $185.0 million outstanding principal balance of the SSTL due May 2022, with a 2% prepayment premium of the outstanding principal balance, or $3.7 million.</w:t>
      </w:r>
    </w:p>
    <w:p>
      <w:pPr>
        <w:spacing w:after="0" w:line="28" w:lineRule="exact"/>
        <w:rPr>
          <w:rFonts w:ascii="Arial" w:cs="Arial" w:eastAsia="Arial" w:hAnsi="Arial"/>
          <w:sz w:val="11"/>
          <w:szCs w:val="11"/>
          <w:color w:val="auto"/>
        </w:rPr>
      </w:pPr>
    </w:p>
    <w:p>
      <w:pPr>
        <w:ind w:left="540" w:hanging="263"/>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PMC completed the issuance and sale of $400.0 million aggregate principal amount of 7.875% senior secured notes due March 15, 2026 (the PMC Senior Secured Notes).</w:t>
      </w:r>
    </w:p>
    <w:p>
      <w:pPr>
        <w:spacing w:after="0" w:line="17" w:lineRule="exact"/>
        <w:rPr>
          <w:rFonts w:ascii="Arial" w:cs="Arial" w:eastAsia="Arial" w:hAnsi="Arial"/>
          <w:sz w:val="14"/>
          <w:szCs w:val="14"/>
          <w:color w:val="auto"/>
        </w:rPr>
      </w:pPr>
    </w:p>
    <w:p>
      <w:pPr>
        <w:ind w:left="540" w:right="120" w:hanging="263"/>
        <w:spacing w:after="0" w:line="286" w:lineRule="auto"/>
        <w:tabs>
          <w:tab w:leader="none" w:pos="536" w:val="left"/>
        </w:tabs>
        <w:numPr>
          <w:ilvl w:val="0"/>
          <w:numId w:val="48"/>
        </w:numPr>
        <w:rPr>
          <w:rFonts w:ascii="Arial" w:cs="Arial" w:eastAsia="Arial" w:hAnsi="Arial"/>
          <w:sz w:val="13"/>
          <w:szCs w:val="13"/>
          <w:color w:val="auto"/>
        </w:rPr>
      </w:pPr>
      <w:r>
        <w:rPr>
          <w:rFonts w:ascii="Arial" w:cs="Arial" w:eastAsia="Arial" w:hAnsi="Arial"/>
          <w:sz w:val="13"/>
          <w:szCs w:val="13"/>
          <w:color w:val="auto"/>
        </w:rPr>
        <w:t>Ocwen Financial Corporation, completed the private placement of $199.5 million aggregate principal amount of senior secured notes due March 4, 2027 (the OFC Senior Secured Notes) together with the issuance of warrants to certain entities owned by funds and accounts managed by Oaktree Capital Management, L.P. (the Oaktree Investors).</w:t>
      </w:r>
    </w:p>
    <w:p>
      <w:pPr>
        <w:ind w:left="540" w:right="360" w:hanging="263"/>
        <w:spacing w:after="0" w:line="291" w:lineRule="auto"/>
        <w:tabs>
          <w:tab w:leader="none" w:pos="531" w:val="left"/>
        </w:tabs>
        <w:numPr>
          <w:ilvl w:val="0"/>
          <w:numId w:val="48"/>
        </w:numPr>
        <w:rPr>
          <w:rFonts w:ascii="Arial" w:cs="Arial" w:eastAsia="Arial" w:hAnsi="Arial"/>
          <w:sz w:val="12"/>
          <w:szCs w:val="12"/>
          <w:color w:val="auto"/>
        </w:rPr>
      </w:pPr>
      <w:r>
        <w:rPr>
          <w:rFonts w:ascii="Arial" w:cs="Arial" w:eastAsia="Arial" w:hAnsi="Arial"/>
          <w:sz w:val="14"/>
          <w:szCs w:val="14"/>
          <w:color w:val="auto"/>
        </w:rPr>
        <w:t>Ocwen Financial Corporation contributed the $175.0 million net proceeds from the issuance of the OFC Senior Secured Notes to its wholly owned subsidiary, PHH, and PHH contributed $153.4 million to its wholly owned subsidiary PMC, as permanent equity, after redeeming PHH’s 6.375% Senior Notes disclosed above.</w:t>
      </w:r>
    </w:p>
    <w:p>
      <w:pPr>
        <w:spacing w:after="0" w:line="1" w:lineRule="exact"/>
        <w:rPr>
          <w:sz w:val="20"/>
          <w:szCs w:val="20"/>
          <w:color w:val="auto"/>
        </w:rPr>
      </w:pPr>
    </w:p>
    <w:p>
      <w:pPr>
        <w:ind w:right="300" w:firstLine="268"/>
        <w:spacing w:after="0" w:line="259" w:lineRule="auto"/>
        <w:rPr>
          <w:sz w:val="20"/>
          <w:szCs w:val="20"/>
          <w:color w:val="auto"/>
        </w:rPr>
      </w:pPr>
      <w:r>
        <w:rPr>
          <w:rFonts w:ascii="Arial" w:cs="Arial" w:eastAsia="Arial" w:hAnsi="Arial"/>
          <w:sz w:val="15"/>
          <w:szCs w:val="15"/>
          <w:color w:val="auto"/>
        </w:rPr>
        <w:t>With the completion of the corporate debt refinancing, we have reduced corporate indebtedness at the PHH and PMC level by approximately $100 million and extended overall corporate debt maturities by over three years resulting in a better alignment of the debt profile with our investments. We now have greater financial flexibility than with the prior capital structure, and we believe, an opportunity to negotiate better terms for our future financing needs.</w:t>
      </w:r>
    </w:p>
    <w:p>
      <w:pPr>
        <w:spacing w:after="0" w:line="66"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On May 3, 2021, concurrent with the closing of the MAV transaction, we issued to Oaktree the second tranche of the OFC Senior Secured Notes due March 4, 2027 in an aggregate principal amount of $85.5 million, together with the issuance of common shares and additional warrants.</w:t>
      </w:r>
    </w:p>
    <w:p>
      <w:pPr>
        <w:spacing w:after="0" w:line="58"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In addition, in the normal course of business, we are actively engaged with our lenders and as a result, have successfully completed at market terms the following with respect to our current and anticipated financing needs:</w:t>
      </w:r>
    </w:p>
    <w:p>
      <w:pPr>
        <w:spacing w:after="0" w:line="58" w:lineRule="exact"/>
        <w:rPr>
          <w:sz w:val="20"/>
          <w:szCs w:val="20"/>
          <w:color w:val="auto"/>
        </w:rPr>
      </w:pPr>
    </w:p>
    <w:p>
      <w:pPr>
        <w:ind w:left="540" w:right="40" w:hanging="263"/>
        <w:spacing w:after="0" w:line="290" w:lineRule="auto"/>
        <w:tabs>
          <w:tab w:leader="none" w:pos="531" w:val="left"/>
        </w:tabs>
        <w:numPr>
          <w:ilvl w:val="0"/>
          <w:numId w:val="49"/>
        </w:numPr>
        <w:rPr>
          <w:rFonts w:ascii="Arial" w:cs="Arial" w:eastAsia="Arial" w:hAnsi="Arial"/>
          <w:sz w:val="11"/>
          <w:szCs w:val="11"/>
          <w:color w:val="auto"/>
        </w:rPr>
      </w:pPr>
      <w:r>
        <w:rPr>
          <w:rFonts w:ascii="Arial" w:cs="Arial" w:eastAsia="Arial" w:hAnsi="Arial"/>
          <w:sz w:val="13"/>
          <w:szCs w:val="13"/>
          <w:color w:val="auto"/>
        </w:rPr>
        <w:t>On March 29, 2021, we entered into a gestation repurchase agreement which provides borrowing at our discretion up to a certain maximum amount of capacity on a rolling 30-day committed basis. Under this facility, dry Agency mortgage loans are sold to a trust which issues a trust certificate that is pledged as the collateral for any borrowings. On March 31, 2021, the trust issued the first certificate of $50.0 million which was increased to $75.0 million on May 28, 2021 and further increased to $225.0 million on July 29, 2021. The second trust certificate of $50.0 million was issued on April 12, 2021 and increased to $100.0 million on July 13, 2021. Additional trust certificates of $25.0 million and</w:t>
      </w:r>
    </w:p>
    <w:p>
      <w:pPr>
        <w:ind w:left="540"/>
        <w:spacing w:after="0"/>
        <w:rPr>
          <w:rFonts w:ascii="Arial" w:cs="Arial" w:eastAsia="Arial" w:hAnsi="Arial"/>
          <w:sz w:val="11"/>
          <w:szCs w:val="11"/>
          <w:color w:val="auto"/>
        </w:rPr>
      </w:pPr>
      <w:r>
        <w:rPr>
          <w:rFonts w:ascii="Arial" w:cs="Arial" w:eastAsia="Arial" w:hAnsi="Arial"/>
          <w:sz w:val="13"/>
          <w:szCs w:val="13"/>
          <w:color w:val="auto"/>
        </w:rPr>
        <w:t>$100.0 million were issued for borrowing on June 25, 2021 and July 23, 2021, respectively, under this agreement. In July 2021, the interest rate was reduced to 1ML + 200 bps.</w:t>
      </w:r>
    </w:p>
    <w:p>
      <w:pPr>
        <w:spacing w:after="0" w:line="19" w:lineRule="exact"/>
        <w:rPr>
          <w:rFonts w:ascii="Arial" w:cs="Arial" w:eastAsia="Arial" w:hAnsi="Arial"/>
          <w:sz w:val="11"/>
          <w:szCs w:val="11"/>
          <w:color w:val="auto"/>
        </w:rPr>
      </w:pPr>
    </w:p>
    <w:p>
      <w:pPr>
        <w:ind w:left="540" w:right="200" w:hanging="263"/>
        <w:spacing w:after="0" w:line="222" w:lineRule="auto"/>
        <w:tabs>
          <w:tab w:leader="none" w:pos="531" w:val="left"/>
        </w:tabs>
        <w:numPr>
          <w:ilvl w:val="0"/>
          <w:numId w:val="49"/>
        </w:numPr>
        <w:rPr>
          <w:rFonts w:ascii="Arial" w:cs="Arial" w:eastAsia="Arial" w:hAnsi="Arial"/>
          <w:sz w:val="13"/>
          <w:szCs w:val="13"/>
          <w:color w:val="auto"/>
        </w:rPr>
      </w:pPr>
      <w:r>
        <w:rPr>
          <w:rFonts w:ascii="Arial" w:cs="Arial" w:eastAsia="Arial" w:hAnsi="Arial"/>
          <w:sz w:val="15"/>
          <w:szCs w:val="15"/>
          <w:color w:val="auto"/>
        </w:rPr>
        <w:t>On March 30, 2021, the borrowing capacity on a reverse mortgage loan facility was temporarily increased from $100.0 million to $150.0 million effective April 1, 2021 until the increase was made permanent on April 29, 2021. On September 27, 2021, the borrowing capacity of this facility was increased to $175.0 million until maturity. On October 14, 2021, the facility was extended to November 23, 2021.</w:t>
      </w:r>
    </w:p>
    <w:p>
      <w:pPr>
        <w:ind w:left="540" w:hanging="263"/>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March 31, 2021, we extended the maturity date on a $275.0 million repurchase facility to June 30, 2022.</w:t>
      </w:r>
    </w:p>
    <w:p>
      <w:pPr>
        <w:spacing w:after="0" w:line="3" w:lineRule="exact"/>
        <w:rPr>
          <w:rFonts w:ascii="Arial" w:cs="Arial" w:eastAsia="Arial" w:hAnsi="Arial"/>
          <w:sz w:val="15"/>
          <w:szCs w:val="15"/>
          <w:color w:val="auto"/>
        </w:rPr>
      </w:pPr>
    </w:p>
    <w:p>
      <w:pPr>
        <w:ind w:left="540" w:hanging="263"/>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April 29, 2021, we entered into a revolving facility which provides up to $30.0 million of committed borrowing capacity secured by eligible HECM loans.</w:t>
      </w:r>
    </w:p>
    <w:p>
      <w:pPr>
        <w:spacing w:after="0" w:line="5" w:lineRule="exact"/>
        <w:rPr>
          <w:rFonts w:ascii="Arial" w:cs="Arial" w:eastAsia="Arial" w:hAnsi="Arial"/>
          <w:sz w:val="15"/>
          <w:szCs w:val="15"/>
          <w:color w:val="auto"/>
        </w:rPr>
      </w:pPr>
    </w:p>
    <w:p>
      <w:pPr>
        <w:ind w:left="540" w:right="460" w:hanging="263"/>
        <w:spacing w:after="0" w:line="248" w:lineRule="auto"/>
        <w:tabs>
          <w:tab w:leader="none" w:pos="536"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May 17, 2021, we increased the total borrowing capacity of a $100.0 million uncommitted facility to $150.0 million through the addition of a $50.0 million participation interest. We use this facility to finance the purchase of EBO loans from Ginnie Mae.</w:t>
      </w:r>
    </w:p>
    <w:p>
      <w:pPr>
        <w:ind w:left="540" w:right="140" w:hanging="263"/>
        <w:spacing w:after="0" w:line="248" w:lineRule="auto"/>
        <w:tabs>
          <w:tab w:leader="none" w:pos="531" w:val="left"/>
        </w:tabs>
        <w:numPr>
          <w:ilvl w:val="0"/>
          <w:numId w:val="49"/>
        </w:numPr>
        <w:rPr>
          <w:rFonts w:ascii="Arial" w:cs="Arial" w:eastAsia="Arial" w:hAnsi="Arial"/>
          <w:sz w:val="13"/>
          <w:szCs w:val="13"/>
          <w:color w:val="auto"/>
        </w:rPr>
      </w:pPr>
      <w:r>
        <w:rPr>
          <w:rFonts w:ascii="Arial" w:cs="Arial" w:eastAsia="Arial" w:hAnsi="Arial"/>
          <w:sz w:val="15"/>
          <w:szCs w:val="15"/>
          <w:color w:val="auto"/>
        </w:rPr>
        <w:t>On June 2, 2021, we temporarily upsized committed Agency MSR financing facility capacity to $425.0 million for a period of 90 calendar days ending no later than September 1, 2021. On August 26, 2021 and later on October 25, 2021</w:t>
      </w:r>
      <w:r>
        <w:rPr>
          <w:rFonts w:ascii="Arial" w:cs="Arial" w:eastAsia="Arial" w:hAnsi="Arial"/>
          <w:sz w:val="13"/>
          <w:szCs w:val="13"/>
          <w:color w:val="auto"/>
        </w:rPr>
        <w:t>,</w:t>
      </w:r>
      <w:r>
        <w:rPr>
          <w:rFonts w:ascii="Arial" w:cs="Arial" w:eastAsia="Arial" w:hAnsi="Arial"/>
          <w:sz w:val="15"/>
          <w:szCs w:val="15"/>
          <w:color w:val="auto"/>
        </w:rPr>
        <w:t xml:space="preserve"> the temporary upsize was extended until November 1, 2021.</w:t>
      </w:r>
    </w:p>
    <w:p>
      <w:pPr>
        <w:ind w:left="540" w:right="260" w:hanging="263"/>
        <w:spacing w:after="0" w:line="248" w:lineRule="auto"/>
        <w:tabs>
          <w:tab w:leader="none" w:pos="536"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June 23, 2021, we renewed a $210.0 million mortgage loan warehouse agreement for one year to June 23, 2022 and increased the total borrowing capacity to $250.0 million ($150.0 million uncommitted and $100.0 million committed).</w:t>
      </w:r>
    </w:p>
    <w:p>
      <w:pPr>
        <w:ind w:left="540" w:right="160" w:hanging="263"/>
        <w:spacing w:after="0" w:line="256" w:lineRule="auto"/>
        <w:tabs>
          <w:tab w:leader="none" w:pos="536"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June 28, 2021, we entered into an Agency MSR financing facility which includes a $135.0 million term loan and a $285.0 million revolving loan. The original maturity of the revolving loan is June 28, 2026, and the term loan is scheduled to mature on June 28, 2023.</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050" w:right="339" w:bottom="1440" w:gutter="0" w:footer="0" w:header="0"/>
        </w:sectPr>
      </w:pPr>
    </w:p>
    <w:bookmarkStart w:id="96" w:name="page97"/>
    <w:bookmarkEnd w:id="96"/>
    <w:p>
      <w:pPr>
        <w:ind w:left="540" w:right="200" w:hanging="263"/>
        <w:spacing w:after="0" w:line="255"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 June 30, 2021, we extended the amortization date of the OMART variable funding facility by one year to June 30, 2022. The interest rate margin on the lender’s cost of funds was reduced from 400 bps to 200 bps, and the total borrowing capacity was reduced from $250.0 million to $80.0 million.</w:t>
      </w:r>
    </w:p>
    <w:p>
      <w:pPr>
        <w:ind w:left="540" w:right="340" w:hanging="263"/>
        <w:spacing w:after="0" w:line="248" w:lineRule="auto"/>
        <w:tabs>
          <w:tab w:leader="none" w:pos="531" w:val="left"/>
        </w:tabs>
        <w:numPr>
          <w:ilvl w:val="0"/>
          <w:numId w:val="50"/>
        </w:numPr>
        <w:rPr>
          <w:rFonts w:ascii="Arial" w:cs="Arial" w:eastAsia="Arial" w:hAnsi="Arial"/>
          <w:sz w:val="13"/>
          <w:szCs w:val="13"/>
          <w:color w:val="auto"/>
        </w:rPr>
      </w:pPr>
      <w:r>
        <w:rPr>
          <w:rFonts w:ascii="Arial" w:cs="Arial" w:eastAsia="Arial" w:hAnsi="Arial"/>
          <w:sz w:val="15"/>
          <w:szCs w:val="15"/>
          <w:color w:val="auto"/>
        </w:rPr>
        <w:t>On June 30, 2021, we extended the amortization date of the OFAF variable funding facility for 60 days to August 27, 2021. On August 26, 2021, we further extended the amortization date to August 26, 2022, reduced the interest rate to the lender’s cost of funds plus a margin of 200 bps and reduced the borrowing capacity from $70.0 million to $40.0 million.</w:t>
      </w:r>
    </w:p>
    <w:p>
      <w:pPr>
        <w:ind w:left="540" w:right="160" w:hanging="263"/>
        <w:spacing w:after="0" w:line="248" w:lineRule="auto"/>
        <w:tabs>
          <w:tab w:leader="none" w:pos="531" w:val="left"/>
        </w:tabs>
        <w:numPr>
          <w:ilvl w:val="0"/>
          <w:numId w:val="50"/>
        </w:numPr>
        <w:rPr>
          <w:rFonts w:ascii="Arial" w:cs="Arial" w:eastAsia="Arial" w:hAnsi="Arial"/>
          <w:sz w:val="13"/>
          <w:szCs w:val="13"/>
          <w:color w:val="auto"/>
        </w:rPr>
      </w:pPr>
      <w:r>
        <w:rPr>
          <w:rFonts w:ascii="Arial" w:cs="Arial" w:eastAsia="Arial" w:hAnsi="Arial"/>
          <w:sz w:val="15"/>
          <w:szCs w:val="15"/>
          <w:color w:val="auto"/>
        </w:rPr>
        <w:t>On July 23, 2021, we temporarily increased the total borrowing capacity of a $150.0 million uncommitted warehouse facility to $300.0 million, until September 15, 2021, that we further extended to November 15, 2021.</w:t>
      </w:r>
    </w:p>
    <w:p>
      <w:pPr>
        <w:ind w:left="540" w:right="180" w:hanging="263"/>
        <w:spacing w:after="0" w:line="265" w:lineRule="auto"/>
        <w:tabs>
          <w:tab w:leader="none" w:pos="531" w:val="left"/>
        </w:tabs>
        <w:numPr>
          <w:ilvl w:val="0"/>
          <w:numId w:val="50"/>
        </w:numPr>
        <w:rPr>
          <w:rFonts w:ascii="Arial" w:cs="Arial" w:eastAsia="Arial" w:hAnsi="Arial"/>
          <w:sz w:val="12"/>
          <w:szCs w:val="12"/>
          <w:color w:val="auto"/>
        </w:rPr>
      </w:pPr>
      <w:r>
        <w:rPr>
          <w:rFonts w:ascii="Arial" w:cs="Arial" w:eastAsia="Arial" w:hAnsi="Arial"/>
          <w:sz w:val="14"/>
          <w:szCs w:val="14"/>
          <w:color w:val="auto"/>
        </w:rPr>
        <w:t>On July 23, 2021, we entered into a repurchase agreement warehouse facility with borrowing capacity of $210.0 million to fund purchased loans from the exercise of our servicer call rights for a period of three months. We repaid the facility in full upon sale of the loans in September and the facility expired in October.</w:t>
      </w:r>
    </w:p>
    <w:p>
      <w:pPr>
        <w:spacing w:after="0" w:line="1" w:lineRule="exact"/>
        <w:rPr>
          <w:rFonts w:ascii="Arial" w:cs="Arial" w:eastAsia="Arial" w:hAnsi="Arial"/>
          <w:sz w:val="12"/>
          <w:szCs w:val="12"/>
          <w:color w:val="auto"/>
        </w:rPr>
      </w:pPr>
    </w:p>
    <w:p>
      <w:pPr>
        <w:ind w:left="540" w:hanging="263"/>
        <w:spacing w:after="0" w:line="235" w:lineRule="auto"/>
        <w:tabs>
          <w:tab w:leader="none" w:pos="540" w:val="left"/>
        </w:tabs>
        <w:numPr>
          <w:ilvl w:val="0"/>
          <w:numId w:val="50"/>
        </w:numPr>
        <w:rPr>
          <w:rFonts w:ascii="Arial" w:cs="Arial" w:eastAsia="Arial" w:hAnsi="Arial"/>
          <w:sz w:val="13"/>
          <w:szCs w:val="13"/>
          <w:color w:val="auto"/>
        </w:rPr>
      </w:pPr>
      <w:r>
        <w:rPr>
          <w:rFonts w:ascii="Arial" w:cs="Arial" w:eastAsia="Arial" w:hAnsi="Arial"/>
          <w:sz w:val="15"/>
          <w:szCs w:val="15"/>
          <w:color w:val="auto"/>
        </w:rPr>
        <w:t>On September 1, 2021, we increased the total borrowing capacity of a $150.0 million uncommitted warehouse facility to $200.0 million.</w:t>
      </w:r>
    </w:p>
    <w:p>
      <w:pPr>
        <w:ind w:left="540" w:hanging="263"/>
        <w:spacing w:after="0"/>
        <w:tabs>
          <w:tab w:leader="none" w:pos="540" w:val="left"/>
        </w:tabs>
        <w:numPr>
          <w:ilvl w:val="0"/>
          <w:numId w:val="50"/>
        </w:numPr>
        <w:rPr>
          <w:rFonts w:ascii="Arial" w:cs="Arial" w:eastAsia="Arial" w:hAnsi="Arial"/>
          <w:sz w:val="13"/>
          <w:szCs w:val="13"/>
          <w:color w:val="auto"/>
        </w:rPr>
      </w:pPr>
      <w:r>
        <w:rPr>
          <w:rFonts w:ascii="Arial" w:cs="Arial" w:eastAsia="Arial" w:hAnsi="Arial"/>
          <w:sz w:val="15"/>
          <w:szCs w:val="15"/>
          <w:color w:val="auto"/>
        </w:rPr>
        <w:t>On October 26, 2021, we increased the borrowing capacity of a $125.0 million uncommitted Ginnie Mae MSR financing facility to $150.0 million.</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Note 12 – Borrowings to the Unaudited Consolidated Financial Statements for additional information.</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borrowing capacity under our advance facilities, mortgage warehouse facilities and MSR financing facilities is as follows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81280</wp:posOffset>
            </wp:positionV>
            <wp:extent cx="55143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14340" cy="698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September 30, 2021</w:t>
      </w:r>
    </w:p>
    <w:p>
      <w:pPr>
        <w:spacing w:after="0" w:line="23" w:lineRule="exact"/>
        <w:rPr>
          <w:sz w:val="20"/>
          <w:szCs w:val="20"/>
          <w:color w:val="auto"/>
        </w:rPr>
      </w:pPr>
    </w:p>
    <w:tbl>
      <w:tblPr>
        <w:tblLayout w:type="fixed"/>
        <w:tblInd w:w="2600" w:type="dxa"/>
        <w:tblCellMar>
          <w:top w:w="0" w:type="dxa"/>
          <w:left w:w="0" w:type="dxa"/>
          <w:bottom w:w="0" w:type="dxa"/>
          <w:right w:w="0" w:type="dxa"/>
        </w:tblCellMar>
      </w:tblPr>
      <w:tr>
        <w:trPr>
          <w:trHeight w:val="128"/>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Total Borrowing</w:t>
            </w:r>
          </w:p>
        </w:tc>
        <w:tc>
          <w:tcPr>
            <w:tcW w:w="1520" w:type="dxa"/>
            <w:vAlign w:val="bottom"/>
            <w:tcBorders>
              <w:top w:val="single" w:sz="8" w:color="auto"/>
            </w:tcBorders>
          </w:tcPr>
          <w:p>
            <w:pPr>
              <w:jc w:val="center"/>
              <w:ind w:left="9"/>
              <w:spacing w:after="0" w:line="128" w:lineRule="exact"/>
              <w:rPr>
                <w:sz w:val="20"/>
                <w:szCs w:val="20"/>
                <w:color w:val="auto"/>
              </w:rPr>
            </w:pPr>
            <w:r>
              <w:rPr>
                <w:rFonts w:ascii="Arial" w:cs="Arial" w:eastAsia="Arial" w:hAnsi="Arial"/>
                <w:sz w:val="14"/>
                <w:szCs w:val="14"/>
                <w:b w:val="1"/>
                <w:bCs w:val="1"/>
                <w:color w:val="auto"/>
                <w:w w:val="91"/>
              </w:rPr>
              <w:t>Available Borrowing</w:t>
            </w:r>
          </w:p>
        </w:tc>
        <w:tc>
          <w:tcPr>
            <w:tcW w:w="142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4"/>
                <w:szCs w:val="14"/>
                <w:b w:val="1"/>
                <w:bCs w:val="1"/>
                <w:color w:val="auto"/>
                <w:w w:val="98"/>
              </w:rPr>
              <w:t>Available Borrowing</w:t>
            </w:r>
          </w:p>
        </w:tc>
        <w:tc>
          <w:tcPr>
            <w:tcW w:w="0" w:type="dxa"/>
            <w:vAlign w:val="bottom"/>
          </w:tcPr>
          <w:p>
            <w:pPr>
              <w:spacing w:after="0"/>
              <w:rPr>
                <w:sz w:val="1"/>
                <w:szCs w:val="1"/>
                <w:color w:val="auto"/>
              </w:rPr>
            </w:pPr>
          </w:p>
        </w:tc>
      </w:tr>
      <w:tr>
        <w:trPr>
          <w:trHeight w:val="134"/>
        </w:trPr>
        <w:tc>
          <w:tcPr>
            <w:tcW w:w="1340" w:type="dxa"/>
            <w:vAlign w:val="bottom"/>
            <w:vMerge w:val="continue"/>
          </w:tcPr>
          <w:p>
            <w:pPr>
              <w:spacing w:after="0"/>
              <w:rPr>
                <w:sz w:val="11"/>
                <w:szCs w:val="11"/>
                <w:color w:val="auto"/>
              </w:rPr>
            </w:pPr>
          </w:p>
        </w:tc>
        <w:tc>
          <w:tcPr>
            <w:tcW w:w="15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Capacity -</w:t>
            </w:r>
          </w:p>
        </w:tc>
        <w:tc>
          <w:tcPr>
            <w:tcW w:w="108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Capacity -</w:t>
            </w:r>
          </w:p>
        </w:tc>
        <w:tc>
          <w:tcPr>
            <w:tcW w:w="3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Capacity (1)</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Committed (1)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Borrowing</w:t>
            </w:r>
          </w:p>
        </w:tc>
        <w:tc>
          <w:tcPr>
            <w:tcW w:w="15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1"/>
              </w:rPr>
              <w:t>Available Borrowing</w:t>
            </w:r>
          </w:p>
        </w:tc>
        <w:tc>
          <w:tcPr>
            <w:tcW w:w="142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4"/>
                <w:szCs w:val="14"/>
                <w:b w:val="1"/>
                <w:bCs w:val="1"/>
                <w:color w:val="auto"/>
                <w:w w:val="98"/>
              </w:rPr>
              <w:t>Available Borrowing</w:t>
            </w:r>
          </w:p>
        </w:tc>
        <w:tc>
          <w:tcPr>
            <w:tcW w:w="0" w:type="dxa"/>
            <w:vAlign w:val="bottom"/>
          </w:tcPr>
          <w:p>
            <w:pPr>
              <w:spacing w:after="0"/>
              <w:rPr>
                <w:sz w:val="1"/>
                <w:szCs w:val="1"/>
                <w:color w:val="auto"/>
              </w:rPr>
            </w:pPr>
          </w:p>
        </w:tc>
      </w:tr>
      <w:tr>
        <w:trPr>
          <w:trHeight w:val="134"/>
        </w:trPr>
        <w:tc>
          <w:tcPr>
            <w:tcW w:w="1360" w:type="dxa"/>
            <w:vAlign w:val="bottom"/>
            <w:vMerge w:val="continue"/>
          </w:tcPr>
          <w:p>
            <w:pPr>
              <w:spacing w:after="0"/>
              <w:rPr>
                <w:sz w:val="11"/>
                <w:szCs w:val="11"/>
                <w:color w:val="auto"/>
              </w:rPr>
            </w:pPr>
          </w:p>
        </w:tc>
        <w:tc>
          <w:tcPr>
            <w:tcW w:w="15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Capacity -</w:t>
            </w:r>
          </w:p>
        </w:tc>
        <w:tc>
          <w:tcPr>
            <w:tcW w:w="106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Capacity -</w:t>
            </w:r>
          </w:p>
        </w:tc>
        <w:tc>
          <w:tcPr>
            <w:tcW w:w="3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78"/>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Capacity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Committed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80" w:space="100"/>
            <w:col w:w="4300"/>
          </w:cols>
          <w:pgMar w:left="300" w:top="764" w:right="31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2580" w:type="dxa"/>
            <w:vAlign w:val="bottom"/>
          </w:tcPr>
          <w:p>
            <w:pPr>
              <w:spacing w:after="0"/>
              <w:rPr>
                <w:sz w:val="20"/>
                <w:szCs w:val="20"/>
                <w:color w:val="auto"/>
              </w:rPr>
            </w:pPr>
            <w:r>
              <w:rPr>
                <w:rFonts w:ascii="Arial" w:cs="Arial" w:eastAsia="Arial" w:hAnsi="Arial"/>
                <w:sz w:val="14"/>
                <w:szCs w:val="14"/>
                <w:color w:val="auto"/>
              </w:rPr>
              <w:t>Advance facilities</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595.0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78.4</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795.0</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213.7</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78"/>
        </w:trPr>
        <w:tc>
          <w:tcPr>
            <w:tcW w:w="2580" w:type="dxa"/>
            <w:vAlign w:val="bottom"/>
          </w:tcPr>
          <w:p>
            <w:pPr>
              <w:spacing w:after="0"/>
              <w:rPr>
                <w:sz w:val="20"/>
                <w:szCs w:val="20"/>
                <w:color w:val="auto"/>
              </w:rPr>
            </w:pPr>
            <w:r>
              <w:rPr>
                <w:rFonts w:ascii="Arial" w:cs="Arial" w:eastAsia="Arial" w:hAnsi="Arial"/>
                <w:sz w:val="14"/>
                <w:szCs w:val="14"/>
                <w:color w:val="auto"/>
              </w:rPr>
              <w:t>Mortgage loan warehouse facilities</w:t>
            </w:r>
          </w:p>
        </w:tc>
        <w:tc>
          <w:tcPr>
            <w:tcW w:w="4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2,106.0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344.3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692.5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398.4</w:t>
            </w:r>
          </w:p>
        </w:tc>
      </w:tr>
      <w:tr>
        <w:trPr>
          <w:trHeight w:val="178"/>
        </w:trPr>
        <w:tc>
          <w:tcPr>
            <w:tcW w:w="2580" w:type="dxa"/>
            <w:vAlign w:val="bottom"/>
          </w:tcPr>
          <w:p>
            <w:pPr>
              <w:spacing w:after="0"/>
              <w:rPr>
                <w:sz w:val="20"/>
                <w:szCs w:val="20"/>
                <w:color w:val="auto"/>
              </w:rPr>
            </w:pPr>
            <w:r>
              <w:rPr>
                <w:rFonts w:ascii="Arial" w:cs="Arial" w:eastAsia="Arial" w:hAnsi="Arial"/>
                <w:sz w:val="14"/>
                <w:szCs w:val="14"/>
                <w:color w:val="auto"/>
              </w:rPr>
              <w:t>MSR financing facilities</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835.0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13.0</w:t>
            </w:r>
          </w:p>
        </w:tc>
      </w:tr>
      <w:tr>
        <w:trPr>
          <w:trHeight w:val="169"/>
        </w:trPr>
        <w:tc>
          <w:tcPr>
            <w:tcW w:w="2580" w:type="dxa"/>
            <w:vAlign w:val="bottom"/>
          </w:tcPr>
          <w:p>
            <w:pPr>
              <w:ind w:left="10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3,536.0</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699.4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2,207.0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439.8</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411.4</w:t>
            </w: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80" w:right="400" w:hanging="271"/>
        <w:spacing w:after="0" w:line="285" w:lineRule="auto"/>
        <w:tabs>
          <w:tab w:leader="none" w:pos="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Total Borrowing Capacity represents the maximum amount which can be borrowed, subject to eligible collateral. Available Borrowing Capacity represents Total Borrowing Capacity less outstanding borrowings.</w:t>
      </w:r>
    </w:p>
    <w:p>
      <w:pPr>
        <w:spacing w:after="0" w:line="44" w:lineRule="exact"/>
        <w:rPr>
          <w:sz w:val="20"/>
          <w:szCs w:val="20"/>
          <w:color w:val="auto"/>
        </w:rPr>
      </w:pPr>
    </w:p>
    <w:p>
      <w:pPr>
        <w:ind w:firstLine="268"/>
        <w:spacing w:after="0" w:line="296" w:lineRule="auto"/>
        <w:rPr>
          <w:sz w:val="20"/>
          <w:szCs w:val="20"/>
          <w:color w:val="auto"/>
        </w:rPr>
      </w:pPr>
      <w:r>
        <w:rPr>
          <w:rFonts w:ascii="Arial" w:cs="Arial" w:eastAsia="Arial" w:hAnsi="Arial"/>
          <w:sz w:val="13"/>
          <w:szCs w:val="13"/>
          <w:color w:val="auto"/>
        </w:rPr>
        <w:t>Our total borrowing capacity increased by approximately $1.3 billion (or 60%) in nine months, mostly driven by a $1.1 billion (103%) increase in our mortgage loan warehouse capacity to fund the growth in our Originations business and finance our loans purchased through the exercise of our servicer call rights. In addition, we increased the capacity of our MSR financing facilities by $460.0 million to fund our MSR bulk acquisitions and portfolio growth. The available borrowing capacity under our advance financing facilities decreased by $135.3 million as compared to December 31, 2020 due to a $170.0 million reduction in total borrowing capacity of the OMART variable funding notes and a $30.0 million reduction in total borrowing capacity of the OFAF facility, offset in part by a $64.7 million decrease in outstanding borrowings, consistent with a decrease in our servicer advances. At September 30, 2021, none of the available borrowing capacity under our advance financing facilities could be funded based on the amount of eligible collateral that had been pledged to such facilities. Also, none of our uncommitted borrowing capacity was available to fund advances at September 30, 2021 under our Ginnie Mae MSR financing facility based on the amount of eligible collateral.</w:t>
      </w:r>
    </w:p>
    <w:p>
      <w:pPr>
        <w:spacing w:after="0" w:line="47"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We may utilize committed borrowing capacity under our mortgage warehouse facilities and MSR financing facilities to the extent we have sufficient eligible collateral to borrow against and otherwise satisfy the applicable conditions to funding. At September 30, 2021, we had $3.3 million committed borrowing capacity under our mortgage loan warehouse facilities, based on the amount of eligible collateral. Uncommitted amounts can be advanced at the discretion of the lender, and there can be no assurance that any uncommitted amounts will be available to us at any particular time.</w:t>
      </w:r>
    </w:p>
    <w:p>
      <w:pPr>
        <w:spacing w:after="0" w:line="70" w:lineRule="exact"/>
        <w:rPr>
          <w:sz w:val="20"/>
          <w:szCs w:val="20"/>
          <w:color w:val="auto"/>
        </w:rPr>
      </w:pPr>
    </w:p>
    <w:p>
      <w:pPr>
        <w:ind w:right="420" w:firstLine="268"/>
        <w:spacing w:after="0" w:line="270" w:lineRule="auto"/>
        <w:rPr>
          <w:sz w:val="20"/>
          <w:szCs w:val="20"/>
          <w:color w:val="auto"/>
        </w:rPr>
      </w:pPr>
      <w:r>
        <w:rPr>
          <w:rFonts w:ascii="Arial" w:cs="Arial" w:eastAsia="Arial" w:hAnsi="Arial"/>
          <w:sz w:val="15"/>
          <w:szCs w:val="15"/>
          <w:color w:val="auto"/>
        </w:rPr>
        <w:t>At September 30, 2021, our unrestricted cash position was $236.1 million compared to $284.8 million at December 31, 2020. We typically invest cash in excess of our immediate operating needs in deposit accounts and other liquid assets.</w:t>
      </w:r>
    </w:p>
    <w:p>
      <w:pPr>
        <w:spacing w:after="0" w:line="58" w:lineRule="exact"/>
        <w:rPr>
          <w:sz w:val="20"/>
          <w:szCs w:val="20"/>
          <w:color w:val="auto"/>
        </w:rPr>
      </w:pPr>
    </w:p>
    <w:p>
      <w:pPr>
        <w:ind w:right="20" w:firstLine="268"/>
        <w:spacing w:after="0" w:line="270" w:lineRule="auto"/>
        <w:rPr>
          <w:sz w:val="20"/>
          <w:szCs w:val="20"/>
          <w:color w:val="auto"/>
        </w:rPr>
      </w:pPr>
      <w:r>
        <w:rPr>
          <w:rFonts w:ascii="Arial" w:cs="Arial" w:eastAsia="Arial" w:hAnsi="Arial"/>
          <w:sz w:val="15"/>
          <w:szCs w:val="15"/>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type w:val="continuous"/>
        </w:sectPr>
      </w:pPr>
    </w:p>
    <w:bookmarkStart w:id="97" w:name="page98"/>
    <w:bookmarkEnd w:id="97"/>
    <w:p>
      <w:pPr>
        <w:ind w:left="280"/>
        <w:spacing w:after="0"/>
        <w:rPr>
          <w:sz w:val="20"/>
          <w:szCs w:val="20"/>
          <w:color w:val="auto"/>
        </w:rPr>
      </w:pPr>
      <w:r>
        <w:rPr>
          <w:rFonts w:ascii="Arial" w:cs="Arial" w:eastAsia="Arial" w:hAnsi="Arial"/>
          <w:sz w:val="15"/>
          <w:szCs w:val="15"/>
          <w:color w:val="auto"/>
        </w:rPr>
        <w:t>In assessing our liquidity outlook, our primary focus is on available cash on hand, unused available funding and the following forecast measures:</w:t>
      </w:r>
    </w:p>
    <w:p>
      <w:pPr>
        <w:spacing w:after="0" w:line="95" w:lineRule="exact"/>
        <w:rPr>
          <w:sz w:val="20"/>
          <w:szCs w:val="20"/>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Financial projections for ongoing net income, excluding the impact of non-cash items, and working capital needs including loan repurchases;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Requirements for amortizing and maturing liabilities;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projected change in advances compared to the projected borrowing capacity to fund such advances under our facilities, including capacity for monthly peak needs;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Projected funding requirements for acquisitions of MSRs and other investment opportunities;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Funding capacity for whole loans and tail draws under our reverse mortgage commitments subject to warehouse eligibility requirements;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Potential payments or recoveries related to legal and regulatory matters, insurance, taxes and others;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Margining requirements associated with our borrowing facilities and hedging program.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Funds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primary near-term uses of funds in the normal course include:</w:t>
      </w:r>
    </w:p>
    <w:p>
      <w:pPr>
        <w:spacing w:after="0" w:line="95" w:lineRule="exact"/>
        <w:rPr>
          <w:sz w:val="20"/>
          <w:szCs w:val="20"/>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Payment of operating costs and corporate expenses;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Payments for advances in excess of collections;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Investing in our servicing and originations businesses, including MSR and other asset acquisitions;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Originated and repurchased loans, including scheduled and unscheduled equity draws on reverse mortgage loans;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Payment of margin calls under our MSR financing facilities and derivative instruments;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Repayments of borrowings, including under our MSR financing, advance financing and warehouse facilities, and payment of interest expense;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Net negative working capital and other general corporate cash outflows.</w:t>
      </w:r>
    </w:p>
    <w:p>
      <w:pPr>
        <w:spacing w:after="0" w:line="85"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We have originated floating-rate reverse mortgage loans under which the borrowers have additional borrowing capacity of $2.1 billion at September 30, 2021. This additional borrowing capacity is available on a scheduled or unscheduled payment basis. During the nine months ended September 30, 2021, we funded $147.6 million out of the $2.0 billion borrowing capacity available as of December 31, 2020. We also had short-term commitments to lend $1.2 billion and $80.5 million in connection with our forward and reverse mortgage loan IRLCs, respectively, outstanding at September 30, 2021. We finance originated and purchased forward and reverse mortgage loans with repurchase and participation agreements, referred to as warehouse lines.</w:t>
      </w:r>
    </w:p>
    <w:p>
      <w:pPr>
        <w:spacing w:after="0" w:line="72" w:lineRule="exact"/>
        <w:rPr>
          <w:sz w:val="20"/>
          <w:szCs w:val="20"/>
          <w:color w:val="auto"/>
        </w:rPr>
      </w:pPr>
    </w:p>
    <w:p>
      <w:pPr>
        <w:ind w:right="100" w:firstLine="268"/>
        <w:spacing w:after="0" w:line="255" w:lineRule="auto"/>
        <w:rPr>
          <w:sz w:val="20"/>
          <w:szCs w:val="20"/>
          <w:color w:val="auto"/>
        </w:rPr>
      </w:pPr>
      <w:r>
        <w:rPr>
          <w:rFonts w:ascii="Arial" w:cs="Arial" w:eastAsia="Arial" w:hAnsi="Arial"/>
          <w:sz w:val="15"/>
          <w:szCs w:val="15"/>
          <w:color w:val="auto"/>
        </w:rPr>
        <w:t>Regarding the current maturities of our borrowings, as of September 30, 2021, we have approximately $2.1 billion of debt outstanding that would either come due, begin amortizing or require partial repayment in the next 12 months. This amount is comprised of $1.07 billion of borrowings under forward and reverse mortgage warehouse facilities, $516.6 million of notes under advance financing facilities that will enter their respective amortization periods, $467.4 million outstanding under our Agency and Ginnie Mae MSR financing facilities and $48.2 million of scheduled principal amortization on the PLS Notes secured by PLS MSRs.</w:t>
      </w:r>
    </w:p>
    <w:p>
      <w:pPr>
        <w:spacing w:after="0" w:line="70"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In our liquidity management, we consider two factors more specifically as a result of the COVID-19 environment and the volatile interest rate environment: our increased advancing requirements as servicer during each investor remittance period, and the uncertainties of daily margin calls on our collateralized debt facilities and derivative instruments due to interest rate fluctuations.</w:t>
      </w:r>
    </w:p>
    <w:p>
      <w:pPr>
        <w:spacing w:after="0" w:line="66" w:lineRule="exact"/>
        <w:rPr>
          <w:sz w:val="20"/>
          <w:szCs w:val="20"/>
          <w:color w:val="auto"/>
        </w:rPr>
      </w:pPr>
    </w:p>
    <w:p>
      <w:pPr>
        <w:ind w:right="60" w:firstLine="268"/>
        <w:spacing w:after="0" w:line="251" w:lineRule="auto"/>
        <w:rPr>
          <w:sz w:val="20"/>
          <w:szCs w:val="20"/>
          <w:color w:val="auto"/>
        </w:rPr>
      </w:pPr>
      <w:r>
        <w:rPr>
          <w:rFonts w:ascii="Arial" w:cs="Arial" w:eastAsia="Arial" w:hAnsi="Arial"/>
          <w:sz w:val="15"/>
          <w:szCs w:val="15"/>
          <w:color w:val="auto"/>
        </w:rPr>
        <w:t>First, as servicer, we are required to advance to investors the loan P&amp;I installments not collected from borrowers for those delinquent loans, including those on forbearance plans. We also advance T&amp;I and Corporate advances primarily on properties that are in default or have been foreclosed. Our obligations to make these advances are governed by servicing agreements or guides, depending on investors or guarantor. Refer to Note 25 — Commitments to the Consolidated Financial Statements in our Annual Report on Form 10-K for the year ended December 31, 2020 for further description of our servicer advance obligations.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NRZ the same day we fund P&amp;I advances, or within no more than three days for servicing advances and certain P&amp;I advances under the Ocwen agreements.</w:t>
      </w:r>
    </w:p>
    <w:p>
      <w:pPr>
        <w:spacing w:after="0" w:line="75"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5"/>
          <w:szCs w:val="15"/>
          <w:color w:val="auto"/>
        </w:rPr>
        <w:t>Second, 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Our exposure to changes in fair value of our MSRs and the associated liquidity risk have increased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98" w:name="page99"/>
    <w:bookmarkEnd w:id="98"/>
    <w:p>
      <w:pPr>
        <w:spacing w:after="0"/>
        <w:rPr>
          <w:sz w:val="20"/>
          <w:szCs w:val="20"/>
          <w:color w:val="auto"/>
        </w:rPr>
      </w:pPr>
      <w:r>
        <w:rPr>
          <w:rFonts w:ascii="Arial" w:cs="Arial" w:eastAsia="Arial" w:hAnsi="Arial"/>
          <w:sz w:val="15"/>
          <w:szCs w:val="15"/>
          <w:color w:val="auto"/>
        </w:rPr>
        <w:t>as a result of the GSE MSR bulk acquisitions in June 2021. Refer to the sensitivity analysis in Item 3, Quantitative and qualitative disclosures about market risk.</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medium- and long-term requirements for cash include:</w:t>
      </w:r>
    </w:p>
    <w:p>
      <w:pPr>
        <w:spacing w:after="0" w:line="50" w:lineRule="exact"/>
        <w:rPr>
          <w:sz w:val="20"/>
          <w:szCs w:val="20"/>
          <w:color w:val="auto"/>
        </w:rPr>
      </w:pPr>
    </w:p>
    <w:p>
      <w:pPr>
        <w:ind w:left="540" w:hanging="263"/>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Payment of interest and principal repayment of our corporate debt that matures in 2026 and 2027;</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payments associated with the confirmation of loss contingencies;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other payments required under contractual obligations discussed above that extend beyond one year, e.g., lease payments.</w:t>
      </w:r>
    </w:p>
    <w:p>
      <w:pPr>
        <w:spacing w:after="0" w:line="85"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Under the terms of the $210.0 million warehouse facility entered into on July 23, 2021, PMC was required to maintain a minimum of $100.0 million in consolidated liquidity on a daily basis. On September 1, 2021, the consolidated daily liquidity requirement was reduced to $75.0 million, with a requirement to maintain $100.0 million as of the last business day of each calendar quarter. We believe we are in compliance with this liquidity covenant and have cash management strategies in place to ensure we remain compliant during the entire period of the facility.</w:t>
      </w:r>
    </w:p>
    <w:p>
      <w:pPr>
        <w:spacing w:after="0" w:line="70"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Funds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primary sources of funds for near-term liquidity in normal course include:</w:t>
      </w:r>
    </w:p>
    <w:p>
      <w:pPr>
        <w:spacing w:after="0" w:line="95" w:lineRule="exact"/>
        <w:rPr>
          <w:sz w:val="20"/>
          <w:szCs w:val="20"/>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Collections of servicing fees and ancillary revenues;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Collections of advances in excess of new advances;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Proceeds from match funded advance financing facilities;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Proceeds from other borrowings, including warehouse facilities and MSR financing facilities;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Proceeds from sales and securitizations of originated loans and repurchased loans;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Net positive working capital from changes in other assets and liabilities.</w:t>
      </w:r>
    </w:p>
    <w:p>
      <w:pPr>
        <w:spacing w:after="0" w:line="85"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72" w:lineRule="exact"/>
        <w:rPr>
          <w:sz w:val="20"/>
          <w:szCs w:val="20"/>
          <w:color w:val="auto"/>
        </w:rPr>
      </w:pPr>
    </w:p>
    <w:p>
      <w:pPr>
        <w:ind w:right="140" w:firstLine="268"/>
        <w:spacing w:after="0" w:line="276" w:lineRule="auto"/>
        <w:rPr>
          <w:sz w:val="20"/>
          <w:szCs w:val="20"/>
          <w:color w:val="auto"/>
        </w:rPr>
      </w:pPr>
      <w:r>
        <w:rPr>
          <w:rFonts w:ascii="Arial" w:cs="Arial" w:eastAsia="Arial" w:hAnsi="Arial"/>
          <w:sz w:val="14"/>
          <w:szCs w:val="14"/>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55" w:lineRule="exact"/>
        <w:rPr>
          <w:sz w:val="20"/>
          <w:szCs w:val="20"/>
          <w:color w:val="auto"/>
        </w:rPr>
      </w:pPr>
    </w:p>
    <w:p>
      <w:pPr>
        <w:ind w:firstLine="268"/>
        <w:spacing w:after="0" w:line="286" w:lineRule="auto"/>
        <w:rPr>
          <w:sz w:val="20"/>
          <w:szCs w:val="20"/>
          <w:color w:val="auto"/>
        </w:rPr>
      </w:pPr>
      <w:r>
        <w:rPr>
          <w:rFonts w:ascii="Arial" w:cs="Arial" w:eastAsia="Arial" w:hAnsi="Arial"/>
          <w:sz w:val="14"/>
          <w:szCs w:val="14"/>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United States Department of Agriculture (USDA).</w:t>
      </w:r>
    </w:p>
    <w:p>
      <w:pPr>
        <w:spacing w:after="0" w:line="49" w:lineRule="exact"/>
        <w:rPr>
          <w:sz w:val="20"/>
          <w:szCs w:val="20"/>
          <w:color w:val="auto"/>
        </w:rPr>
      </w:pPr>
    </w:p>
    <w:p>
      <w:pPr>
        <w:ind w:right="20" w:firstLine="268"/>
        <w:spacing w:after="0" w:line="298" w:lineRule="auto"/>
        <w:rPr>
          <w:sz w:val="20"/>
          <w:szCs w:val="20"/>
          <w:color w:val="auto"/>
        </w:rPr>
      </w:pPr>
      <w:r>
        <w:rPr>
          <w:rFonts w:ascii="Arial" w:cs="Arial" w:eastAsia="Arial" w:hAnsi="Arial"/>
          <w:sz w:val="13"/>
          <w:szCs w:val="13"/>
          <w:color w:val="auto"/>
        </w:rPr>
        <w:t>We regularly evaluate financing structure options that we believe will most effectively provide the necessary capacity to support our investment plans, address upcoming debt maturities and accommodate our business needs. As noted above, we completed a significant refinancing on March 4, 2021. Our subsidiary PMC issued $400.0 million of senior secured notes maturing in 2026, and Ocwen issued $199.5 million of senior secured notes maturing in 2027 and warrants to Oaktree. We used the proceeds received from these note issuances to prepay the $185.0 million outstanding balance of our SSTL and $313.1 million outstanding balance of senior notes maturing in 2021 and 2022, as well as the related prepayment premiums. The remainder of the proceeds were used for general corporate purposes. On May 3, 2021, Ocwen issued an additional $85.5 million of senior secured notes maturing in 2027 and warrants to Oaktree. The proceeds were used to fund our investment in MAV, investments in MSRs and for general corporate purposes. Our financing structure actions are targeted at optimizing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99" w:name="page100"/>
    <w:bookmarkEnd w:id="99"/>
    <w:p>
      <w:pPr>
        <w:ind w:right="240"/>
        <w:spacing w:after="0" w:line="270" w:lineRule="auto"/>
        <w:rPr>
          <w:sz w:val="20"/>
          <w:szCs w:val="20"/>
          <w:color w:val="auto"/>
        </w:rPr>
      </w:pPr>
      <w:r>
        <w:rPr>
          <w:rFonts w:ascii="Arial" w:cs="Arial" w:eastAsia="Arial" w:hAnsi="Arial"/>
          <w:sz w:val="15"/>
          <w:szCs w:val="15"/>
          <w:color w:val="auto"/>
        </w:rPr>
        <w:t>access to capital and debt financing, improving our cost of funds, enhancing financial flexibility, bolstering liquidity and reducing funding risk while maintaining leverage within our risk tolerances.</w:t>
      </w:r>
    </w:p>
    <w:p>
      <w:pPr>
        <w:spacing w:after="0" w:line="58" w:lineRule="exact"/>
        <w:rPr>
          <w:sz w:val="20"/>
          <w:szCs w:val="20"/>
          <w:color w:val="auto"/>
        </w:rPr>
      </w:pPr>
    </w:p>
    <w:p>
      <w:pPr>
        <w:jc w:val="both"/>
        <w:ind w:right="80" w:firstLine="268"/>
        <w:spacing w:after="0" w:line="259" w:lineRule="auto"/>
        <w:rPr>
          <w:sz w:val="20"/>
          <w:szCs w:val="20"/>
          <w:color w:val="auto"/>
        </w:rPr>
      </w:pPr>
      <w:r>
        <w:rPr>
          <w:rFonts w:ascii="Arial" w:cs="Arial" w:eastAsia="Arial" w:hAnsi="Arial"/>
          <w:sz w:val="15"/>
          <w:szCs w:val="15"/>
          <w:color w:val="auto"/>
        </w:rPr>
        <w:t>We continuously evaluate the allocation of our capital to MSR investments, the related returns, funding and liquidity requirements. With the launch of MAV and our relationships with other clients, additional opportunities to rebalance our servicing and subservicing portfolio mix are available to us and may result in the sale of MSRs while we would perform subservicing for the sold portfolio.</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Oaktree Investment and Strategic Relationship</w:t>
      </w:r>
    </w:p>
    <w:p>
      <w:pPr>
        <w:spacing w:after="0" w:line="99"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In December 2020, we agreed to create a strategic alliance with Oaktree to launch MAV pursuant to which we and Oaktree each agreed to contribute our pro rata share of an aggregate $250.0 million contribution to MAV. Specifically, Oaktree agreed to fund $212.5 million into MAV and we agreed to invest up to $37.5 million into MAV. In addition, on February 9, 2021, Oaktree agreed to invest into Ocwen up to $250.0 million. A portion of the investment by Oaktree facilitated the refinancing of our corporate debt on March 4, 2021 and the remainder of the investment is expected to accelerate the growth of our Originations and Servicing businesses.</w:t>
      </w:r>
    </w:p>
    <w:p>
      <w:pPr>
        <w:spacing w:after="0" w:line="70"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The $250.0 million investment by Oaktree is structured as senior secured notes issued by Ocwen Financial Corporation, in two tranches, for an aggregate of $285.0 million principal, with $35.0 million of original issue discount (OID). The $175.0 million first tranche of the investment was completed on March 4, 2021 and resulted in the issuance of $199.5 million OFC Senior Secured Notes, with a $24.5 million OID, and warrants. The $75.0 million second investment ($85.5 million principal and $10.5 million OID) was completed following the launch of MAV on May 3, 2021.</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part of the first tranche investment on March 4, 2021, we issued 1,184,768 warrants to the Oaktree Investors to purchase shares of our common stock equal to 12.0% of our then</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outstanding common stock at an exercise price of $26.82 per share, subject to anti-dilution adjustments. In addition, Oaktree purchased 4.9%, or 426,705 shares of our fully diluted outstanding common stock at the closing of the MAV transaction on May 3, 2021 at a purchase price of $23.15 per share, and Oaktree was issued 261,248 warrants to purchase additional common stock equal to 3% of our then outstanding common stock at a purchase price of $24.31 per share, subject to anti-dilution adjustments.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t>Collateral</w:t>
      </w:r>
    </w:p>
    <w:p>
      <w:pPr>
        <w:spacing w:after="0" w:line="99"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The following table presents selected assets on our consolidated balance sheet held as collateral for secured borrowings and other unencumbered assets which may be subject to a lien under various collateralized borrowings at September 30,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ind w:left="20"/>
              <w:spacing w:after="0"/>
              <w:rPr>
                <w:sz w:val="20"/>
                <w:szCs w:val="20"/>
                <w:color w:val="auto"/>
              </w:rPr>
            </w:pPr>
            <w:r>
              <w:rPr>
                <w:rFonts w:ascii="Arial" w:cs="Arial" w:eastAsia="Arial" w:hAnsi="Arial"/>
                <w:sz w:val="15"/>
                <w:szCs w:val="15"/>
                <w:i w:val="1"/>
                <w:iCs w:val="1"/>
                <w:color w:val="auto"/>
              </w:rPr>
              <w:t>$ in millions</w:t>
            </w:r>
          </w:p>
        </w:tc>
        <w:tc>
          <w:tcPr>
            <w:tcW w:w="200" w:type="dxa"/>
            <w:vAlign w:val="bottom"/>
          </w:tcPr>
          <w:p>
            <w:pPr>
              <w:spacing w:after="0"/>
              <w:rPr>
                <w:sz w:val="14"/>
                <w:szCs w:val="14"/>
                <w:color w:val="auto"/>
              </w:rPr>
            </w:pPr>
          </w:p>
        </w:tc>
        <w:tc>
          <w:tcPr>
            <w:tcW w:w="1500" w:type="dxa"/>
            <w:vAlign w:val="bottom"/>
          </w:tcPr>
          <w:p>
            <w:pPr>
              <w:jc w:val="right"/>
              <w:ind w:right="466"/>
              <w:spacing w:after="0"/>
              <w:rPr>
                <w:sz w:val="20"/>
                <w:szCs w:val="20"/>
                <w:color w:val="auto"/>
              </w:rPr>
            </w:pPr>
            <w:r>
              <w:rPr>
                <w:rFonts w:ascii="Arial" w:cs="Arial" w:eastAsia="Arial" w:hAnsi="Arial"/>
                <w:sz w:val="15"/>
                <w:szCs w:val="15"/>
                <w:b w:val="1"/>
                <w:bCs w:val="1"/>
                <w:color w:val="auto"/>
              </w:rPr>
              <w:t>Total Assets</w:t>
            </w:r>
          </w:p>
        </w:tc>
        <w:tc>
          <w:tcPr>
            <w:tcW w:w="1280" w:type="dxa"/>
            <w:vAlign w:val="bottom"/>
          </w:tcPr>
          <w:p>
            <w:pPr>
              <w:jc w:val="right"/>
              <w:ind w:right="466"/>
              <w:spacing w:after="0"/>
              <w:rPr>
                <w:sz w:val="20"/>
                <w:szCs w:val="20"/>
                <w:color w:val="auto"/>
              </w:rPr>
            </w:pPr>
            <w:r>
              <w:rPr>
                <w:rFonts w:ascii="Arial" w:cs="Arial" w:eastAsia="Arial" w:hAnsi="Arial"/>
                <w:sz w:val="15"/>
                <w:szCs w:val="15"/>
                <w:b w:val="1"/>
                <w:bCs w:val="1"/>
                <w:color w:val="auto"/>
              </w:rPr>
              <w:t>Pledged</w:t>
            </w:r>
          </w:p>
        </w:tc>
        <w:tc>
          <w:tcPr>
            <w:tcW w:w="1620" w:type="dxa"/>
            <w:vAlign w:val="bottom"/>
          </w:tcPr>
          <w:p>
            <w:pPr>
              <w:jc w:val="right"/>
              <w:ind w:right="426"/>
              <w:spacing w:after="0"/>
              <w:rPr>
                <w:sz w:val="20"/>
                <w:szCs w:val="20"/>
                <w:color w:val="auto"/>
              </w:rPr>
            </w:pPr>
            <w:r>
              <w:rPr>
                <w:rFonts w:ascii="Arial" w:cs="Arial" w:eastAsia="Arial" w:hAnsi="Arial"/>
                <w:sz w:val="15"/>
                <w:szCs w:val="15"/>
                <w:b w:val="1"/>
                <w:bCs w:val="1"/>
                <w:color w:val="auto"/>
              </w:rPr>
              <w:t>Collateralized</w:t>
            </w:r>
          </w:p>
        </w:tc>
        <w:tc>
          <w:tcPr>
            <w:tcW w:w="114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Net (1)</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w w:val="91"/>
              </w:rPr>
              <w:t>Unencumbered Assets</w:t>
            </w:r>
          </w:p>
        </w:tc>
        <w:tc>
          <w:tcPr>
            <w:tcW w:w="280" w:type="dxa"/>
            <w:vAlign w:val="bottom"/>
          </w:tcPr>
          <w:p>
            <w:pPr>
              <w:spacing w:after="0"/>
              <w:rPr>
                <w:sz w:val="14"/>
                <w:szCs w:val="14"/>
                <w:color w:val="auto"/>
              </w:rPr>
            </w:pPr>
          </w:p>
        </w:tc>
        <w:tc>
          <w:tcPr>
            <w:tcW w:w="112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Total (1)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97"/>
              </w:rPr>
              <w:t>(Consolidated)</w:t>
            </w: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Assets</w:t>
            </w:r>
          </w:p>
        </w:tc>
        <w:tc>
          <w:tcPr>
            <w:tcW w:w="162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Borrowings</w:t>
            </w:r>
          </w:p>
        </w:tc>
        <w:tc>
          <w:tcPr>
            <w:tcW w:w="1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236.1</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236.1</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236.1</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85.3</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85.3</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85.3</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933.7</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871.0</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865.9</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5.1</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62.7</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w w:val="92"/>
              </w:rPr>
              <w:t>Loans held for investment - unsecuritized</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226.7</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194.8</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174.7</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20.1</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31.9</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 (2)</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1,473.4</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1,440.7</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864.9</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575.7</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32.7</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608.4</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rPr>
              <w:t>Advances</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739.6</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621.1</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598.4</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22.6</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118.5</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141.2</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Receivables, net</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183.1</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26.9</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24.7</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156.2</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158.4</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REO</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8.6</w:t>
            </w: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6.7</w:t>
            </w:r>
          </w:p>
        </w:tc>
        <w:tc>
          <w:tcPr>
            <w:tcW w:w="16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3.9</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2.8</w:t>
            </w:r>
          </w:p>
        </w:tc>
        <w:tc>
          <w:tcPr>
            <w:tcW w:w="1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6"/>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 Consolidated (3)</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3,886.4</w:t>
            </w:r>
          </w:p>
        </w:tc>
        <w:tc>
          <w:tcPr>
            <w:tcW w:w="1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3,246.4</w:t>
            </w:r>
          </w:p>
        </w:tc>
        <w:tc>
          <w:tcPr>
            <w:tcW w:w="16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2,532.6</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713.9</w:t>
            </w:r>
          </w:p>
        </w:tc>
        <w:tc>
          <w:tcPr>
            <w:tcW w:w="1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640.0</w:t>
            </w: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1,353.8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80" w:hanging="271"/>
        <w:spacing w:after="0"/>
        <w:tabs>
          <w:tab w:leader="none" w:pos="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Certain assets are pledged as collateral to the $400.0 million PMC Senior Secured Notes and $285.0 million OFC Senior Secured (second lien) Notes.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Excludes MSR pledged to NRZ and MAV and associated pledged MSR liability recorded as sale accounting criteria are not met.</w:t>
      </w:r>
    </w:p>
    <w:p>
      <w:pPr>
        <w:spacing w:after="0" w:line="6" w:lineRule="exact"/>
        <w:rPr>
          <w:rFonts w:ascii="Arial" w:cs="Arial" w:eastAsia="Arial" w:hAnsi="Arial"/>
          <w:sz w:val="13"/>
          <w:szCs w:val="13"/>
          <w:color w:val="auto"/>
        </w:rPr>
      </w:pPr>
    </w:p>
    <w:p>
      <w:pPr>
        <w:ind w:left="280" w:right="440" w:hanging="271"/>
        <w:spacing w:after="0" w:line="266" w:lineRule="auto"/>
        <w:tabs>
          <w:tab w:leader="none" w:pos="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total of selected assets disclosed in the above table does not represent the total consolidated assets of Ocwen. For example, the total excludes reverse mortgage loans, premises and equipment and certain other assets.</w:t>
      </w:r>
    </w:p>
    <w:p>
      <w:pPr>
        <w:spacing w:after="0" w:line="56" w:lineRule="exact"/>
        <w:rPr>
          <w:sz w:val="20"/>
          <w:szCs w:val="20"/>
          <w:color w:val="auto"/>
        </w:rPr>
      </w:pPr>
    </w:p>
    <w:p>
      <w:pPr>
        <w:ind w:right="340" w:firstLine="268"/>
        <w:spacing w:after="0" w:line="279" w:lineRule="auto"/>
        <w:rPr>
          <w:sz w:val="20"/>
          <w:szCs w:val="20"/>
          <w:color w:val="auto"/>
        </w:rPr>
      </w:pPr>
      <w:r>
        <w:rPr>
          <w:rFonts w:ascii="Arial" w:cs="Arial" w:eastAsia="Arial" w:hAnsi="Arial"/>
          <w:sz w:val="14"/>
          <w:szCs w:val="14"/>
          <w:color w:val="auto"/>
        </w:rPr>
        <w:t>In addition, as part of our reverse mortgage securitization activities, $6.9 billion in UPB of reverse mortgage loans and real estate owned was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54" w:lineRule="exact"/>
        <w:rPr>
          <w:sz w:val="20"/>
          <w:szCs w:val="20"/>
          <w:color w:val="auto"/>
        </w:rPr>
      </w:pPr>
    </w:p>
    <w:p>
      <w:pPr>
        <w:ind w:right="120" w:firstLine="268"/>
        <w:spacing w:after="0" w:line="286" w:lineRule="auto"/>
        <w:rPr>
          <w:sz w:val="20"/>
          <w:szCs w:val="20"/>
          <w:color w:val="auto"/>
        </w:rPr>
      </w:pPr>
      <w:r>
        <w:rPr>
          <w:rFonts w:ascii="Arial" w:cs="Arial" w:eastAsia="Arial" w:hAnsi="Arial"/>
          <w:sz w:val="14"/>
          <w:szCs w:val="14"/>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our holding company in subsidiaries not guaranteeing the $400.0 million PMC Senior Secured Notes, including PHH and MAV; cash and investment accounts at the holding company; and certain other assets, including receivables.</w:t>
      </w:r>
    </w:p>
    <w:p>
      <w:pPr>
        <w:spacing w:after="0" w:line="54"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9440" w:type="dxa"/>
            <w:vAlign w:val="bottom"/>
          </w:tcPr>
          <w:p>
            <w:pPr>
              <w:ind w:left="280"/>
              <w:spacing w:after="0"/>
              <w:rPr>
                <w:sz w:val="20"/>
                <w:szCs w:val="20"/>
                <w:color w:val="auto"/>
              </w:rPr>
            </w:pPr>
            <w:r>
              <w:rPr>
                <w:rFonts w:ascii="Arial" w:cs="Arial" w:eastAsia="Arial" w:hAnsi="Arial"/>
                <w:sz w:val="15"/>
                <w:szCs w:val="15"/>
                <w:i w:val="1"/>
                <w:iCs w:val="1"/>
                <w:color w:val="auto"/>
              </w:rPr>
              <w:t>$ in millions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w w:val="87"/>
              </w:rPr>
              <w:t>As of September 30</w:t>
            </w:r>
          </w:p>
        </w:tc>
      </w:tr>
      <w:tr>
        <w:trPr>
          <w:trHeight w:val="189"/>
        </w:trPr>
        <w:tc>
          <w:tcPr>
            <w:tcW w:w="9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r>
      <w:tr>
        <w:trPr>
          <w:trHeight w:val="181"/>
        </w:trPr>
        <w:tc>
          <w:tcPr>
            <w:tcW w:w="9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net servicing advances</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189"/>
        </w:trPr>
        <w:tc>
          <w:tcPr>
            <w:tcW w:w="9440" w:type="dxa"/>
            <w:vAlign w:val="bottom"/>
          </w:tcPr>
          <w:p>
            <w:pPr>
              <w:ind w:left="280"/>
              <w:spacing w:after="0"/>
              <w:rPr>
                <w:sz w:val="20"/>
                <w:szCs w:val="20"/>
                <w:color w:val="auto"/>
              </w:rPr>
            </w:pPr>
            <w:r>
              <w:rPr>
                <w:rFonts w:ascii="Arial" w:cs="Arial" w:eastAsia="Arial" w:hAnsi="Arial"/>
                <w:sz w:val="15"/>
                <w:szCs w:val="15"/>
                <w:color w:val="auto"/>
              </w:rPr>
              <w:t>Specified deferred servicing fee</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9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MSR value less borrowings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r>
      <w:tr>
        <w:trPr>
          <w:trHeight w:val="189"/>
        </w:trPr>
        <w:tc>
          <w:tcPr>
            <w:tcW w:w="9440" w:type="dxa"/>
            <w:vAlign w:val="bottom"/>
          </w:tcPr>
          <w:p>
            <w:pPr>
              <w:ind w:left="280"/>
              <w:spacing w:after="0"/>
              <w:rPr>
                <w:sz w:val="20"/>
                <w:szCs w:val="20"/>
                <w:color w:val="auto"/>
              </w:rPr>
            </w:pPr>
            <w:r>
              <w:rPr>
                <w:rFonts w:ascii="Arial" w:cs="Arial" w:eastAsia="Arial" w:hAnsi="Arial"/>
                <w:sz w:val="15"/>
                <w:szCs w:val="15"/>
                <w:color w:val="auto"/>
              </w:rPr>
              <w:t>Specified unrestricted cash balances (1)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9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advance facility reserves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89"/>
        </w:trPr>
        <w:tc>
          <w:tcPr>
            <w:tcW w:w="9440" w:type="dxa"/>
            <w:vAlign w:val="bottom"/>
          </w:tcPr>
          <w:p>
            <w:pPr>
              <w:ind w:left="280"/>
              <w:spacing w:after="0"/>
              <w:rPr>
                <w:sz w:val="20"/>
                <w:szCs w:val="20"/>
                <w:color w:val="auto"/>
              </w:rPr>
            </w:pPr>
            <w:r>
              <w:rPr>
                <w:rFonts w:ascii="Arial" w:cs="Arial" w:eastAsia="Arial" w:hAnsi="Arial"/>
                <w:sz w:val="15"/>
                <w:szCs w:val="15"/>
                <w:color w:val="auto"/>
              </w:rPr>
              <w:t>Specified loan value</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90"/>
        </w:trPr>
        <w:tc>
          <w:tcPr>
            <w:tcW w:w="9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residual value</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189"/>
        </w:trPr>
        <w:tc>
          <w:tcPr>
            <w:tcW w:w="94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Specified fair value of marketable securities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6"/>
        </w:trPr>
        <w:tc>
          <w:tcPr>
            <w:tcW w:w="9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Value - PMC (1)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tabs>
          <w:tab w:leader="none" w:pos="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Unrestricted cash was not subject to a priority lien as of September 30, 2021 under the PMC Senior Secured Note agreement.</w:t>
      </w:r>
    </w:p>
    <w:p>
      <w:pPr>
        <w:spacing w:after="0" w:line="8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Covenants</w:t>
      </w:r>
    </w:p>
    <w:p>
      <w:pPr>
        <w:spacing w:after="0" w:line="99" w:lineRule="exact"/>
        <w:rPr>
          <w:sz w:val="20"/>
          <w:szCs w:val="20"/>
          <w:color w:val="auto"/>
        </w:rPr>
      </w:pPr>
    </w:p>
    <w:p>
      <w:pPr>
        <w:ind w:right="240" w:firstLine="268"/>
        <w:spacing w:after="0" w:line="259" w:lineRule="auto"/>
        <w:rPr>
          <w:sz w:val="20"/>
          <w:szCs w:val="20"/>
          <w:color w:val="auto"/>
        </w:rPr>
      </w:pPr>
      <w:r>
        <w:rPr>
          <w:rFonts w:ascii="Arial" w:cs="Arial" w:eastAsia="Arial" w:hAnsi="Arial"/>
          <w:sz w:val="15"/>
          <w:szCs w:val="15"/>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w:t>
      </w: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850" w:right="23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4"/>
          <w:szCs w:val="14"/>
          <w:color w:val="auto"/>
        </w:rPr>
        <w:t>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for additional information regarding our covenants. The most restrictive liquidity requirement under our debt agreements is for a minimum of $125.0 million in consolidated liquidity, as defined, under certain of our advance match funded debt and MSR financing facilities agreements. At September 30, 2021, we held unrestricted cash in excess of this minimum amount.</w:t>
      </w:r>
    </w:p>
    <w:p>
      <w:pPr>
        <w:spacing w:after="0" w:line="62"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99" w:lineRule="exact"/>
        <w:rPr>
          <w:sz w:val="20"/>
          <w:szCs w:val="20"/>
          <w:color w:val="auto"/>
        </w:rPr>
      </w:pPr>
    </w:p>
    <w:p>
      <w:pPr>
        <w:ind w:right="40" w:firstLine="268"/>
        <w:spacing w:after="0" w:line="259" w:lineRule="auto"/>
        <w:rPr>
          <w:sz w:val="20"/>
          <w:szCs w:val="20"/>
          <w:color w:val="auto"/>
        </w:rPr>
      </w:pPr>
      <w:r>
        <w:rPr>
          <w:rFonts w:ascii="Arial" w:cs="Arial" w:eastAsia="Arial" w:hAnsi="Arial"/>
          <w:sz w:val="15"/>
          <w:szCs w:val="15"/>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Borders>
              <w:bottom w:val="single" w:sz="8" w:color="auto"/>
            </w:tcBorders>
          </w:tcPr>
          <w:p>
            <w:pPr>
              <w:ind w:left="1560"/>
              <w:spacing w:after="0"/>
              <w:rPr>
                <w:sz w:val="20"/>
                <w:szCs w:val="20"/>
                <w:color w:val="auto"/>
              </w:rPr>
            </w:pPr>
            <w:r>
              <w:rPr>
                <w:rFonts w:ascii="Arial" w:cs="Arial" w:eastAsia="Arial" w:hAnsi="Arial"/>
                <w:sz w:val="15"/>
                <w:szCs w:val="15"/>
                <w:b w:val="1"/>
                <w:bCs w:val="1"/>
                <w:color w:val="auto"/>
              </w:rPr>
              <w:t>Rating Agency</w:t>
            </w:r>
          </w:p>
        </w:tc>
        <w:tc>
          <w:tcPr>
            <w:tcW w:w="10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Long-term Corporate Rating</w:t>
            </w:r>
          </w:p>
        </w:tc>
        <w:tc>
          <w:tcPr>
            <w:tcW w:w="10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Review Status / Outlook</w:t>
            </w:r>
          </w:p>
        </w:tc>
        <w:tc>
          <w:tcPr>
            <w:tcW w:w="10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Date of last action</w:t>
            </w:r>
          </w:p>
        </w:tc>
      </w:tr>
      <w:tr>
        <w:trPr>
          <w:trHeight w:val="181"/>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Moody’s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3"/>
              </w:rPr>
              <w:t>Caa1</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Stable</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February 24, 2021</w:t>
            </w:r>
          </w:p>
        </w:tc>
      </w:tr>
      <w:tr>
        <w:trPr>
          <w:trHeight w:val="189"/>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S&amp;P</w:t>
            </w:r>
          </w:p>
        </w:tc>
        <w:tc>
          <w:tcPr>
            <w:tcW w:w="240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B-</w:t>
            </w:r>
          </w:p>
        </w:tc>
        <w:tc>
          <w:tcPr>
            <w:tcW w:w="2400" w:type="dxa"/>
            <w:vAlign w:val="bottom"/>
            <w:gridSpan w:val="2"/>
          </w:tcPr>
          <w:p>
            <w:pPr>
              <w:jc w:val="center"/>
              <w:ind w:right="100"/>
              <w:spacing w:after="0"/>
              <w:rPr>
                <w:sz w:val="20"/>
                <w:szCs w:val="20"/>
                <w:color w:val="auto"/>
              </w:rPr>
            </w:pPr>
            <w:r>
              <w:rPr>
                <w:rFonts w:ascii="Arial" w:cs="Arial" w:eastAsia="Arial" w:hAnsi="Arial"/>
                <w:sz w:val="15"/>
                <w:szCs w:val="15"/>
                <w:color w:val="auto"/>
                <w:w w:val="89"/>
              </w:rPr>
              <w:t>Stable</w:t>
            </w:r>
          </w:p>
        </w:tc>
        <w:tc>
          <w:tcPr>
            <w:tcW w:w="2300" w:type="dxa"/>
            <w:vAlign w:val="bottom"/>
          </w:tcPr>
          <w:p>
            <w:pPr>
              <w:jc w:val="center"/>
              <w:spacing w:after="0"/>
              <w:rPr>
                <w:sz w:val="20"/>
                <w:szCs w:val="20"/>
                <w:color w:val="auto"/>
              </w:rPr>
            </w:pPr>
            <w:r>
              <w:rPr>
                <w:rFonts w:ascii="Arial" w:cs="Arial" w:eastAsia="Arial" w:hAnsi="Arial"/>
                <w:sz w:val="15"/>
                <w:szCs w:val="15"/>
                <w:color w:val="auto"/>
                <w:w w:val="89"/>
              </w:rPr>
              <w:t>February 24, 2021</w:t>
            </w:r>
          </w:p>
        </w:tc>
      </w:tr>
    </w:tbl>
    <w:p>
      <w:pPr>
        <w:spacing w:after="0" w:line="146" w:lineRule="exact"/>
        <w:rPr>
          <w:sz w:val="20"/>
          <w:szCs w:val="20"/>
          <w:color w:val="auto"/>
        </w:rPr>
      </w:pPr>
    </w:p>
    <w:p>
      <w:pPr>
        <w:ind w:right="60" w:firstLine="268"/>
        <w:spacing w:after="0" w:line="279" w:lineRule="auto"/>
        <w:rPr>
          <w:sz w:val="20"/>
          <w:szCs w:val="20"/>
          <w:color w:val="auto"/>
        </w:rPr>
      </w:pPr>
      <w:r>
        <w:rPr>
          <w:rFonts w:ascii="Arial" w:cs="Arial" w:eastAsia="Arial" w:hAnsi="Arial"/>
          <w:sz w:val="14"/>
          <w:szCs w:val="14"/>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It is possible that additional actions by credit rating agencies could have a material adverse impact on our liquidity and funding position, including materially changing the terms on which we may be able to borrow money.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99" w:lineRule="exact"/>
        <w:rPr>
          <w:sz w:val="20"/>
          <w:szCs w:val="20"/>
          <w:color w:val="auto"/>
        </w:rPr>
      </w:pPr>
    </w:p>
    <w:p>
      <w:pPr>
        <w:ind w:right="60" w:firstLine="268"/>
        <w:spacing w:after="0" w:line="253" w:lineRule="auto"/>
        <w:rPr>
          <w:sz w:val="20"/>
          <w:szCs w:val="20"/>
          <w:color w:val="auto"/>
        </w:rPr>
      </w:pPr>
      <w:r>
        <w:rPr>
          <w:rFonts w:ascii="Arial" w:cs="Arial" w:eastAsia="Arial" w:hAnsi="Arial"/>
          <w:sz w:val="15"/>
          <w:szCs w:val="15"/>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 of MSRs through flow purchase agreements, Agency Cash Window and bulk acquisitions as investing activity. MSR investments represent a key indicator of our ability to generate future income in our Servicing business, together with originated MSR. We classify changes in HECM loans held for investment as investing activity, changes in the related HMBS borrowings as financing activity.</w:t>
      </w:r>
    </w:p>
    <w:p>
      <w:pPr>
        <w:spacing w:after="0" w:line="72"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Our NRZ agreements represent an important component of our liquidity and our liquidity management, and have a significant impact on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nine months ended September 30, 2020 includes $35.1 million of such cash flows and they were offset by corresponding amounts in net cash used in financing activities in the same periods.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8"/>
        </w:trPr>
        <w:tc>
          <w:tcPr>
            <w:tcW w:w="8100" w:type="dxa"/>
            <w:vAlign w:val="bottom"/>
          </w:tcPr>
          <w:p>
            <w:pPr>
              <w:ind w:left="280"/>
              <w:spacing w:after="0"/>
              <w:rPr>
                <w:sz w:val="20"/>
                <w:szCs w:val="20"/>
                <w:color w:val="auto"/>
              </w:rPr>
            </w:pPr>
            <w:r>
              <w:rPr>
                <w:rFonts w:ascii="Arial" w:cs="Arial" w:eastAsia="Arial" w:hAnsi="Arial"/>
                <w:sz w:val="15"/>
                <w:szCs w:val="15"/>
                <w:color w:val="auto"/>
              </w:rPr>
              <w:t>Our cash flows may be summarized as follows: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1"/>
        </w:trPr>
        <w:tc>
          <w:tcPr>
            <w:tcW w:w="8100" w:type="dxa"/>
            <w:vAlign w:val="bottom"/>
          </w:tcPr>
          <w:p>
            <w:pPr>
              <w:ind w:left="120"/>
              <w:spacing w:after="0"/>
              <w:rPr>
                <w:sz w:val="20"/>
                <w:szCs w:val="20"/>
                <w:color w:val="auto"/>
              </w:rPr>
            </w:pPr>
            <w:r>
              <w:rPr>
                <w:rFonts w:ascii="Arial" w:cs="Arial" w:eastAsia="Arial" w:hAnsi="Arial"/>
                <w:sz w:val="15"/>
                <w:szCs w:val="15"/>
                <w:b w:val="1"/>
                <w:bCs w:val="1"/>
                <w:i w:val="1"/>
                <w:iCs w:val="1"/>
                <w:color w:val="auto"/>
              </w:rPr>
              <w:t>$ in millions</w:t>
            </w: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5"/>
                <w:szCs w:val="15"/>
                <w:b w:val="1"/>
                <w:bCs w:val="1"/>
                <w:color w:val="auto"/>
                <w:w w:val="92"/>
              </w:rPr>
              <w:t>For the Nine Months Ended September 30,</w:t>
            </w:r>
          </w:p>
        </w:tc>
      </w:tr>
      <w:tr>
        <w:trPr>
          <w:trHeight w:val="181"/>
        </w:trPr>
        <w:tc>
          <w:tcPr>
            <w:tcW w:w="8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248</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6"/>
                <w:szCs w:val="16"/>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(328)</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1,222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w:t>
            </w:r>
          </w:p>
        </w:tc>
      </w:tr>
      <w:tr>
        <w:trPr>
          <w:trHeight w:val="181"/>
        </w:trPr>
        <w:tc>
          <w:tcPr>
            <w:tcW w:w="810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383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nine months ended September 30, 2021</w:t>
      </w:r>
    </w:p>
    <w:p>
      <w:pPr>
        <w:spacing w:after="0" w:line="95"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Our operating activities used $413 million of cash largely due to the growth of our new Originations production with net cash paid on loans held for sale of $576 million for the nine months ended September 30, 2021, partially offset by $70 million of net collections of servicing advances, mostly P&amp;I advances.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investing activities used $845 million of cash. The primary uses of cash in our investing activities include $785 million to purchase MSRs, mostly through bulk acquisitions, and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$19 million of capital contributions to our equity method investee MAV Canopy. These cash outflows were partly net cash outflows in connection with our HECM reverse mortgages of $43</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million.</w:t>
      </w:r>
    </w:p>
    <w:p>
      <w:pPr>
        <w:spacing w:after="0" w:line="85" w:lineRule="exact"/>
        <w:rPr>
          <w:sz w:val="20"/>
          <w:szCs w:val="20"/>
          <w:color w:val="auto"/>
        </w:rPr>
      </w:pPr>
    </w:p>
    <w:p>
      <w:pPr>
        <w:ind w:right="40" w:firstLine="268"/>
        <w:spacing w:after="0" w:line="252" w:lineRule="auto"/>
        <w:rPr>
          <w:sz w:val="20"/>
          <w:szCs w:val="20"/>
          <w:color w:val="auto"/>
        </w:rPr>
      </w:pPr>
      <w:r>
        <w:rPr>
          <w:rFonts w:ascii="Arial" w:cs="Arial" w:eastAsia="Arial" w:hAnsi="Arial"/>
          <w:sz w:val="15"/>
          <w:szCs w:val="15"/>
          <w:color w:val="auto"/>
        </w:rPr>
        <w:t>Our financing activities provided $1.222 billion of cash. Cash inflows include $648 million of proceeds from the issuance of the PMC Senior Secured Notes and the OFC Senior Secured Notes, warrants and common stock to Oaktree and $1.120 billion received in connection with our reverse mortgage securitizations, which are accounted for as secured financings, partially offset by repayments on the related financing liability of $1.162 billion, $130 million of proceeds from sale of MSRs accounted for as a financing in connection with sales of MSRs to MAV, and a $1.126 billion net increase in borrowings under our mortgage warehouse and MSR financing facilities. Cash outflows include $319 million to repay our 6.375% senior unsecured notes and 8.375% senior secured notes, $189 million repayment of the SSTL, $65 million of net repayments on advance match funded liabilities and $60 million of net payments on the financing liabilities related to MSRs pledged.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nine months ended September 30, 2020</w:t>
      </w:r>
    </w:p>
    <w:p>
      <w:pPr>
        <w:spacing w:after="0" w:line="7" w:lineRule="exact"/>
        <w:rPr>
          <w:sz w:val="20"/>
          <w:szCs w:val="20"/>
          <w:color w:val="auto"/>
        </w:rPr>
      </w:pPr>
    </w:p>
    <w:p>
      <w:pPr>
        <w:ind w:right="80" w:firstLine="268"/>
        <w:spacing w:after="0" w:line="231" w:lineRule="auto"/>
        <w:rPr>
          <w:sz w:val="20"/>
          <w:szCs w:val="20"/>
          <w:color w:val="auto"/>
        </w:rPr>
      </w:pPr>
      <w:r>
        <w:rPr>
          <w:rFonts w:ascii="Arial" w:cs="Arial" w:eastAsia="Arial" w:hAnsi="Arial"/>
          <w:sz w:val="15"/>
          <w:szCs w:val="15"/>
          <w:color w:val="auto"/>
        </w:rPr>
        <w:t>Our operating activities provided $248 million of cash including $349.9 million net collections of servicing and ancillary income, $211 million of net collections of servicing advances, partially offset by net cash paid on loans held for sale of $120 million for the nine months ended September 30, 2020.</w:t>
      </w:r>
    </w:p>
    <w:p>
      <w:pPr>
        <w:spacing w:after="0" w:line="68"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Our investing activities used $328 million of cash. The primary uses of cash in our investing activities include net cash outflows in connection with our HECM reverse mortgages of $248 million. Cash outflows also include $83 million to purchase MSRs.</w:t>
      </w:r>
    </w:p>
    <w:p>
      <w:pPr>
        <w:spacing w:after="0" w:line="58" w:lineRule="exact"/>
        <w:rPr>
          <w:sz w:val="20"/>
          <w:szCs w:val="20"/>
          <w:color w:val="auto"/>
        </w:rPr>
      </w:pPr>
    </w:p>
    <w:p>
      <w:pPr>
        <w:ind w:right="40" w:firstLine="268"/>
        <w:spacing w:after="0" w:line="279" w:lineRule="auto"/>
        <w:rPr>
          <w:sz w:val="20"/>
          <w:szCs w:val="20"/>
          <w:color w:val="auto"/>
        </w:rPr>
      </w:pPr>
      <w:r>
        <w:rPr>
          <w:rFonts w:ascii="Arial" w:cs="Arial" w:eastAsia="Arial" w:hAnsi="Arial"/>
          <w:sz w:val="14"/>
          <w:szCs w:val="14"/>
          <w:color w:val="auto"/>
        </w:rPr>
        <w:t>Our financing activities used $29 million of cash. Cash outflows include the partial prepayment of $136 million on the SSTL, $99 million of net repayments on advance match funded liabilities and $84 million of net payments on the financing liabilities related to MSRs pledged. In addition, we also paid $7.4 million of debt issuance costs related to our SSTL facility amendment and repurchased 5.7 million shares of our common stock for $5 million. Cash inflows include $886 million received in connection with our reverse mortgage securitizations less repayments on the related financing liability of $613 million, and a $28 million increase in borrowings under our mortgage warehouse and MSR financing facilities.</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right="20" w:firstLine="268"/>
        <w:spacing w:after="0" w:line="252" w:lineRule="auto"/>
        <w:rPr>
          <w:sz w:val="20"/>
          <w:szCs w:val="20"/>
          <w:color w:val="auto"/>
        </w:rPr>
      </w:pPr>
      <w:r>
        <w:rPr>
          <w:rFonts w:ascii="Arial" w:cs="Arial" w:eastAsia="Arial" w:hAnsi="Arial"/>
          <w:sz w:val="15"/>
          <w:szCs w:val="15"/>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disclosed in our Annual Report on Form 10-K for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03" w:name="page104"/>
    <w:bookmarkEnd w:id="103"/>
    <w:p>
      <w:pPr>
        <w:jc w:val="both"/>
        <w:ind w:right="160"/>
        <w:spacing w:after="0" w:line="348" w:lineRule="auto"/>
        <w:rPr>
          <w:sz w:val="20"/>
          <w:szCs w:val="20"/>
          <w:color w:val="auto"/>
        </w:rPr>
      </w:pPr>
      <w:r>
        <w:rPr>
          <w:rFonts w:ascii="Arial" w:cs="Arial" w:eastAsia="Arial" w:hAnsi="Arial"/>
          <w:sz w:val="13"/>
          <w:szCs w:val="13"/>
          <w:color w:val="auto"/>
        </w:rPr>
        <w:t>year ended December 31, 2020 in Note 1 to the Consolidated Financial Statements and in Management’s Discussion and Analysis of Financial Condition and Results of Operations under “Critical Accounting Policies and Estimates.” There have not been any material changes to our critical accounting policies and estimates as disclosed in the 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99" w:lineRule="exact"/>
        <w:rPr>
          <w:sz w:val="20"/>
          <w:szCs w:val="20"/>
          <w:color w:val="auto"/>
        </w:rPr>
      </w:pPr>
    </w:p>
    <w:p>
      <w:pPr>
        <w:ind w:firstLine="268"/>
        <w:spacing w:after="0" w:line="252" w:lineRule="auto"/>
        <w:rPr>
          <w:sz w:val="20"/>
          <w:szCs w:val="20"/>
          <w:color w:val="auto"/>
        </w:rPr>
      </w:pPr>
      <w:r>
        <w:rPr>
          <w:rFonts w:ascii="Arial" w:cs="Arial" w:eastAsia="Arial" w:hAnsi="Arial"/>
          <w:sz w:val="15"/>
          <w:szCs w:val="15"/>
          <w:color w:val="auto"/>
        </w:rPr>
        <w:t>We use fair value measurements to record fair value adjustments to certain instruments in our statement of operations and to determine fair value disclosures. As of September 30, 2021, 85% of our assets and 65% of our liabilities were reported at fair value, with fair value changes reported in our statement of operations. Substantially all our assets and liabilities at fair value were classified as Level 3 instruments due to unobservable inputs. The determination of the fair value of these Level 3 financial assets and liabilities and MSRs requires significant management judgment and estimation. See Part I., Item 3. Quantitative and Qualitative Disclosures about Market Risk below for a sensitivity analysis reflecting the estimated change in the fair value of our MSRs, HECM loans held for investment and loans held for sale carried at fair value as well as any related derivatives at September 30, 2021, given hypothetical instantaneous parallel shifts in the yield curve.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Reverse Mortgage Loans Held for Investment</w:t>
      </w:r>
    </w:p>
    <w:p>
      <w:pPr>
        <w:spacing w:after="0" w:line="95" w:lineRule="exact"/>
        <w:rPr>
          <w:sz w:val="20"/>
          <w:szCs w:val="20"/>
          <w:color w:val="auto"/>
        </w:rPr>
      </w:pPr>
    </w:p>
    <w:p>
      <w:pPr>
        <w:ind w:right="80" w:firstLine="268"/>
        <w:spacing w:after="0" w:line="260" w:lineRule="auto"/>
        <w:rPr>
          <w:sz w:val="20"/>
          <w:szCs w:val="20"/>
          <w:color w:val="auto"/>
        </w:rPr>
      </w:pPr>
      <w:r>
        <w:rPr>
          <w:rFonts w:ascii="Arial" w:cs="Arial" w:eastAsia="Arial" w:hAnsi="Arial"/>
          <w:sz w:val="15"/>
          <w:szCs w:val="15"/>
          <w:color w:val="auto"/>
        </w:rPr>
        <w:t>During the nine months ended September 30, 2021, we recorded a net $0.5 million fair value gain in reverse mortgage revenue in our Servicing segment. The fair value of both reverse mortgage loans held for investment and corresponding HMBS-related borrowings is based primarily on discounted cash flow methodologies. Inputs to the discounted cash flows of these assets include future draws and tail spread gains, voluntary prepayments, defaults and discount rate. The determination of fair value requires management judgment due to the significant unobservable assumptions, including voluntary prepayment speeds, defaults and discount rate.</w:t>
      </w:r>
    </w:p>
    <w:p>
      <w:pPr>
        <w:spacing w:after="0" w:line="66" w:lineRule="exact"/>
        <w:rPr>
          <w:sz w:val="20"/>
          <w:szCs w:val="20"/>
          <w:color w:val="auto"/>
        </w:rPr>
      </w:pPr>
    </w:p>
    <w:p>
      <w:pPr>
        <w:ind w:right="20" w:firstLine="268"/>
        <w:spacing w:after="0" w:line="279" w:lineRule="auto"/>
        <w:rPr>
          <w:sz w:val="20"/>
          <w:szCs w:val="20"/>
          <w:color w:val="auto"/>
        </w:rPr>
      </w:pPr>
      <w:r>
        <w:rPr>
          <w:rFonts w:ascii="Arial" w:cs="Arial" w:eastAsia="Arial" w:hAnsi="Arial"/>
          <w:sz w:val="14"/>
          <w:szCs w:val="14"/>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MSRs and Transferred MSR Liability</w:t>
      </w:r>
    </w:p>
    <w:p>
      <w:pPr>
        <w:spacing w:after="0" w:line="95" w:lineRule="exact"/>
        <w:rPr>
          <w:sz w:val="20"/>
          <w:szCs w:val="20"/>
          <w:color w:val="auto"/>
        </w:rPr>
      </w:pPr>
    </w:p>
    <w:p>
      <w:pPr>
        <w:ind w:right="140" w:firstLine="268"/>
        <w:spacing w:after="0" w:line="274" w:lineRule="auto"/>
        <w:rPr>
          <w:sz w:val="20"/>
          <w:szCs w:val="20"/>
          <w:color w:val="auto"/>
        </w:rPr>
      </w:pPr>
      <w:r>
        <w:rPr>
          <w:rFonts w:ascii="Arial" w:cs="Arial" w:eastAsia="Arial" w:hAnsi="Arial"/>
          <w:sz w:val="14"/>
          <w:szCs w:val="14"/>
          <w:color w:val="auto"/>
        </w:rPr>
        <w:t>During the nine months ended September 30, 2021, we recorded a $54.7 million fair value loss on the revaluation of our MSRs. We determine the fair value of MSRs and transferred MSR liabilities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and transferred MSR liabilities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56" w:lineRule="exact"/>
        <w:rPr>
          <w:sz w:val="20"/>
          <w:szCs w:val="20"/>
          <w:color w:val="auto"/>
        </w:rPr>
      </w:pPr>
    </w:p>
    <w:p>
      <w:pPr>
        <w:ind w:right="40" w:firstLine="268"/>
        <w:spacing w:after="0" w:line="295" w:lineRule="auto"/>
        <w:rPr>
          <w:sz w:val="20"/>
          <w:szCs w:val="20"/>
          <w:color w:val="auto"/>
        </w:rPr>
      </w:pPr>
      <w:r>
        <w:rPr>
          <w:rFonts w:ascii="Arial" w:cs="Arial" w:eastAsia="Arial" w:hAnsi="Arial"/>
          <w:sz w:val="13"/>
          <w:szCs w:val="13"/>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Allowance for Losses on Servicing Advances and Receivables</w:t>
      </w:r>
    </w:p>
    <w:p>
      <w:pPr>
        <w:spacing w:after="0" w:line="99" w:lineRule="exact"/>
        <w:rPr>
          <w:sz w:val="20"/>
          <w:szCs w:val="20"/>
          <w:color w:val="auto"/>
        </w:rPr>
      </w:pPr>
    </w:p>
    <w:p>
      <w:pPr>
        <w:ind w:right="120" w:firstLine="268"/>
        <w:spacing w:after="0" w:line="276" w:lineRule="auto"/>
        <w:rPr>
          <w:sz w:val="20"/>
          <w:szCs w:val="20"/>
          <w:color w:val="auto"/>
        </w:rPr>
      </w:pPr>
      <w:r>
        <w:rPr>
          <w:rFonts w:ascii="Arial" w:cs="Arial" w:eastAsia="Arial" w:hAnsi="Arial"/>
          <w:sz w:val="14"/>
          <w:szCs w:val="14"/>
          <w:color w:val="auto"/>
        </w:rPr>
        <w:t>During the nine months ended September 30, 20211, we recorded a $5.5 million provision expense for losses on servicing advances. At September 30, 2021, the allowance was $6.7 million, which represented 0.9% of total servicing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104" w:name="page105"/>
    <w:bookmarkEnd w:id="104"/>
    <w:p>
      <w:pPr>
        <w:ind w:right="720"/>
        <w:spacing w:after="0" w:line="270" w:lineRule="auto"/>
        <w:rPr>
          <w:sz w:val="20"/>
          <w:szCs w:val="20"/>
          <w:color w:val="auto"/>
        </w:rPr>
      </w:pPr>
      <w:r>
        <w:rPr>
          <w:rFonts w:ascii="Arial" w:cs="Arial" w:eastAsia="Arial" w:hAnsi="Arial"/>
          <w:sz w:val="15"/>
          <w:szCs w:val="15"/>
          <w:color w:val="auto"/>
        </w:rPr>
        <w:t>foreclosure sale, estimated costs of foreclosure action, estimated future property tax payments and the estimated value of the underlying property net of estimated carrying costs, commissions and closing costs.</w:t>
      </w:r>
    </w:p>
    <w:p>
      <w:pPr>
        <w:spacing w:after="0" w:line="58"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During the nine months ended September 30, 2021, we recorded a $10.5 million provision expense on receivables related to government-insured claims. At September 30, 2021, the allowance for losses on receivables related to government-insured claims was $41.1 million, which represents 32% of total government-insured claims receivables. The allowance for losses relates to defaulted FHA or VA insured loans repurchased from Ginnie Mae guaranteed securitizations. This allowance is based upon continuing assessments of collectability, historical loss experience, current conditions and reasonable and supportable forecasts.</w:t>
      </w:r>
    </w:p>
    <w:p>
      <w:pPr>
        <w:spacing w:after="0" w:line="70" w:lineRule="exact"/>
        <w:rPr>
          <w:sz w:val="20"/>
          <w:szCs w:val="20"/>
          <w:color w:val="auto"/>
        </w:rPr>
      </w:pPr>
    </w:p>
    <w:p>
      <w:pPr>
        <w:ind w:right="480" w:firstLine="268"/>
        <w:spacing w:after="0" w:line="270" w:lineRule="auto"/>
        <w:rPr>
          <w:sz w:val="20"/>
          <w:szCs w:val="20"/>
          <w:color w:val="auto"/>
        </w:rPr>
      </w:pPr>
      <w:r>
        <w:rPr>
          <w:rFonts w:ascii="Arial" w:cs="Arial" w:eastAsia="Arial" w:hAnsi="Arial"/>
          <w:sz w:val="15"/>
          <w:szCs w:val="15"/>
          <w:color w:val="auto"/>
        </w:rPr>
        <w:t>Determining an allowance for losses involves management judgment and assumptions that, given similar information at any given point, may result in a different but reasonable estimate.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Obligations</w:t>
      </w:r>
    </w:p>
    <w:p>
      <w:pPr>
        <w:spacing w:after="0" w:line="99" w:lineRule="exact"/>
        <w:rPr>
          <w:sz w:val="20"/>
          <w:szCs w:val="20"/>
          <w:color w:val="auto"/>
        </w:rPr>
      </w:pPr>
    </w:p>
    <w:p>
      <w:pPr>
        <w:ind w:right="40" w:firstLine="268"/>
        <w:spacing w:after="0" w:line="271" w:lineRule="auto"/>
        <w:rPr>
          <w:sz w:val="20"/>
          <w:szCs w:val="20"/>
          <w:color w:val="auto"/>
        </w:rPr>
      </w:pPr>
      <w:r>
        <w:rPr>
          <w:rFonts w:ascii="Arial" w:cs="Arial" w:eastAsia="Arial" w:hAnsi="Arial"/>
          <w:sz w:val="14"/>
          <w:szCs w:val="14"/>
          <w:color w:val="auto"/>
        </w:rPr>
        <w:t>During the nine months ended September 30, 2021, we recorded a $1.5 million provision expense for indemnification. As of September 30, 2021, we have recorded a liability for representation and warranty obligations, and similar indemnification obligations of $42.6 million. 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See Note 22 – Contingencies to the Unaudited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99" w:lineRule="exact"/>
        <w:rPr>
          <w:sz w:val="20"/>
          <w:szCs w:val="20"/>
          <w:color w:val="auto"/>
        </w:rPr>
      </w:pPr>
    </w:p>
    <w:p>
      <w:pPr>
        <w:ind w:right="20" w:firstLine="268"/>
        <w:spacing w:after="0" w:line="293" w:lineRule="auto"/>
        <w:rPr>
          <w:sz w:val="20"/>
          <w:szCs w:val="20"/>
          <w:color w:val="auto"/>
        </w:rPr>
      </w:pPr>
      <w:r>
        <w:rPr>
          <w:rFonts w:ascii="Arial" w:cs="Arial" w:eastAsia="Arial" w:hAnsi="Arial"/>
          <w:sz w:val="13"/>
          <w:szCs w:val="13"/>
          <w:color w:val="auto"/>
        </w:rPr>
        <w:t>During the nine months ended September 30, 2021, we recorded an $8.5 million provision expense for loss contingencies. Our total accrual for probable and estimable legal and regulatory matters, including accrued legal fees, was $44.6 million as of September 30, 2021. It is possible that we will incur losses relating to threatened and pending litigation that materially exceed the amount accrued. We cannot currently estimate the amount, if any, of reasonably possible losses above amounts that have been recorded as of September 30, 2021. 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 becomes available or when an event occurs requiring a change.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99"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72" w:lineRule="exact"/>
        <w:rPr>
          <w:sz w:val="20"/>
          <w:szCs w:val="20"/>
          <w:color w:val="auto"/>
        </w:rPr>
      </w:pPr>
    </w:p>
    <w:p>
      <w:pPr>
        <w:jc w:val="both"/>
        <w:ind w:right="160" w:firstLine="268"/>
        <w:spacing w:after="0" w:line="259" w:lineRule="auto"/>
        <w:rPr>
          <w:sz w:val="20"/>
          <w:szCs w:val="20"/>
          <w:color w:val="auto"/>
        </w:rPr>
      </w:pPr>
      <w:r>
        <w:rPr>
          <w:rFonts w:ascii="Arial" w:cs="Arial" w:eastAsia="Arial" w:hAnsi="Arial"/>
          <w:sz w:val="15"/>
          <w:szCs w:val="15"/>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6"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For the three-year periods ended December 31, 2020 and 2019, the US and USVI filing jurisdictions were in material cumulative loss positions. We recognize that cumulative losses in recent years is an objective form of negative evidence in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105" w:name="page106"/>
    <w:bookmarkEnd w:id="105"/>
    <w:p>
      <w:pPr>
        <w:ind w:right="200"/>
        <w:spacing w:after="0" w:line="270" w:lineRule="auto"/>
        <w:rPr>
          <w:sz w:val="20"/>
          <w:szCs w:val="20"/>
          <w:color w:val="auto"/>
        </w:rPr>
      </w:pPr>
      <w:r>
        <w:rPr>
          <w:rFonts w:ascii="Arial" w:cs="Arial" w:eastAsia="Arial" w:hAnsi="Arial"/>
          <w:sz w:val="15"/>
          <w:szCs w:val="15"/>
          <w:color w:val="auto"/>
        </w:rPr>
        <w:t>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47" w:lineRule="exact"/>
        <w:rPr>
          <w:sz w:val="20"/>
          <w:szCs w:val="20"/>
          <w:color w:val="auto"/>
        </w:rPr>
      </w:pPr>
    </w:p>
    <w:p>
      <w:pPr>
        <w:ind w:right="160" w:firstLine="268"/>
        <w:spacing w:after="0" w:line="274" w:lineRule="auto"/>
        <w:rPr>
          <w:sz w:val="20"/>
          <w:szCs w:val="20"/>
          <w:color w:val="auto"/>
        </w:rPr>
      </w:pPr>
      <w:r>
        <w:rPr>
          <w:rFonts w:ascii="Arial" w:cs="Arial" w:eastAsia="Arial" w:hAnsi="Arial"/>
          <w:sz w:val="14"/>
          <w:szCs w:val="14"/>
          <w:color w:val="auto"/>
        </w:rPr>
        <w:t>As a result of these evaluations, we recognized a full valuation allowance of $182.7 million and $199.5 million on our U.S. deferred tax assets at December 31, 2020 and 2019, respectively, and a full valuation allowance of $0.4 million on our USVI deferred tax assets at both December 31, 2020 and 2019.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56" w:lineRule="exact"/>
        <w:rPr>
          <w:sz w:val="20"/>
          <w:szCs w:val="20"/>
          <w:color w:val="auto"/>
        </w:rPr>
      </w:pPr>
    </w:p>
    <w:p>
      <w:pPr>
        <w:ind w:right="340" w:firstLine="268"/>
        <w:spacing w:after="0" w:line="259" w:lineRule="auto"/>
        <w:rPr>
          <w:sz w:val="20"/>
          <w:szCs w:val="20"/>
          <w:color w:val="auto"/>
        </w:rPr>
      </w:pPr>
      <w:r>
        <w:rPr>
          <w:rFonts w:ascii="Arial" w:cs="Arial" w:eastAsia="Arial" w:hAnsi="Arial"/>
          <w:sz w:val="15"/>
          <w:szCs w:val="15"/>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66" w:lineRule="exact"/>
        <w:rPr>
          <w:sz w:val="20"/>
          <w:szCs w:val="20"/>
          <w:color w:val="auto"/>
        </w:rPr>
      </w:pPr>
    </w:p>
    <w:p>
      <w:pPr>
        <w:ind w:right="140" w:firstLine="268"/>
        <w:spacing w:after="0" w:line="253" w:lineRule="auto"/>
        <w:rPr>
          <w:sz w:val="20"/>
          <w:szCs w:val="20"/>
          <w:color w:val="auto"/>
        </w:rPr>
      </w:pPr>
      <w:r>
        <w:rPr>
          <w:rFonts w:ascii="Arial" w:cs="Arial" w:eastAsia="Arial" w:hAnsi="Arial"/>
          <w:sz w:val="15"/>
          <w:szCs w:val="15"/>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 1 - Organization and Basis of Presentation to the Unaudited Consolidated Financial Statements for information related to recent accounting standards updates.</w:t>
      </w:r>
    </w:p>
    <w:p>
      <w:pPr>
        <w:spacing w:after="0" w:line="147"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 (Dollars in millions unless otherwise indicated)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Rates</w:t>
      </w:r>
    </w:p>
    <w:p>
      <w:pPr>
        <w:spacing w:after="0" w:line="99" w:lineRule="exact"/>
        <w:rPr>
          <w:sz w:val="20"/>
          <w:szCs w:val="20"/>
          <w:color w:val="auto"/>
        </w:rPr>
      </w:pPr>
    </w:p>
    <w:p>
      <w:pPr>
        <w:ind w:right="260" w:firstLine="268"/>
        <w:spacing w:after="0" w:line="259" w:lineRule="auto"/>
        <w:rPr>
          <w:sz w:val="20"/>
          <w:szCs w:val="20"/>
          <w:color w:val="auto"/>
        </w:rPr>
      </w:pPr>
      <w:r>
        <w:rPr>
          <w:rFonts w:ascii="Arial" w:cs="Arial" w:eastAsia="Arial" w:hAnsi="Arial"/>
          <w:sz w:val="15"/>
          <w:szCs w:val="15"/>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66"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Our management-level Market Risk Committee establishes and maintains policies that govern our hedging programs, including such factors as market volatility, duration and interest rate sensitivity measures, targeted hedge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70"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Our market risk exposure may also be affected by the replacement of LIBOR, which is expected to be phased out and completely replaced by June 30, 2023. The LIBOR administrator has advised that no new contracts using U.S. dollar LIBOR should be entered into after December 31, 2021. Many of our debt facilities incorporate LIBOR. These facilities either mature prior to the end of 2021 or have terms in place that provide for an alternative to LIBOR upon its phase-out. As we renew or replace these debt facilities, we are working with our counterparties to incorporate alternative benchmarks.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color w:val="auto"/>
        </w:rPr>
        <w:t>MSR Hedging Strategy</w:t>
      </w:r>
    </w:p>
    <w:p>
      <w:pPr>
        <w:spacing w:after="0" w:line="99"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58" w:lineRule="exact"/>
        <w:rPr>
          <w:sz w:val="20"/>
          <w:szCs w:val="20"/>
          <w:color w:val="auto"/>
        </w:rPr>
      </w:pPr>
    </w:p>
    <w:p>
      <w:pPr>
        <w:ind w:right="140" w:firstLine="268"/>
        <w:spacing w:after="0" w:line="255" w:lineRule="auto"/>
        <w:rPr>
          <w:sz w:val="20"/>
          <w:szCs w:val="20"/>
          <w:color w:val="auto"/>
        </w:rPr>
      </w:pPr>
      <w:r>
        <w:rPr>
          <w:rFonts w:ascii="Arial" w:cs="Arial" w:eastAsia="Arial" w:hAnsi="Arial"/>
          <w:sz w:val="15"/>
          <w:szCs w:val="15"/>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70" w:lineRule="exact"/>
        <w:rPr>
          <w:sz w:val="20"/>
          <w:szCs w:val="20"/>
          <w:color w:val="auto"/>
        </w:rPr>
      </w:pPr>
    </w:p>
    <w:p>
      <w:pPr>
        <w:ind w:left="540" w:hanging="26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MSR Transfers Not Qualifying for Sale Accounting),</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less the unsecuritized reverse mortgage loans and tails classified as held for investment,</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liability,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lock commitments (pipeline).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the first and second quarters of 2021, we also included in our MSR portfolio the exposure related to expected future MSR bulk acquisitions subject to letters of intent.</w:t>
      </w:r>
    </w:p>
    <w:p>
      <w:pPr>
        <w:spacing w:after="0" w:line="107" w:lineRule="exact"/>
        <w:rPr>
          <w:sz w:val="20"/>
          <w:szCs w:val="20"/>
          <w:color w:val="auto"/>
        </w:rPr>
      </w:pPr>
    </w:p>
    <w:p>
      <w:pPr>
        <w:ind w:right="320" w:firstLine="268"/>
        <w:spacing w:after="0" w:line="306" w:lineRule="auto"/>
        <w:rPr>
          <w:sz w:val="20"/>
          <w:szCs w:val="20"/>
          <w:color w:val="auto"/>
        </w:rPr>
      </w:pPr>
      <w:r>
        <w:rPr>
          <w:rFonts w:ascii="Arial" w:cs="Arial" w:eastAsia="Arial" w:hAnsi="Arial"/>
          <w:sz w:val="14"/>
          <w:szCs w:val="14"/>
          <w:color w:val="auto"/>
        </w:rPr>
        <w:t>Effective May 2021, management started hedging its MSR portfolio and its pipeline separately (see below for further description of pipeline hedging), effectively ending the macro hedge strategy previously in place. Under the new MSR hedging strategy, the interest-rate sensitive MSR portfolio exposure is now defined as follows:</w:t>
      </w:r>
    </w:p>
    <w:p>
      <w:pPr>
        <w:spacing w:after="0" w:line="35" w:lineRule="exact"/>
        <w:rPr>
          <w:sz w:val="20"/>
          <w:szCs w:val="20"/>
          <w:color w:val="auto"/>
        </w:rPr>
      </w:pPr>
    </w:p>
    <w:p>
      <w:pPr>
        <w:ind w:left="540" w:hanging="263"/>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expected Agency MSR bulk transactions subject to letters of intent (LOI),</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less the Agency MSRs subject to our sale agreements with NRZ and MAV (See Note 8 — MSR Transfers Not Qualifying for Sale Accounting),</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 (Reverse).</w:t>
      </w:r>
    </w:p>
    <w:p>
      <w:pPr>
        <w:spacing w:after="0" w:line="85" w:lineRule="exact"/>
        <w:rPr>
          <w:sz w:val="20"/>
          <w:szCs w:val="20"/>
          <w:color w:val="auto"/>
        </w:rPr>
      </w:pPr>
    </w:p>
    <w:p>
      <w:pPr>
        <w:ind w:right="280" w:firstLine="268"/>
        <w:spacing w:after="0" w:line="317" w:lineRule="auto"/>
        <w:rPr>
          <w:sz w:val="20"/>
          <w:szCs w:val="20"/>
          <w:color w:val="auto"/>
        </w:rPr>
      </w:pPr>
      <w:r>
        <w:rPr>
          <w:rFonts w:ascii="Arial" w:cs="Arial" w:eastAsia="Arial" w:hAnsi="Arial"/>
          <w:sz w:val="13"/>
          <w:szCs w:val="13"/>
          <w:color w:val="auto"/>
        </w:rPr>
        <w:t>Our MSR policy’s objective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of 40% and 60%, respectively. Accordingly, the changes in fair value of our hedging instruments may not fully offset the changes in fair value of our net MSR portfolio exposure attributable to interest rate changes.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performance of the MSR interest rate hedging strategy during the third quarter of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vMerge w:val="restart"/>
          </w:tcPr>
          <w:p>
            <w:pPr>
              <w:ind w:left="300"/>
              <w:spacing w:after="0"/>
              <w:rPr>
                <w:sz w:val="20"/>
                <w:szCs w:val="20"/>
                <w:color w:val="auto"/>
              </w:rPr>
            </w:pPr>
            <w:r>
              <w:rPr>
                <w:rFonts w:ascii="Arial" w:cs="Arial" w:eastAsia="Arial" w:hAnsi="Arial"/>
                <w:sz w:val="15"/>
                <w:szCs w:val="15"/>
                <w:b w:val="1"/>
                <w:bCs w:val="1"/>
                <w:i w:val="1"/>
                <w:iCs w:val="1"/>
                <w:color w:val="auto"/>
              </w:rPr>
              <w:t>$ in millions</w:t>
            </w:r>
          </w:p>
        </w:tc>
        <w:tc>
          <w:tcPr>
            <w:tcW w:w="36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MSR Agency</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b w:val="1"/>
                <w:bCs w:val="1"/>
                <w:color w:val="auto"/>
              </w:rPr>
              <w:t>Hedge</w:t>
            </w:r>
          </w:p>
        </w:tc>
        <w:tc>
          <w:tcPr>
            <w:tcW w:w="0" w:type="dxa"/>
            <w:vAlign w:val="bottom"/>
          </w:tcPr>
          <w:p>
            <w:pPr>
              <w:spacing w:after="0"/>
              <w:rPr>
                <w:sz w:val="1"/>
                <w:szCs w:val="1"/>
                <w:color w:val="auto"/>
              </w:rPr>
            </w:pPr>
          </w:p>
        </w:tc>
      </w:tr>
      <w:tr>
        <w:trPr>
          <w:trHeight w:val="145"/>
        </w:trPr>
        <w:tc>
          <w:tcPr>
            <w:tcW w:w="3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Reverse Exposure</w:t>
            </w:r>
          </w:p>
        </w:tc>
        <w:tc>
          <w:tcPr>
            <w:tcW w:w="1680" w:type="dxa"/>
            <w:vAlign w:val="bottom"/>
            <w:gridSpan w:val="3"/>
            <w:vMerge w:val="restart"/>
          </w:tcPr>
          <w:p>
            <w:pPr>
              <w:ind w:left="280"/>
              <w:spacing w:after="0"/>
              <w:rPr>
                <w:sz w:val="20"/>
                <w:szCs w:val="20"/>
                <w:color w:val="auto"/>
              </w:rPr>
            </w:pPr>
            <w:r>
              <w:rPr>
                <w:rFonts w:ascii="Arial" w:cs="Arial" w:eastAsia="Arial" w:hAnsi="Arial"/>
                <w:sz w:val="15"/>
                <w:szCs w:val="15"/>
                <w:b w:val="1"/>
                <w:bCs w:val="1"/>
                <w:color w:val="auto"/>
                <w:w w:val="95"/>
              </w:rPr>
              <w:t>Hedging Derivatives</w:t>
            </w:r>
          </w:p>
        </w:tc>
        <w:tc>
          <w:tcPr>
            <w:tcW w:w="56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Total</w:t>
            </w:r>
          </w:p>
        </w:tc>
        <w:tc>
          <w:tcPr>
            <w:tcW w:w="1080" w:type="dxa"/>
            <w:vAlign w:val="bottom"/>
          </w:tcPr>
          <w:p>
            <w:pPr>
              <w:jc w:val="right"/>
              <w:spacing w:after="0" w:line="145" w:lineRule="exact"/>
              <w:rPr>
                <w:sz w:val="20"/>
                <w:szCs w:val="20"/>
                <w:color w:val="auto"/>
              </w:rPr>
            </w:pPr>
            <w:r>
              <w:rPr>
                <w:rFonts w:ascii="Arial" w:cs="Arial" w:eastAsia="Arial" w:hAnsi="Arial"/>
                <w:sz w:val="15"/>
                <w:szCs w:val="15"/>
                <w:b w:val="1"/>
                <w:bCs w:val="1"/>
                <w:color w:val="auto"/>
                <w:w w:val="92"/>
              </w:rPr>
              <w:t>Coverage Ratio</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Portfolio Exposure (1)</w:t>
            </w: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80" w:type="dxa"/>
            <w:vAlign w:val="bottom"/>
          </w:tcPr>
          <w:p>
            <w:pPr>
              <w:jc w:val="right"/>
              <w:ind w:right="366"/>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81"/>
        </w:trPr>
        <w:tc>
          <w:tcPr>
            <w:tcW w:w="34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DV01 parallel interest rate change</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20.6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(8.3)</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Non-parallel rate movement, basis risk and other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0"/>
              </w:rPr>
              <w:t>Estimated fair value changes attributable to interest rates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15.1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00" w:hanging="191"/>
        <w:spacing w:after="0"/>
        <w:tabs>
          <w:tab w:leader="none" w:pos="2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Interest rate Agency MSR portfolio, including LOI, less MAV and NRZ transferred MSR.</w:t>
      </w:r>
    </w:p>
    <w:p>
      <w:pPr>
        <w:spacing w:after="0" w:line="18" w:lineRule="exact"/>
        <w:rPr>
          <w:rFonts w:ascii="Arial" w:cs="Arial" w:eastAsia="Arial" w:hAnsi="Arial"/>
          <w:sz w:val="13"/>
          <w:szCs w:val="13"/>
          <w:color w:val="auto"/>
        </w:rPr>
      </w:pPr>
    </w:p>
    <w:p>
      <w:pPr>
        <w:ind w:left="200" w:hanging="191"/>
        <w:spacing w:after="0"/>
        <w:tabs>
          <w:tab w:leader="none" w:pos="2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Reverse Exposure plus Hedging Derivatives divided by net MSR Agency Portfolio Exposure</w:t>
      </w:r>
    </w:p>
    <w:p>
      <w:pPr>
        <w:spacing w:after="0" w:line="82"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While the DV01 measures remained within the range of our hedging strategy’s objective during the third quarter of 2021, the actual changes in fair value of the derivatives and MSR portfolio were not offset to the same extent, mainly due to non-parallel changes in the interest rate curve and the basis risk inherent in the MSR profile and hedging instruments. In addition, we established a higher hedge coverage on a committed MSR sale to MAV during the third quarter of 2021. We continuously evaluate the use of hedging instruments to strive to enhance the effectiveness of our interest rate hedging strategy.</w:t>
      </w:r>
    </w:p>
    <w:p>
      <w:pPr>
        <w:spacing w:after="0" w:line="58" w:lineRule="exact"/>
        <w:rPr>
          <w:sz w:val="20"/>
          <w:szCs w:val="20"/>
          <w:color w:val="auto"/>
        </w:rPr>
      </w:pPr>
    </w:p>
    <w:p>
      <w:pPr>
        <w:ind w:right="480" w:firstLine="268"/>
        <w:spacing w:after="0" w:line="239" w:lineRule="auto"/>
        <w:rPr>
          <w:sz w:val="20"/>
          <w:szCs w:val="20"/>
          <w:color w:val="auto"/>
        </w:rPr>
      </w:pPr>
      <w:r>
        <w:rPr>
          <w:rFonts w:ascii="Arial" w:cs="Arial" w:eastAsia="Arial" w:hAnsi="Arial"/>
          <w:sz w:val="15"/>
          <w:szCs w:val="15"/>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69" w:lineRule="exact"/>
        <w:rPr>
          <w:sz w:val="20"/>
          <w:szCs w:val="20"/>
          <w:color w:val="auto"/>
        </w:rPr>
      </w:pPr>
    </w:p>
    <w:p>
      <w:pPr>
        <w:ind w:right="180" w:firstLine="268"/>
        <w:spacing w:after="0" w:line="255" w:lineRule="auto"/>
        <w:rPr>
          <w:sz w:val="20"/>
          <w:szCs w:val="20"/>
          <w:color w:val="auto"/>
        </w:rPr>
      </w:pPr>
      <w:r>
        <w:rPr>
          <w:rFonts w:ascii="Arial" w:cs="Arial" w:eastAsia="Arial" w:hAnsi="Arial"/>
          <w:sz w:val="15"/>
          <w:szCs w:val="15"/>
          <w:color w:val="auto"/>
        </w:rPr>
        <w:t>The following table illustrates the interest rate sensitivity of the MSR portfolio exposure and associated hedges at September 30, 2021.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2420" w:type="dxa"/>
            <w:vAlign w:val="bottom"/>
            <w:gridSpan w:val="2"/>
            <w:vMerge w:val="restart"/>
          </w:tcPr>
          <w:p>
            <w:pPr>
              <w:jc w:val="right"/>
              <w:ind w:right="86"/>
              <w:spacing w:after="0"/>
              <w:rPr>
                <w:sz w:val="20"/>
                <w:szCs w:val="20"/>
                <w:color w:val="auto"/>
              </w:rPr>
            </w:pPr>
            <w:r>
              <w:rPr>
                <w:rFonts w:ascii="Arial" w:cs="Arial" w:eastAsia="Arial" w:hAnsi="Arial"/>
                <w:sz w:val="15"/>
                <w:szCs w:val="15"/>
                <w:b w:val="1"/>
                <w:bCs w:val="1"/>
                <w:color w:val="auto"/>
              </w:rPr>
              <w:t>Fair value at September 30,</w:t>
            </w:r>
          </w:p>
        </w:tc>
        <w:tc>
          <w:tcPr>
            <w:tcW w:w="100" w:type="dxa"/>
            <w:vAlign w:val="bottom"/>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Hypothetical change in fair</w:t>
            </w:r>
          </w:p>
        </w:tc>
        <w:tc>
          <w:tcPr>
            <w:tcW w:w="120" w:type="dxa"/>
            <w:vAlign w:val="bottom"/>
          </w:tcPr>
          <w:p>
            <w:pPr>
              <w:spacing w:after="0"/>
              <w:rPr>
                <w:sz w:val="14"/>
                <w:szCs w:val="14"/>
                <w:color w:val="auto"/>
              </w:rPr>
            </w:pPr>
          </w:p>
        </w:tc>
        <w:tc>
          <w:tcPr>
            <w:tcW w:w="188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Hypothetical change in fair</w:t>
            </w:r>
          </w:p>
        </w:tc>
        <w:tc>
          <w:tcPr>
            <w:tcW w:w="0" w:type="dxa"/>
            <w:vAlign w:val="bottom"/>
          </w:tcPr>
          <w:p>
            <w:pPr>
              <w:spacing w:after="0"/>
              <w:rPr>
                <w:sz w:val="1"/>
                <w:szCs w:val="1"/>
                <w:color w:val="auto"/>
              </w:rPr>
            </w:pPr>
          </w:p>
        </w:tc>
      </w:tr>
      <w:tr>
        <w:trPr>
          <w:trHeight w:val="145"/>
        </w:trPr>
        <w:tc>
          <w:tcPr>
            <w:tcW w:w="480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80"/>
              <w:spacing w:after="0" w:line="145" w:lineRule="exact"/>
              <w:rPr>
                <w:sz w:val="20"/>
                <w:szCs w:val="20"/>
                <w:color w:val="auto"/>
              </w:rPr>
            </w:pPr>
            <w:r>
              <w:rPr>
                <w:rFonts w:ascii="Arial" w:cs="Arial" w:eastAsia="Arial" w:hAnsi="Arial"/>
                <w:sz w:val="15"/>
                <w:szCs w:val="15"/>
                <w:b w:val="1"/>
                <w:bCs w:val="1"/>
                <w:color w:val="auto"/>
                <w:w w:val="87"/>
              </w:rPr>
              <w:t>value due to 25 bps rate</w:t>
            </w:r>
          </w:p>
        </w:tc>
        <w:tc>
          <w:tcPr>
            <w:tcW w:w="120" w:type="dxa"/>
            <w:vAlign w:val="bottom"/>
          </w:tcPr>
          <w:p>
            <w:pPr>
              <w:spacing w:after="0"/>
              <w:rPr>
                <w:sz w:val="12"/>
                <w:szCs w:val="12"/>
                <w:color w:val="auto"/>
              </w:rPr>
            </w:pPr>
          </w:p>
        </w:tc>
        <w:tc>
          <w:tcPr>
            <w:tcW w:w="188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value due to 25 bps rate</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tcPr>
          <w:p>
            <w:pPr>
              <w:jc w:val="right"/>
              <w:ind w:right="8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2"/>
              </w:rPr>
              <w:t>decrease</w:t>
            </w:r>
          </w:p>
        </w:tc>
        <w:tc>
          <w:tcPr>
            <w:tcW w:w="120" w:type="dxa"/>
            <w:vAlign w:val="bottom"/>
          </w:tcPr>
          <w:p>
            <w:pPr>
              <w:spacing w:after="0"/>
              <w:rPr>
                <w:sz w:val="16"/>
                <w:szCs w:val="16"/>
                <w:color w:val="auto"/>
              </w:rPr>
            </w:pPr>
          </w:p>
        </w:tc>
        <w:tc>
          <w:tcPr>
            <w:tcW w:w="1880" w:type="dxa"/>
            <w:vAlign w:val="bottom"/>
          </w:tcPr>
          <w:p>
            <w:pPr>
              <w:jc w:val="center"/>
              <w:ind w:right="46"/>
              <w:spacing w:after="0"/>
              <w:rPr>
                <w:sz w:val="20"/>
                <w:szCs w:val="20"/>
                <w:color w:val="auto"/>
              </w:rPr>
            </w:pPr>
            <w:r>
              <w:rPr>
                <w:rFonts w:ascii="Arial" w:cs="Arial" w:eastAsia="Arial" w:hAnsi="Arial"/>
                <w:sz w:val="15"/>
                <w:szCs w:val="15"/>
                <w:b w:val="1"/>
                <w:bCs w:val="1"/>
                <w:color w:val="auto"/>
                <w:w w:val="85"/>
              </w:rPr>
              <w:t>increase</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Agency MSRs - interest rate sensitive (excl. NRZ)</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1,479.8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(74.5)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114"/>
        </w:trPr>
        <w:tc>
          <w:tcPr>
            <w:tcW w:w="4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8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91.5</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MSR hedging derivative instruments</w:t>
            </w:r>
          </w:p>
        </w:tc>
        <w:tc>
          <w:tcPr>
            <w:tcW w:w="880" w:type="dxa"/>
            <w:vAlign w:val="bottom"/>
            <w:tcBorders>
              <w:bottom w:val="single" w:sz="8" w:color="CCEEFF"/>
            </w:tcBorders>
          </w:tcPr>
          <w:p>
            <w:pPr>
              <w:jc w:val="right"/>
              <w:ind w:right="266"/>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tcPr>
          <w:p>
            <w:pPr>
              <w:jc w:val="right"/>
              <w:ind w:right="226"/>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39.1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18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hedge position</w:t>
            </w:r>
          </w:p>
        </w:tc>
        <w:tc>
          <w:tcPr>
            <w:tcW w:w="8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5"/>
                <w:szCs w:val="15"/>
                <w:color w:val="auto"/>
              </w:rPr>
              <w:t>Hypothetical hedge coverage ratio (1)</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57 %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58 %</w:t>
            </w:r>
          </w:p>
        </w:tc>
        <w:tc>
          <w:tcPr>
            <w:tcW w:w="0" w:type="dxa"/>
            <w:vAlign w:val="bottom"/>
          </w:tcPr>
          <w:p>
            <w:pPr>
              <w:spacing w:after="0"/>
              <w:rPr>
                <w:sz w:val="1"/>
                <w:szCs w:val="1"/>
                <w:color w:val="auto"/>
              </w:rPr>
            </w:pPr>
          </w:p>
        </w:tc>
      </w:tr>
      <w:tr>
        <w:trPr>
          <w:trHeight w:val="134"/>
        </w:trPr>
        <w:tc>
          <w:tcPr>
            <w:tcW w:w="4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8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tcPr>
          <w:p>
            <w:pPr>
              <w:ind w:left="20"/>
              <w:spacing w:after="0"/>
              <w:rPr>
                <w:sz w:val="20"/>
                <w:szCs w:val="20"/>
                <w:color w:val="auto"/>
              </w:rPr>
            </w:pPr>
            <w:r>
              <w:rPr>
                <w:rFonts w:ascii="Arial" w:cs="Arial" w:eastAsia="Arial" w:hAnsi="Arial"/>
                <w:sz w:val="15"/>
                <w:szCs w:val="15"/>
                <w:color w:val="auto"/>
              </w:rPr>
              <w:t>Hypothetical residual exposure to changes in interest rates</w:t>
            </w: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(32.0)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The hypothetical hedge coverage ratio above is calculated as the change in fair value of the total hedge position divided by the change in value of the Agency MSR position.</w:t>
      </w:r>
    </w:p>
    <w:p>
      <w:pPr>
        <w:spacing w:after="0" w:line="94" w:lineRule="exact"/>
        <w:rPr>
          <w:sz w:val="20"/>
          <w:szCs w:val="20"/>
          <w:color w:val="auto"/>
        </w:rPr>
      </w:pPr>
    </w:p>
    <w:p>
      <w:pPr>
        <w:ind w:right="160" w:firstLine="268"/>
        <w:spacing w:after="0" w:line="276" w:lineRule="auto"/>
        <w:rPr>
          <w:sz w:val="20"/>
          <w:szCs w:val="20"/>
          <w:color w:val="auto"/>
        </w:rPr>
      </w:pPr>
      <w:r>
        <w:rPr>
          <w:rFonts w:ascii="Arial" w:cs="Arial" w:eastAsia="Arial" w:hAnsi="Arial"/>
          <w:sz w:val="14"/>
          <w:szCs w:val="14"/>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55"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and HMBS-related Borrowings</w:t>
      </w:r>
    </w:p>
    <w:p>
      <w:pPr>
        <w:spacing w:after="0" w:line="99" w:lineRule="exact"/>
        <w:rPr>
          <w:sz w:val="20"/>
          <w:szCs w:val="20"/>
          <w:color w:val="auto"/>
        </w:rPr>
      </w:pPr>
    </w:p>
    <w:p>
      <w:pPr>
        <w:jc w:val="both"/>
        <w:ind w:right="120" w:firstLine="268"/>
        <w:spacing w:after="0" w:line="261" w:lineRule="auto"/>
        <w:rPr>
          <w:sz w:val="20"/>
          <w:szCs w:val="20"/>
          <w:color w:val="auto"/>
        </w:rPr>
      </w:pPr>
      <w:r>
        <w:rPr>
          <w:rFonts w:ascii="Arial" w:cs="Arial" w:eastAsia="Arial" w:hAnsi="Arial"/>
          <w:sz w:val="15"/>
          <w:szCs w:val="15"/>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6"/>
          <w:szCs w:val="16"/>
          <w:color w:val="auto"/>
        </w:rPr>
        <w:t>.</w:t>
      </w:r>
    </w:p>
    <w:p>
      <w:pPr>
        <w:spacing w:after="0" w:line="60" w:lineRule="exact"/>
        <w:rPr>
          <w:sz w:val="20"/>
          <w:szCs w:val="20"/>
          <w:color w:val="auto"/>
        </w:rPr>
      </w:pPr>
    </w:p>
    <w:p>
      <w:pPr>
        <w:ind w:right="60" w:firstLine="268"/>
        <w:spacing w:after="0" w:line="307" w:lineRule="auto"/>
        <w:rPr>
          <w:sz w:val="20"/>
          <w:szCs w:val="20"/>
          <w:color w:val="auto"/>
        </w:rPr>
      </w:pPr>
      <w:r>
        <w:rPr>
          <w:rFonts w:ascii="Arial" w:cs="Arial" w:eastAsia="Arial" w:hAnsi="Arial"/>
          <w:sz w:val="13"/>
          <w:szCs w:val="13"/>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 Reverse pipeline is hedged under the same principles as described below, for unsecuritized loans held for investment.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Pipeline Hedging Strategy - Loans Held for Sale and IRLCs</w:t>
      </w:r>
    </w:p>
    <w:p>
      <w:pPr>
        <w:spacing w:after="0" w:line="99" w:lineRule="exact"/>
        <w:rPr>
          <w:sz w:val="20"/>
          <w:szCs w:val="20"/>
          <w:color w:val="auto"/>
        </w:rPr>
      </w:pPr>
    </w:p>
    <w:p>
      <w:pPr>
        <w:ind w:right="60" w:firstLine="268"/>
        <w:spacing w:after="0" w:line="270" w:lineRule="auto"/>
        <w:rPr>
          <w:sz w:val="20"/>
          <w:szCs w:val="20"/>
          <w:color w:val="auto"/>
        </w:rPr>
      </w:pPr>
      <w:r>
        <w:rPr>
          <w:rFonts w:ascii="Arial" w:cs="Arial" w:eastAsia="Arial" w:hAnsi="Arial"/>
          <w:sz w:val="14"/>
          <w:szCs w:val="14"/>
          <w:color w:val="auto"/>
        </w:rPr>
        <w:t>In our Originations business, we are exposed to interest rate risk and related price risk during the period from the date of the interest rate lock commitment through (i) the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IRLCs is economically hedged with derivative instruments, including forward sales of Agency TBAs. The pipeline hedging strategy’s objective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+/- 15% or +/- $15 million. We report changes in fair value of these derivative instruments in gain on loans held for sale in our consolidated statements of operations, within the Originations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Advance Match Funded Liabilities</w:t>
      </w:r>
    </w:p>
    <w:p>
      <w:pPr>
        <w:spacing w:after="0" w:line="99" w:lineRule="exact"/>
        <w:rPr>
          <w:sz w:val="20"/>
          <w:szCs w:val="20"/>
          <w:color w:val="auto"/>
        </w:rPr>
      </w:pPr>
    </w:p>
    <w:p>
      <w:pPr>
        <w:ind w:right="360" w:firstLine="268"/>
        <w:spacing w:after="0" w:line="259" w:lineRule="auto"/>
        <w:rPr>
          <w:sz w:val="20"/>
          <w:szCs w:val="20"/>
          <w:color w:val="auto"/>
        </w:rPr>
      </w:pPr>
      <w:r>
        <w:rPr>
          <w:rFonts w:ascii="Arial" w:cs="Arial" w:eastAsia="Arial" w:hAnsi="Arial"/>
          <w:sz w:val="15"/>
          <w:szCs w:val="15"/>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Rate-Sensitive Financial Instruments</w:t>
      </w:r>
    </w:p>
    <w:p>
      <w:pPr>
        <w:spacing w:after="0" w:line="99" w:lineRule="exact"/>
        <w:rPr>
          <w:sz w:val="20"/>
          <w:szCs w:val="20"/>
          <w:color w:val="auto"/>
        </w:rPr>
      </w:pPr>
    </w:p>
    <w:p>
      <w:pPr>
        <w:ind w:right="160" w:firstLine="268"/>
        <w:spacing w:after="0" w:line="259" w:lineRule="auto"/>
        <w:rPr>
          <w:sz w:val="20"/>
          <w:szCs w:val="20"/>
          <w:color w:val="auto"/>
        </w:rPr>
      </w:pPr>
      <w:r>
        <w:rPr>
          <w:rFonts w:ascii="Arial" w:cs="Arial" w:eastAsia="Arial" w:hAnsi="Arial"/>
          <w:sz w:val="15"/>
          <w:szCs w:val="15"/>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84"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Arial" w:cs="Arial" w:eastAsia="Arial" w:hAnsi="Arial"/>
                <w:sz w:val="15"/>
                <w:szCs w:val="15"/>
                <w:b w:val="1"/>
                <w:bCs w:val="1"/>
                <w:color w:val="auto"/>
              </w:rPr>
              <w:t>September 30, 2021</w:t>
            </w:r>
          </w:p>
        </w:tc>
        <w:tc>
          <w:tcPr>
            <w:tcW w:w="540" w:type="dxa"/>
            <w:vAlign w:val="bottom"/>
          </w:tcPr>
          <w:p>
            <w:pPr>
              <w:spacing w:after="0"/>
              <w:rPr>
                <w:sz w:val="16"/>
                <w:szCs w:val="16"/>
                <w:color w:val="auto"/>
              </w:rPr>
            </w:pPr>
          </w:p>
        </w:tc>
        <w:tc>
          <w:tcPr>
            <w:tcW w:w="2780" w:type="dxa"/>
            <w:vAlign w:val="bottom"/>
            <w:gridSpan w:val="4"/>
          </w:tcPr>
          <w:p>
            <w:pPr>
              <w:jc w:val="right"/>
              <w:ind w:right="766"/>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Balance</w:t>
            </w:r>
          </w:p>
        </w:tc>
        <w:tc>
          <w:tcPr>
            <w:tcW w:w="4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Fair Value (1)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Balance</w:t>
            </w:r>
          </w:p>
        </w:tc>
        <w:tc>
          <w:tcPr>
            <w:tcW w:w="4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99"/>
              </w:rPr>
              <w:t>Fair Value (1)</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80"/>
              <w:spacing w:after="0" w:line="169" w:lineRule="exact"/>
              <w:rPr>
                <w:sz w:val="20"/>
                <w:szCs w:val="20"/>
                <w:color w:val="auto"/>
              </w:rPr>
            </w:pPr>
            <w:r>
              <w:rPr>
                <w:rFonts w:ascii="Arial" w:cs="Arial" w:eastAsia="Arial" w:hAnsi="Arial"/>
                <w:sz w:val="15"/>
                <w:szCs w:val="15"/>
                <w:b w:val="1"/>
                <w:bCs w:val="1"/>
                <w:color w:val="auto"/>
              </w:rPr>
              <w:t>Rate-Sensitive Assets:</w:t>
            </w:r>
          </w:p>
        </w:tc>
        <w:tc>
          <w:tcPr>
            <w:tcW w:w="5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rPr>
                <w:sz w:val="20"/>
                <w:szCs w:val="20"/>
                <w:color w:val="auto"/>
              </w:rPr>
            </w:pPr>
            <w:r>
              <w:rPr>
                <w:rFonts w:ascii="Arial" w:cs="Arial" w:eastAsia="Arial" w:hAnsi="Arial"/>
                <w:sz w:val="15"/>
                <w:szCs w:val="15"/>
                <w:color w:val="auto"/>
              </w:rPr>
              <w:t>Interest-earning cash</w:t>
            </w:r>
          </w:p>
        </w:tc>
        <w:tc>
          <w:tcPr>
            <w:tcW w:w="5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213.3</w:t>
            </w:r>
          </w:p>
        </w:tc>
        <w:tc>
          <w:tcPr>
            <w:tcW w:w="10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213.3</w:t>
            </w:r>
          </w:p>
        </w:tc>
        <w:tc>
          <w:tcPr>
            <w:tcW w:w="100" w:type="dxa"/>
            <w:vAlign w:val="bottom"/>
          </w:tcPr>
          <w:p>
            <w:pPr>
              <w:spacing w:after="0"/>
              <w:rPr>
                <w:sz w:val="16"/>
                <w:szCs w:val="16"/>
                <w:color w:val="auto"/>
              </w:rPr>
            </w:pPr>
          </w:p>
        </w:tc>
        <w:tc>
          <w:tcPr>
            <w:tcW w:w="5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261.5</w:t>
            </w:r>
          </w:p>
        </w:tc>
        <w:tc>
          <w:tcPr>
            <w:tcW w:w="100" w:type="dxa"/>
            <w:vAlign w:val="bottom"/>
          </w:tcPr>
          <w:p>
            <w:pPr>
              <w:spacing w:after="0"/>
              <w:rPr>
                <w:sz w:val="16"/>
                <w:szCs w:val="16"/>
                <w:color w:val="auto"/>
              </w:rPr>
            </w:pPr>
          </w:p>
        </w:tc>
        <w:tc>
          <w:tcPr>
            <w:tcW w:w="4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261.5</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Loans held for sale, at fair value</w:t>
            </w: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921.6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921.6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366.4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366.4</w:t>
            </w:r>
          </w:p>
        </w:tc>
        <w:tc>
          <w:tcPr>
            <w:tcW w:w="0" w:type="dxa"/>
            <w:vAlign w:val="bottom"/>
          </w:tcPr>
          <w:p>
            <w:pPr>
              <w:spacing w:after="0"/>
              <w:rPr>
                <w:sz w:val="1"/>
                <w:szCs w:val="1"/>
                <w:color w:val="auto"/>
              </w:rPr>
            </w:pPr>
          </w:p>
        </w:tc>
      </w:tr>
      <w:tr>
        <w:trPr>
          <w:trHeight w:val="189"/>
        </w:trPr>
        <w:tc>
          <w:tcPr>
            <w:tcW w:w="4180" w:type="dxa"/>
            <w:vAlign w:val="bottom"/>
          </w:tcPr>
          <w:p>
            <w:pPr>
              <w:ind w:left="120"/>
              <w:spacing w:after="0"/>
              <w:rPr>
                <w:sz w:val="20"/>
                <w:szCs w:val="20"/>
                <w:color w:val="auto"/>
              </w:rPr>
            </w:pPr>
            <w:r>
              <w:rPr>
                <w:rFonts w:ascii="Arial" w:cs="Arial" w:eastAsia="Arial" w:hAnsi="Arial"/>
                <w:sz w:val="15"/>
                <w:szCs w:val="15"/>
                <w:color w:val="auto"/>
              </w:rPr>
              <w:t>Loans held for sale, at lower of cost or fair value (2)</w:t>
            </w:r>
          </w:p>
        </w:tc>
        <w:tc>
          <w:tcPr>
            <w:tcW w:w="56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 at fair value</w:t>
            </w: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7,100.7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7,100.7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6,997.1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6,997.1</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Debt service accounts and time deposits</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rate-sensitive assets</w:t>
            </w:r>
          </w:p>
        </w:tc>
        <w:tc>
          <w:tcPr>
            <w:tcW w:w="5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8,261.0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8,261.0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7,667.2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7,667.2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4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Rate-Sensitive Liabilities (3):</w:t>
            </w: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rPr>
                <w:sz w:val="20"/>
                <w:szCs w:val="20"/>
                <w:color w:val="auto"/>
              </w:rPr>
            </w:pPr>
            <w:r>
              <w:rPr>
                <w:rFonts w:ascii="Arial" w:cs="Arial" w:eastAsia="Arial" w:hAnsi="Arial"/>
                <w:sz w:val="15"/>
                <w:szCs w:val="15"/>
                <w:color w:val="auto"/>
              </w:rPr>
              <w:t>Advance match funded liabilities</w:t>
            </w:r>
          </w:p>
        </w:tc>
        <w:tc>
          <w:tcPr>
            <w:tcW w:w="5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516.6</w:t>
            </w:r>
          </w:p>
        </w:tc>
        <w:tc>
          <w:tcPr>
            <w:tcW w:w="10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515.4</w:t>
            </w:r>
          </w:p>
        </w:tc>
        <w:tc>
          <w:tcPr>
            <w:tcW w:w="100" w:type="dxa"/>
            <w:vAlign w:val="bottom"/>
          </w:tcPr>
          <w:p>
            <w:pPr>
              <w:spacing w:after="0"/>
              <w:rPr>
                <w:sz w:val="16"/>
                <w:szCs w:val="16"/>
                <w:color w:val="auto"/>
              </w:rPr>
            </w:pPr>
          </w:p>
        </w:tc>
        <w:tc>
          <w:tcPr>
            <w:tcW w:w="5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4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582.0</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HMBS-related borrowings, at fair value</w:t>
            </w: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6,782.6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6,782.6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6,772.7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rPr>
                <w:sz w:val="20"/>
                <w:szCs w:val="20"/>
                <w:color w:val="auto"/>
              </w:rPr>
            </w:pPr>
            <w:r>
              <w:rPr>
                <w:rFonts w:ascii="Arial" w:cs="Arial" w:eastAsia="Arial" w:hAnsi="Arial"/>
                <w:sz w:val="15"/>
                <w:szCs w:val="15"/>
                <w:color w:val="auto"/>
              </w:rPr>
              <w:t>Mortgage loan warehouse facilities</w:t>
            </w:r>
          </w:p>
        </w:tc>
        <w:tc>
          <w:tcPr>
            <w:tcW w:w="56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1,069.2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1,069.2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451.7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451.7</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MSR financing facilities, net (4)</w:t>
            </w: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946.8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918.2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438.6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406.9</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rPr>
                <w:sz w:val="20"/>
                <w:szCs w:val="20"/>
                <w:color w:val="auto"/>
              </w:rPr>
            </w:pPr>
            <w:r>
              <w:rPr>
                <w:rFonts w:ascii="Arial" w:cs="Arial" w:eastAsia="Arial" w:hAnsi="Arial"/>
                <w:sz w:val="15"/>
                <w:szCs w:val="15"/>
                <w:color w:val="auto"/>
              </w:rPr>
              <w:t>Senior secured term loan, net (4)</w:t>
            </w:r>
          </w:p>
        </w:tc>
        <w:tc>
          <w:tcPr>
            <w:tcW w:w="56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185.0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184.6</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Senior notes (4)</w:t>
            </w:r>
          </w:p>
        </w:tc>
        <w:tc>
          <w:tcPr>
            <w:tcW w:w="5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685.0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662.3</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313.1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320.9</w:t>
            </w:r>
          </w:p>
        </w:tc>
        <w:tc>
          <w:tcPr>
            <w:tcW w:w="0" w:type="dxa"/>
            <w:vAlign w:val="bottom"/>
          </w:tcPr>
          <w:p>
            <w:pPr>
              <w:spacing w:after="0"/>
              <w:rPr>
                <w:sz w:val="1"/>
                <w:szCs w:val="1"/>
                <w:color w:val="auto"/>
              </w:rPr>
            </w:pPr>
          </w:p>
        </w:tc>
      </w:tr>
      <w:tr>
        <w:trPr>
          <w:trHeight w:val="169"/>
        </w:trPr>
        <w:tc>
          <w:tcPr>
            <w:tcW w:w="4180" w:type="dxa"/>
            <w:vAlign w:val="bottom"/>
          </w:tcPr>
          <w:p>
            <w:pPr>
              <w:ind w:left="440"/>
              <w:spacing w:after="0" w:line="169" w:lineRule="exact"/>
              <w:rPr>
                <w:sz w:val="20"/>
                <w:szCs w:val="20"/>
                <w:color w:val="auto"/>
              </w:rPr>
            </w:pPr>
            <w:r>
              <w:rPr>
                <w:rFonts w:ascii="Arial" w:cs="Arial" w:eastAsia="Arial" w:hAnsi="Arial"/>
                <w:sz w:val="15"/>
                <w:szCs w:val="15"/>
                <w:color w:val="auto"/>
              </w:rPr>
              <w:t>Total rate-sensitive liabilities</w:t>
            </w:r>
          </w:p>
        </w:tc>
        <w:tc>
          <w:tcPr>
            <w:tcW w:w="5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126"/>
              <w:spacing w:after="0"/>
              <w:rPr>
                <w:sz w:val="20"/>
                <w:szCs w:val="20"/>
                <w:color w:val="auto"/>
              </w:rPr>
            </w:pPr>
            <w:r>
              <w:rPr>
                <w:rFonts w:ascii="Arial" w:cs="Arial" w:eastAsia="Arial" w:hAnsi="Arial"/>
                <w:sz w:val="15"/>
                <w:szCs w:val="15"/>
                <w:color w:val="auto"/>
              </w:rPr>
              <w:t>10,000.1</w:t>
            </w:r>
          </w:p>
        </w:tc>
        <w:tc>
          <w:tcPr>
            <w:tcW w:w="100" w:type="dxa"/>
            <w:vAlign w:val="bottom"/>
          </w:tcPr>
          <w:p>
            <w:pPr>
              <w:spacing w:after="0"/>
              <w:rPr>
                <w:sz w:val="14"/>
                <w:szCs w:val="14"/>
                <w:color w:val="auto"/>
              </w:rPr>
            </w:pPr>
          </w:p>
        </w:tc>
        <w:tc>
          <w:tcPr>
            <w:tcW w:w="4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106"/>
              <w:spacing w:after="0"/>
              <w:rPr>
                <w:sz w:val="20"/>
                <w:szCs w:val="20"/>
                <w:color w:val="auto"/>
              </w:rPr>
            </w:pPr>
            <w:r>
              <w:rPr>
                <w:rFonts w:ascii="Arial" w:cs="Arial" w:eastAsia="Arial" w:hAnsi="Arial"/>
                <w:sz w:val="15"/>
                <w:szCs w:val="15"/>
                <w:color w:val="auto"/>
              </w:rPr>
              <w:t>9,947.7</w:t>
            </w:r>
          </w:p>
        </w:tc>
        <w:tc>
          <w:tcPr>
            <w:tcW w:w="100" w:type="dxa"/>
            <w:vAlign w:val="bottom"/>
          </w:tcPr>
          <w:p>
            <w:pPr>
              <w:spacing w:after="0"/>
              <w:rPr>
                <w:sz w:val="14"/>
                <w:szCs w:val="14"/>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106"/>
              <w:spacing w:after="0"/>
              <w:rPr>
                <w:sz w:val="20"/>
                <w:szCs w:val="20"/>
                <w:color w:val="auto"/>
              </w:rPr>
            </w:pPr>
            <w:r>
              <w:rPr>
                <w:rFonts w:ascii="Arial" w:cs="Arial" w:eastAsia="Arial" w:hAnsi="Arial"/>
                <w:sz w:val="15"/>
                <w:szCs w:val="15"/>
                <w:color w:val="auto"/>
              </w:rPr>
              <w:t>8,742.3</w:t>
            </w:r>
          </w:p>
        </w:tc>
        <w:tc>
          <w:tcPr>
            <w:tcW w:w="100" w:type="dxa"/>
            <w:vAlign w:val="bottom"/>
          </w:tcPr>
          <w:p>
            <w:pPr>
              <w:spacing w:after="0"/>
              <w:rPr>
                <w:sz w:val="14"/>
                <w:szCs w:val="14"/>
                <w:color w:val="auto"/>
              </w:rPr>
            </w:pPr>
          </w:p>
        </w:tc>
        <w:tc>
          <w:tcPr>
            <w:tcW w:w="46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8,718.8</w:t>
            </w:r>
          </w:p>
        </w:tc>
        <w:tc>
          <w:tcPr>
            <w:tcW w:w="0" w:type="dxa"/>
            <w:vAlign w:val="bottom"/>
          </w:tcPr>
          <w:p>
            <w:pPr>
              <w:spacing w:after="0"/>
              <w:rPr>
                <w:sz w:val="1"/>
                <w:szCs w:val="1"/>
                <w:color w:val="auto"/>
              </w:rPr>
            </w:pPr>
          </w:p>
        </w:tc>
      </w:tr>
      <w:tr>
        <w:trPr>
          <w:trHeight w:val="72"/>
        </w:trPr>
        <w:tc>
          <w:tcPr>
            <w:tcW w:w="418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940" w:type="dxa"/>
            <w:vAlign w:val="bottom"/>
            <w:tcBorders>
              <w:bottom w:val="single" w:sz="8" w:color="auto"/>
            </w:tcBorders>
          </w:tcPr>
          <w:p>
            <w:pPr>
              <w:spacing w:after="0"/>
              <w:rPr>
                <w:sz w:val="16"/>
                <w:szCs w:val="16"/>
                <w:color w:val="auto"/>
              </w:rPr>
            </w:pPr>
          </w:p>
        </w:tc>
      </w:tr>
      <w:tr>
        <w:trPr>
          <w:trHeight w:val="136"/>
        </w:trPr>
        <w:tc>
          <w:tcPr>
            <w:tcW w:w="4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6" w:lineRule="exact"/>
              <w:rPr>
                <w:sz w:val="20"/>
                <w:szCs w:val="20"/>
                <w:color w:val="auto"/>
              </w:rPr>
            </w:pPr>
            <w:r>
              <w:rPr>
                <w:rFonts w:ascii="Arial" w:cs="Arial" w:eastAsia="Arial" w:hAnsi="Arial"/>
                <w:sz w:val="15"/>
                <w:szCs w:val="15"/>
                <w:b w:val="1"/>
                <w:bCs w:val="1"/>
                <w:color w:val="auto"/>
                <w:w w:val="89"/>
              </w:rPr>
              <w:t>Notional</w:t>
            </w:r>
          </w:p>
        </w:tc>
        <w:tc>
          <w:tcPr>
            <w:tcW w:w="560" w:type="dxa"/>
            <w:vAlign w:val="bottom"/>
          </w:tcPr>
          <w:p>
            <w:pPr>
              <w:spacing w:after="0"/>
              <w:rPr>
                <w:sz w:val="11"/>
                <w:szCs w:val="11"/>
                <w:color w:val="auto"/>
              </w:rPr>
            </w:pPr>
          </w:p>
        </w:tc>
        <w:tc>
          <w:tcPr>
            <w:tcW w:w="960" w:type="dxa"/>
            <w:vAlign w:val="bottom"/>
          </w:tcPr>
          <w:p>
            <w:pPr>
              <w:jc w:val="right"/>
              <w:ind w:right="566"/>
              <w:spacing w:after="0" w:line="136" w:lineRule="exact"/>
              <w:rPr>
                <w:sz w:val="20"/>
                <w:szCs w:val="20"/>
                <w:color w:val="auto"/>
              </w:rPr>
            </w:pPr>
            <w:r>
              <w:rPr>
                <w:rFonts w:ascii="Arial" w:cs="Arial" w:eastAsia="Arial" w:hAnsi="Arial"/>
                <w:sz w:val="15"/>
                <w:szCs w:val="15"/>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6" w:lineRule="exact"/>
              <w:rPr>
                <w:sz w:val="20"/>
                <w:szCs w:val="20"/>
                <w:color w:val="auto"/>
              </w:rPr>
            </w:pPr>
            <w:r>
              <w:rPr>
                <w:rFonts w:ascii="Arial" w:cs="Arial" w:eastAsia="Arial" w:hAnsi="Arial"/>
                <w:sz w:val="15"/>
                <w:szCs w:val="15"/>
                <w:b w:val="1"/>
                <w:bCs w:val="1"/>
                <w:color w:val="auto"/>
                <w:w w:val="89"/>
              </w:rPr>
              <w:t>Notional</w:t>
            </w:r>
          </w:p>
        </w:tc>
        <w:tc>
          <w:tcPr>
            <w:tcW w:w="560" w:type="dxa"/>
            <w:vAlign w:val="bottom"/>
          </w:tcPr>
          <w:p>
            <w:pPr>
              <w:spacing w:after="0"/>
              <w:rPr>
                <w:sz w:val="11"/>
                <w:szCs w:val="11"/>
                <w:color w:val="auto"/>
              </w:rPr>
            </w:pPr>
          </w:p>
        </w:tc>
        <w:tc>
          <w:tcPr>
            <w:tcW w:w="940" w:type="dxa"/>
            <w:vAlign w:val="bottom"/>
          </w:tcPr>
          <w:p>
            <w:pPr>
              <w:jc w:val="right"/>
              <w:ind w:right="546"/>
              <w:spacing w:after="0" w:line="136" w:lineRule="exact"/>
              <w:rPr>
                <w:sz w:val="20"/>
                <w:szCs w:val="20"/>
                <w:color w:val="auto"/>
              </w:rPr>
            </w:pPr>
            <w:r>
              <w:rPr>
                <w:rFonts w:ascii="Arial" w:cs="Arial" w:eastAsia="Arial" w:hAnsi="Arial"/>
                <w:sz w:val="15"/>
                <w:szCs w:val="15"/>
                <w:b w:val="1"/>
                <w:bCs w:val="1"/>
                <w:color w:val="auto"/>
              </w:rPr>
              <w:t>Fair</w:t>
            </w:r>
          </w:p>
        </w:tc>
      </w:tr>
      <w:tr>
        <w:trPr>
          <w:trHeight w:val="189"/>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560" w:type="dxa"/>
            <w:vAlign w:val="bottom"/>
          </w:tcPr>
          <w:p>
            <w:pPr>
              <w:spacing w:after="0"/>
              <w:rPr>
                <w:sz w:val="16"/>
                <w:szCs w:val="16"/>
                <w:color w:val="auto"/>
              </w:rPr>
            </w:pPr>
          </w:p>
        </w:tc>
        <w:tc>
          <w:tcPr>
            <w:tcW w:w="960" w:type="dxa"/>
            <w:vAlign w:val="bottom"/>
          </w:tcPr>
          <w:p>
            <w:pPr>
              <w:jc w:val="right"/>
              <w:ind w:right="506"/>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560" w:type="dxa"/>
            <w:vAlign w:val="bottom"/>
          </w:tcPr>
          <w:p>
            <w:pPr>
              <w:spacing w:after="0"/>
              <w:rPr>
                <w:sz w:val="16"/>
                <w:szCs w:val="16"/>
                <w:color w:val="auto"/>
              </w:rPr>
            </w:pPr>
          </w:p>
        </w:tc>
        <w:tc>
          <w:tcPr>
            <w:tcW w:w="940" w:type="dxa"/>
            <w:vAlign w:val="bottom"/>
          </w:tcPr>
          <w:p>
            <w:pPr>
              <w:jc w:val="right"/>
              <w:ind w:right="506"/>
              <w:spacing w:after="0"/>
              <w:rPr>
                <w:sz w:val="20"/>
                <w:szCs w:val="20"/>
                <w:color w:val="auto"/>
              </w:rPr>
            </w:pPr>
            <w:r>
              <w:rPr>
                <w:rFonts w:ascii="Arial" w:cs="Arial" w:eastAsia="Arial" w:hAnsi="Arial"/>
                <w:sz w:val="15"/>
                <w:szCs w:val="15"/>
                <w:b w:val="1"/>
                <w:bCs w:val="1"/>
                <w:color w:val="auto"/>
                <w:w w:val="84"/>
              </w:rPr>
              <w:t>Value</w:t>
            </w:r>
          </w:p>
        </w:tc>
      </w:tr>
      <w:tr>
        <w:trPr>
          <w:trHeight w:val="169"/>
        </w:trPr>
        <w:tc>
          <w:tcPr>
            <w:tcW w:w="48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Rate-Sensitive Derivative Financial Instruments:</w:t>
            </w: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189"/>
        </w:trPr>
        <w:tc>
          <w:tcPr>
            <w:tcW w:w="4860" w:type="dxa"/>
            <w:vAlign w:val="bottom"/>
          </w:tcPr>
          <w:p>
            <w:pPr>
              <w:ind w:left="100"/>
              <w:spacing w:after="0"/>
              <w:rPr>
                <w:sz w:val="20"/>
                <w:szCs w:val="20"/>
                <w:color w:val="auto"/>
              </w:rPr>
            </w:pPr>
            <w:r>
              <w:rPr>
                <w:rFonts w:ascii="Arial" w:cs="Arial" w:eastAsia="Arial" w:hAnsi="Arial"/>
                <w:sz w:val="15"/>
                <w:szCs w:val="15"/>
                <w:color w:val="auto"/>
              </w:rPr>
              <w:t>Derivative assets (liabilities):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IRLCs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1,302.9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631.4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22.7</w:t>
            </w:r>
          </w:p>
        </w:tc>
      </w:tr>
      <w:tr>
        <w:trPr>
          <w:trHeight w:val="189"/>
        </w:trPr>
        <w:tc>
          <w:tcPr>
            <w:tcW w:w="4860" w:type="dxa"/>
            <w:vAlign w:val="bottom"/>
          </w:tcPr>
          <w:p>
            <w:pPr>
              <w:ind w:left="160"/>
              <w:spacing w:after="0"/>
              <w:rPr>
                <w:sz w:val="20"/>
                <w:szCs w:val="20"/>
                <w:color w:val="auto"/>
              </w:rPr>
            </w:pPr>
            <w:r>
              <w:rPr>
                <w:rFonts w:ascii="Arial" w:cs="Arial" w:eastAsia="Arial" w:hAnsi="Arial"/>
                <w:sz w:val="15"/>
                <w:szCs w:val="15"/>
                <w:color w:val="auto"/>
              </w:rPr>
              <w:t>Forward trades</w:t>
            </w: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140.0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126"/>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(0.1)</w:t>
            </w:r>
          </w:p>
        </w:tc>
      </w:tr>
      <w:tr>
        <w:trPr>
          <w:trHeight w:val="190"/>
        </w:trPr>
        <w:tc>
          <w:tcPr>
            <w:tcW w:w="4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rate swap futures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952.5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593.5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0.5</w:t>
            </w:r>
          </w:p>
        </w:tc>
      </w:tr>
      <w:tr>
        <w:trPr>
          <w:trHeight w:val="189"/>
        </w:trPr>
        <w:tc>
          <w:tcPr>
            <w:tcW w:w="486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TBA / Forward MBS trades</w:t>
            </w: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color w:val="auto"/>
              </w:rPr>
              <w:t>2,665.0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color w:val="auto"/>
              </w:rPr>
              <w:t>400.0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(4.6)</w:t>
            </w:r>
          </w:p>
        </w:tc>
      </w:tr>
      <w:tr>
        <w:trPr>
          <w:trHeight w:val="206"/>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Derivatives, net</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18.6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hanging="271"/>
        <w:spacing w:after="0"/>
        <w:tabs>
          <w:tab w:leader="none" w:pos="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See Note 3 – Fair Value to the Unaudited Consolidated Financial Statements for additional fair value information on financial instruments.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Net of valuation allowances and including non-performing loans.</w:t>
      </w:r>
    </w:p>
    <w:p>
      <w:pPr>
        <w:spacing w:after="0" w:line="6" w:lineRule="exact"/>
        <w:rPr>
          <w:rFonts w:ascii="Arial" w:cs="Arial" w:eastAsia="Arial" w:hAnsi="Arial"/>
          <w:sz w:val="13"/>
          <w:szCs w:val="13"/>
          <w:color w:val="auto"/>
        </w:rPr>
      </w:pPr>
    </w:p>
    <w:p>
      <w:pPr>
        <w:ind w:left="280" w:right="200" w:hanging="271"/>
        <w:spacing w:after="0" w:line="250" w:lineRule="auto"/>
        <w:tabs>
          <w:tab w:leader="none" w:pos="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280" w:hanging="271"/>
        <w:spacing w:after="0"/>
        <w:tabs>
          <w:tab w:leader="none" w:pos="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Balances are exclusive of any related discount or unamortized debt issuance costs.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Sensitivity Analysis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MSRs, Loans Held for Sale, Loans Held for Investment and Related Derivatives</w:t>
      </w:r>
    </w:p>
    <w:p>
      <w:pPr>
        <w:spacing w:after="0" w:line="95" w:lineRule="exact"/>
        <w:rPr>
          <w:sz w:val="20"/>
          <w:szCs w:val="20"/>
          <w:color w:val="auto"/>
        </w:rPr>
      </w:pPr>
    </w:p>
    <w:p>
      <w:pPr>
        <w:ind w:right="200" w:firstLine="268"/>
        <w:spacing w:after="0" w:line="286" w:lineRule="auto"/>
        <w:rPr>
          <w:sz w:val="20"/>
          <w:szCs w:val="20"/>
          <w:color w:val="auto"/>
        </w:rPr>
      </w:pPr>
      <w:r>
        <w:rPr>
          <w:rFonts w:ascii="Arial" w:cs="Arial" w:eastAsia="Arial" w:hAnsi="Arial"/>
          <w:sz w:val="14"/>
          <w:szCs w:val="14"/>
          <w:color w:val="auto"/>
        </w:rPr>
        <w:t>The following table summarizes the estimated change in the fair value of our MSRs, HECM loans held for investment and loans held for sale that we have elected to carry at fair value as well as any related derivatives at September 30, 2021, given hypothetical instantaneous parallel shifts in the yield curve. We used September 30, 2021 market rates to perform the sensitivity analysis. The estimates are based on the interest rate risk sensitive portfolios described in the preceding paragraphs and assume</w:t>
      </w: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849" w:right="239" w:bottom="1440" w:gutter="0" w:footer="0" w:header="0"/>
        </w:sectPr>
      </w:pPr>
    </w:p>
    <w:bookmarkStart w:id="109" w:name="page110"/>
    <w:bookmarkEnd w:id="109"/>
    <w:p>
      <w:pPr>
        <w:ind w:right="480"/>
        <w:spacing w:after="0" w:line="268" w:lineRule="auto"/>
        <w:rPr>
          <w:sz w:val="20"/>
          <w:szCs w:val="20"/>
          <w:color w:val="auto"/>
        </w:rPr>
      </w:pPr>
      <w:r>
        <w:rPr>
          <w:rFonts w:ascii="Arial" w:cs="Arial" w:eastAsia="Arial" w:hAnsi="Arial"/>
          <w:sz w:val="15"/>
          <w:szCs w:val="15"/>
          <w:color w:val="auto"/>
        </w:rPr>
        <w:t>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Change in Fair Value</w:t>
            </w:r>
          </w:p>
        </w:tc>
      </w:tr>
      <w:tr>
        <w:trPr>
          <w:trHeight w:val="181"/>
        </w:trPr>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Down 25 bps</w:t>
            </w:r>
          </w:p>
        </w:tc>
        <w:tc>
          <w:tcPr>
            <w:tcW w:w="280" w:type="dxa"/>
            <w:vAlign w:val="bottom"/>
          </w:tcPr>
          <w:p>
            <w:pPr>
              <w:spacing w:after="0"/>
              <w:rPr>
                <w:sz w:val="15"/>
                <w:szCs w:val="15"/>
                <w:color w:val="auto"/>
              </w:rPr>
            </w:pPr>
          </w:p>
        </w:tc>
        <w:tc>
          <w:tcPr>
            <w:tcW w:w="1260" w:type="dxa"/>
            <w:vAlign w:val="bottom"/>
          </w:tcPr>
          <w:p>
            <w:pPr>
              <w:jc w:val="right"/>
              <w:ind w:right="366"/>
              <w:spacing w:after="0"/>
              <w:rPr>
                <w:sz w:val="20"/>
                <w:szCs w:val="20"/>
                <w:color w:val="auto"/>
              </w:rPr>
            </w:pPr>
            <w:r>
              <w:rPr>
                <w:rFonts w:ascii="Arial" w:cs="Arial" w:eastAsia="Arial" w:hAnsi="Arial"/>
                <w:sz w:val="15"/>
                <w:szCs w:val="15"/>
                <w:b w:val="1"/>
                <w:bCs w:val="1"/>
                <w:color w:val="auto"/>
              </w:rPr>
              <w:t>Up 25 bps</w:t>
            </w:r>
          </w:p>
        </w:tc>
      </w:tr>
      <w:tr>
        <w:trPr>
          <w:trHeight w:val="18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Loans held for investment - Unsecuritized HECM loans and tails</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(18.9)</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MSRs - Agency and non-Agency (1)</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lock commitments (2)</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net</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140" w:hanging="271"/>
        <w:spacing w:after="0" w:line="260" w:lineRule="auto"/>
        <w:tabs>
          <w:tab w:leader="none" w:pos="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ind w:left="280" w:hanging="271"/>
        <w:spacing w:after="0"/>
        <w:tabs>
          <w:tab w:leader="none" w:pos="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Forward mortgage loans only.</w:t>
      </w:r>
    </w:p>
    <w:p>
      <w:pPr>
        <w:spacing w:after="0" w:line="82" w:lineRule="exact"/>
        <w:rPr>
          <w:sz w:val="20"/>
          <w:szCs w:val="20"/>
          <w:color w:val="auto"/>
        </w:rPr>
      </w:pPr>
    </w:p>
    <w:p>
      <w:pPr>
        <w:jc w:val="both"/>
        <w:ind w:right="20" w:firstLine="268"/>
        <w:spacing w:after="0" w:line="259" w:lineRule="auto"/>
        <w:rPr>
          <w:sz w:val="20"/>
          <w:szCs w:val="20"/>
          <w:color w:val="auto"/>
        </w:rPr>
      </w:pPr>
      <w:r>
        <w:rPr>
          <w:rFonts w:ascii="Arial" w:cs="Arial" w:eastAsia="Arial" w:hAnsi="Arial"/>
          <w:sz w:val="15"/>
          <w:szCs w:val="15"/>
          <w:color w:val="auto"/>
        </w:rPr>
        <w:t>The increase in our net sensitivity as of September 30, 2021 as compared to December 31, 2020 (from approximately $15 million to $33-$35 million for a 25 basis point parallel shift in the yield curve) is primarily due to the growth of our Servicing and Originations businesses, with the significant increase in the size of our Agency MSR portfolio through bulk acquisitions and the increase in our pipeline, as our hedging strategy objectives and coverage ratio remained broadly similar.</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Borrowings</w:t>
      </w:r>
    </w:p>
    <w:p>
      <w:pPr>
        <w:spacing w:after="0" w:line="95"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58" w:lineRule="exact"/>
        <w:rPr>
          <w:sz w:val="20"/>
          <w:szCs w:val="20"/>
          <w:color w:val="auto"/>
        </w:rPr>
      </w:pPr>
    </w:p>
    <w:p>
      <w:pPr>
        <w:ind w:right="100" w:firstLine="268"/>
        <w:spacing w:after="0" w:line="306" w:lineRule="auto"/>
        <w:rPr>
          <w:sz w:val="20"/>
          <w:szCs w:val="20"/>
          <w:color w:val="auto"/>
        </w:rPr>
      </w:pPr>
      <w:r>
        <w:rPr>
          <w:rFonts w:ascii="Arial" w:cs="Arial" w:eastAsia="Arial" w:hAnsi="Arial"/>
          <w:sz w:val="14"/>
          <w:szCs w:val="14"/>
          <w:color w:val="auto"/>
        </w:rPr>
        <w:t>Based on September 30, 2021 balances, if interest rates were to increase by 1% on our variable-rate debt and interest earning cash and float balances, we estimate a net positive impact of approximately $19.9 million resulting from an increase of $36.5 million in annual interest income and an increase of $16.5 million in annual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99" w:lineRule="exact"/>
        <w:rPr>
          <w:sz w:val="20"/>
          <w:szCs w:val="20"/>
          <w:color w:val="auto"/>
        </w:rPr>
      </w:pPr>
    </w:p>
    <w:p>
      <w:pPr>
        <w:ind w:right="420" w:firstLine="268"/>
        <w:spacing w:after="0" w:line="330" w:lineRule="auto"/>
        <w:rPr>
          <w:sz w:val="20"/>
          <w:szCs w:val="20"/>
          <w:color w:val="auto"/>
        </w:rPr>
      </w:pPr>
      <w:r>
        <w:rPr>
          <w:rFonts w:ascii="Arial" w:cs="Arial" w:eastAsia="Arial" w:hAnsi="Arial"/>
          <w:sz w:val="13"/>
          <w:szCs w:val="13"/>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Home Prices</w:t>
      </w:r>
    </w:p>
    <w:p>
      <w:pPr>
        <w:spacing w:after="0" w:line="99"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99" w:lineRule="exact"/>
        <w:rPr>
          <w:sz w:val="20"/>
          <w:szCs w:val="20"/>
          <w:color w:val="auto"/>
        </w:rPr>
      </w:pPr>
    </w:p>
    <w:p>
      <w:pPr>
        <w:ind w:right="140" w:firstLine="268"/>
        <w:spacing w:after="0" w:line="348" w:lineRule="auto"/>
        <w:rPr>
          <w:sz w:val="20"/>
          <w:szCs w:val="20"/>
          <w:color w:val="auto"/>
        </w:rPr>
      </w:pPr>
      <w:r>
        <w:rPr>
          <w:rFonts w:ascii="Arial" w:cs="Arial" w:eastAsia="Arial" w:hAnsi="Arial"/>
          <w:sz w:val="13"/>
          <w:szCs w:val="13"/>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2021.</w:t>
      </w:r>
    </w:p>
    <w:p>
      <w:pPr>
        <w:spacing w:after="0" w:line="12" w:lineRule="exact"/>
        <w:rPr>
          <w:sz w:val="20"/>
          <w:szCs w:val="20"/>
          <w:color w:val="auto"/>
        </w:rPr>
      </w:pPr>
    </w:p>
    <w:p>
      <w:pPr>
        <w:ind w:right="20" w:firstLine="268"/>
        <w:spacing w:after="0" w:line="252" w:lineRule="auto"/>
        <w:rPr>
          <w:sz w:val="20"/>
          <w:szCs w:val="20"/>
          <w:color w:val="auto"/>
        </w:rPr>
      </w:pPr>
      <w:r>
        <w:rPr>
          <w:rFonts w:ascii="Arial" w:cs="Arial" w:eastAsia="Arial" w:hAnsi="Arial"/>
          <w:sz w:val="15"/>
          <w:szCs w:val="15"/>
          <w:color w:val="auto"/>
        </w:rPr>
        <w:t>Based on such evaluation, management concluded that our disclosure controls and procedures as of September 30, 2021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110" w:name="page111"/>
    <w:bookmarkEnd w:id="110"/>
    <w:p>
      <w:pPr>
        <w:ind w:right="120" w:firstLine="268"/>
        <w:spacing w:after="0" w:line="270" w:lineRule="auto"/>
        <w:rPr>
          <w:sz w:val="20"/>
          <w:szCs w:val="20"/>
          <w:color w:val="auto"/>
        </w:rPr>
      </w:pPr>
      <w:r>
        <w:rPr>
          <w:rFonts w:ascii="Arial" w:cs="Arial" w:eastAsia="Arial" w:hAnsi="Arial"/>
          <w:sz w:val="15"/>
          <w:szCs w:val="15"/>
          <w:color w:val="auto"/>
        </w:rPr>
        <w:t>There have not been any changes in our internal control over financial reporting that occurred during the fiscal quarter ended September 30, 2021 that have materially affected, or are reasonably likely to materially affect, our internal control over financial reporting.</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PART II – OTHER INFORMATION</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99" w:lineRule="exact"/>
        <w:rPr>
          <w:sz w:val="20"/>
          <w:szCs w:val="20"/>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 xml:space="preserve">See </w:t>
      </w:r>
      <w:hyperlink w:anchor="page54">
        <w:r>
          <w:rPr>
            <w:rFonts w:ascii="Arial" w:cs="Arial" w:eastAsia="Arial" w:hAnsi="Arial"/>
            <w:sz w:val="13"/>
            <w:szCs w:val="13"/>
            <w:color w:val="auto"/>
          </w:rPr>
          <w:t xml:space="preserve">Note 20 – Regulatory Requirements </w:t>
        </w:r>
      </w:hyperlink>
      <w:r>
        <w:rPr>
          <w:rFonts w:ascii="Arial" w:cs="Arial" w:eastAsia="Arial" w:hAnsi="Arial"/>
          <w:sz w:val="13"/>
          <w:szCs w:val="13"/>
          <w:color w:val="auto"/>
        </w:rPr>
        <w:t xml:space="preserve">and </w:t>
      </w:r>
      <w:hyperlink w:anchor="page56">
        <w:r>
          <w:rPr>
            <w:rFonts w:ascii="Arial" w:cs="Arial" w:eastAsia="Arial" w:hAnsi="Arial"/>
            <w:sz w:val="13"/>
            <w:szCs w:val="13"/>
            <w:color w:val="auto"/>
          </w:rPr>
          <w:t xml:space="preserve">Note 22 – Contingencies </w:t>
        </w:r>
      </w:hyperlink>
      <w:r>
        <w:rPr>
          <w:rFonts w:ascii="Arial" w:cs="Arial" w:eastAsia="Arial" w:hAnsi="Arial"/>
          <w:sz w:val="13"/>
          <w:szCs w:val="13"/>
          <w:color w:val="auto"/>
        </w:rPr>
        <w:t>to the Unaudited Consolidated Financial Statements. That information is incorporated into this item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9" w:lineRule="exact"/>
        <w:rPr>
          <w:sz w:val="20"/>
          <w:szCs w:val="20"/>
          <w:color w:val="auto"/>
        </w:rPr>
      </w:pPr>
    </w:p>
    <w:p>
      <w:pPr>
        <w:ind w:right="20" w:firstLine="268"/>
        <w:spacing w:after="0" w:line="298" w:lineRule="auto"/>
        <w:rPr>
          <w:sz w:val="20"/>
          <w:szCs w:val="20"/>
          <w:color w:val="auto"/>
        </w:rPr>
      </w:pPr>
      <w:r>
        <w:rPr>
          <w:rFonts w:ascii="Arial" w:cs="Arial" w:eastAsia="Arial" w:hAnsi="Arial"/>
          <w:sz w:val="13"/>
          <w:szCs w:val="13"/>
          <w:color w:val="auto"/>
        </w:rPr>
        <w:t>An investment in our common stock involves significant risk. We describe the most significant risks that management believes affect or could affect us under Part I of our Annual Report on Form 10-K for the year ended December 31, 2020.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20"/>
                <w:szCs w:val="20"/>
                <w:color w:val="auto"/>
              </w:rPr>
            </w:pPr>
            <w:r>
              <w:rPr>
                <w:rFonts w:ascii="Arial" w:cs="Arial" w:eastAsia="Arial" w:hAnsi="Arial"/>
                <w:sz w:val="15"/>
                <w:szCs w:val="15"/>
                <w:b w:val="1"/>
                <w:bCs w:val="1"/>
                <w:color w:val="auto"/>
              </w:rPr>
              <w:t>ITEM 6.   EXHIBITS</w:t>
            </w:r>
          </w:p>
        </w:tc>
        <w:tc>
          <w:tcPr>
            <w:tcW w:w="9400" w:type="dxa"/>
            <w:vAlign w:val="bottom"/>
          </w:tcPr>
          <w:p>
            <w:pPr>
              <w:spacing w:after="0"/>
              <w:rPr>
                <w:sz w:val="16"/>
                <w:szCs w:val="16"/>
                <w:color w:val="auto"/>
              </w:rPr>
            </w:pPr>
          </w:p>
        </w:tc>
      </w:tr>
      <w:tr>
        <w:trPr>
          <w:trHeight w:val="301"/>
        </w:trPr>
        <w:tc>
          <w:tcPr>
            <w:tcW w:w="1740" w:type="dxa"/>
            <w:vAlign w:val="bottom"/>
          </w:tcPr>
          <w:p>
            <w:pPr>
              <w:ind w:left="1060"/>
              <w:spacing w:after="0"/>
              <w:rPr>
                <w:rFonts w:ascii="Arial" w:cs="Arial" w:eastAsia="Arial" w:hAnsi="Arial"/>
                <w:sz w:val="15"/>
                <w:szCs w:val="15"/>
                <w:color w:val="auto"/>
              </w:rPr>
            </w:pPr>
            <w:hyperlink r:id="rId173">
              <w:r>
                <w:rPr>
                  <w:rFonts w:ascii="Arial" w:cs="Arial" w:eastAsia="Arial" w:hAnsi="Arial"/>
                  <w:sz w:val="15"/>
                  <w:szCs w:val="15"/>
                  <w:color w:val="auto"/>
                </w:rPr>
                <w:t>3.1</w:t>
              </w:r>
            </w:hyperlink>
          </w:p>
        </w:tc>
        <w:tc>
          <w:tcPr>
            <w:tcW w:w="9400" w:type="dxa"/>
            <w:vAlign w:val="bottom"/>
          </w:tcPr>
          <w:p>
            <w:pPr>
              <w:ind w:left="260"/>
              <w:spacing w:after="0"/>
              <w:rPr>
                <w:rFonts w:ascii="Arial" w:cs="Arial" w:eastAsia="Arial" w:hAnsi="Arial"/>
                <w:sz w:val="15"/>
                <w:szCs w:val="15"/>
                <w:color w:val="auto"/>
              </w:rPr>
            </w:pPr>
            <w:hyperlink r:id="rId173">
              <w:r>
                <w:rPr>
                  <w:rFonts w:ascii="Arial" w:cs="Arial" w:eastAsia="Arial" w:hAnsi="Arial"/>
                  <w:sz w:val="15"/>
                  <w:szCs w:val="15"/>
                  <w:color w:val="auto"/>
                </w:rPr>
                <w:t>Amended and Restated Articles of Incorporation, as amended (1)</w:t>
              </w:r>
            </w:hyperlink>
          </w:p>
        </w:tc>
      </w:tr>
      <w:tr>
        <w:trPr>
          <w:trHeight w:val="189"/>
        </w:trPr>
        <w:tc>
          <w:tcPr>
            <w:tcW w:w="1740" w:type="dxa"/>
            <w:vAlign w:val="bottom"/>
          </w:tcPr>
          <w:p>
            <w:pPr>
              <w:ind w:left="1060"/>
              <w:spacing w:after="0"/>
              <w:rPr>
                <w:rFonts w:ascii="Arial" w:cs="Arial" w:eastAsia="Arial" w:hAnsi="Arial"/>
                <w:sz w:val="15"/>
                <w:szCs w:val="15"/>
                <w:color w:val="auto"/>
              </w:rPr>
            </w:pPr>
            <w:hyperlink r:id="rId174">
              <w:r>
                <w:rPr>
                  <w:rFonts w:ascii="Arial" w:cs="Arial" w:eastAsia="Arial" w:hAnsi="Arial"/>
                  <w:sz w:val="15"/>
                  <w:szCs w:val="15"/>
                  <w:color w:val="auto"/>
                </w:rPr>
                <w:t>3.2</w:t>
              </w:r>
            </w:hyperlink>
          </w:p>
        </w:tc>
        <w:tc>
          <w:tcPr>
            <w:tcW w:w="9400" w:type="dxa"/>
            <w:vAlign w:val="bottom"/>
          </w:tcPr>
          <w:p>
            <w:pPr>
              <w:ind w:left="260"/>
              <w:spacing w:after="0"/>
              <w:rPr>
                <w:rFonts w:ascii="Arial" w:cs="Arial" w:eastAsia="Arial" w:hAnsi="Arial"/>
                <w:sz w:val="15"/>
                <w:szCs w:val="15"/>
                <w:color w:val="auto"/>
              </w:rPr>
            </w:pPr>
            <w:hyperlink r:id="rId174">
              <w:r>
                <w:rPr>
                  <w:rFonts w:ascii="Arial" w:cs="Arial" w:eastAsia="Arial" w:hAnsi="Arial"/>
                  <w:sz w:val="15"/>
                  <w:szCs w:val="15"/>
                  <w:color w:val="auto"/>
                </w:rPr>
                <w:t>Amended and Restated Bylaws of Ocwen Financial Corporation (2)</w:t>
              </w:r>
            </w:hyperlink>
          </w:p>
        </w:tc>
      </w:tr>
      <w:tr>
        <w:trPr>
          <w:trHeight w:val="146"/>
        </w:trPr>
        <w:tc>
          <w:tcPr>
            <w:tcW w:w="1740" w:type="dxa"/>
            <w:vAlign w:val="bottom"/>
          </w:tcPr>
          <w:p>
            <w:pPr>
              <w:ind w:left="1060"/>
              <w:spacing w:after="0" w:line="146" w:lineRule="exact"/>
              <w:rPr>
                <w:sz w:val="20"/>
                <w:szCs w:val="20"/>
                <w:color w:val="auto"/>
              </w:rPr>
            </w:pPr>
            <w:r>
              <w:rPr>
                <w:rFonts w:ascii="Arial" w:cs="Arial" w:eastAsia="Arial" w:hAnsi="Arial"/>
                <w:sz w:val="15"/>
                <w:szCs w:val="15"/>
                <w:color w:val="auto"/>
              </w:rPr>
              <w:t>4.1</w:t>
            </w:r>
          </w:p>
        </w:tc>
        <w:tc>
          <w:tcPr>
            <w:tcW w:w="9400" w:type="dxa"/>
            <w:vAlign w:val="bottom"/>
          </w:tcPr>
          <w:p>
            <w:pPr>
              <w:ind w:left="260"/>
              <w:spacing w:after="0" w:line="146" w:lineRule="exact"/>
              <w:rPr>
                <w:sz w:val="20"/>
                <w:szCs w:val="20"/>
                <w:color w:val="auto"/>
              </w:rPr>
            </w:pPr>
            <w:r>
              <w:rPr>
                <w:rFonts w:ascii="Arial" w:cs="Arial" w:eastAsia="Arial" w:hAnsi="Arial"/>
                <w:sz w:val="15"/>
                <w:szCs w:val="15"/>
                <w:color w:val="auto"/>
                <w:w w:val="89"/>
              </w:rPr>
              <w:t>The Company agrees to furnish to the Securities and Exchange Commission upon request a copy of each instrument with respect to the issuance of long-</w:t>
            </w:r>
          </w:p>
        </w:tc>
      </w:tr>
      <w:tr>
        <w:trPr>
          <w:trHeight w:val="145"/>
        </w:trPr>
        <w:tc>
          <w:tcPr>
            <w:tcW w:w="1740" w:type="dxa"/>
            <w:vAlign w:val="bottom"/>
          </w:tcPr>
          <w:p>
            <w:pPr>
              <w:spacing w:after="0"/>
              <w:rPr>
                <w:sz w:val="12"/>
                <w:szCs w:val="12"/>
                <w:color w:val="auto"/>
              </w:rPr>
            </w:pPr>
          </w:p>
        </w:tc>
        <w:tc>
          <w:tcPr>
            <w:tcW w:w="9400" w:type="dxa"/>
            <w:vAlign w:val="bottom"/>
          </w:tcPr>
          <w:p>
            <w:pPr>
              <w:ind w:left="260"/>
              <w:spacing w:after="0" w:line="145" w:lineRule="exact"/>
              <w:rPr>
                <w:sz w:val="20"/>
                <w:szCs w:val="20"/>
                <w:color w:val="auto"/>
              </w:rPr>
            </w:pPr>
            <w:r>
              <w:rPr>
                <w:rFonts w:ascii="Arial" w:cs="Arial" w:eastAsia="Arial" w:hAnsi="Arial"/>
                <w:sz w:val="15"/>
                <w:szCs w:val="15"/>
                <w:color w:val="auto"/>
                <w:w w:val="89"/>
              </w:rPr>
              <w:t>term debt of the Company and its subsidiaries, the authorized principal amount of which does not exceed 10% of the consolidated assets of the Company</w:t>
            </w:r>
          </w:p>
        </w:tc>
      </w:tr>
      <w:tr>
        <w:trPr>
          <w:trHeight w:val="188"/>
        </w:trPr>
        <w:tc>
          <w:tcPr>
            <w:tcW w:w="1740" w:type="dxa"/>
            <w:vAlign w:val="bottom"/>
          </w:tcPr>
          <w:p>
            <w:pPr>
              <w:spacing w:after="0"/>
              <w:rPr>
                <w:sz w:val="16"/>
                <w:szCs w:val="16"/>
                <w:color w:val="auto"/>
              </w:rPr>
            </w:pPr>
          </w:p>
        </w:tc>
        <w:tc>
          <w:tcPr>
            <w:tcW w:w="9400" w:type="dxa"/>
            <w:vAlign w:val="bottom"/>
          </w:tcPr>
          <w:p>
            <w:pPr>
              <w:ind w:left="260"/>
              <w:spacing w:after="0"/>
              <w:rPr>
                <w:sz w:val="20"/>
                <w:szCs w:val="20"/>
                <w:color w:val="auto"/>
              </w:rPr>
            </w:pPr>
            <w:r>
              <w:rPr>
                <w:rFonts w:ascii="Arial" w:cs="Arial" w:eastAsia="Arial" w:hAnsi="Arial"/>
                <w:sz w:val="15"/>
                <w:szCs w:val="15"/>
                <w:color w:val="auto"/>
              </w:rPr>
              <w:t>and its subsidiaries.</w:t>
            </w:r>
          </w:p>
        </w:tc>
      </w:tr>
      <w:tr>
        <w:trPr>
          <w:trHeight w:val="189"/>
        </w:trPr>
        <w:tc>
          <w:tcPr>
            <w:tcW w:w="1740" w:type="dxa"/>
            <w:vAlign w:val="bottom"/>
          </w:tcPr>
          <w:p>
            <w:pPr>
              <w:ind w:left="1060"/>
              <w:spacing w:after="0"/>
              <w:rPr>
                <w:rFonts w:ascii="Arial" w:cs="Arial" w:eastAsia="Arial" w:hAnsi="Arial"/>
                <w:sz w:val="15"/>
                <w:szCs w:val="15"/>
                <w:color w:val="auto"/>
              </w:rPr>
            </w:pPr>
            <w:hyperlink w:anchor="page113">
              <w:r>
                <w:rPr>
                  <w:rFonts w:ascii="Arial" w:cs="Arial" w:eastAsia="Arial" w:hAnsi="Arial"/>
                  <w:sz w:val="15"/>
                  <w:szCs w:val="15"/>
                  <w:color w:val="auto"/>
                </w:rPr>
                <w:t>31.1</w:t>
              </w:r>
            </w:hyperlink>
          </w:p>
        </w:tc>
        <w:tc>
          <w:tcPr>
            <w:tcW w:w="9400" w:type="dxa"/>
            <w:vAlign w:val="bottom"/>
          </w:tcPr>
          <w:p>
            <w:pPr>
              <w:ind w:left="260"/>
              <w:spacing w:after="0"/>
              <w:rPr>
                <w:rFonts w:ascii="Arial" w:cs="Arial" w:eastAsia="Arial" w:hAnsi="Arial"/>
                <w:sz w:val="15"/>
                <w:szCs w:val="15"/>
                <w:color w:val="auto"/>
              </w:rPr>
            </w:pPr>
            <w:hyperlink w:anchor="page113">
              <w:r>
                <w:rPr>
                  <w:rFonts w:ascii="Arial" w:cs="Arial" w:eastAsia="Arial" w:hAnsi="Arial"/>
                  <w:sz w:val="15"/>
                  <w:szCs w:val="15"/>
                  <w:color w:val="auto"/>
                </w:rPr>
                <w:t>Certification of the principal executive officer pursuant to Section 302 of the Sarbanes-Oxley Act of 2002 (filed herewith)</w:t>
              </w:r>
            </w:hyperlink>
          </w:p>
        </w:tc>
      </w:tr>
      <w:tr>
        <w:trPr>
          <w:trHeight w:val="189"/>
        </w:trPr>
        <w:tc>
          <w:tcPr>
            <w:tcW w:w="1740" w:type="dxa"/>
            <w:vAlign w:val="bottom"/>
          </w:tcPr>
          <w:p>
            <w:pPr>
              <w:ind w:left="1060"/>
              <w:spacing w:after="0"/>
              <w:rPr>
                <w:rFonts w:ascii="Arial" w:cs="Arial" w:eastAsia="Arial" w:hAnsi="Arial"/>
                <w:sz w:val="15"/>
                <w:szCs w:val="15"/>
                <w:color w:val="auto"/>
              </w:rPr>
            </w:pPr>
            <w:hyperlink w:anchor="page114">
              <w:r>
                <w:rPr>
                  <w:rFonts w:ascii="Arial" w:cs="Arial" w:eastAsia="Arial" w:hAnsi="Arial"/>
                  <w:sz w:val="15"/>
                  <w:szCs w:val="15"/>
                  <w:color w:val="auto"/>
                </w:rPr>
                <w:t>31.2</w:t>
              </w:r>
            </w:hyperlink>
          </w:p>
        </w:tc>
        <w:tc>
          <w:tcPr>
            <w:tcW w:w="9400" w:type="dxa"/>
            <w:vAlign w:val="bottom"/>
          </w:tcPr>
          <w:p>
            <w:pPr>
              <w:ind w:left="260"/>
              <w:spacing w:after="0"/>
              <w:rPr>
                <w:rFonts w:ascii="Arial" w:cs="Arial" w:eastAsia="Arial" w:hAnsi="Arial"/>
                <w:sz w:val="15"/>
                <w:szCs w:val="15"/>
                <w:color w:val="auto"/>
              </w:rPr>
            </w:pPr>
            <w:hyperlink w:anchor="page114">
              <w:r>
                <w:rPr>
                  <w:rFonts w:ascii="Arial" w:cs="Arial" w:eastAsia="Arial" w:hAnsi="Arial"/>
                  <w:sz w:val="15"/>
                  <w:szCs w:val="15"/>
                  <w:color w:val="auto"/>
                </w:rPr>
                <w:t>Certification of the principal financial officer pursuant to Section 302 of the Sarbanes-Oxley Act of 2002 (filed herewith)</w:t>
              </w:r>
            </w:hyperlink>
          </w:p>
        </w:tc>
      </w:tr>
      <w:tr>
        <w:trPr>
          <w:trHeight w:val="146"/>
        </w:trPr>
        <w:tc>
          <w:tcPr>
            <w:tcW w:w="1740" w:type="dxa"/>
            <w:vAlign w:val="bottom"/>
          </w:tcPr>
          <w:p>
            <w:pPr>
              <w:ind w:left="1060"/>
              <w:spacing w:after="0" w:line="146" w:lineRule="exact"/>
              <w:rPr>
                <w:rFonts w:ascii="Arial" w:cs="Arial" w:eastAsia="Arial" w:hAnsi="Arial"/>
                <w:sz w:val="15"/>
                <w:szCs w:val="15"/>
                <w:color w:val="auto"/>
              </w:rPr>
            </w:pPr>
            <w:hyperlink w:anchor="page115">
              <w:r>
                <w:rPr>
                  <w:rFonts w:ascii="Arial" w:cs="Arial" w:eastAsia="Arial" w:hAnsi="Arial"/>
                  <w:sz w:val="15"/>
                  <w:szCs w:val="15"/>
                  <w:color w:val="auto"/>
                </w:rPr>
                <w:t>32.1</w:t>
              </w:r>
            </w:hyperlink>
          </w:p>
        </w:tc>
        <w:tc>
          <w:tcPr>
            <w:tcW w:w="9400" w:type="dxa"/>
            <w:vAlign w:val="bottom"/>
          </w:tcPr>
          <w:p>
            <w:pPr>
              <w:ind w:left="260"/>
              <w:spacing w:after="0" w:line="146" w:lineRule="exact"/>
              <w:rPr>
                <w:rFonts w:ascii="Arial" w:cs="Arial" w:eastAsia="Arial" w:hAnsi="Arial"/>
                <w:sz w:val="15"/>
                <w:szCs w:val="15"/>
                <w:color w:val="auto"/>
                <w:w w:val="90"/>
              </w:rPr>
            </w:pPr>
            <w:hyperlink w:anchor="page115">
              <w:r>
                <w:rPr>
                  <w:rFonts w:ascii="Arial" w:cs="Arial" w:eastAsia="Arial" w:hAnsi="Arial"/>
                  <w:sz w:val="15"/>
                  <w:szCs w:val="15"/>
                  <w:color w:val="auto"/>
                  <w:w w:val="90"/>
                </w:rPr>
                <w:t>Certification of the principal executive officer pursuant to 18 U.S.C. Section 1350, as adopted pursuant to Section 906 of the Sarbanes-Oxley Act of 2002</w:t>
              </w:r>
            </w:hyperlink>
          </w:p>
        </w:tc>
      </w:tr>
      <w:tr>
        <w:trPr>
          <w:trHeight w:val="188"/>
        </w:trPr>
        <w:tc>
          <w:tcPr>
            <w:tcW w:w="174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115">
              <w:r>
                <w:rPr>
                  <w:rFonts w:ascii="Arial" w:cs="Arial" w:eastAsia="Arial" w:hAnsi="Arial"/>
                  <w:sz w:val="15"/>
                  <w:szCs w:val="15"/>
                  <w:color w:val="auto"/>
                </w:rPr>
                <w:t>(furnished herewith)</w:t>
              </w:r>
            </w:hyperlink>
          </w:p>
        </w:tc>
      </w:tr>
      <w:tr>
        <w:trPr>
          <w:trHeight w:val="146"/>
        </w:trPr>
        <w:tc>
          <w:tcPr>
            <w:tcW w:w="1740" w:type="dxa"/>
            <w:vAlign w:val="bottom"/>
          </w:tcPr>
          <w:p>
            <w:pPr>
              <w:ind w:left="1060"/>
              <w:spacing w:after="0" w:line="146" w:lineRule="exact"/>
              <w:rPr>
                <w:rFonts w:ascii="Arial" w:cs="Arial" w:eastAsia="Arial" w:hAnsi="Arial"/>
                <w:sz w:val="15"/>
                <w:szCs w:val="15"/>
                <w:color w:val="auto"/>
              </w:rPr>
            </w:pPr>
            <w:hyperlink w:anchor="page116">
              <w:r>
                <w:rPr>
                  <w:rFonts w:ascii="Arial" w:cs="Arial" w:eastAsia="Arial" w:hAnsi="Arial"/>
                  <w:sz w:val="15"/>
                  <w:szCs w:val="15"/>
                  <w:color w:val="auto"/>
                </w:rPr>
                <w:t>32.2</w:t>
              </w:r>
            </w:hyperlink>
          </w:p>
        </w:tc>
        <w:tc>
          <w:tcPr>
            <w:tcW w:w="9400" w:type="dxa"/>
            <w:vAlign w:val="bottom"/>
          </w:tcPr>
          <w:p>
            <w:pPr>
              <w:ind w:left="260"/>
              <w:spacing w:after="0" w:line="146" w:lineRule="exact"/>
              <w:rPr>
                <w:rFonts w:ascii="Arial" w:cs="Arial" w:eastAsia="Arial" w:hAnsi="Arial"/>
                <w:sz w:val="15"/>
                <w:szCs w:val="15"/>
                <w:color w:val="auto"/>
                <w:w w:val="90"/>
              </w:rPr>
            </w:pPr>
            <w:hyperlink w:anchor="page116">
              <w:r>
                <w:rPr>
                  <w:rFonts w:ascii="Arial" w:cs="Arial" w:eastAsia="Arial" w:hAnsi="Arial"/>
                  <w:sz w:val="15"/>
                  <w:szCs w:val="15"/>
                  <w:color w:val="auto"/>
                  <w:w w:val="90"/>
                </w:rPr>
                <w:t>Certification of the principal financial officer pursuant to 18 U.S.C. Section 1350, as adopted pursuant to Section 906 of the Sarbanes-Oxley Act of 2002</w:t>
              </w:r>
            </w:hyperlink>
          </w:p>
        </w:tc>
      </w:tr>
      <w:tr>
        <w:trPr>
          <w:trHeight w:val="188"/>
        </w:trPr>
        <w:tc>
          <w:tcPr>
            <w:tcW w:w="174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116">
              <w:r>
                <w:rPr>
                  <w:rFonts w:ascii="Arial" w:cs="Arial" w:eastAsia="Arial" w:hAnsi="Arial"/>
                  <w:sz w:val="15"/>
                  <w:szCs w:val="15"/>
                  <w:color w:val="auto"/>
                </w:rPr>
                <w:t>(furnished herewith)</w:t>
              </w:r>
            </w:hyperlink>
          </w:p>
        </w:tc>
      </w:tr>
    </w:tbl>
    <w:p>
      <w:pPr>
        <w:spacing w:after="0" w:line="1" w:lineRule="exact"/>
        <w:rPr>
          <w:sz w:val="20"/>
          <w:szCs w:val="20"/>
          <w:color w:val="auto"/>
        </w:rPr>
      </w:pPr>
    </w:p>
    <w:p>
      <w:pPr>
        <w:ind w:left="2000" w:right="320" w:hanging="895"/>
        <w:spacing w:after="0" w:line="216" w:lineRule="auto"/>
        <w:tabs>
          <w:tab w:leader="none" w:pos="20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quarter ended September 30, 2021 were formatted in Inline XBRL: (i) Consolidated Balance Sheets, (ii) Consolidated Statements of Operations, (iii) Consolidated Statements of Comprehensive Income (Loss), (iv) Consolidated Statements of Changes in Equity, (v) Consolidated Statements of Cash Flows, and (v) the Notes to Unaudited Consolidated Financial Statements, tagged as blocks of text and including detailed tags.</w:t>
      </w:r>
    </w:p>
    <w:p>
      <w:pPr>
        <w:spacing w:after="0" w:line="204" w:lineRule="exact"/>
        <w:rPr>
          <w:sz w:val="20"/>
          <w:szCs w:val="20"/>
          <w:color w:val="auto"/>
        </w:rPr>
      </w:pPr>
    </w:p>
    <w:p>
      <w:pPr>
        <w:ind w:left="2000" w:right="180" w:hanging="895"/>
        <w:spacing w:after="0" w:line="231" w:lineRule="auto"/>
        <w:tabs>
          <w:tab w:leader="none" w:pos="200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cover page from the Company’s Quarterly Report on Form 10-Q for the quarter ended September 30, 2021, formatted in Inline XBRL (Included as Exhibit 101).</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5" w:lineRule="exact"/>
        <w:rPr>
          <w:rFonts w:ascii="Arial" w:cs="Arial" w:eastAsia="Arial" w:hAnsi="Arial"/>
          <w:sz w:val="15"/>
          <w:szCs w:val="15"/>
          <w:color w:val="auto"/>
        </w:rPr>
      </w:pPr>
    </w:p>
    <w:p>
      <w:pPr>
        <w:ind w:left="280" w:hanging="271"/>
        <w:spacing w:after="0"/>
        <w:tabs>
          <w:tab w:leader="none" w:pos="2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10-Q for the period ended September 30, 2020.</w:t>
      </w:r>
    </w:p>
    <w:p>
      <w:pPr>
        <w:spacing w:after="0" w:line="39" w:lineRule="exact"/>
        <w:rPr>
          <w:rFonts w:ascii="Arial" w:cs="Arial" w:eastAsia="Arial" w:hAnsi="Arial"/>
          <w:sz w:val="15"/>
          <w:szCs w:val="15"/>
          <w:color w:val="auto"/>
        </w:rPr>
      </w:pPr>
    </w:p>
    <w:p>
      <w:pPr>
        <w:ind w:left="280" w:hanging="271"/>
        <w:spacing w:after="0"/>
        <w:tabs>
          <w:tab w:leader="none" w:pos="2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853" w:right="399" w:bottom="1440" w:gutter="0" w:footer="0" w:header="0"/>
        </w:sectPr>
      </w:pPr>
    </w:p>
    <w:bookmarkStart w:id="111" w:name="page112"/>
    <w:bookmarkEnd w:id="111"/>
    <w:p>
      <w:pPr>
        <w:jc w:val="center"/>
        <w:ind w:right="-359"/>
        <w:spacing w:after="0"/>
        <w:rPr>
          <w:sz w:val="20"/>
          <w:szCs w:val="20"/>
          <w:color w:val="auto"/>
        </w:rPr>
      </w:pPr>
      <w:r>
        <w:rPr>
          <w:rFonts w:ascii="Arial" w:cs="Arial" w:eastAsia="Arial" w:hAnsi="Arial"/>
          <w:sz w:val="15"/>
          <w:szCs w:val="15"/>
          <w:b w:val="1"/>
          <w:bCs w:val="1"/>
          <w:color w:val="auto"/>
        </w:rPr>
        <w:t>Signatures</w:t>
      </w:r>
    </w:p>
    <w:p>
      <w:pPr>
        <w:spacing w:after="0" w:line="99"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Ocwen Financial Corporation</w:t>
      </w:r>
    </w:p>
    <w:p>
      <w:pPr>
        <w:spacing w:after="0" w:line="207"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10160</wp:posOffset>
            </wp:positionV>
            <wp:extent cx="318516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185160" cy="6985"/>
                    </a:xfrm>
                    <a:prstGeom prst="rect">
                      <a:avLst/>
                    </a:prstGeom>
                    <a:noFill/>
                  </pic:spPr>
                </pic:pic>
              </a:graphicData>
            </a:graphic>
          </wp:anchor>
        </w:drawing>
      </w:r>
    </w:p>
    <w:p>
      <w:pPr>
        <w:spacing w:after="0" w:line="171"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Executive Vice President and Chief Financial Officer</w:t>
      </w:r>
    </w:p>
    <w:p>
      <w:pPr>
        <w:ind w:left="6260"/>
        <w:spacing w:after="0"/>
        <w:rPr>
          <w:sz w:val="20"/>
          <w:szCs w:val="20"/>
          <w:color w:val="auto"/>
        </w:rPr>
      </w:pPr>
      <w:r>
        <w:rPr>
          <w:rFonts w:ascii="Arial" w:cs="Arial" w:eastAsia="Arial" w:hAnsi="Arial"/>
          <w:sz w:val="15"/>
          <w:szCs w:val="15"/>
          <w:color w:val="auto"/>
        </w:rPr>
        <w:t>(On behalf of the Registrant and as its principal financial officer)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920"/>
          </w:cols>
          <w:pgMar w:left="300" w:top="894" w:right="6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certify that:</w:t>
      </w:r>
    </w:p>
    <w:p>
      <w:pPr>
        <w:spacing w:after="0" w:line="184" w:lineRule="exact"/>
        <w:rPr>
          <w:sz w:val="20"/>
          <w:szCs w:val="20"/>
          <w:color w:val="auto"/>
        </w:rPr>
      </w:pPr>
    </w:p>
    <w:p>
      <w:pPr>
        <w:ind w:left="740" w:hanging="263"/>
        <w:spacing w:after="0"/>
        <w:tabs>
          <w:tab w:leader="none" w:pos="7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06" w:lineRule="exact"/>
        <w:rPr>
          <w:rFonts w:ascii="Arial" w:cs="Arial" w:eastAsia="Arial" w:hAnsi="Arial"/>
          <w:sz w:val="15"/>
          <w:szCs w:val="15"/>
          <w:color w:val="auto"/>
        </w:rPr>
      </w:pPr>
    </w:p>
    <w:p>
      <w:pPr>
        <w:ind w:left="740" w:right="220" w:hanging="263"/>
        <w:spacing w:after="0" w:line="270" w:lineRule="auto"/>
        <w:tabs>
          <w:tab w:leader="none" w:pos="7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740" w:right="40" w:hanging="263"/>
        <w:spacing w:after="0" w:line="270" w:lineRule="auto"/>
        <w:tabs>
          <w:tab w:leader="none" w:pos="7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740" w:right="240" w:hanging="263"/>
        <w:spacing w:after="0" w:line="306" w:lineRule="auto"/>
        <w:tabs>
          <w:tab w:leader="none" w:pos="735"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20" w:hanging="275"/>
        <w:spacing w:after="0" w:line="259" w:lineRule="auto"/>
        <w:tabs>
          <w:tab w:leader="none" w:pos="1011" w:val="left"/>
        </w:tabs>
        <w:numPr>
          <w:ilvl w:val="1"/>
          <w:numId w:val="6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020" w:right="80" w:hanging="275"/>
        <w:spacing w:after="0" w:line="259" w:lineRule="auto"/>
        <w:tabs>
          <w:tab w:leader="none" w:pos="1020" w:val="left"/>
        </w:tabs>
        <w:numPr>
          <w:ilvl w:val="1"/>
          <w:numId w:val="6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440" w:hanging="275"/>
        <w:spacing w:after="0" w:line="270" w:lineRule="auto"/>
        <w:tabs>
          <w:tab w:leader="none" w:pos="1011"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1020" w:right="60" w:hanging="275"/>
        <w:spacing w:after="0" w:line="259" w:lineRule="auto"/>
        <w:tabs>
          <w:tab w:leader="none" w:pos="1020" w:val="left"/>
        </w:tabs>
        <w:numPr>
          <w:ilvl w:val="1"/>
          <w:numId w:val="6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180" w:hanging="263"/>
        <w:spacing w:after="0" w:line="270" w:lineRule="auto"/>
        <w:tabs>
          <w:tab w:leader="none" w:pos="7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020" w:right="40" w:hanging="275"/>
        <w:spacing w:after="0" w:line="270" w:lineRule="auto"/>
        <w:tabs>
          <w:tab w:leader="none" w:pos="1011" w:val="left"/>
        </w:tabs>
        <w:numPr>
          <w:ilvl w:val="1"/>
          <w:numId w:val="6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020" w:hanging="275"/>
        <w:spacing w:after="0"/>
        <w:tabs>
          <w:tab w:leader="none" w:pos="10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96"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5"/>
          <w:szCs w:val="15"/>
          <w:color w:val="auto"/>
        </w:rPr>
        <w:t>Date: November 5, 2021</w:t>
      </w:r>
      <w:r>
        <w:rPr>
          <w:sz w:val="20"/>
          <w:szCs w:val="20"/>
          <w:color w:val="auto"/>
        </w:rPr>
        <w:tab/>
      </w:r>
      <w:r>
        <w:rPr>
          <w:rFonts w:ascii="Arial" w:cs="Arial" w:eastAsia="Arial" w:hAnsi="Arial"/>
          <w:sz w:val="13"/>
          <w:szCs w:val="13"/>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wp:posOffset>
            </wp:positionV>
            <wp:extent cx="321373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5"/>
          <w:szCs w:val="15"/>
          <w:color w:val="auto"/>
        </w:rPr>
        <w:t>Glen A. Messina, President</w:t>
      </w:r>
    </w:p>
    <w:p>
      <w:pPr>
        <w:ind w:left="6220"/>
        <w:spacing w:after="0"/>
        <w:rPr>
          <w:sz w:val="20"/>
          <w:szCs w:val="20"/>
          <w:color w:val="auto"/>
        </w:rPr>
      </w:pPr>
      <w:r>
        <w:rPr>
          <w:rFonts w:ascii="Arial" w:cs="Arial" w:eastAsia="Arial" w:hAnsi="Arial"/>
          <w:sz w:val="15"/>
          <w:szCs w:val="15"/>
          <w:color w:val="auto"/>
        </w:rPr>
        <w:t>and Chief Executive Officer</w:t>
      </w:r>
    </w:p>
    <w:p>
      <w:pPr>
        <w:sectPr>
          <w:pgSz w:w="11900" w:h="16838" w:orient="portrait"/>
          <w:cols w:equalWidth="0" w:num="1">
            <w:col w:w="11280"/>
          </w:cols>
          <w:pgMar w:left="300" w:top="916"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certify that:</w:t>
      </w:r>
    </w:p>
    <w:p>
      <w:pPr>
        <w:spacing w:after="0" w:line="184" w:lineRule="exact"/>
        <w:rPr>
          <w:sz w:val="20"/>
          <w:szCs w:val="20"/>
          <w:color w:val="auto"/>
        </w:rPr>
      </w:pPr>
    </w:p>
    <w:p>
      <w:pPr>
        <w:ind w:left="740" w:hanging="263"/>
        <w:spacing w:after="0"/>
        <w:tabs>
          <w:tab w:leader="none" w:pos="7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06" w:lineRule="exact"/>
        <w:rPr>
          <w:rFonts w:ascii="Arial" w:cs="Arial" w:eastAsia="Arial" w:hAnsi="Arial"/>
          <w:sz w:val="15"/>
          <w:szCs w:val="15"/>
          <w:color w:val="auto"/>
        </w:rPr>
      </w:pPr>
    </w:p>
    <w:p>
      <w:pPr>
        <w:ind w:left="740" w:right="220" w:hanging="263"/>
        <w:spacing w:after="0" w:line="270" w:lineRule="auto"/>
        <w:tabs>
          <w:tab w:leader="none" w:pos="735"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740" w:right="40" w:hanging="263"/>
        <w:spacing w:after="0" w:line="270" w:lineRule="auto"/>
        <w:tabs>
          <w:tab w:leader="none" w:pos="735"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740" w:right="240" w:hanging="263"/>
        <w:spacing w:after="0" w:line="306" w:lineRule="auto"/>
        <w:tabs>
          <w:tab w:leader="none" w:pos="735"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20" w:hanging="275"/>
        <w:spacing w:after="0" w:line="259" w:lineRule="auto"/>
        <w:tabs>
          <w:tab w:leader="none" w:pos="1011" w:val="left"/>
        </w:tabs>
        <w:numPr>
          <w:ilvl w:val="1"/>
          <w:numId w:val="6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020" w:right="80" w:hanging="275"/>
        <w:spacing w:after="0" w:line="259" w:lineRule="auto"/>
        <w:tabs>
          <w:tab w:leader="none" w:pos="1020" w:val="left"/>
        </w:tabs>
        <w:numPr>
          <w:ilvl w:val="1"/>
          <w:numId w:val="6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440" w:hanging="275"/>
        <w:spacing w:after="0" w:line="270" w:lineRule="auto"/>
        <w:tabs>
          <w:tab w:leader="none" w:pos="1011" w:val="left"/>
        </w:tabs>
        <w:numPr>
          <w:ilvl w:val="1"/>
          <w:numId w:val="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1020" w:right="60" w:hanging="275"/>
        <w:spacing w:after="0" w:line="259" w:lineRule="auto"/>
        <w:tabs>
          <w:tab w:leader="none" w:pos="1020" w:val="left"/>
        </w:tabs>
        <w:numPr>
          <w:ilvl w:val="1"/>
          <w:numId w:val="6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180" w:hanging="263"/>
        <w:spacing w:after="0" w:line="270" w:lineRule="auto"/>
        <w:tabs>
          <w:tab w:leader="none" w:pos="735"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020" w:right="40" w:hanging="275"/>
        <w:spacing w:after="0" w:line="270" w:lineRule="auto"/>
        <w:tabs>
          <w:tab w:leader="none" w:pos="1011"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020" w:hanging="275"/>
        <w:spacing w:after="0"/>
        <w:tabs>
          <w:tab w:leader="none" w:pos="1020"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5"/>
          <w:szCs w:val="15"/>
          <w:color w:val="auto"/>
        </w:rPr>
        <w:t>Date: November 5, 2021</w:t>
      </w:r>
      <w:r>
        <w:rPr>
          <w:sz w:val="20"/>
          <w:szCs w:val="20"/>
          <w:color w:val="auto"/>
        </w:rPr>
        <w:tab/>
      </w:r>
      <w:r>
        <w:rPr>
          <w:rFonts w:ascii="Arial" w:cs="Arial" w:eastAsia="Arial" w:hAnsi="Arial"/>
          <w:sz w:val="13"/>
          <w:szCs w:val="13"/>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wp:posOffset>
            </wp:positionV>
            <wp:extent cx="321373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June C. Campbell, Executive Vice President and Chief Financial Officer</w:t>
      </w:r>
    </w:p>
    <w:p>
      <w:pPr>
        <w:sectPr>
          <w:pgSz w:w="11900" w:h="16838" w:orient="portrait"/>
          <w:cols w:equalWidth="0" w:num="1">
            <w:col w:w="11280"/>
          </w:cols>
          <w:pgMar w:left="300" w:top="916"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state and attest that:</w:t>
      </w:r>
    </w:p>
    <w:p>
      <w:pPr>
        <w:spacing w:after="0" w:line="184" w:lineRule="exact"/>
        <w:rPr>
          <w:sz w:val="20"/>
          <w:szCs w:val="20"/>
          <w:color w:val="auto"/>
        </w:rPr>
      </w:pPr>
    </w:p>
    <w:p>
      <w:pPr>
        <w:ind w:left="400" w:hanging="324"/>
        <w:spacing w:after="0"/>
        <w:tabs>
          <w:tab w:leader="none" w:pos="4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 am the principal executive officer of Ocwen Financial Corporation (the Registrant).</w:t>
      </w:r>
    </w:p>
    <w:p>
      <w:pPr>
        <w:spacing w:after="0" w:line="206" w:lineRule="exact"/>
        <w:rPr>
          <w:rFonts w:ascii="Arial" w:cs="Arial" w:eastAsia="Arial" w:hAnsi="Arial"/>
          <w:sz w:val="15"/>
          <w:szCs w:val="15"/>
          <w:color w:val="auto"/>
        </w:rPr>
      </w:pPr>
    </w:p>
    <w:p>
      <w:pPr>
        <w:ind w:left="400" w:hanging="324"/>
        <w:spacing w:after="0"/>
        <w:tabs>
          <w:tab w:leader="none" w:pos="4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06" w:lineRule="exact"/>
        <w:rPr>
          <w:rFonts w:ascii="Arial" w:cs="Arial" w:eastAsia="Arial" w:hAnsi="Arial"/>
          <w:sz w:val="15"/>
          <w:szCs w:val="15"/>
          <w:color w:val="auto"/>
        </w:rPr>
      </w:pPr>
    </w:p>
    <w:p>
      <w:pPr>
        <w:ind w:left="820" w:right="280" w:hanging="276"/>
        <w:spacing w:after="0" w:line="270" w:lineRule="auto"/>
        <w:tabs>
          <w:tab w:leader="none" w:pos="816"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September 30, 2021 (the periodic report) containing financial statements fully complies with the requirements of Section 13(a) or 15(d), as applicable, of the Securities Exchange Act of 1934 (15 U.S.C. 78m or 78o(d)); and</w:t>
      </w:r>
    </w:p>
    <w:p>
      <w:pPr>
        <w:spacing w:after="0" w:line="169" w:lineRule="exact"/>
        <w:rPr>
          <w:rFonts w:ascii="Arial" w:cs="Arial" w:eastAsia="Arial" w:hAnsi="Arial"/>
          <w:sz w:val="15"/>
          <w:szCs w:val="15"/>
          <w:color w:val="auto"/>
        </w:rPr>
      </w:pPr>
    </w:p>
    <w:p>
      <w:pPr>
        <w:ind w:left="820" w:right="400" w:hanging="276"/>
        <w:spacing w:after="0" w:line="270" w:lineRule="auto"/>
        <w:tabs>
          <w:tab w:leader="none" w:pos="816"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Glen A. Messina</w:t>
            </w:r>
          </w:p>
        </w:tc>
      </w:tr>
      <w:tr>
        <w:trPr>
          <w:trHeight w:val="192"/>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464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r>
        <w:trPr>
          <w:trHeight w:val="212"/>
        </w:trPr>
        <w:tc>
          <w:tcPr>
            <w:tcW w:w="640" w:type="dxa"/>
            <w:vAlign w:val="bottom"/>
          </w:tcPr>
          <w:p>
            <w:pPr>
              <w:spacing w:after="0"/>
              <w:rPr>
                <w:sz w:val="20"/>
                <w:szCs w:val="20"/>
                <w:color w:val="auto"/>
              </w:rPr>
            </w:pPr>
            <w:r>
              <w:rPr>
                <w:rFonts w:ascii="Arial" w:cs="Arial" w:eastAsia="Arial" w:hAnsi="Arial"/>
                <w:sz w:val="15"/>
                <w:szCs w:val="15"/>
                <w:color w:val="auto"/>
              </w:rPr>
              <w:t>Date:</w:t>
            </w:r>
          </w:p>
        </w:tc>
        <w:tc>
          <w:tcPr>
            <w:tcW w:w="4640" w:type="dxa"/>
            <w:vAlign w:val="bottom"/>
          </w:tcPr>
          <w:p>
            <w:pPr>
              <w:ind w:left="20"/>
              <w:spacing w:after="0"/>
              <w:rPr>
                <w:sz w:val="20"/>
                <w:szCs w:val="20"/>
                <w:color w:val="auto"/>
              </w:rPr>
            </w:pPr>
            <w:r>
              <w:rPr>
                <w:rFonts w:ascii="Arial" w:cs="Arial" w:eastAsia="Arial" w:hAnsi="Arial"/>
                <w:sz w:val="15"/>
                <w:szCs w:val="15"/>
                <w:color w:val="auto"/>
              </w:rPr>
              <w:t>November 5, 2021</w:t>
            </w:r>
          </w:p>
        </w:tc>
      </w:tr>
    </w:tbl>
    <w:p>
      <w:pPr>
        <w:sectPr>
          <w:pgSz w:w="11900" w:h="16838" w:orient="portrait"/>
          <w:cols w:equalWidth="0" w:num="1">
            <w:col w:w="11280"/>
          </w:cols>
          <w:pgMar w:left="300" w:top="916"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state and attest that:</w:t>
      </w:r>
    </w:p>
    <w:p>
      <w:pPr>
        <w:spacing w:after="0" w:line="184" w:lineRule="exact"/>
        <w:rPr>
          <w:sz w:val="20"/>
          <w:szCs w:val="20"/>
          <w:color w:val="auto"/>
        </w:rPr>
      </w:pPr>
    </w:p>
    <w:p>
      <w:pPr>
        <w:ind w:left="400" w:hanging="324"/>
        <w:spacing w:after="0"/>
        <w:tabs>
          <w:tab w:leader="none" w:pos="4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 am the principal financial officer of Ocwen Financial Corporation (the Registrant).</w:t>
      </w:r>
    </w:p>
    <w:p>
      <w:pPr>
        <w:spacing w:after="0" w:line="206" w:lineRule="exact"/>
        <w:rPr>
          <w:rFonts w:ascii="Arial" w:cs="Arial" w:eastAsia="Arial" w:hAnsi="Arial"/>
          <w:sz w:val="15"/>
          <w:szCs w:val="15"/>
          <w:color w:val="auto"/>
        </w:rPr>
      </w:pPr>
    </w:p>
    <w:p>
      <w:pPr>
        <w:ind w:left="400" w:hanging="324"/>
        <w:spacing w:after="0"/>
        <w:tabs>
          <w:tab w:leader="none" w:pos="4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06" w:lineRule="exact"/>
        <w:rPr>
          <w:rFonts w:ascii="Arial" w:cs="Arial" w:eastAsia="Arial" w:hAnsi="Arial"/>
          <w:sz w:val="15"/>
          <w:szCs w:val="15"/>
          <w:color w:val="auto"/>
        </w:rPr>
      </w:pPr>
    </w:p>
    <w:p>
      <w:pPr>
        <w:ind w:left="820" w:right="280" w:hanging="276"/>
        <w:spacing w:after="0" w:line="270" w:lineRule="auto"/>
        <w:tabs>
          <w:tab w:leader="none" w:pos="816"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September 30, 2021 (the periodic report) containing financial statements fully complies with the requirements of Section 13(a) or 15(d), as applicable, of the Securities Exchange Act of 1934 (15 U.S.C. 78m or 78o(d)); and</w:t>
      </w:r>
    </w:p>
    <w:p>
      <w:pPr>
        <w:spacing w:after="0" w:line="169" w:lineRule="exact"/>
        <w:rPr>
          <w:rFonts w:ascii="Arial" w:cs="Arial" w:eastAsia="Arial" w:hAnsi="Arial"/>
          <w:sz w:val="15"/>
          <w:szCs w:val="15"/>
          <w:color w:val="auto"/>
        </w:rPr>
      </w:pPr>
    </w:p>
    <w:p>
      <w:pPr>
        <w:ind w:left="820" w:right="400" w:hanging="276"/>
        <w:spacing w:after="0" w:line="270" w:lineRule="auto"/>
        <w:tabs>
          <w:tab w:leader="none" w:pos="816"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June C. Campbell</w:t>
            </w:r>
          </w:p>
        </w:tc>
      </w:tr>
      <w:tr>
        <w:trPr>
          <w:trHeight w:val="203"/>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464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12"/>
        </w:trPr>
        <w:tc>
          <w:tcPr>
            <w:tcW w:w="640" w:type="dxa"/>
            <w:vAlign w:val="bottom"/>
          </w:tcPr>
          <w:p>
            <w:pPr>
              <w:spacing w:after="0"/>
              <w:rPr>
                <w:sz w:val="20"/>
                <w:szCs w:val="20"/>
                <w:color w:val="auto"/>
              </w:rPr>
            </w:pPr>
            <w:r>
              <w:rPr>
                <w:rFonts w:ascii="Arial" w:cs="Arial" w:eastAsia="Arial" w:hAnsi="Arial"/>
                <w:sz w:val="15"/>
                <w:szCs w:val="15"/>
                <w:color w:val="auto"/>
              </w:rPr>
              <w:t>Date:</w:t>
            </w:r>
          </w:p>
        </w:tc>
        <w:tc>
          <w:tcPr>
            <w:tcW w:w="4640" w:type="dxa"/>
            <w:vAlign w:val="bottom"/>
          </w:tcPr>
          <w:p>
            <w:pPr>
              <w:ind w:left="20"/>
              <w:spacing w:after="0"/>
              <w:rPr>
                <w:sz w:val="20"/>
                <w:szCs w:val="20"/>
                <w:color w:val="auto"/>
              </w:rPr>
            </w:pPr>
            <w:r>
              <w:rPr>
                <w:rFonts w:ascii="Arial" w:cs="Arial" w:eastAsia="Arial" w:hAnsi="Arial"/>
                <w:sz w:val="15"/>
                <w:szCs w:val="15"/>
                <w:color w:val="auto"/>
              </w:rPr>
              <w:t>November 5, 2021</w:t>
            </w:r>
          </w:p>
        </w:tc>
      </w:tr>
    </w:tbl>
    <w:p>
      <w:pPr>
        <w:spacing w:after="0" w:line="1" w:lineRule="exact"/>
        <w:rPr>
          <w:sz w:val="20"/>
          <w:szCs w:val="20"/>
          <w:color w:val="auto"/>
        </w:rPr>
      </w:pPr>
    </w:p>
    <w:sectPr>
      <w:pgSz w:w="11900" w:h="16838" w:orient="portrait"/>
      <w:cols w:equalWidth="0" w:num="1">
        <w:col w:w="11280"/>
      </w:cols>
      <w:pgMar w:left="300" w:top="9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lowerLetter"/>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8"/>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4"/>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3"/>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01"/>
    </w:lvl>
  </w:abstractNum>
  <w:abstractNum w:abstractNumId="63">
    <w:nsid w:val="4AD084E9"/>
    <w:multiLevelType w:val="hybridMultilevel"/>
    <w:lvl w:ilvl="0">
      <w:lvlJc w:val="left"/>
      <w:lvlText w:val="%1"/>
      <w:numFmt w:val="decimal"/>
      <w:start w:val="1"/>
    </w:lvl>
    <w:lvl w:ilvl="1">
      <w:lvlJc w:val="left"/>
      <w:lvlText w:val="%2"/>
      <w:numFmt w:val="decimal"/>
      <w:start w:val="104"/>
    </w:lvl>
  </w:abstractNum>
  <w:abstractNum w:abstractNumId="64">
    <w:nsid w:val="1F48EAA1"/>
    <w:multiLevelType w:val="hybridMultilevel"/>
    <w:lvl w:ilvl="0">
      <w:lvlJc w:val="left"/>
      <w:lvlText w:val="(%1)"/>
      <w:numFmt w:val="decimal"/>
      <w:start w:val="1"/>
    </w:lvl>
    <w:lvl w:ilvl="1">
      <w:lvlJc w:val="left"/>
      <w:lvlText w:val="%2"/>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
      <w:numFmt w:val="bullet"/>
      <w:start w:val="1"/>
    </w:lvl>
  </w:abstractNum>
  <w:abstractNum w:abstractNumId="68">
    <w:nsid w:val="6590700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73" Type="http://schemas.openxmlformats.org/officeDocument/2006/relationships/hyperlink" Target="http://www.sec.gov/Archives/edgar/data/873860/000162828020015371/a20200930ex31.htm" TargetMode="External"/><Relationship Id="rId174"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2021-11-08T05:23:55Z</dcterms:created>
  <dcterms:modified xsi:type="dcterms:W3CDTF">2021-11-08T05:23:55Z</dcterms:modified>
</cp:coreProperties>
</file>