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Washington, D.C. 20549</w:t>
      </w:r>
    </w:p>
    <w:p>
      <w:pPr>
        <w:pStyle w:val="TextBody"/>
        <w:bidi w:val="0"/>
        <w:spacing w:lineRule="auto" w:line="288" w:before="0" w:after="0"/>
        <w:jc w:val="center"/>
        <w:rPr/>
      </w:pPr>
      <w:r>
        <w:rPr>
          <w:rFonts w:ascii="Times New Roman;sans-serif" w:hAnsi="Times New Roman;sans-serif"/>
          <w:b/>
          <w:color w:val="000000"/>
          <w:sz w:val="36"/>
        </w:rPr>
        <w:t>FORM 10-Q</w:t>
      </w: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QUARTERLY REPORT PURSUANT TO SECTION 13 OR 15(d) OF THE SECURITIES EXCHANGE ACT OF 1934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2023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____________________ to ____________________</w:t>
            </w:r>
          </w:p>
        </w:tc>
      </w:tr>
    </w:tbl>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No. 1-13219 </w:t>
      </w:r>
    </w:p>
    <w:p>
      <w:pPr>
        <w:pStyle w:val="TextBody"/>
        <w:bidi w:val="0"/>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 xml:space="preserve">OCWEN FINANCIAL CORPORATION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18" w:type="dxa"/>
        <w:jc w:val="left"/>
        <w:tblInd w:w="0" w:type="dxa"/>
        <w:tblLayout w:type="fixed"/>
        <w:tblCellMar>
          <w:top w:w="28" w:type="dxa"/>
          <w:left w:w="28" w:type="dxa"/>
          <w:bottom w:w="28" w:type="dxa"/>
          <w:right w:w="28" w:type="dxa"/>
        </w:tblCellMar>
      </w:tblPr>
      <w:tblGrid>
        <w:gridCol w:w="911"/>
        <w:gridCol w:w="802"/>
        <w:gridCol w:w="802"/>
        <w:gridCol w:w="802"/>
        <w:gridCol w:w="802"/>
        <w:gridCol w:w="843"/>
        <w:gridCol w:w="109"/>
        <w:gridCol w:w="109"/>
        <w:gridCol w:w="109"/>
        <w:gridCol w:w="884"/>
        <w:gridCol w:w="884"/>
        <w:gridCol w:w="126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65-0039856</w:t>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1661 Worthington Road, Suite 100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33409</w:t>
            </w:r>
          </w:p>
        </w:tc>
      </w:tr>
      <w:tr>
        <w:trPr/>
        <w:tc>
          <w:tcPr>
            <w:tcW w:w="251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West Palm Beach, </w:t>
            </w:r>
          </w:p>
        </w:tc>
        <w:tc>
          <w:tcPr>
            <w:tcW w:w="24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(561) 682-8000 </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180" w:after="6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78" w:type="dxa"/>
        <w:jc w:val="center"/>
        <w:tblInd w:w="0" w:type="dxa"/>
        <w:tblLayout w:type="fixed"/>
        <w:tblCellMar>
          <w:top w:w="28" w:type="dxa"/>
          <w:left w:w="28" w:type="dxa"/>
          <w:bottom w:w="28" w:type="dxa"/>
          <w:right w:w="28" w:type="dxa"/>
        </w:tblCellMar>
      </w:tblPr>
      <w:tblGrid>
        <w:gridCol w:w="997"/>
        <w:gridCol w:w="876"/>
        <w:gridCol w:w="886"/>
        <w:gridCol w:w="564"/>
        <w:gridCol w:w="564"/>
        <w:gridCol w:w="566"/>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OCN</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120" w:after="12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12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73" w:type="dxa"/>
        <w:jc w:val="left"/>
        <w:tblInd w:w="0" w:type="dxa"/>
        <w:tblLayout w:type="fixed"/>
        <w:tblCellMar>
          <w:top w:w="28" w:type="dxa"/>
          <w:left w:w="28" w:type="dxa"/>
          <w:bottom w:w="28" w:type="dxa"/>
          <w:right w:w="28" w:type="dxa"/>
        </w:tblCellMar>
      </w:tblPr>
      <w:tblGrid>
        <w:gridCol w:w="124"/>
        <w:gridCol w:w="634"/>
        <w:gridCol w:w="634"/>
        <w:gridCol w:w="636"/>
        <w:gridCol w:w="109"/>
        <w:gridCol w:w="109"/>
        <w:gridCol w:w="109"/>
        <w:gridCol w:w="109"/>
        <w:gridCol w:w="109"/>
        <w:gridCol w:w="109"/>
        <w:gridCol w:w="109"/>
        <w:gridCol w:w="769"/>
        <w:gridCol w:w="769"/>
        <w:gridCol w:w="77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120"/>
        <w:jc w:val="left"/>
        <w:rPr/>
      </w:pPr>
      <w:r>
        <w:rPr>
          <w:rFonts w:ascii="Times New Roman;sans-serif" w:hAnsi="Times New Roman;sans-serif"/>
          <w:b w:val="false"/>
          <w:color w:val="000000"/>
          <w:sz w:val="20"/>
        </w:rPr>
        <w:t xml:space="preserve">Indicate by check mark whether the registrant is a shell company (as defined in Rule 12b-2 of the Act) Yes </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Number of shares of common stock outstanding as of July 31, 2023: 7,677,008 shares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7"/>
        <w:gridCol w:w="227"/>
        <w:gridCol w:w="227"/>
        <w:gridCol w:w="207"/>
        <w:gridCol w:w="207"/>
        <w:gridCol w:w="207"/>
        <w:gridCol w:w="2537"/>
        <w:gridCol w:w="2534"/>
        <w:gridCol w:w="2541"/>
        <w:gridCol w:w="359"/>
        <w:gridCol w:w="359"/>
        <w:gridCol w:w="513"/>
      </w:tblGrid>
      <w:tr>
        <w:trPr/>
        <w:tc>
          <w:tcPr>
            <w:tcW w:w="28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3">
              <w:r>
                <w:rPr>
                  <w:rStyle w:val="InternetLink"/>
                  <w:rFonts w:ascii="Times New Roman;sans-serif" w:hAnsi="Times New Roman;sans-serif"/>
                  <w:b/>
                  <w:strike w:val="false"/>
                  <w:dstrike w:val="false"/>
                  <w:color w:val="000000"/>
                  <w:sz w:val="20"/>
                  <w:u w:val="none"/>
                  <w:effect w:val="none"/>
                </w:rPr>
                <w:t>PART I - FINANCIAL INFORMATION</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9">
              <w:r>
                <w:rPr>
                  <w:rStyle w:val="InternetLink"/>
                  <w:rFonts w:ascii="Times New Roman;sans-serif" w:hAnsi="Times New Roman;sans-serif"/>
                  <w:b w:val="false"/>
                  <w:strike w:val="false"/>
                  <w:dstrike w:val="false"/>
                  <w:color w:val="000000"/>
                  <w:sz w:val="20"/>
                  <w:u w:val="none"/>
                  <w:effect w:val="none"/>
                </w:rPr>
                <w:t>Item 1.</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9">
              <w:r>
                <w:rPr>
                  <w:rStyle w:val="InternetLink"/>
                  <w:rFonts w:ascii="Times New Roman;sans-serif" w:hAnsi="Times New Roman;sans-serif"/>
                  <w:b w:val="false"/>
                  <w:strike w:val="false"/>
                  <w:dstrike w:val="false"/>
                  <w:color w:val="000000"/>
                  <w:sz w:val="20"/>
                  <w:u w:val="none"/>
                  <w:effect w:val="none"/>
                </w:rPr>
                <w:t>Unaudited Consolidated Financial Statements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9">
              <w:r>
                <w:rPr>
                  <w:rStyle w:val="InternetLink"/>
                  <w:rFonts w:ascii="Times New Roman;sans-serif" w:hAnsi="Times New Roman;sans-serif"/>
                  <w:b w:val="false"/>
                  <w:strike w:val="false"/>
                  <w:dstrike w:val="false"/>
                  <w:color w:val="000000"/>
                  <w:sz w:val="20"/>
                  <w:u w:val="none"/>
                  <w:effect w:val="none"/>
                </w:rPr>
                <w:t>5</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1ecc8a73934db2a8a3235bc2df4a70_19">
              <w:r>
                <w:rPr>
                  <w:rStyle w:val="InternetLink"/>
                  <w:rFonts w:ascii="Times New Roman;sans-serif" w:hAnsi="Times New Roman;sans-serif"/>
                  <w:b w:val="false"/>
                  <w:strike w:val="false"/>
                  <w:dstrike w:val="false"/>
                  <w:color w:val="000000"/>
                  <w:sz w:val="20"/>
                  <w:u w:val="none"/>
                  <w:effect w:val="none"/>
                </w:rPr>
                <w:t xml:space="preserve">Consolidated Balance Sheets at </w:t>
              </w:r>
            </w:hyperlink>
            <w:r>
              <w:rPr>
                <w:rFonts w:ascii="Times New Roman;sans-serif" w:hAnsi="Times New Roman;sans-serif"/>
                <w:b w:val="false"/>
                <w:color w:val="000000"/>
                <w:sz w:val="20"/>
              </w:rPr>
              <w:t>June 30, 2023</w:t>
            </w:r>
            <w:hyperlink w:anchor="iec1ecc8a73934db2a8a3235bc2df4a70_19">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December 31, 2022</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9">
              <w:r>
                <w:rPr>
                  <w:rStyle w:val="InternetLink"/>
                  <w:rFonts w:ascii="Times New Roman;sans-serif" w:hAnsi="Times New Roman;sans-serif"/>
                  <w:b w:val="false"/>
                  <w:strike w:val="false"/>
                  <w:dstrike w:val="false"/>
                  <w:color w:val="000000"/>
                  <w:sz w:val="20"/>
                  <w:u w:val="none"/>
                  <w:effect w:val="none"/>
                </w:rPr>
                <w:t>5</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c1ecc8a73934db2a8a3235bc2df4a70_22">
              <w:r>
                <w:rPr>
                  <w:rStyle w:val="InternetLink"/>
                  <w:rFonts w:ascii="Times New Roman;sans-serif" w:hAnsi="Times New Roman;sans-serif"/>
                  <w:b w:val="false"/>
                  <w:strike w:val="false"/>
                  <w:dstrike w:val="false"/>
                  <w:color w:val="000000"/>
                  <w:sz w:val="20"/>
                  <w:u w:val="none"/>
                  <w:effect w:val="none"/>
                </w:rPr>
                <w:t xml:space="preserve">Consolidated Statements of Operations for the </w:t>
              </w:r>
            </w:hyperlink>
            <w:r>
              <w:rPr>
                <w:rFonts w:ascii="Times New Roman;sans-serif" w:hAnsi="Times New Roman;sans-serif"/>
                <w:b w:val="false"/>
                <w:color w:val="000000"/>
                <w:sz w:val="20"/>
              </w:rPr>
              <w:t>Three and Six Months Ended June 30, 2023</w:t>
            </w:r>
            <w:hyperlink w:anchor="iec1ecc8a73934db2a8a3235bc2df4a70_22">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hyperlink w:anchor="iec1ecc8a73934db2a8a3235bc2df4a70_22">
              <w:r>
                <w:rPr>
                  <w:rStyle w:val="InternetLink"/>
                  <w:rFonts w:ascii="Times New Roman;sans-serif" w:hAnsi="Times New Roman;sans-serif"/>
                  <w:b w:val="false"/>
                  <w:strike w:val="false"/>
                  <w:dstrike w:val="false"/>
                  <w:color w:val="000000"/>
                  <w:sz w:val="20"/>
                  <w:u w:val="none"/>
                  <w:effect w:val="none"/>
                </w:rPr>
                <w:t xml:space="preserve"> </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22">
              <w:r>
                <w:rPr>
                  <w:rStyle w:val="InternetLink"/>
                  <w:rFonts w:ascii="Times New Roman;sans-serif" w:hAnsi="Times New Roman;sans-serif"/>
                  <w:b w:val="false"/>
                  <w:strike w:val="false"/>
                  <w:dstrike w:val="false"/>
                  <w:color w:val="000000"/>
                  <w:sz w:val="20"/>
                  <w:u w:val="none"/>
                  <w:effect w:val="none"/>
                </w:rPr>
                <w:t>6</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c1ecc8a73934db2a8a3235bc2df4a70_25">
              <w:r>
                <w:rPr>
                  <w:rStyle w:val="InternetLink"/>
                  <w:rFonts w:ascii="Times New Roman;sans-serif" w:hAnsi="Times New Roman;sans-serif"/>
                  <w:b w:val="false"/>
                  <w:strike w:val="false"/>
                  <w:dstrike w:val="false"/>
                  <w:color w:val="000000"/>
                  <w:sz w:val="20"/>
                  <w:u w:val="none"/>
                  <w:effect w:val="none"/>
                </w:rPr>
                <w:t xml:space="preserve">Consolidated Statements of Comprehensive Income for the </w:t>
              </w:r>
            </w:hyperlink>
            <w:r>
              <w:rPr>
                <w:rFonts w:ascii="Times New Roman;sans-serif" w:hAnsi="Times New Roman;sans-serif"/>
                <w:b w:val="false"/>
                <w:color w:val="000000"/>
                <w:sz w:val="20"/>
              </w:rPr>
              <w:t>Three and Six Months Ended June 30, 2023</w:t>
            </w:r>
            <w:hyperlink w:anchor="iec1ecc8a73934db2a8a3235bc2df4a70_25">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25">
              <w:r>
                <w:rPr>
                  <w:rStyle w:val="InternetLink"/>
                  <w:rFonts w:ascii="Times New Roman;sans-serif" w:hAnsi="Times New Roman;sans-serif"/>
                  <w:b w:val="false"/>
                  <w:strike w:val="false"/>
                  <w:dstrike w:val="false"/>
                  <w:color w:val="000000"/>
                  <w:sz w:val="20"/>
                  <w:u w:val="none"/>
                  <w:effect w:val="none"/>
                </w:rPr>
                <w:t>7</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c1ecc8a73934db2a8a3235bc2df4a70_28">
              <w:r>
                <w:rPr>
                  <w:rStyle w:val="InternetLink"/>
                  <w:rFonts w:ascii="Times New Roman;sans-serif" w:hAnsi="Times New Roman;sans-serif"/>
                  <w:b w:val="false"/>
                  <w:strike w:val="false"/>
                  <w:dstrike w:val="false"/>
                  <w:color w:val="000000"/>
                  <w:sz w:val="20"/>
                  <w:u w:val="none"/>
                  <w:effect w:val="none"/>
                </w:rPr>
                <w:t xml:space="preserve">Consolidated Statements of Changes in Equity for the </w:t>
              </w:r>
            </w:hyperlink>
            <w:r>
              <w:rPr>
                <w:rFonts w:ascii="Times New Roman;sans-serif" w:hAnsi="Times New Roman;sans-serif"/>
                <w:b w:val="false"/>
                <w:color w:val="000000"/>
                <w:sz w:val="20"/>
              </w:rPr>
              <w:t>Three and Six Months Ended June 30, 2023</w:t>
            </w:r>
            <w:hyperlink w:anchor="iec1ecc8a73934db2a8a3235bc2df4a70_28">
              <w:r>
                <w:rPr>
                  <w:rStyle w:val="InternetLink"/>
                  <w:rFonts w:ascii="Times New Roman;sans-serif" w:hAnsi="Times New Roman;sans-serif"/>
                  <w:b w:val="false"/>
                  <w:strike w:val="false"/>
                  <w:dstrike w:val="false"/>
                  <w:color w:val="000000"/>
                  <w:sz w:val="20"/>
                  <w:u w:val="none"/>
                  <w:effect w:val="none"/>
                </w:rPr>
                <w:t xml:space="preserve"> and </w:t>
              </w:r>
            </w:hyperlink>
            <w:r>
              <w:rPr>
                <w:rFonts w:ascii="Times New Roman;sans-serif" w:hAnsi="Times New Roman;sans-serif"/>
                <w:b w:val="false"/>
                <w:color w:val="000000"/>
                <w:sz w:val="20"/>
              </w:rPr>
              <w:t>2022</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28">
              <w:r>
                <w:rPr>
                  <w:rStyle w:val="InternetLink"/>
                  <w:rFonts w:ascii="Times New Roman;sans-serif" w:hAnsi="Times New Roman;sans-serif"/>
                  <w:b w:val="false"/>
                  <w:strike w:val="false"/>
                  <w:dstrike w:val="false"/>
                  <w:color w:val="000000"/>
                  <w:sz w:val="20"/>
                  <w:u w:val="none"/>
                  <w:effect w:val="none"/>
                </w:rPr>
                <w:t>8</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c1ecc8a73934db2a8a3235bc2df4a70_31">
              <w:r>
                <w:rPr>
                  <w:rStyle w:val="InternetLink"/>
                  <w:rFonts w:ascii="Times New Roman;sans-serif" w:hAnsi="Times New Roman;sans-serif"/>
                  <w:b w:val="false"/>
                  <w:strike w:val="false"/>
                  <w:dstrike w:val="false"/>
                  <w:color w:val="000000"/>
                  <w:sz w:val="20"/>
                  <w:u w:val="none"/>
                  <w:effect w:val="none"/>
                </w:rPr>
                <w:t xml:space="preserve">Consolidated Statements of Cash Flows for the </w:t>
              </w:r>
            </w:hyperlink>
            <w:r>
              <w:rPr>
                <w:rFonts w:ascii="Times New Roman;sans-serif" w:hAnsi="Times New Roman;sans-serif"/>
                <w:b w:val="false"/>
                <w:color w:val="000000"/>
                <w:sz w:val="20"/>
              </w:rPr>
              <w:t xml:space="preserve">Six Months Ended June 30, 2023 </w:t>
            </w:r>
            <w:hyperlink w:anchor="iec1ecc8a73934db2a8a3235bc2df4a70_31">
              <w:r>
                <w:rPr>
                  <w:rStyle w:val="InternetLink"/>
                  <w:rFonts w:ascii="Times New Roman;sans-serif" w:hAnsi="Times New Roman;sans-serif"/>
                  <w:b w:val="false"/>
                  <w:strike w:val="false"/>
                  <w:dstrike w:val="false"/>
                  <w:color w:val="000000"/>
                  <w:sz w:val="20"/>
                  <w:u w:val="none"/>
                  <w:effect w:val="none"/>
                </w:rPr>
                <w:t xml:space="preserve">and </w:t>
              </w:r>
            </w:hyperlink>
            <w:r>
              <w:rPr>
                <w:rFonts w:ascii="Times New Roman;sans-serif" w:hAnsi="Times New Roman;sans-serif"/>
                <w:b w:val="false"/>
                <w:color w:val="000000"/>
                <w:sz w:val="20"/>
              </w:rPr>
              <w:t>2022</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31">
              <w:r>
                <w:rPr>
                  <w:rStyle w:val="InternetLink"/>
                  <w:rFonts w:ascii="Times New Roman;sans-serif" w:hAnsi="Times New Roman;sans-serif"/>
                  <w:b w:val="false"/>
                  <w:strike w:val="false"/>
                  <w:dstrike w:val="false"/>
                  <w:color w:val="000000"/>
                  <w:sz w:val="20"/>
                  <w:u w:val="none"/>
                  <w:effect w:val="none"/>
                </w:rPr>
                <w:t>10</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34">
              <w:r>
                <w:rPr>
                  <w:rStyle w:val="InternetLink"/>
                  <w:rFonts w:ascii="Times New Roman;sans-serif" w:hAnsi="Times New Roman;sans-serif"/>
                  <w:b w:val="false"/>
                  <w:strike w:val="false"/>
                  <w:dstrike w:val="false"/>
                  <w:color w:val="000000"/>
                  <w:sz w:val="20"/>
                  <w:u w:val="none"/>
                  <w:effect w:val="none"/>
                </w:rPr>
                <w:t>Notes to Unaudited Consolidated Financial Statements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34">
              <w:r>
                <w:rPr>
                  <w:rStyle w:val="InternetLink"/>
                  <w:rFonts w:ascii="Times New Roman;sans-serif" w:hAnsi="Times New Roman;sans-serif"/>
                  <w:b w:val="false"/>
                  <w:strike w:val="false"/>
                  <w:dstrike w:val="false"/>
                  <w:color w:val="000000"/>
                  <w:sz w:val="20"/>
                  <w:u w:val="none"/>
                  <w:effect w:val="none"/>
                </w:rPr>
                <w:t>11</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03">
              <w:r>
                <w:rPr>
                  <w:rStyle w:val="InternetLink"/>
                  <w:rFonts w:ascii="Times New Roman;sans-serif" w:hAnsi="Times New Roman;sans-serif"/>
                  <w:b w:val="false"/>
                  <w:strike w:val="false"/>
                  <w:dstrike w:val="false"/>
                  <w:color w:val="000000"/>
                  <w:sz w:val="20"/>
                  <w:u w:val="none"/>
                  <w:effect w:val="none"/>
                </w:rPr>
                <w:t>Item 2.</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c1ecc8a73934db2a8a3235bc2df4a70_103">
              <w:r>
                <w:rPr>
                  <w:rStyle w:val="InternetLink"/>
                  <w:rFonts w:ascii="Times New Roman;sans-serif" w:hAnsi="Times New Roman;sans-serif"/>
                  <w:b w:val="false"/>
                  <w:strike w:val="false"/>
                  <w:dstrike w:val="false"/>
                  <w:color w:val="000000"/>
                  <w:sz w:val="20"/>
                  <w:u w:val="none"/>
                  <w:effect w:val="none"/>
                </w:rPr>
                <w:t xml:space="preserve">Management’s Discussion and Analysis of Financial Condition and Results of Operations </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03">
              <w:r>
                <w:rPr>
                  <w:rStyle w:val="InternetLink"/>
                  <w:rFonts w:ascii="Times New Roman;sans-serif" w:hAnsi="Times New Roman;sans-serif"/>
                  <w:b w:val="false"/>
                  <w:strike w:val="false"/>
                  <w:dstrike w:val="false"/>
                  <w:color w:val="000000"/>
                  <w:sz w:val="20"/>
                  <w:u w:val="none"/>
                  <w:effect w:val="none"/>
                </w:rPr>
                <w:t>51</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39">
              <w:r>
                <w:rPr>
                  <w:rStyle w:val="InternetLink"/>
                  <w:rFonts w:ascii="Times New Roman;sans-serif" w:hAnsi="Times New Roman;sans-serif"/>
                  <w:b w:val="false"/>
                  <w:strike w:val="false"/>
                  <w:dstrike w:val="false"/>
                  <w:color w:val="000000"/>
                  <w:sz w:val="20"/>
                  <w:u w:val="none"/>
                  <w:effect w:val="none"/>
                </w:rPr>
                <w:t>Item 3.</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39">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39">
              <w:r>
                <w:rPr>
                  <w:rStyle w:val="InternetLink"/>
                  <w:rFonts w:ascii="Times New Roman;sans-serif" w:hAnsi="Times New Roman;sans-serif"/>
                  <w:b w:val="false"/>
                  <w:strike w:val="false"/>
                  <w:dstrike w:val="false"/>
                  <w:color w:val="000000"/>
                  <w:sz w:val="20"/>
                  <w:u w:val="none"/>
                  <w:effect w:val="none"/>
                </w:rPr>
                <w:t>86</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42">
              <w:r>
                <w:rPr>
                  <w:rStyle w:val="InternetLink"/>
                  <w:rFonts w:ascii="Times New Roman;sans-serif" w:hAnsi="Times New Roman;sans-serif"/>
                  <w:b w:val="false"/>
                  <w:strike w:val="false"/>
                  <w:dstrike w:val="false"/>
                  <w:color w:val="000000"/>
                  <w:sz w:val="20"/>
                  <w:u w:val="none"/>
                  <w:effect w:val="none"/>
                </w:rPr>
                <w:t>Item 4.</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42">
              <w:r>
                <w:rPr>
                  <w:rStyle w:val="InternetLink"/>
                  <w:rFonts w:ascii="Times New Roman;sans-serif" w:hAnsi="Times New Roman;sans-serif"/>
                  <w:b w:val="false"/>
                  <w:strike w:val="false"/>
                  <w:dstrike w:val="false"/>
                  <w:color w:val="000000"/>
                  <w:sz w:val="20"/>
                  <w:u w:val="none"/>
                  <w:effect w:val="none"/>
                </w:rPr>
                <w:t xml:space="preserve">Controls and Procedures </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42">
              <w:r>
                <w:rPr>
                  <w:rStyle w:val="InternetLink"/>
                  <w:rFonts w:ascii="Times New Roman;sans-serif" w:hAnsi="Times New Roman;sans-serif"/>
                  <w:b w:val="false"/>
                  <w:strike w:val="false"/>
                  <w:dstrike w:val="false"/>
                  <w:color w:val="000000"/>
                  <w:sz w:val="20"/>
                  <w:u w:val="none"/>
                  <w:effect w:val="none"/>
                </w:rPr>
                <w:t>90</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45">
              <w:r>
                <w:rPr>
                  <w:rStyle w:val="InternetLink"/>
                  <w:rFonts w:ascii="Times New Roman;sans-serif" w:hAnsi="Times New Roman;sans-serif"/>
                  <w:b/>
                  <w:strike w:val="false"/>
                  <w:dstrike w:val="false"/>
                  <w:color w:val="000000"/>
                  <w:sz w:val="20"/>
                  <w:u w:val="none"/>
                  <w:effect w:val="none"/>
                </w:rPr>
                <w:t>PART II - OTHER INFORMATION</w:t>
              </w:r>
            </w:hyperlink>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48">
              <w:r>
                <w:rPr>
                  <w:rStyle w:val="InternetLink"/>
                  <w:rFonts w:ascii="Times New Roman;sans-serif" w:hAnsi="Times New Roman;sans-serif"/>
                  <w:b w:val="false"/>
                  <w:strike w:val="false"/>
                  <w:dstrike w:val="false"/>
                  <w:color w:val="000000"/>
                  <w:sz w:val="20"/>
                  <w:u w:val="none"/>
                  <w:effect w:val="none"/>
                </w:rPr>
                <w:t>Item 1.</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48">
              <w:r>
                <w:rPr>
                  <w:rStyle w:val="InternetLink"/>
                  <w:rFonts w:ascii="Times New Roman;sans-serif" w:hAnsi="Times New Roman;sans-serif"/>
                  <w:b w:val="false"/>
                  <w:strike w:val="false"/>
                  <w:dstrike w:val="false"/>
                  <w:color w:val="000000"/>
                  <w:sz w:val="20"/>
                  <w:u w:val="none"/>
                  <w:effect w:val="none"/>
                </w:rPr>
                <w:t>Legal Proceedings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48">
              <w:r>
                <w:rPr>
                  <w:rStyle w:val="InternetLink"/>
                  <w:rFonts w:ascii="Times New Roman;sans-serif" w:hAnsi="Times New Roman;sans-serif"/>
                  <w:b w:val="false"/>
                  <w:strike w:val="false"/>
                  <w:dstrike w:val="false"/>
                  <w:color w:val="000000"/>
                  <w:sz w:val="20"/>
                  <w:u w:val="none"/>
                  <w:effect w:val="none"/>
                </w:rPr>
                <w:t>91</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51">
              <w:r>
                <w:rPr>
                  <w:rStyle w:val="InternetLink"/>
                  <w:rFonts w:ascii="Times New Roman;sans-serif" w:hAnsi="Times New Roman;sans-serif"/>
                  <w:b w:val="false"/>
                  <w:strike w:val="false"/>
                  <w:dstrike w:val="false"/>
                  <w:color w:val="000000"/>
                  <w:sz w:val="20"/>
                  <w:u w:val="none"/>
                  <w:effect w:val="none"/>
                </w:rPr>
                <w:t>Item 1A.</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51">
              <w:r>
                <w:rPr>
                  <w:rStyle w:val="InternetLink"/>
                  <w:rFonts w:ascii="Times New Roman;sans-serif" w:hAnsi="Times New Roman;sans-serif"/>
                  <w:b w:val="false"/>
                  <w:strike w:val="false"/>
                  <w:dstrike w:val="false"/>
                  <w:color w:val="000000"/>
                  <w:sz w:val="20"/>
                  <w:u w:val="none"/>
                  <w:effect w:val="none"/>
                </w:rPr>
                <w:t>Risk Factors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51">
              <w:r>
                <w:rPr>
                  <w:rStyle w:val="InternetLink"/>
                  <w:rFonts w:ascii="Times New Roman;sans-serif" w:hAnsi="Times New Roman;sans-serif"/>
                  <w:b w:val="false"/>
                  <w:strike w:val="false"/>
                  <w:dstrike w:val="false"/>
                  <w:color w:val="000000"/>
                  <w:sz w:val="20"/>
                  <w:u w:val="none"/>
                  <w:effect w:val="none"/>
                </w:rPr>
                <w:t>91</w:t>
              </w:r>
            </w:hyperlink>
          </w:p>
        </w:tc>
      </w:tr>
      <w:tr>
        <w:trPr/>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54">
              <w:r>
                <w:rPr>
                  <w:rStyle w:val="InternetLink"/>
                  <w:rFonts w:ascii="Times New Roman;sans-serif" w:hAnsi="Times New Roman;sans-serif"/>
                  <w:b w:val="false"/>
                  <w:strike w:val="false"/>
                  <w:dstrike w:val="false"/>
                  <w:color w:val="000000"/>
                  <w:sz w:val="20"/>
                  <w:u w:val="none"/>
                  <w:effect w:val="none"/>
                </w:rPr>
                <w:t>Item 6.</w:t>
              </w:r>
            </w:hyperlink>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54">
              <w:r>
                <w:rPr>
                  <w:rStyle w:val="InternetLink"/>
                  <w:rFonts w:ascii="Times New Roman;sans-serif" w:hAnsi="Times New Roman;sans-serif"/>
                  <w:b w:val="false"/>
                  <w:strike w:val="false"/>
                  <w:dstrike w:val="false"/>
                  <w:color w:val="000000"/>
                  <w:sz w:val="20"/>
                  <w:u w:val="none"/>
                  <w:effect w:val="none"/>
                </w:rPr>
                <w:t>Exhibits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54">
              <w:r>
                <w:rPr>
                  <w:rStyle w:val="InternetLink"/>
                  <w:rFonts w:ascii="Times New Roman;sans-serif" w:hAnsi="Times New Roman;sans-serif"/>
                  <w:b w:val="false"/>
                  <w:strike w:val="false"/>
                  <w:dstrike w:val="false"/>
                  <w:color w:val="000000"/>
                  <w:sz w:val="20"/>
                  <w:u w:val="none"/>
                  <w:effect w:val="none"/>
                </w:rPr>
                <w:t>91</w:t>
              </w:r>
            </w:hyperlink>
          </w:p>
        </w:tc>
      </w:tr>
      <w:tr>
        <w:trPr/>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974"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c1ecc8a73934db2a8a3235bc2df4a70_157">
              <w:r>
                <w:rPr>
                  <w:rStyle w:val="InternetLink"/>
                  <w:rFonts w:ascii="Times New Roman;sans-serif" w:hAnsi="Times New Roman;sans-serif"/>
                  <w:b w:val="false"/>
                  <w:strike w:val="false"/>
                  <w:dstrike w:val="false"/>
                  <w:color w:val="000000"/>
                  <w:sz w:val="20"/>
                  <w:u w:val="none"/>
                  <w:effect w:val="none"/>
                </w:rPr>
                <w:t>Signatures</w:t>
              </w:r>
            </w:hyperlink>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c1ecc8a73934db2a8a3235bc2df4a70_157">
              <w:r>
                <w:rPr>
                  <w:rStyle w:val="InternetLink"/>
                  <w:rFonts w:ascii="Times New Roman;sans-serif" w:hAnsi="Times New Roman;sans-serif"/>
                  <w:b w:val="false"/>
                  <w:strike w:val="false"/>
                  <w:dstrike w:val="false"/>
                  <w:color w:val="000000"/>
                  <w:sz w:val="20"/>
                  <w:u w:val="none"/>
                  <w:effect w:val="none"/>
                </w:rPr>
                <w:t>93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under Part I, Item 1A, Risk Factors of our Annual Report on Form 10-K for the year ended December 31, 2022 and the following:</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impact of the recent failures and re-organization of banking institutions and continued uncertainty in the banking industry;</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potential for ongoing disruption in the financial markets and in commercial activity generally related to changes in monetary and fiscal policy, international events including the war in Ukraine and other sources of instability;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impacts of inflation, employment disruption, and other financial difficulties facing our borrowers;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timely reduce operating costs or generate offsetting revenue in proportion to the recent industry-wide decrease in originations activity, and the impact of cost-reduction initiatives on our business, operations, and financial performance;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amount of common stock or senior debt that we may repurchase under any future stock or debt repurchase programs, the timing of such repurchases, and the long-term impact, if any, of repurchases on the trading price of our stock or our financial condition;</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extent to which our mortgage servicing rights (MSR) joint venture with Oaktree Capital Management L.P. and its affiliates (Oaktree), other transactions and our enterprise sales initiatives will generate additional subservicing volume and result in increased profitability;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and the ability of MSR Asset Vehicle LLC (MAV), to bid competitively for, and close acquisitions of, MSRs on terms that will enable us to achieve our growth objectives and a favorable return on our investment in MAV;</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identify, enter into and close additional strategic transactions, including the ability to obtain regulatory approvals, enter into definitive financing arrangements, and satisfy closing conditions, and the timing for doing so;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extent to which our ownership stake in MAV’s holding company may be diluted, resulting in a reduced ability for us to participate in certain routine management decisions;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efficiently integrate the operations and assets of acquired businesses and to retain their employees and customers over time;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adequacy of our financial resources, including our sources of liquidity and ability to sell, fund and recover servicing advances, forward and reverse whole loans, and Home Equity Conversion Mortgage (HECM) and forward loan buyouts and put-backs, as well as repay, renew and extend borrowings, borrow additional amounts as and when required, meet our MSR or other asset investment objectives and comply with our debt agreements, including the financial and other covenants contained in them;</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increased servicing costs based on rising borrower delinquency levels or other factors, including an increase in severe weather events resulting in property damage and financial hardship to our borrowers;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reduced collection of servicing fees and ancillary income and delayed collection of servicing revenue as a result of forbearance plans and moratoria on evictions and foreclosure proceedings;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maintain and increase market share in our target markets, including in forward and reverse servicing;</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our long-term relationship with Rithm Capital Corp. (Rithm), formerly New Residential Investment Corp. (NRZ), one of our largest subservicing clients as of June 30, 2023;</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MAV, one our largest subservicing clients as of June 30, 2023, and MAV’s continued ownership of its MSR portfolio following the end of MAV’s investment commitment period, and any impact on our subservicing income as a result of the sale of MAV’s MSRs;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adverse effects on our business related to past, present or future claims, litigation, cease and desist orders and investigations relating to our business practices, including those brought by private parties and state regulators,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Financial Protection Bureau (CFPB), State Attorneys General, the Securities and Exchange Commission (SEC), the Department of Justice or the Department of Housing and Urban Development (HUD);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scrutiny of our compliance with COVID-19-related rules and regulations, including requirements instituted by state governments, the Federal National Mortgage Association (Fannie Mae), and Federal Home Loan Mortgage Corporation (Freddie Mac) (together, the GSEs), the Government National Mortgage Association (Ginnie Mae) and regulators;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the reactions of key counterparties, including lenders, the GSEs and Ginnie Mae, to our regulatory engagements and litigation matters;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any adverse developments in existing legal proceedings or the initiation of new legal proceedings;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efficiently manage our regulatory and contractual compliance obligations and fully comply with all applicable requirements, and the costs of doing so;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changes in legislation, regulations, government programs and policies, industry initiatives, best servicing and lending practices, and media scrutiny of our business and industry;</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extent to which changes in the law as well as changes in the interpretation of law may require us to modify our business practices and expose us to increased expense and litigation risk;</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interpret correctly and comply with current or future liquidity, net worth and other financial and other requirements of regulators, the GSEs and Ginnie Mae, as well as those set forth in our debt and other agreements, including our ability to identify and implement a cost-effective response to Ginnie Mae’s risk-based capital requirements that take effect in late 2024;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our ability to comply with our servicing agreements, including our ability to comply with our agreements with the GSEs and Ginnie Mae and maintain our seller/servicer and other statuses with them;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servicer and credit ratings as well as other actions from various rating agencies, including the impact of prior or future downgrades of our servicer and credit ratings;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failure of our, or our vendors’, information technology or other security systems or breach of our, or our vendors’, privacy protections, including any failure to protect customers’ data;</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recruit and retain senior managers and key employees;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increased compensation and benefits expense as a result of rising inflation and labor market trends;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actions of loan owners and guarantors, including mortgage-backed securities investors, the GSEs, Ginnie Mae and trustees regarding loan put-backs, penalties and legal actions;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GSEs substantially curtailing or ceasing to purchase our conforming loan originations or the Federal Housing Administration (FHA) of the HUD, Department of Veterans Affairs (VA) or United States Department of Agriculture (USDA) ceasing to provide insurance;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our ability to continue to collect certain expedited payment or convenience fees and potential liability for charging such fees;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our reserves, valuations, provisions and anticipated realization of assets;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ability of third-party obligors and financing sources to fund servicing advances on a timely basis on loans serviced by us;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the characteristics of our servicing portfolio, including prepayment speeds along with delinquency and advance rates;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successfully modify delinquent loans, manage foreclosures and sell foreclosed properties;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 xml:space="preserve">uncertainty related to the processes for judicial and non-judicial foreclosure proceedings, including potential additional costs or delays or moratoria in the future or claims pertaining to past practices; </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adequately manage and maintain real estate owned (REO) properties and vacant properties collateralizing loans that we service;</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realize anticipated future gains from future draws on existing loans in our reverse mortgage portfolio;</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effectively manage our exposure to interest rate changes and foreign exchange fluctuations;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our ability to effectively transform our operations in response to changing business needs, including our ability to do so without unanticipated adverse tax consequences;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increasingly frequent and costly disruptions to our operations as a result of severe weather events;</w:t>
      </w:r>
    </w:p>
    <w:p>
      <w:pPr>
        <w:pStyle w:val="TextBody"/>
        <w:bidi w:val="0"/>
        <w:spacing w:lineRule="auto" w:line="288" w:before="20" w:after="20"/>
        <w:ind w:left="0" w:right="0" w:hanging="360"/>
        <w:jc w:val="left"/>
        <w:rPr/>
      </w:pPr>
      <w:r>
        <w:rPr>
          <w:color w:val="000000"/>
        </w:rPr>
        <w:t>•</w:t>
      </w:r>
      <w:r>
        <w:rPr>
          <w:rFonts w:ascii="Times New Roman;sans-serif" w:hAnsi="Times New Roman;sans-serif"/>
          <w:b w:val="false"/>
          <w:color w:val="000000"/>
          <w:sz w:val="20"/>
        </w:rPr>
        <w:t>uncertainty related to the political or economic stability of the United States (U.S.) and of the foreign countries in which we have operations; and</w:t>
      </w:r>
    </w:p>
    <w:p>
      <w:pPr>
        <w:pStyle w:val="TextBody"/>
        <w:bidi w:val="0"/>
        <w:spacing w:lineRule="auto" w:line="288" w:before="20" w:after="120"/>
        <w:ind w:left="0" w:right="0" w:hanging="360"/>
        <w:jc w:val="left"/>
        <w:rPr/>
      </w:pPr>
      <w:r>
        <w:rPr>
          <w:color w:val="000000"/>
        </w:rPr>
        <w:t>•</w:t>
      </w:r>
      <w:r>
        <w:rPr>
          <w:rFonts w:ascii="Times New Roman;sans-serif" w:hAnsi="Times New Roman;sans-serif"/>
          <w:b w:val="false"/>
          <w:color w:val="000000"/>
          <w:sz w:val="20"/>
        </w:rPr>
        <w:t>our ability to maintain positive relationships with our large shareholders and obtain their support for management proposals requiring shareholder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Further information on the risks specific to our business is detailed within this report and our other reports and filings with the SEC including our Annual Report on Form 10-K for the year ended December 31, 2022, our Quarterly Report on Form 10-Q and our Current Reports on Form 8-K since such date. Forward-looking statements speak only as of the date they were made and we disclaim any obligation to update or revise forward-looking statements whether because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UNAUDITED CONSOLIDATED FINANCIAL STATEMENTS</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2778"/>
        <w:gridCol w:w="2189"/>
        <w:gridCol w:w="2208"/>
        <w:gridCol w:w="217"/>
        <w:gridCol w:w="898"/>
        <w:gridCol w:w="112"/>
        <w:gridCol w:w="109"/>
        <w:gridCol w:w="109"/>
        <w:gridCol w:w="109"/>
        <w:gridCol w:w="251"/>
        <w:gridCol w:w="1039"/>
        <w:gridCol w:w="186"/>
      </w:tblGrid>
      <w:tr>
        <w:trPr/>
        <w:tc>
          <w:tcPr>
            <w:tcW w:w="2778"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1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($67.2 and $17.6 related to variable interest entities (VIEs))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rights (MSRs), at fair value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 ($503.3 and $608.4 related to VIEs)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($1,352.9 and $617.8 carried at fair value) ($241.4 and $0.0 related to VIEs)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 ($6.0 and $6.7 related to VIEs)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($44.2 and $0.0 related to VIEs)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($9.3 and $8.0 carried at fair value) ($13.7 and $3.2 related to VIEs)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color w:val="000000"/>
              </w:rPr>
            </w:pPr>
            <w:r>
              <w:rPr>
                <w:color w:val="000000"/>
              </w:rPr>
              <w:t> </w:t>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Equity Conversion Mortgage-Backed Securities (HMBS) related borrowings, at fair value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liabilities, at fair value ($319.7 and $329.8 due to related party) ($6.0 and $6.7 related to VIEs)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 ($429.5 and $512.5 related to VIEs)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 net ($238.3 and $— related to VIEs)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 ($234.9 and $230.2 due to related party)</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($13.4 and $15.8 carried at fair value)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and Contingencies (Notes 19 and 20)</w:t>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$.01 par value; 13,333,333 shares authorized; 7,677,008 and 7,526,117 shares issued and outstanding at June 30, 2023 and December 31, 2022, respectively</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income taxes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w:t>
      </w:r>
    </w:p>
    <w:tbl>
      <w:tblPr>
        <w:tblW w:w="10205" w:type="dxa"/>
        <w:jc w:val="left"/>
        <w:tblInd w:w="0" w:type="dxa"/>
        <w:tblLayout w:type="fixed"/>
        <w:tblCellMar>
          <w:top w:w="28" w:type="dxa"/>
          <w:left w:w="28" w:type="dxa"/>
          <w:bottom w:w="28" w:type="dxa"/>
          <w:right w:w="28" w:type="dxa"/>
        </w:tblCellMar>
      </w:tblPr>
      <w:tblGrid>
        <w:gridCol w:w="1648"/>
        <w:gridCol w:w="1299"/>
        <w:gridCol w:w="1310"/>
        <w:gridCol w:w="315"/>
        <w:gridCol w:w="774"/>
        <w:gridCol w:w="132"/>
        <w:gridCol w:w="132"/>
        <w:gridCol w:w="132"/>
        <w:gridCol w:w="132"/>
        <w:gridCol w:w="315"/>
        <w:gridCol w:w="774"/>
        <w:gridCol w:w="132"/>
        <w:gridCol w:w="109"/>
        <w:gridCol w:w="109"/>
        <w:gridCol w:w="109"/>
        <w:gridCol w:w="290"/>
        <w:gridCol w:w="756"/>
        <w:gridCol w:w="126"/>
        <w:gridCol w:w="126"/>
        <w:gridCol w:w="126"/>
        <w:gridCol w:w="126"/>
        <w:gridCol w:w="290"/>
        <w:gridCol w:w="756"/>
        <w:gridCol w:w="187"/>
      </w:tblGrid>
      <w:tr>
        <w:trPr/>
        <w:tc>
          <w:tcPr>
            <w:tcW w:w="164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loans held for sale,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and origination </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expenses </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($10.9, $10.5, $21.7 and $20.9 on amounts due to related party)</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 ($13.2, $15.2, $27.3 and $29.5 on amounts due to related party)</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(loss) per share</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7,652,563 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9,257,089 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7,593,391 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9,236,221 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7,919,587 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9,366,606 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7,593,391 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9,514,202 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425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468"/>
        <w:gridCol w:w="1279"/>
        <w:gridCol w:w="1252"/>
        <w:gridCol w:w="319"/>
        <w:gridCol w:w="773"/>
        <w:gridCol w:w="165"/>
        <w:gridCol w:w="165"/>
        <w:gridCol w:w="165"/>
        <w:gridCol w:w="165"/>
        <w:gridCol w:w="319"/>
        <w:gridCol w:w="773"/>
        <w:gridCol w:w="165"/>
        <w:gridCol w:w="109"/>
        <w:gridCol w:w="109"/>
        <w:gridCol w:w="109"/>
        <w:gridCol w:w="288"/>
        <w:gridCol w:w="788"/>
        <w:gridCol w:w="148"/>
        <w:gridCol w:w="148"/>
        <w:gridCol w:w="148"/>
        <w:gridCol w:w="148"/>
        <w:gridCol w:w="288"/>
        <w:gridCol w:w="698"/>
        <w:gridCol w:w="216"/>
      </w:tblGrid>
      <w:tr>
        <w:trPr/>
        <w:tc>
          <w:tcPr>
            <w:tcW w:w="14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9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income taxes:</w:t>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unfunded pension plan obligation liability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r>
        <w:trPr/>
        <w:tc>
          <w:tcPr>
            <w:tcW w:w="3999"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840"/>
                <wp:effectExtent l="0" t="0" r="0" b="0"/>
                <wp:wrapNone/>
                <wp:docPr id="8" name="Frame8"/>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 2023 AND 2022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87"/>
        <w:gridCol w:w="343"/>
        <w:gridCol w:w="344"/>
        <w:gridCol w:w="435"/>
        <w:gridCol w:w="436"/>
        <w:gridCol w:w="211"/>
        <w:gridCol w:w="109"/>
        <w:gridCol w:w="109"/>
        <w:gridCol w:w="109"/>
        <w:gridCol w:w="216"/>
        <w:gridCol w:w="414"/>
        <w:gridCol w:w="121"/>
        <w:gridCol w:w="109"/>
        <w:gridCol w:w="109"/>
        <w:gridCol w:w="109"/>
        <w:gridCol w:w="233"/>
        <w:gridCol w:w="663"/>
        <w:gridCol w:w="131"/>
        <w:gridCol w:w="109"/>
        <w:gridCol w:w="109"/>
        <w:gridCol w:w="109"/>
        <w:gridCol w:w="302"/>
        <w:gridCol w:w="881"/>
        <w:gridCol w:w="168"/>
        <w:gridCol w:w="109"/>
        <w:gridCol w:w="109"/>
        <w:gridCol w:w="109"/>
        <w:gridCol w:w="465"/>
        <w:gridCol w:w="929"/>
        <w:gridCol w:w="261"/>
        <w:gridCol w:w="109"/>
        <w:gridCol w:w="109"/>
        <w:gridCol w:w="109"/>
        <w:gridCol w:w="109"/>
        <w:gridCol w:w="109"/>
        <w:gridCol w:w="196"/>
        <w:gridCol w:w="556"/>
        <w:gridCol w:w="160"/>
      </w:tblGrid>
      <w:tr>
        <w:trPr/>
        <w:tc>
          <w:tcPr>
            <w:tcW w:w="88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9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7,638,611 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and 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7,677,008 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9,243,658 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income taxes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9,189,005 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840"/>
                <wp:effectExtent l="0" t="0" r="0" b="0"/>
                <wp:wrapNone/>
                <wp:docPr id="9" name="Frame9"/>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CHANGES IN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 2023 AND 2022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3"/>
        <w:gridCol w:w="371"/>
        <w:gridCol w:w="372"/>
        <w:gridCol w:w="435"/>
        <w:gridCol w:w="436"/>
        <w:gridCol w:w="211"/>
        <w:gridCol w:w="109"/>
        <w:gridCol w:w="109"/>
        <w:gridCol w:w="109"/>
        <w:gridCol w:w="216"/>
        <w:gridCol w:w="414"/>
        <w:gridCol w:w="121"/>
        <w:gridCol w:w="109"/>
        <w:gridCol w:w="109"/>
        <w:gridCol w:w="109"/>
        <w:gridCol w:w="227"/>
        <w:gridCol w:w="647"/>
        <w:gridCol w:w="128"/>
        <w:gridCol w:w="109"/>
        <w:gridCol w:w="109"/>
        <w:gridCol w:w="109"/>
        <w:gridCol w:w="292"/>
        <w:gridCol w:w="853"/>
        <w:gridCol w:w="163"/>
        <w:gridCol w:w="109"/>
        <w:gridCol w:w="109"/>
        <w:gridCol w:w="109"/>
        <w:gridCol w:w="439"/>
        <w:gridCol w:w="878"/>
        <w:gridCol w:w="246"/>
        <w:gridCol w:w="109"/>
        <w:gridCol w:w="109"/>
        <w:gridCol w:w="109"/>
        <w:gridCol w:w="109"/>
        <w:gridCol w:w="109"/>
        <w:gridCol w:w="109"/>
        <w:gridCol w:w="109"/>
        <w:gridCol w:w="196"/>
        <w:gridCol w:w="556"/>
        <w:gridCol w:w="160"/>
      </w:tblGrid>
      <w:tr>
        <w:trPr/>
        <w:tc>
          <w:tcPr>
            <w:tcW w:w="77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 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Income (Loss),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1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7,526,117 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income taxes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7,677,008 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2021</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9,208,312 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and 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64,780 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9,189,005 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591.1 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840"/>
                <wp:effectExtent l="0" t="0" r="0" b="0"/>
                <wp:wrapNone/>
                <wp:docPr id="10" name="Frame10"/>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w:t>
      </w:r>
    </w:p>
    <w:tbl>
      <w:tblPr>
        <w:tblW w:w="10205" w:type="dxa"/>
        <w:jc w:val="center"/>
        <w:tblInd w:w="0" w:type="dxa"/>
        <w:tblLayout w:type="fixed"/>
        <w:tblCellMar>
          <w:top w:w="28" w:type="dxa"/>
          <w:left w:w="28" w:type="dxa"/>
          <w:bottom w:w="28" w:type="dxa"/>
          <w:right w:w="28" w:type="dxa"/>
        </w:tblCellMar>
      </w:tblPr>
      <w:tblGrid>
        <w:gridCol w:w="2824"/>
        <w:gridCol w:w="2317"/>
        <w:gridCol w:w="2333"/>
        <w:gridCol w:w="256"/>
        <w:gridCol w:w="749"/>
        <w:gridCol w:w="132"/>
        <w:gridCol w:w="132"/>
        <w:gridCol w:w="132"/>
        <w:gridCol w:w="132"/>
        <w:gridCol w:w="256"/>
        <w:gridCol w:w="749"/>
        <w:gridCol w:w="193"/>
      </w:tblGrid>
      <w:tr>
        <w:trPr/>
        <w:tc>
          <w:tcPr>
            <w:tcW w:w="282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7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MSRs,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bad debts (advances and receivables)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(reversal of) indemnification obligations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expense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 of debt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(gain) on valuation of loans held for investment and HMBS-related borrowings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loans held for sale,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earnings from equity method investee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 and purchase of loans held for sale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and collections of loans held for sale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8,275.2 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advances,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 in receivables and other assets, net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derivatives,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other liabilities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 of loans held for investment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Principal payments received on loans held for investment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995.7 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Acquisition of loans held for investment, net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reverse mortgage subservicing agreements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MSRs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sale of MSRs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advances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premises and equipment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real estate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premises and equipment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from (investment in) equity method investee,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advance match funded liabilities, net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(repayment of) mortgage loan financing facilities, net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MSR financing facilities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MSR financing facilities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and repayment of Senior notes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other financing liabilities - Sale of MSRs accounted for as secured financing</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other financing liabilities - Excess Servicing Spread (ESS) liability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other financing liabilities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Home Equity Conversion Mortgages (HECM, or reverse mortgages) accounted for as a financing (HMBS-related borrowings)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HMBS-related borrowings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Repurchase of common stock </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year</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activities:</w:t>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(derecognition) of gross right-of-use asset and lease liability:</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of loans held for sale to real estate owned (REO)</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acquired at fair value</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assumed at fair value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holdback</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to acquire loans held for investment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747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unaudited consolidated balance sheets and the unaudited consolidated statements of cash flows:</w:t>
      </w:r>
    </w:p>
    <w:tbl>
      <w:tblPr>
        <w:tblW w:w="10090" w:type="dxa"/>
        <w:jc w:val="center"/>
        <w:tblInd w:w="0" w:type="dxa"/>
        <w:tblLayout w:type="fixed"/>
        <w:tblCellMar>
          <w:top w:w="28" w:type="dxa"/>
          <w:left w:w="28" w:type="dxa"/>
          <w:bottom w:w="28" w:type="dxa"/>
          <w:right w:w="28" w:type="dxa"/>
        </w:tblCellMar>
      </w:tblPr>
      <w:tblGrid>
        <w:gridCol w:w="2596"/>
        <w:gridCol w:w="2280"/>
        <w:gridCol w:w="2293"/>
        <w:gridCol w:w="287"/>
        <w:gridCol w:w="839"/>
        <w:gridCol w:w="148"/>
        <w:gridCol w:w="109"/>
        <w:gridCol w:w="109"/>
        <w:gridCol w:w="109"/>
        <w:gridCol w:w="284"/>
        <w:gridCol w:w="829"/>
        <w:gridCol w:w="207"/>
      </w:tblGrid>
      <w:tr>
        <w:trPr/>
        <w:tc>
          <w:tcPr>
            <w:tcW w:w="2596"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and equivalents: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restricted cash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reported in the statements of cash flows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332.5 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840"/>
                <wp:effectExtent l="0" t="0" r="0" b="0"/>
                <wp:wrapNone/>
                <wp:docPr id="11" name="Frame11"/>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OCWEN FINANCIAL CORPORATION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millions, except per share data and unless otherwise indicated)</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169" w:type="dxa"/>
        <w:jc w:val="center"/>
        <w:tblInd w:w="0" w:type="dxa"/>
        <w:tblLayout w:type="fixed"/>
        <w:tblCellMar>
          <w:top w:w="28" w:type="dxa"/>
          <w:left w:w="28" w:type="dxa"/>
          <w:bottom w:w="28" w:type="dxa"/>
          <w:right w:w="28" w:type="dxa"/>
        </w:tblCellMar>
      </w:tblPr>
      <w:tblGrid>
        <w:gridCol w:w="1336"/>
        <w:gridCol w:w="1174"/>
        <w:gridCol w:w="1659"/>
      </w:tblGrid>
      <w:tr>
        <w:trPr/>
        <w:tc>
          <w:tcPr>
            <w:tcW w:w="133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1 - Organization and Basis of Presentation</w:t>
            </w:r>
          </w:p>
        </w:tc>
      </w:tr>
    </w:tbl>
    <w:p>
      <w:pPr>
        <w:pStyle w:val="TextBody"/>
        <w:bidi w:val="0"/>
        <w:spacing w:lineRule="auto" w:line="288" w:before="120" w:after="283"/>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Ocwen Financial Corporation (NYSE: OCN) (Ocwen, OFC, we, us and our) is a non-bank mortgage servicer and originator providing solutions to homeowners, clients, investors and others through its primary operating subsidiary, PHH Mortgage Corporation (PMC). We are headquartered in West Palm Beach, Florida with offices and operations in the United States (U.S.), the United States Virgin Islands (USVI), India and the Philippines. Ocwen is a Florida corporation organized in February 1988.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Ocwen directly or indirectly owns all of the outstanding common stock of its operating subsidiaries, including PMC since its acquisition on October 4, 2018, Ocwen Financial Solutions Private Limited (OFSPL) and Ocwen USVI Services, LLC (OVIS). Effective May 3, 2021, Ocwen holds a 15% equity interest in MAV Canopy HoldCo I, LLC (MAV Canopy) that invests in mortgage servicing assets through its licensed mortgage subsidiary MSR Asset Vehicle LLC (MAV). See Note 10 - Investment in Equity Method Investee and Related Party Transactions for additional information.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perform servicing activities related to our own MSR portfolio (primary) and on behalf of other servicers (subservicing), the largest being Rithm Capital Corp. (Rithm), formerly known as New Residential Investment Corp. (NRZ), and investors (primary and master servicing), including the Federal National Mortgage Association (Fannie Mae) and Federal Home Loan Mortgage Corporation (Freddie Mac) (collectively referred to as GSEs), the Government National Mortgage Association (Ginnie Mae, and together with the GSEs, the Agencies) and private-label securitizations (PLS, or non-Agency).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source our servicing portfolio through multiple channels, including retail, wholesale, correspondent, flow MSR purchase agreements, the Agency Cash Window programs and bulk MSR purchases. We originate, sell and securitize conventional (conforming to the GSE underwriting standards) loans and government-insured (Federal Housing Administration (FHA), Department of Veterans Affairs (VA) or United States Department of Agriculture (USDA)) forward mortgage loans, generally with servicing retained. The GSEs or Ginnie Mae guarantee these mortgage securitizations. We originate and purchase Home Equity Conversion Mortgage (HECM) loans, or reverse mortgages, which are mostly insured by the FHA and we are an approved issuer of Home Equity Conversion Mortgage-Backed Securities (HMBS) that are guaranteed by Ginnie Mae.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 total of approximately 4,600 employees at June 30, 2023 of which approximately 3,100 were located in India and approximately 400 were based in the Philippines. Our operations in India and the Philippines provide internal support services to our loan servicing and originations businesses and our corporate functions.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2023 are not necessarily indicative of the results that may be expected for any other interim period or for the year ending December 31, 2023. The unaudited consolidated financial statements presented herein should be read in conjunction with the audited consolidated financial statements and related notes thereto included in our Annual Report on Form 10-K for the year ended December 31,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 in Presentation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 the fourth quarter of 2022, in our consolidated statements of operations we present all fair value gains and losses of Other financing liabilities, at fair value in MSR valuation adjustments, net (previously reported in Pledged MSR liability expense). In addition, effective December 31, 2022, we changed our accounting policy from the nature of the distribution approach to the cumulative earnings approach for classifying distributions from our equity method investee MAV Canopy between operating and investing cash flows. The consolidated statements of operations for the three and six months ended June 30, 2022, and the consolidated statements of cash flows for the six months ended June 30, 2022, have been recast to conform to the current presentation policy. For additional information, including the impact on previously reported periods,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Presentation” section of Note 1 to our audited consolidated financial statements included in our Annual Report on Form 10-K for the year ended December 31, 2022.</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Use of Estimates and Assumptions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and the provision for losses that may arise from contingencies including litigation proceedings. In developing estimates and assumptions, management uses all available information; however, actual results could materially differ from those estimates and assumptions.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Recently Adopted Accounting Standards </w:t>
      </w:r>
    </w:p>
    <w:p>
      <w:pPr>
        <w:pStyle w:val="TextBody"/>
        <w:bidi w:val="0"/>
        <w:spacing w:lineRule="auto" w:line="288" w:before="120" w:after="60"/>
        <w:jc w:val="left"/>
        <w:rPr>
          <w:rFonts w:ascii="Times New Roman;sans-serif" w:hAnsi="Times New Roman;sans-serif"/>
          <w:b/>
          <w:color w:val="000000"/>
          <w:sz w:val="20"/>
        </w:rPr>
      </w:pPr>
      <w:r>
        <w:rPr>
          <w:rFonts w:ascii="Times New Roman;sans-serif" w:hAnsi="Times New Roman;sans-serif"/>
          <w:b/>
          <w:color w:val="000000"/>
          <w:sz w:val="20"/>
        </w:rPr>
        <w:t>Business Combinations (ASC 805) - Accounting for Contract Assets and Contract Liabilities (ASU 2021-08)</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amendments in this Update apply to all entities that enter into a business combination within the scope of Subtopic 805-10, Business Combinations— Overall. The amendments in this ASU are issued to improve the accounting for acquired revenue contracts with customers in a business combination by addressing diversity in practice and inconsistency related to the following: (1) recognition of an acquired contract liability and (2) payment terms and their effect on subsequent revenue recognized by the acquirer. The amendments in this ASU require that an entity (acquirer) recognize and measure contract assets and contract liabilities acquired in a business combination in accordance with ASC 606. At the acquisition date, an acquirer should account for the related revenue contracts in accordance with ASC 606 as if it had originated the contracts. To achieve this, an acquirer may assess how the acquiree applied ASC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adoption of this ASU on January 1, 2023 did not have a material impact on our consolidated financial statements.</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Financial Instruments—Credit Losses (ASC 326) Troubled Debt Restructurings and Vintage Disclosures (ASU 2022-02)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amendments in this ASU are related to 1) troubled debt restructurings (TDRs) and 2) vintage disclosures which affect all entities after they have adopted ASU 2016-13. The amendments eliminate the accounting guidance for TDRs by creditors in Subtopic 310-40 Receivables – Troubled Debt Restructurings by Creditors, while enhancing disclosure requirements for certain loan refinancing and restructurings by creditors when a borrower is experiencing financial difficulty. Specifically, rather than applying the recognition and measurement guidance for TDRs, an entity must apply the loan refinancing and restructuring guidance in ASC 310-20-35-9 through 35-11 to determine whether a modification results in a new loan or a continuation of an existing loan. The amendments in this ASU also requires an entity to disclose current-period gross write-offs by year of origination for financing receivables and net investments in leases with the scope of ASC 326 – Financial Instruments – Credit Losses – Measured at Amortized Cost.</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adoption of this ASU on January 1, 2023 did not have a material impact on our consolidated financial statements.</w:t>
      </w:r>
    </w:p>
    <w:p>
      <w:pPr>
        <w:pStyle w:val="TextBody"/>
        <w:bidi w:val="0"/>
        <w:spacing w:lineRule="auto" w:line="288" w:before="60" w:after="60"/>
        <w:jc w:val="left"/>
        <w:rPr>
          <w:rFonts w:ascii="Times New Roman;sans-serif" w:hAnsi="Times New Roman;sans-serif"/>
          <w:b/>
          <w:color w:val="000000"/>
          <w:sz w:val="20"/>
        </w:rPr>
      </w:pPr>
      <w:r>
        <w:rPr>
          <w:rFonts w:ascii="Times New Roman;sans-serif" w:hAnsi="Times New Roman;sans-serif"/>
          <w:b/>
          <w:color w:val="000000"/>
          <w:sz w:val="20"/>
        </w:rPr>
        <w:t xml:space="preserve">Accounting Standards Issued but Not Yet Adopted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Leases (Topic 842) Common Control Arrangements (ASU 2023-01)</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amendments in this ASU affect 1) all lessees that are a party to a lease between entities under common control in which there are leasehold improvements, and apply to all entities and 2) require leasehold improvements associated with common control leases be a) amortized by the lessee over the useful life of the leasehold improvements to the common group (regardless of lease term) and b) accounted for as a transfer between two entities under common control through an adjustment to equity, if and when the lessee no longer controls the use of the underlying asset. </w:t>
      </w:r>
    </w:p>
    <w:p>
      <w:pPr>
        <w:pStyle w:val="TextBody"/>
        <w:bidi w:val="0"/>
        <w:spacing w:lineRule="auto" w:line="276"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amendments in this ASU are effective for us on January 1, 2024. We do not anticipate that the adoption of this standard will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95" w:type="dxa"/>
        <w:jc w:val="left"/>
        <w:tblInd w:w="0" w:type="dxa"/>
        <w:tblLayout w:type="fixed"/>
        <w:tblCellMar>
          <w:top w:w="28" w:type="dxa"/>
          <w:left w:w="28" w:type="dxa"/>
          <w:bottom w:w="28" w:type="dxa"/>
          <w:right w:w="28" w:type="dxa"/>
        </w:tblCellMar>
      </w:tblPr>
      <w:tblGrid>
        <w:gridCol w:w="1501"/>
        <w:gridCol w:w="1320"/>
        <w:gridCol w:w="1874"/>
      </w:tblGrid>
      <w:tr>
        <w:trPr/>
        <w:tc>
          <w:tcPr>
            <w:tcW w:w="150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2 – Securitizations and Variable Interest Entities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securitize, sell and service forward and reverse residential mortgage loans and regularly transfer financial assets in connection with asset-backed financing arrangements. We have aggregated these transfers of financial assets and asset-backed financing arrangements using special purpose entities (SPEs) or variable interest entities (VIEs) into the following groups: (1) securitizations of residential mortgage loans, (2) financings of advances and (3) MSR financings. Financing transactions that do not use SPEs or VIEs are disclosed in Note 12 – Borrowings.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Securitizations of Residential Mortgage Loans</w:t>
      </w:r>
    </w:p>
    <w:p>
      <w:pPr>
        <w:pStyle w:val="TextBody"/>
        <w:bidi w:val="0"/>
        <w:spacing w:lineRule="auto" w:line="288" w:before="120" w:after="283"/>
        <w:jc w:val="left"/>
        <w:rPr/>
      </w:pPr>
      <w:r>
        <w:rPr>
          <w:rFonts w:ascii="Times New Roman;sans-serif" w:hAnsi="Times New Roman;sans-serif"/>
          <w:b w:val="false"/>
          <w:i/>
          <w:color w:val="000000"/>
          <w:sz w:val="20"/>
        </w:rPr>
        <w:t>Transfers of Forward Loans</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summary of cash flows received from and paid to securitization trusts related to transfers of loans accounted for as sales that were outstanding: </w:t>
      </w:r>
    </w:p>
    <w:tbl>
      <w:tblPr>
        <w:tblW w:w="10205" w:type="dxa"/>
        <w:jc w:val="left"/>
        <w:tblInd w:w="0" w:type="dxa"/>
        <w:tblLayout w:type="fixed"/>
        <w:tblCellMar>
          <w:top w:w="28" w:type="dxa"/>
          <w:left w:w="28" w:type="dxa"/>
          <w:bottom w:w="28" w:type="dxa"/>
          <w:right w:w="28" w:type="dxa"/>
        </w:tblCellMar>
      </w:tblPr>
      <w:tblGrid>
        <w:gridCol w:w="1715"/>
        <w:gridCol w:w="1508"/>
        <w:gridCol w:w="1512"/>
        <w:gridCol w:w="219"/>
        <w:gridCol w:w="796"/>
        <w:gridCol w:w="113"/>
        <w:gridCol w:w="113"/>
        <w:gridCol w:w="113"/>
        <w:gridCol w:w="113"/>
        <w:gridCol w:w="219"/>
        <w:gridCol w:w="796"/>
        <w:gridCol w:w="113"/>
        <w:gridCol w:w="109"/>
        <w:gridCol w:w="109"/>
        <w:gridCol w:w="109"/>
        <w:gridCol w:w="211"/>
        <w:gridCol w:w="766"/>
        <w:gridCol w:w="109"/>
        <w:gridCol w:w="109"/>
        <w:gridCol w:w="109"/>
        <w:gridCol w:w="109"/>
        <w:gridCol w:w="211"/>
        <w:gridCol w:w="766"/>
        <w:gridCol w:w="158"/>
      </w:tblGrid>
      <w:tr>
        <w:trPr/>
        <w:tc>
          <w:tcPr>
            <w:tcW w:w="1715"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35" w:type="dxa"/>
            <w:gridSpan w:val="3"/>
            <w:vMerge w:val="continue"/>
            <w:tcBorders/>
            <w:tcMar>
              <w:top w:w="0" w:type="dxa"/>
              <w:left w:w="0" w:type="dxa"/>
              <w:bottom w:w="0" w:type="dxa"/>
              <w:right w:w="0" w:type="dxa"/>
            </w:tcMar>
            <w:vAlign w:val="center"/>
          </w:tcPr>
          <w:p>
            <w:pPr>
              <w:pStyle w:val="Normal"/>
              <w:bidi w:val="0"/>
              <w:jc w:val="left"/>
              <w:rPr/>
            </w:pPr>
            <w:r>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received from securitizations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(1)</w:t>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previously transferred assets, net of claims reimbursed</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2,322.4 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4,128.7 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7,736.6 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(1)We receive servicing fees based upon the securitized loan balances and certain ancillary fees, all of which are reported in Servicing and subservicing fees in the unaudited consolidated statements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these transfers, we retained MSRs of $31.5 million and $62.6 million during the three and six months ended June 30, 2023, respectively, and $60.2 million and $106.0 million during the three and six months ended June 30, 2022,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 We receive customary origination representations and warranties from our network of approved correspondent lenders. To the extent that we have recourse against a third-party originator, we may recover part or all of any loss we incur. Also refer to the Loan Put-Back and Related Contingencies section of Note 20 – Contingencies.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tbl>
      <w:tblPr>
        <w:tblW w:w="5952" w:type="dxa"/>
        <w:jc w:val="left"/>
        <w:tblInd w:w="0" w:type="dxa"/>
        <w:tblLayout w:type="fixed"/>
        <w:tblCellMar>
          <w:top w:w="28" w:type="dxa"/>
          <w:left w:w="28" w:type="dxa"/>
          <w:bottom w:w="28" w:type="dxa"/>
          <w:right w:w="28" w:type="dxa"/>
        </w:tblCellMar>
      </w:tblPr>
      <w:tblGrid>
        <w:gridCol w:w="933"/>
        <w:gridCol w:w="822"/>
        <w:gridCol w:w="825"/>
        <w:gridCol w:w="226"/>
        <w:gridCol w:w="933"/>
        <w:gridCol w:w="116"/>
        <w:gridCol w:w="109"/>
        <w:gridCol w:w="109"/>
        <w:gridCol w:w="109"/>
        <w:gridCol w:w="302"/>
        <w:gridCol w:w="1248"/>
        <w:gridCol w:w="220"/>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of 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at fair value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 of loans transferred (1)</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37,571.1 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exposure to loss (2)</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41,520.2 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38,171.2 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$8.0 billion and $6.8 billion of loans delivered to Ginnie Mae as of June 30, 2023 and December 31, 2022, respectively, and includes loan modifications repurchased and delivered through the Ginnie Mae Early Buyout Program (EBO). </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 maximum exposure to loss in the table above is primarily based on the remaining UPB of loans serviced and assumes all loans were deemed worthless as of the reporting date. It does not take into consideration the proceeds from the underlying collateral liquidation, recoveries or any other recourse available to us, including from mortgage insurance, guarantees or correspondent sellers. We do not believe the maximum exposure to loss from our involvement with these previously transferred loans is representative of the actual loss we are likely to incur based on our contractual rights and historical loss experience and projections. Also, refer to the Loan Put-Back and Related Contingencies section in Note 20 –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and December 31, 2022, 2.2% and 2.5%, respectively, of the transferred residential loans that we service were 60 days or more past due, including 60 days or more past due loans under forbearance. This includes 7.1% and 8.3%, respectively, of loans delivered to Ginnie Mae that are 60 days or more past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i/>
          <w:color w:val="000000"/>
          <w:sz w:val="20"/>
        </w:rPr>
        <w:t>Transfers of Reverse Mortgages</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pool HECM loans into HMBS that we sell into the secondary market with servicing rights retained. As the transfers of the HECM loans do not qualify for sale accounting, we account for these transfers as financings, with the HECM loans classified as Loans held for investment, at fair value, on our unaudited consolidated balance sheets.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Financing of Loans Held for Sale, Receivables and Other Assets using SPEs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consolidated an SPE (trust) in connection with a warehouse mortgage loan financing facility structured as a gestation repurchase facility whereby Agency mortgage loans are transferred by PMC to the trust for collateralization purposes. As of December 31, 2022, the certificates issued by the trust and pledged as collateral had been reduced to zero. As of June 30, 2023, $100.3 million loans held for sale were pledged as collateral for $100.0 million debt certificates issued by the trust.</w:t>
      </w:r>
    </w:p>
    <w:p>
      <w:pPr>
        <w:pStyle w:val="TextBody"/>
        <w:bidi w:val="0"/>
        <w:spacing w:lineRule="auto" w:line="288" w:before="120" w:after="120"/>
        <w:jc w:val="left"/>
        <w:rPr/>
      </w:pPr>
      <w:r>
        <w:rPr>
          <w:rFonts w:ascii="Times New Roman;sans-serif" w:hAnsi="Times New Roman;sans-serif"/>
          <w:b w:val="false"/>
          <w:color w:val="000000"/>
          <w:sz w:val="20"/>
        </w:rPr>
        <w:t>In June 2023, we completed a private placement securitization of HECM loans that are insured by the FHA and REO properties, also referred to as reverse mortgage buyouts. The securitized assets include assets originated by PHH and assets acquired in April 2023. The securitization trust, Ocwen Loan Investment Trust 2023-HB1 (OLIT) issued senior and mezzanine class Notes to third party investors. We retain certain mezzanine class Notes and ownership interests and service the underlying assets. We determined we were the primary beneficiary, thus consolidate the securitization trust, OLIT and related depositor. Recourse for the Notes is limited to the assets of OLIT. Also refer to Note 12 – Borrowings</w:t>
      </w:r>
      <w:r>
        <w:rPr>
          <w:rFonts w:ascii="Times New Roman;sans-serif" w:hAnsi="Times New Roman;sans-serif"/>
          <w:b/>
          <w:color w:val="000000"/>
          <w:sz w:val="20"/>
        </w:rPr>
        <w: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reported on our consolidated balance sheet that are associated with the securitization reverse mortgage loans buyouts and financing liabilities:</w:t>
      </w:r>
    </w:p>
    <w:tbl>
      <w:tblPr>
        <w:tblW w:w="8676" w:type="dxa"/>
        <w:jc w:val="left"/>
        <w:tblInd w:w="0" w:type="dxa"/>
        <w:tblLayout w:type="fixed"/>
        <w:tblCellMar>
          <w:top w:w="28" w:type="dxa"/>
          <w:left w:w="28" w:type="dxa"/>
          <w:bottom w:w="28" w:type="dxa"/>
          <w:right w:w="28" w:type="dxa"/>
        </w:tblCellMar>
      </w:tblPr>
      <w:tblGrid>
        <w:gridCol w:w="2587"/>
        <w:gridCol w:w="2268"/>
        <w:gridCol w:w="2284"/>
        <w:gridCol w:w="287"/>
        <w:gridCol w:w="839"/>
        <w:gridCol w:w="148"/>
        <w:gridCol w:w="109"/>
        <w:gridCol w:w="154"/>
      </w:tblGrid>
      <w:tr>
        <w:trPr/>
        <w:tc>
          <w:tcPr>
            <w:tcW w:w="2587"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loans (Loans held for sale, at fair value)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 (Restricted cash)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 (Mortgage loan financing facilities, net)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 (Mortgage loan financing facilities, net)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interest - Interest Reserve Account (Other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Financings of Advances using SPEs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Match funded advances, i.e., advances that are pledged as collateral to our advance facilities, result from our transfers of residential loan servicing advances to SPEs - that we include in our consolidate financial statements - in exchange for cash.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of the advance financing facilities:</w:t>
      </w:r>
    </w:p>
    <w:tbl>
      <w:tblPr>
        <w:tblW w:w="7284" w:type="dxa"/>
        <w:jc w:val="left"/>
        <w:tblInd w:w="0" w:type="dxa"/>
        <w:tblLayout w:type="fixed"/>
        <w:tblCellMar>
          <w:top w:w="28" w:type="dxa"/>
          <w:left w:w="28" w:type="dxa"/>
          <w:bottom w:w="28" w:type="dxa"/>
          <w:right w:w="28" w:type="dxa"/>
        </w:tblCellMar>
      </w:tblPr>
      <w:tblGrid>
        <w:gridCol w:w="1418"/>
        <w:gridCol w:w="1246"/>
        <w:gridCol w:w="1250"/>
        <w:gridCol w:w="287"/>
        <w:gridCol w:w="839"/>
        <w:gridCol w:w="148"/>
        <w:gridCol w:w="109"/>
        <w:gridCol w:w="109"/>
        <w:gridCol w:w="109"/>
        <w:gridCol w:w="380"/>
        <w:gridCol w:w="1110"/>
        <w:gridCol w:w="279"/>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Match funded advances (Advances,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 (Restricted cash)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lender fees (Other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interest (Other assets)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MSR Financings using SPEs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consolidate two SPEs (PMC ESR Trusts) in connection with a third-party financing facility secured by certain of PMC’s Fannie Mae and Freddie Mac MSRs (Agency MSRs) and one SPE (PMC PLS ESR Issuer LLC) in connection with our PLS MSR financing facility (Ocwen Excess Spread-Collateralized Notes, Series 2022-PLS1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value and classification of the assets and liabilities of the Agency MSR financing facility and the PLS Notes facility:</w:t>
      </w:r>
    </w:p>
    <w:tbl>
      <w:tblPr>
        <w:tblW w:w="8679" w:type="dxa"/>
        <w:jc w:val="center"/>
        <w:tblInd w:w="0" w:type="dxa"/>
        <w:tblLayout w:type="fixed"/>
        <w:tblCellMar>
          <w:top w:w="28" w:type="dxa"/>
          <w:left w:w="28" w:type="dxa"/>
          <w:bottom w:w="28" w:type="dxa"/>
          <w:right w:w="28" w:type="dxa"/>
        </w:tblCellMar>
      </w:tblPr>
      <w:tblGrid>
        <w:gridCol w:w="1925"/>
        <w:gridCol w:w="1685"/>
        <w:gridCol w:w="1699"/>
        <w:gridCol w:w="287"/>
        <w:gridCol w:w="839"/>
        <w:gridCol w:w="148"/>
        <w:gridCol w:w="109"/>
        <w:gridCol w:w="109"/>
        <w:gridCol w:w="109"/>
        <w:gridCol w:w="380"/>
        <w:gridCol w:w="1110"/>
        <w:gridCol w:w="279"/>
      </w:tblGrid>
      <w:tr>
        <w:trPr/>
        <w:tc>
          <w:tcPr>
            <w:tcW w:w="192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pledged (MSRs, at fair value)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 (Restricted cash)</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lender fees (Other assets)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(MSR financing facilities, net)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(MSR financing facilities, net)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14" w:type="dxa"/>
        <w:jc w:val="left"/>
        <w:tblInd w:w="0" w:type="dxa"/>
        <w:tblLayout w:type="fixed"/>
        <w:tblCellMar>
          <w:top w:w="28" w:type="dxa"/>
          <w:left w:w="28" w:type="dxa"/>
          <w:bottom w:w="28" w:type="dxa"/>
          <w:right w:w="28" w:type="dxa"/>
        </w:tblCellMar>
      </w:tblPr>
      <w:tblGrid>
        <w:gridCol w:w="581"/>
        <w:gridCol w:w="511"/>
        <w:gridCol w:w="722"/>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3 – Fair Value</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the estimated fair values of our financial instruments and certain of our nonfinancial assets measured at fair value on a recurring or non-recurring basis or disclosed, but not measured, at fair value are as follows:</w:t>
      </w:r>
    </w:p>
    <w:tbl>
      <w:tblPr>
        <w:tblW w:w="10205" w:type="dxa"/>
        <w:jc w:val="left"/>
        <w:tblInd w:w="0" w:type="dxa"/>
        <w:tblLayout w:type="fixed"/>
        <w:tblCellMar>
          <w:top w:w="28" w:type="dxa"/>
          <w:left w:w="28" w:type="dxa"/>
          <w:bottom w:w="28" w:type="dxa"/>
          <w:right w:w="28" w:type="dxa"/>
        </w:tblCellMar>
      </w:tblPr>
      <w:tblGrid>
        <w:gridCol w:w="1366"/>
        <w:gridCol w:w="1089"/>
        <w:gridCol w:w="1092"/>
        <w:gridCol w:w="195"/>
        <w:gridCol w:w="195"/>
        <w:gridCol w:w="196"/>
        <w:gridCol w:w="109"/>
        <w:gridCol w:w="109"/>
        <w:gridCol w:w="109"/>
        <w:gridCol w:w="247"/>
        <w:gridCol w:w="898"/>
        <w:gridCol w:w="127"/>
        <w:gridCol w:w="109"/>
        <w:gridCol w:w="109"/>
        <w:gridCol w:w="109"/>
        <w:gridCol w:w="211"/>
        <w:gridCol w:w="766"/>
        <w:gridCol w:w="109"/>
        <w:gridCol w:w="109"/>
        <w:gridCol w:w="109"/>
        <w:gridCol w:w="109"/>
        <w:gridCol w:w="247"/>
        <w:gridCol w:w="898"/>
        <w:gridCol w:w="127"/>
        <w:gridCol w:w="109"/>
        <w:gridCol w:w="109"/>
        <w:gridCol w:w="109"/>
        <w:gridCol w:w="211"/>
        <w:gridCol w:w="766"/>
        <w:gridCol w:w="157"/>
      </w:tblGrid>
      <w:tr>
        <w:trPr/>
        <w:tc>
          <w:tcPr>
            <w:tcW w:w="136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(a) (f)</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lower of cost or fair value (b)</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sale</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 Reverse mortgages (a) </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Restricted for securitization investors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 at fair value</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 (c)</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 (c)</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3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40"/>
        <w:gridCol w:w="1034"/>
        <w:gridCol w:w="1037"/>
        <w:gridCol w:w="195"/>
        <w:gridCol w:w="195"/>
        <w:gridCol w:w="196"/>
        <w:gridCol w:w="109"/>
        <w:gridCol w:w="109"/>
        <w:gridCol w:w="109"/>
        <w:gridCol w:w="250"/>
        <w:gridCol w:w="910"/>
        <w:gridCol w:w="129"/>
        <w:gridCol w:w="109"/>
        <w:gridCol w:w="109"/>
        <w:gridCol w:w="109"/>
        <w:gridCol w:w="211"/>
        <w:gridCol w:w="766"/>
        <w:gridCol w:w="109"/>
        <w:gridCol w:w="109"/>
        <w:gridCol w:w="109"/>
        <w:gridCol w:w="109"/>
        <w:gridCol w:w="250"/>
        <w:gridCol w:w="910"/>
        <w:gridCol w:w="129"/>
        <w:gridCol w:w="109"/>
        <w:gridCol w:w="109"/>
        <w:gridCol w:w="109"/>
        <w:gridCol w:w="211"/>
        <w:gridCol w:w="766"/>
        <w:gridCol w:w="159"/>
      </w:tblGrid>
      <w:tr>
        <w:trPr/>
        <w:tc>
          <w:tcPr>
            <w:tcW w:w="144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 (c)</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liabilities, at fair value</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financing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liability - Pledged MSR liability (a) </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liability - Excess Servicing Spread (ESS)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liability - Owed to securitization investors (a)</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financing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 (c) (d)</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(c) (e)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 due 2026 (c) (e)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 due 2027 (c) (e)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Senior notes</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 assets (liabilities), net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lock commitments (IRLCs) (a) </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loans (a)</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 Forward mortgage-backed securities (MBS) trades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 (a)</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pipeline trades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contracts (a)</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 </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351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(a)Measured at fair value on a recurring basis in our financial statements.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(b)Measured at fair value on a non-recurring basis in our financial statements.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(c)Disclosed, but not measured at fair value in our financial statements.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(d)As of June 30, 2023, the carrying value of the OLIT Notes approximated fair value as the notes were recently issued on June 21, 2023. </w:t>
      </w:r>
    </w:p>
    <w:p>
      <w:pPr>
        <w:pStyle w:val="TextBody"/>
        <w:bidi w:val="0"/>
        <w:spacing w:lineRule="auto" w:line="288" w:before="0" w:after="0"/>
        <w:ind w:left="0" w:right="0" w:hanging="360"/>
        <w:jc w:val="left"/>
        <w:rPr/>
      </w:pPr>
      <w:r>
        <w:rPr>
          <w:rFonts w:ascii="Times New Roman;sans-serif" w:hAnsi="Times New Roman;sans-serif"/>
          <w:b w:val="false"/>
          <w:color w:val="000000"/>
          <w:sz w:val="18"/>
        </w:rPr>
        <w:t>(e)The carrying values are net of unamortized debt issuance costs and discount. See Note 12 – Borrowings for additional information</w:t>
      </w:r>
      <w:r>
        <w:rPr>
          <w:rFonts w:ascii="Times New Roman;sans-serif" w:hAnsi="Times New Roman;sans-serif"/>
          <w:b/>
          <w:color w:val="000000"/>
          <w:sz w:val="18"/>
        </w:rPr>
        <w:t>.</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(f)Loans repurchased from Ginnie Mae securitizations with a fair value of $197.4 million (includes loans which were previously classified as Level 2) and $32.1 million at June 30, 2023 and December 31, 2022, respectively, are classified as Level 3. The remaining balance of loans held for sale at fair value is classified as Level 2.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reconciliation of the changes in fair value of Level 3 assets and liabilities that we measure at fair value on a recurring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04"/>
        <w:gridCol w:w="416"/>
        <w:gridCol w:w="419"/>
        <w:gridCol w:w="109"/>
        <w:gridCol w:w="109"/>
        <w:gridCol w:w="109"/>
        <w:gridCol w:w="109"/>
        <w:gridCol w:w="483"/>
        <w:gridCol w:w="929"/>
        <w:gridCol w:w="251"/>
        <w:gridCol w:w="109"/>
        <w:gridCol w:w="109"/>
        <w:gridCol w:w="109"/>
        <w:gridCol w:w="447"/>
        <w:gridCol w:w="893"/>
        <w:gridCol w:w="232"/>
        <w:gridCol w:w="109"/>
        <w:gridCol w:w="109"/>
        <w:gridCol w:w="109"/>
        <w:gridCol w:w="247"/>
        <w:gridCol w:w="722"/>
        <w:gridCol w:w="127"/>
        <w:gridCol w:w="109"/>
        <w:gridCol w:w="109"/>
        <w:gridCol w:w="109"/>
        <w:gridCol w:w="109"/>
        <w:gridCol w:w="109"/>
        <w:gridCol w:w="230"/>
        <w:gridCol w:w="710"/>
        <w:gridCol w:w="119"/>
        <w:gridCol w:w="109"/>
        <w:gridCol w:w="109"/>
        <w:gridCol w:w="109"/>
        <w:gridCol w:w="211"/>
        <w:gridCol w:w="406"/>
        <w:gridCol w:w="109"/>
        <w:gridCol w:w="109"/>
        <w:gridCol w:w="109"/>
        <w:gridCol w:w="109"/>
        <w:gridCol w:w="161"/>
      </w:tblGrid>
      <w:tr>
        <w:trPr/>
        <w:tc>
          <w:tcPr>
            <w:tcW w:w="80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Restricted for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Liability - Owed to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ESS Financing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60" w:type="dxa"/>
            <w:gridSpan w:val="2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June 30, 2023</w:t>
            </w:r>
          </w:p>
        </w:tc>
        <w:tc>
          <w:tcPr>
            <w:tcW w:w="3145" w:type="dxa"/>
            <w:gridSpan w:val="18"/>
            <w:tcBorders/>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issuances, sales and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Capitalization of advances on Ginnie Mae modifications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 (disposition/derecognition)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Change in fair value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loans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0"/>
        <w:gridCol w:w="485"/>
        <w:gridCol w:w="488"/>
        <w:gridCol w:w="109"/>
        <w:gridCol w:w="109"/>
        <w:gridCol w:w="109"/>
        <w:gridCol w:w="109"/>
        <w:gridCol w:w="624"/>
        <w:gridCol w:w="1200"/>
        <w:gridCol w:w="324"/>
        <w:gridCol w:w="109"/>
        <w:gridCol w:w="109"/>
        <w:gridCol w:w="109"/>
        <w:gridCol w:w="552"/>
        <w:gridCol w:w="1103"/>
        <w:gridCol w:w="287"/>
        <w:gridCol w:w="109"/>
        <w:gridCol w:w="109"/>
        <w:gridCol w:w="109"/>
        <w:gridCol w:w="294"/>
        <w:gridCol w:w="860"/>
        <w:gridCol w:w="152"/>
        <w:gridCol w:w="109"/>
        <w:gridCol w:w="109"/>
        <w:gridCol w:w="109"/>
        <w:gridCol w:w="109"/>
        <w:gridCol w:w="109"/>
        <w:gridCol w:w="109"/>
        <w:gridCol w:w="109"/>
        <w:gridCol w:w="211"/>
        <w:gridCol w:w="406"/>
        <w:gridCol w:w="109"/>
        <w:gridCol w:w="109"/>
        <w:gridCol w:w="109"/>
        <w:gridCol w:w="109"/>
        <w:gridCol w:w="160"/>
      </w:tblGrid>
      <w:tr>
        <w:trPr/>
        <w:tc>
          <w:tcPr>
            <w:tcW w:w="7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Restricted for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Liability - Owed to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596" w:type="dxa"/>
            <w:gridSpan w:val="1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June 30, 2022</w:t>
            </w:r>
          </w:p>
        </w:tc>
        <w:tc>
          <w:tcPr>
            <w:tcW w:w="3609" w:type="dxa"/>
            <w:gridSpan w:val="20"/>
            <w:tcBorders/>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issuances, sales and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 (disposition/derecognition)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0"/>
        <w:gridCol w:w="418"/>
        <w:gridCol w:w="420"/>
        <w:gridCol w:w="109"/>
        <w:gridCol w:w="109"/>
        <w:gridCol w:w="109"/>
        <w:gridCol w:w="109"/>
        <w:gridCol w:w="486"/>
        <w:gridCol w:w="936"/>
        <w:gridCol w:w="253"/>
        <w:gridCol w:w="109"/>
        <w:gridCol w:w="109"/>
        <w:gridCol w:w="109"/>
        <w:gridCol w:w="450"/>
        <w:gridCol w:w="898"/>
        <w:gridCol w:w="234"/>
        <w:gridCol w:w="109"/>
        <w:gridCol w:w="109"/>
        <w:gridCol w:w="109"/>
        <w:gridCol w:w="248"/>
        <w:gridCol w:w="725"/>
        <w:gridCol w:w="128"/>
        <w:gridCol w:w="109"/>
        <w:gridCol w:w="109"/>
        <w:gridCol w:w="109"/>
        <w:gridCol w:w="109"/>
        <w:gridCol w:w="109"/>
        <w:gridCol w:w="231"/>
        <w:gridCol w:w="712"/>
        <w:gridCol w:w="119"/>
        <w:gridCol w:w="109"/>
        <w:gridCol w:w="109"/>
        <w:gridCol w:w="109"/>
        <w:gridCol w:w="211"/>
        <w:gridCol w:w="426"/>
        <w:gridCol w:w="109"/>
        <w:gridCol w:w="109"/>
        <w:gridCol w:w="109"/>
        <w:gridCol w:w="109"/>
        <w:gridCol w:w="162"/>
      </w:tblGrid>
      <w:tr>
        <w:trPr/>
        <w:tc>
          <w:tcPr>
            <w:tcW w:w="750"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Restricted for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Liability - Owed to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ESS Financing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036" w:type="dxa"/>
            <w:gridSpan w:val="2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Six Months Ended June 30, 2023</w:t>
            </w:r>
          </w:p>
        </w:tc>
        <w:tc>
          <w:tcPr>
            <w:tcW w:w="3169" w:type="dxa"/>
            <w:gridSpan w:val="18"/>
            <w:tcBorders/>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issuances, sales and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90"/>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advances on Ginnie Mae modifications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 (disposition/derecognition)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loans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7"/>
        <w:gridCol w:w="493"/>
        <w:gridCol w:w="496"/>
        <w:gridCol w:w="109"/>
        <w:gridCol w:w="109"/>
        <w:gridCol w:w="109"/>
        <w:gridCol w:w="109"/>
        <w:gridCol w:w="636"/>
        <w:gridCol w:w="1223"/>
        <w:gridCol w:w="330"/>
        <w:gridCol w:w="109"/>
        <w:gridCol w:w="109"/>
        <w:gridCol w:w="109"/>
        <w:gridCol w:w="561"/>
        <w:gridCol w:w="1120"/>
        <w:gridCol w:w="292"/>
        <w:gridCol w:w="109"/>
        <w:gridCol w:w="109"/>
        <w:gridCol w:w="109"/>
        <w:gridCol w:w="298"/>
        <w:gridCol w:w="872"/>
        <w:gridCol w:w="154"/>
        <w:gridCol w:w="109"/>
        <w:gridCol w:w="109"/>
        <w:gridCol w:w="109"/>
        <w:gridCol w:w="109"/>
        <w:gridCol w:w="109"/>
        <w:gridCol w:w="109"/>
        <w:gridCol w:w="109"/>
        <w:gridCol w:w="211"/>
        <w:gridCol w:w="511"/>
        <w:gridCol w:w="109"/>
        <w:gridCol w:w="109"/>
        <w:gridCol w:w="160"/>
      </w:tblGrid>
      <w:tr>
        <w:trPr/>
        <w:tc>
          <w:tcPr>
            <w:tcW w:w="7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Restricted for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Financing Liability - Owed to Securitization Investors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Sale -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IRLCs</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691" w:type="dxa"/>
            <w:gridSpan w:val="1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Six Months Ended June 30, 2022</w:t>
            </w:r>
          </w:p>
        </w:tc>
        <w:tc>
          <w:tcPr>
            <w:tcW w:w="3514" w:type="dxa"/>
            <w:gridSpan w:val="18"/>
            <w:tcBorders/>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Purchases, issuances, sales and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Settlements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 (disposition/derecognition)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(1)IRLC activity (issuances and transfers) represent changes in fair value included in earnings. This activity is presented on a gross basis in the table for disclosure purposes. Total net change in fair value included in earnings attributed to IRLCs is a gain (loss) of $(3.4) million and $2.1 million for the three and six months ended June 30, 2023, respectively, and $0.1 million and $(12.3) million for the three and six months ended June 30, 2022, respectively. See Note 14 – Derivative Financial Instruments and Hedging Activities</w:t>
      </w:r>
    </w:p>
    <w:p>
      <w:pPr>
        <w:pStyle w:val="TextBody"/>
        <w:bidi w:val="0"/>
        <w:spacing w:lineRule="auto" w:line="288" w:before="0" w:after="60"/>
        <w:ind w:left="0" w:right="0" w:hanging="360"/>
        <w:jc w:val="left"/>
        <w:rPr/>
      </w:pPr>
      <w:r>
        <w:rPr>
          <w:rFonts w:ascii="Times New Roman;sans-serif" w:hAnsi="Times New Roman;sans-serif"/>
          <w:b w:val="false"/>
          <w:color w:val="000000"/>
          <w:sz w:val="18"/>
        </w:rPr>
        <w:t>(2)Settlements related to the ESS financing liability are recorded in earnings as MSR valuation adjustments</w:t>
      </w:r>
      <w:r>
        <w:rPr>
          <w:rFonts w:ascii="Times New Roman;sans-serif" w:hAnsi="Times New Roman;sans-serif"/>
          <w:b w:val="false"/>
          <w:color w:val="000000"/>
          <w:sz w:val="20"/>
        </w:rPr>
        <w:t>, net</w:t>
      </w:r>
      <w:r>
        <w:rPr>
          <w:rFonts w:ascii="Times New Roman;sans-serif" w:hAnsi="Times New Roman;sans-serif"/>
          <w:b w:val="false"/>
          <w:color w:val="000000"/>
          <w:sz w:val="18"/>
        </w:rPr>
        <w:t>. See Note 7 – Mortgage Servicing</w:t>
      </w:r>
    </w:p>
    <w:p>
      <w:pPr>
        <w:pStyle w:val="TextBody"/>
        <w:bidi w:val="0"/>
        <w:spacing w:lineRule="auto" w:line="288" w:before="120" w:after="120"/>
        <w:jc w:val="left"/>
        <w:rPr/>
      </w:pPr>
      <w:r>
        <w:rPr>
          <w:rFonts w:ascii="Times New Roman;sans-serif" w:hAnsi="Times New Roman;sans-serif"/>
          <w:b w:val="false"/>
          <w:color w:val="000000"/>
          <w:sz w:val="18"/>
        </w:rPr>
        <w:t>A</w:t>
      </w:r>
      <w:r>
        <w:rPr>
          <w:color w:val="000000"/>
        </w:rPr>
        <w:t xml:space="preserve"> </w:t>
      </w:r>
      <w:r>
        <w:rPr>
          <w:rFonts w:ascii="Times New Roman;sans-serif" w:hAnsi="Times New Roman;sans-serif"/>
          <w:b w:val="false"/>
          <w:color w:val="000000"/>
          <w:sz w:val="20"/>
        </w:rPr>
        <w:t>reconciliation from the beginning balances to the ending balances of Loans Held for Investment and HMBS-related borrowings, MSRs and Pledged MSR liabilities that we measure at fair value on a recurring basis is disclosed in Note 5 - Reverse Mortgages, Note 7 – Mortgage Servicing and Note 8 — Other Financing Liabilities, at Fair Value, respectively.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significant unobservable assumptions that we make to estimate the fair value of certain assets and liabilities classified as Level 3 and measured at fair value on a recurring basis are provided below.</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Loans Held for Sale</w:t>
      </w:r>
    </w:p>
    <w:p>
      <w:pPr>
        <w:pStyle w:val="TextBody"/>
        <w:bidi w:val="0"/>
        <w:spacing w:lineRule="auto" w:line="288" w:before="120" w:after="283"/>
        <w:jc w:val="left"/>
        <w:rPr/>
      </w:pPr>
      <w:r>
        <w:rPr>
          <w:rFonts w:ascii="Times New Roman;sans-serif" w:hAnsi="Times New Roman;sans-serif"/>
          <w:b w:val="false"/>
          <w:color w:val="000000"/>
          <w:sz w:val="20"/>
        </w:rPr>
        <w:t>The fair value of loans we purchased from Ginnie Mae guaranteed securitizations is estimated using both observable and unobservable inputs, including</w:t>
      </w:r>
      <w:r>
        <w:rPr>
          <w:color w:val="000000"/>
        </w:rPr>
        <w:t xml:space="preserve"> </w:t>
      </w:r>
      <w:r>
        <w:rPr>
          <w:rFonts w:ascii="Times New Roman;sans-serif" w:hAnsi="Times New Roman;sans-serif"/>
          <w:b w:val="false"/>
          <w:color w:val="000000"/>
          <w:sz w:val="20"/>
        </w:rPr>
        <w:t>published forward and reverse Ginnie Mae prices or existing sale contracts, as well as estimated default, prepayment, and discount rates. The significant unobservable input in estimating fair value is the estimated default rate. Accordingly, these repurchased Ginnie Mae loans are classified as Level 3 within the valuation hierarchy.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Reverse mortgage loans held for investment are carried at fair value and classified as Level 3 within the valuation hierarchy. Significant unobservable assumptions include conditional prepayment rate and discount rate. The conditional prepayment rate assumption displayed in the table below is inclusive of voluntary (repayment or payoff) and involuntary (inactive/delinquent status and default) prepayments. The discount rate assumption is primarily based on an assessment of current market yields on reverse mortgage loan and tail securitizations, expected duration of the asset and current market interest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4605" cy="14605"/>
                <wp:effectExtent l="0" t="0" r="0" b="0"/>
                <wp:wrapNone/>
                <wp:docPr id="20" name="Frame2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9805" w:type="dxa"/>
        <w:jc w:val="center"/>
        <w:tblInd w:w="0" w:type="dxa"/>
        <w:tblLayout w:type="fixed"/>
        <w:tblCellMar>
          <w:top w:w="28" w:type="dxa"/>
          <w:left w:w="28" w:type="dxa"/>
          <w:bottom w:w="28" w:type="dxa"/>
          <w:right w:w="28" w:type="dxa"/>
        </w:tblCellMar>
      </w:tblPr>
      <w:tblGrid>
        <w:gridCol w:w="2398"/>
        <w:gridCol w:w="2103"/>
        <w:gridCol w:w="2113"/>
        <w:gridCol w:w="313"/>
        <w:gridCol w:w="313"/>
        <w:gridCol w:w="784"/>
        <w:gridCol w:w="109"/>
        <w:gridCol w:w="109"/>
        <w:gridCol w:w="109"/>
        <w:gridCol w:w="296"/>
        <w:gridCol w:w="296"/>
        <w:gridCol w:w="862"/>
      </w:tblGrid>
      <w:tr>
        <w:trPr/>
        <w:tc>
          <w:tcPr>
            <w:tcW w:w="239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0.9 to 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to 7.6</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 including voluntary and involuntary prepayments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11.9% to 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13.2% to 45.0%</w:t>
            </w:r>
          </w:p>
        </w:tc>
      </w:tr>
      <w:tr>
        <w:trPr/>
        <w:tc>
          <w:tcPr>
            <w:tcW w:w="6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6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increases or decreases in any of these assumptions in isolation could result in a significantly lower or higher fair value, respectively. The effects of changes in the assumptions used to value the securitized loans held for investment, excluding future draw commitments, are partially offset by the effects of changes in the assumptions used to value the HMBS-related borrowings that are associated with these loans.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MSRs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are carried at fair value and classified within Level 3 of the valuation hierarchy. The fair value is equal to the fair value mark provided by the third-party valuation experts, without adjustment, except in the event we have a potential or completed sale, including transactions where we have executed letters of intent, in which case the fair value of the MSRs is recorded at the estimated sale price.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 We evaluate the reasonableness of our third-party experts’ assumptions using historical experience adjusted for prevailing market conditions and benchmarks of assumptions and value estimates.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change in the valuation inputs or assumptions may result in a significantly higher or lower fair value measurement. Changes in market interest rates predominantly impact the fair value of Agency MSRs via prepayment speeds by altering the borrower refinance incentive and the non-Agency MSRs due to the impact on advance funding costs. The significant unobservable assumptions used in the valuation of these MSRs include prepayment speeds, delinquency rates, cost to service and discount rates. </w:t>
      </w:r>
    </w:p>
    <w:tbl>
      <w:tblPr>
        <w:tblW w:w="8714" w:type="dxa"/>
        <w:jc w:val="center"/>
        <w:tblInd w:w="0" w:type="dxa"/>
        <w:tblLayout w:type="fixed"/>
        <w:tblCellMar>
          <w:top w:w="28" w:type="dxa"/>
          <w:left w:w="28" w:type="dxa"/>
          <w:bottom w:w="28" w:type="dxa"/>
          <w:right w:w="28" w:type="dxa"/>
        </w:tblCellMar>
      </w:tblPr>
      <w:tblGrid>
        <w:gridCol w:w="1349"/>
        <w:gridCol w:w="1182"/>
        <w:gridCol w:w="1189"/>
        <w:gridCol w:w="211"/>
        <w:gridCol w:w="361"/>
        <w:gridCol w:w="271"/>
        <w:gridCol w:w="109"/>
        <w:gridCol w:w="109"/>
        <w:gridCol w:w="109"/>
        <w:gridCol w:w="253"/>
        <w:gridCol w:w="560"/>
        <w:gridCol w:w="328"/>
        <w:gridCol w:w="109"/>
        <w:gridCol w:w="109"/>
        <w:gridCol w:w="109"/>
        <w:gridCol w:w="211"/>
        <w:gridCol w:w="361"/>
        <w:gridCol w:w="271"/>
        <w:gridCol w:w="109"/>
        <w:gridCol w:w="109"/>
        <w:gridCol w:w="109"/>
        <w:gridCol w:w="252"/>
        <w:gridCol w:w="556"/>
        <w:gridCol w:w="378"/>
      </w:tblGrid>
      <w:tr>
        <w:trPr/>
        <w:tc>
          <w:tcPr>
            <w:tcW w:w="134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7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720" w:type="dxa"/>
            <w:gridSpan w:val="3"/>
            <w:vMerge w:val="continue"/>
            <w:tcBorders/>
            <w:tcMar>
              <w:top w:w="0" w:type="dxa"/>
              <w:left w:w="0" w:type="dxa"/>
              <w:bottom w:w="0" w:type="dxa"/>
              <w:right w:w="0" w:type="dxa"/>
            </w:tcMar>
            <w:vAlign w:val="center"/>
          </w:tcPr>
          <w:p>
            <w:pPr>
              <w:pStyle w:val="Normal"/>
              <w:bidi w:val="0"/>
              <w:jc w:val="left"/>
              <w:rPr/>
            </w:pPr>
            <w:r>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prepayment speed</w:t>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lifetime delinquency rate</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to service (in dollars)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(as prepayments decrease). The following table summarizes the estimated change in the value of the MSRs as of June 30, 2023 given hypothetical increases in lifetime prepayments and yield assumptions:</w:t>
      </w:r>
    </w:p>
    <w:tbl>
      <w:tblPr>
        <w:tblW w:w="8513" w:type="dxa"/>
        <w:jc w:val="left"/>
        <w:tblInd w:w="0" w:type="dxa"/>
        <w:tblLayout w:type="fixed"/>
        <w:tblCellMar>
          <w:top w:w="28" w:type="dxa"/>
          <w:left w:w="28" w:type="dxa"/>
          <w:bottom w:w="28" w:type="dxa"/>
          <w:right w:w="28" w:type="dxa"/>
        </w:tblCellMar>
      </w:tblPr>
      <w:tblGrid>
        <w:gridCol w:w="2257"/>
        <w:gridCol w:w="1980"/>
        <w:gridCol w:w="1987"/>
        <w:gridCol w:w="211"/>
        <w:gridCol w:w="586"/>
        <w:gridCol w:w="109"/>
        <w:gridCol w:w="109"/>
        <w:gridCol w:w="109"/>
        <w:gridCol w:w="109"/>
        <w:gridCol w:w="211"/>
        <w:gridCol w:w="691"/>
        <w:gridCol w:w="154"/>
      </w:tblGrid>
      <w:tr>
        <w:trPr/>
        <w:tc>
          <w:tcPr>
            <w:tcW w:w="225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Adverse change in fair value</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weighted average prepayment speeds (in percentage points)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due to change in weighted average prepayment speeds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weighted average discount rate (in percentage points)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due to change in weighted average discount rate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Financing Liabilities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HMBS-Related Borrowings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HMBS-related borrowings are carried at fair value and classified as Level 3 within the valuation hierarchy. These borrowings are not actively traded, and therefore, quoted market prices are not available. We determine fair value using a discounted cash flow approach, by discounting the projected recovery of principal and interest over the estimated life of the borrowing at a market rate commensurate with the risk of the estimated 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engage third-party valuation experts to support our valuation and provide observations and assumptions related to market activities. The fair value is equal to the fair value mark provided by a third-party valuation expert. We evaluate the reasonableness of our fair value estimate and assumptions using historical experience, or cash flow backtesting, adjusted for prevailing market conditions and benchmarks of assumptions and value estimates.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unobservable assumptions include yield spread and discount rate. The yield spread and discount rate assumption for these liabilities are primarily based on an assessment of current market yields for newly issued HMBS, expected duration and current market interest rates. </w:t>
      </w:r>
    </w:p>
    <w:tbl>
      <w:tblPr>
        <w:tblW w:w="6490" w:type="dxa"/>
        <w:jc w:val="center"/>
        <w:tblInd w:w="0" w:type="dxa"/>
        <w:tblLayout w:type="fixed"/>
        <w:tblCellMar>
          <w:top w:w="28" w:type="dxa"/>
          <w:left w:w="28" w:type="dxa"/>
          <w:bottom w:w="28" w:type="dxa"/>
          <w:right w:w="28" w:type="dxa"/>
        </w:tblCellMar>
      </w:tblPr>
      <w:tblGrid>
        <w:gridCol w:w="1196"/>
        <w:gridCol w:w="1049"/>
        <w:gridCol w:w="1054"/>
        <w:gridCol w:w="313"/>
        <w:gridCol w:w="313"/>
        <w:gridCol w:w="784"/>
        <w:gridCol w:w="109"/>
        <w:gridCol w:w="109"/>
        <w:gridCol w:w="109"/>
        <w:gridCol w:w="296"/>
        <w:gridCol w:w="296"/>
        <w:gridCol w:w="862"/>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 years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0.9 to 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1.0 to 7.6</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Conditional prepayment rate</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Range </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11.9% to 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13.2% to 45.0%</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increases or decreases in any of these assumptions in isolation could result in a significantly higher or lower fair value, respectively. The effects of changes in the assumptions used to value the HMBS-related borrowings are partially offset by the effects of changes in the assumptions used to value the associated pledged loans held for investment, excluding future draw commitments.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Pledged MSR Liabilities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liabilities are carried at fair value and classified as Level 3 within the valuation hierarchy. We determine the fair value of the pledged MSR liability consistent with the prices provided by third-party valuation experts for the related MSR, considering contractually retained cash flows and expected life of subservicing agreements, when applicable. </w:t>
      </w:r>
    </w:p>
    <w:tbl>
      <w:tblPr>
        <w:tblW w:w="6358" w:type="dxa"/>
        <w:jc w:val="left"/>
        <w:tblInd w:w="0" w:type="dxa"/>
        <w:tblLayout w:type="fixed"/>
        <w:tblCellMar>
          <w:top w:w="28" w:type="dxa"/>
          <w:left w:w="28" w:type="dxa"/>
          <w:bottom w:w="28" w:type="dxa"/>
          <w:right w:w="28" w:type="dxa"/>
        </w:tblCellMar>
      </w:tblPr>
      <w:tblGrid>
        <w:gridCol w:w="1370"/>
        <w:gridCol w:w="1202"/>
        <w:gridCol w:w="1207"/>
        <w:gridCol w:w="211"/>
        <w:gridCol w:w="466"/>
        <w:gridCol w:w="271"/>
        <w:gridCol w:w="109"/>
        <w:gridCol w:w="109"/>
        <w:gridCol w:w="109"/>
        <w:gridCol w:w="276"/>
        <w:gridCol w:w="612"/>
        <w:gridCol w:w="416"/>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Significant unobservable assumptions</w:t>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prepayment speed</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delinquency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subservicing life (in years)</w:t>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cost to service (in dollars)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increases or decreases in these assumptions in isolation would result in a significantly higher or lower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ESS Financing Liability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Excess Servicing Spread (ESS) financing liability consists of the obligation to remit to a third party a specified percentage of future servicing fee collections on reference pools of mortgage loans, which we are entitled to as owner of the related MSRs. We have elected to carry the ESS financing liability at fair value and have classified it as Level 3 within the valuation hierarchy. The fair value represents the net present value of the expected servicing spread cash flows, consistent with the valuation model and behavioral projections of the underlying MSR, as applicable. The fair value of the ESS financing liability is determined using a third-party valuation expert. The significant unobservable assumptions used in the valuation of the ESS financing liability include prepayment speeds, delinquency rates, and discount rates. The discount rate is initially determined based on the expected cash flows and the proceeds from each issuance, and is subsequently updated, at each issuance level, based on the change in discount rate of the underlying MSR or other factors, as provided by third-party valuation expert. At June 30, 2023 and December 31, 2022, the weighted average discount rate of the ESS financing liability was 9.4% and 7.6%, respectively. Refer to MSRs above for a description of other significant unobservable assumptions. Also see Note 8 — Other Financing Liabilities, at Fair Value.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Derivative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IRLCs are classified as Level 3 assets as fallout rates were determined to be significant unobservable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80" w:type="dxa"/>
        <w:jc w:val="left"/>
        <w:tblInd w:w="0" w:type="dxa"/>
        <w:tblLayout w:type="fixed"/>
        <w:tblCellMar>
          <w:top w:w="28" w:type="dxa"/>
          <w:left w:w="28" w:type="dxa"/>
          <w:bottom w:w="28" w:type="dxa"/>
          <w:right w:w="28" w:type="dxa"/>
        </w:tblCellMar>
      </w:tblPr>
      <w:tblGrid>
        <w:gridCol w:w="825"/>
        <w:gridCol w:w="724"/>
        <w:gridCol w:w="1031"/>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4 – Loans Held for Sale</w:t>
            </w:r>
          </w:p>
        </w:tc>
      </w:tr>
    </w:tbl>
    <w:tbl>
      <w:tblPr>
        <w:tblW w:w="10098" w:type="dxa"/>
        <w:jc w:val="center"/>
        <w:tblInd w:w="0" w:type="dxa"/>
        <w:tblLayout w:type="fixed"/>
        <w:tblCellMar>
          <w:top w:w="28" w:type="dxa"/>
          <w:left w:w="28" w:type="dxa"/>
          <w:bottom w:w="28" w:type="dxa"/>
          <w:right w:w="28" w:type="dxa"/>
        </w:tblCellMar>
      </w:tblPr>
      <w:tblGrid>
        <w:gridCol w:w="1712"/>
        <w:gridCol w:w="1499"/>
        <w:gridCol w:w="1514"/>
        <w:gridCol w:w="235"/>
        <w:gridCol w:w="856"/>
        <w:gridCol w:w="121"/>
        <w:gridCol w:w="121"/>
        <w:gridCol w:w="121"/>
        <w:gridCol w:w="121"/>
        <w:gridCol w:w="235"/>
        <w:gridCol w:w="688"/>
        <w:gridCol w:w="121"/>
        <w:gridCol w:w="109"/>
        <w:gridCol w:w="109"/>
        <w:gridCol w:w="109"/>
        <w:gridCol w:w="214"/>
        <w:gridCol w:w="777"/>
        <w:gridCol w:w="110"/>
        <w:gridCol w:w="110"/>
        <w:gridCol w:w="110"/>
        <w:gridCol w:w="110"/>
        <w:gridCol w:w="214"/>
        <w:gridCol w:w="626"/>
        <w:gridCol w:w="156"/>
      </w:tblGrid>
      <w:tr>
        <w:trPr/>
        <w:tc>
          <w:tcPr>
            <w:tcW w:w="171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25"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Loans Held for Sale - Fair Value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25" w:type="dxa"/>
            <w:gridSpan w:val="3"/>
            <w:vMerge w:val="continue"/>
            <w:tcBorders/>
            <w:tcMar>
              <w:top w:w="0" w:type="dxa"/>
              <w:left w:w="0" w:type="dxa"/>
              <w:bottom w:w="0" w:type="dxa"/>
              <w:right w:w="0" w:type="dxa"/>
            </w:tcMar>
            <w:vAlign w:val="center"/>
          </w:tcPr>
          <w:p>
            <w:pPr>
              <w:pStyle w:val="Normal"/>
              <w:bidi w:val="0"/>
              <w:jc w:val="left"/>
              <w:rPr/>
            </w:pPr>
            <w:r>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 and purchases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collections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from (to):</w:t>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at fair value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advances on Ginnie Mae modifications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sale of loans (1)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 (loss) on loans held for sale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UPB</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1,341.0 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685.1 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(discount)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(1)Excludes retained MSR and gain (loss) on economic hedge instruments.</w:t>
      </w:r>
    </w:p>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Loans held for sale, at fair value by type:</w:t>
      </w:r>
    </w:p>
    <w:tbl>
      <w:tblPr>
        <w:tblW w:w="9445" w:type="dxa"/>
        <w:jc w:val="left"/>
        <w:tblInd w:w="0" w:type="dxa"/>
        <w:tblLayout w:type="fixed"/>
        <w:tblCellMar>
          <w:top w:w="28" w:type="dxa"/>
          <w:left w:w="28" w:type="dxa"/>
          <w:bottom w:w="28" w:type="dxa"/>
          <w:right w:w="28" w:type="dxa"/>
        </w:tblCellMar>
      </w:tblPr>
      <w:tblGrid>
        <w:gridCol w:w="2192"/>
        <w:gridCol w:w="1931"/>
        <w:gridCol w:w="1951"/>
        <w:gridCol w:w="247"/>
        <w:gridCol w:w="900"/>
        <w:gridCol w:w="128"/>
        <w:gridCol w:w="109"/>
        <w:gridCol w:w="109"/>
        <w:gridCol w:w="109"/>
        <w:gridCol w:w="380"/>
        <w:gridCol w:w="1110"/>
        <w:gridCol w:w="279"/>
      </w:tblGrid>
      <w:tr>
        <w:trPr/>
        <w:tc>
          <w:tcPr>
            <w:tcW w:w="2192"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loans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Forward loans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repurchased from Ginnie Mae guaranteed securitization (1)</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(1) (2)</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residential mortgage loans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(1)Pursuant to Ginnie Mae servicing guidelines.</w:t>
      </w:r>
    </w:p>
    <w:p>
      <w:pPr>
        <w:pStyle w:val="TextBody"/>
        <w:bidi w:val="0"/>
        <w:spacing w:lineRule="auto" w:line="288" w:before="0" w:after="6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inactive reverse mortgage loans purchased from Ginnie Mae securitization pools that reached the 98% of maximum claim amount and are generally liquidated through foreclosure and subsequent sale of the REO properties.</w:t>
      </w:r>
    </w:p>
    <w:tbl>
      <w:tblPr>
        <w:tblW w:w="6594" w:type="dxa"/>
        <w:jc w:val="center"/>
        <w:tblInd w:w="0" w:type="dxa"/>
        <w:tblLayout w:type="fixed"/>
        <w:tblCellMar>
          <w:top w:w="28" w:type="dxa"/>
          <w:left w:w="28" w:type="dxa"/>
          <w:bottom w:w="28" w:type="dxa"/>
          <w:right w:w="28" w:type="dxa"/>
        </w:tblCellMar>
      </w:tblPr>
      <w:tblGrid>
        <w:gridCol w:w="1571"/>
        <w:gridCol w:w="1376"/>
        <w:gridCol w:w="1387"/>
        <w:gridCol w:w="211"/>
        <w:gridCol w:w="406"/>
        <w:gridCol w:w="109"/>
        <w:gridCol w:w="109"/>
        <w:gridCol w:w="109"/>
        <w:gridCol w:w="109"/>
        <w:gridCol w:w="211"/>
        <w:gridCol w:w="406"/>
        <w:gridCol w:w="109"/>
        <w:gridCol w:w="109"/>
        <w:gridCol w:w="109"/>
        <w:gridCol w:w="109"/>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Loans Held for Sale - Lower of Cost or Fair Value</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amount before valuation allowance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Ending balance,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left"/>
        <w:tblInd w:w="0" w:type="dxa"/>
        <w:tblLayout w:type="fixed"/>
        <w:tblCellMar>
          <w:top w:w="28" w:type="dxa"/>
          <w:left w:w="28" w:type="dxa"/>
          <w:bottom w:w="28" w:type="dxa"/>
          <w:right w:w="28" w:type="dxa"/>
        </w:tblCellMar>
      </w:tblPr>
      <w:tblGrid>
        <w:gridCol w:w="1755"/>
        <w:gridCol w:w="1534"/>
        <w:gridCol w:w="1549"/>
        <w:gridCol w:w="277"/>
        <w:gridCol w:w="673"/>
        <w:gridCol w:w="142"/>
        <w:gridCol w:w="142"/>
        <w:gridCol w:w="142"/>
        <w:gridCol w:w="142"/>
        <w:gridCol w:w="277"/>
        <w:gridCol w:w="673"/>
        <w:gridCol w:w="142"/>
        <w:gridCol w:w="109"/>
        <w:gridCol w:w="109"/>
        <w:gridCol w:w="109"/>
        <w:gridCol w:w="238"/>
        <w:gridCol w:w="579"/>
        <w:gridCol w:w="122"/>
        <w:gridCol w:w="122"/>
        <w:gridCol w:w="122"/>
        <w:gridCol w:w="122"/>
        <w:gridCol w:w="238"/>
        <w:gridCol w:w="699"/>
        <w:gridCol w:w="188"/>
      </w:tblGrid>
      <w:tr>
        <w:trPr/>
        <w:tc>
          <w:tcPr>
            <w:tcW w:w="175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838" w:type="dxa"/>
            <w:gridSpan w:val="3"/>
            <w:vMerge w:val="restart"/>
            <w:tcBorders/>
            <w:tcMar>
              <w:top w:w="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Gain (Loss) on Loans Held for Sale, Net </w:t>
            </w:r>
          </w:p>
        </w:tc>
        <w:tc>
          <w:tcPr>
            <w:tcW w:w="26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38" w:type="dxa"/>
            <w:gridSpan w:val="3"/>
            <w:vMerge w:val="continue"/>
            <w:tcBorders/>
            <w:tcMar>
              <w:top w:w="0" w:type="dxa"/>
              <w:left w:w="0" w:type="dxa"/>
              <w:bottom w:w="0" w:type="dxa"/>
              <w:right w:w="0" w:type="dxa"/>
            </w:tcMar>
            <w:vAlign w:val="center"/>
          </w:tcPr>
          <w:p>
            <w:pPr>
              <w:pStyle w:val="Normal"/>
              <w:bidi w:val="0"/>
              <w:jc w:val="left"/>
              <w:rPr/>
            </w:pPr>
            <w:r>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sales of loans, net</w:t>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MSRs retained on transfers of forward mortgage loans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forward mortgage loans (1)</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repurchased Ginnie Mae loans (1) (2)</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IRLCs</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loans held for sale (3)</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economic hedge instruments (4)</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r>
      <w:tr>
        <w:trPr/>
        <w:tc>
          <w:tcPr>
            <w:tcW w:w="4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(1)Realized gain (loss) on sale of loans, excluding retained MSRs.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an $8.8 million loss during the three months ended June 30, 2022 on certain delinquent and aged loans repurchased (net of the associated Ginnie Mae MSR fair value adjustment) in connection with the Ginnie Mae EBO program with an aggregated UPB of $299.7 million, net of the associated MSR fair value adjustment.</w:t>
      </w:r>
    </w:p>
    <w:p>
      <w:pPr>
        <w:pStyle w:val="TextBody"/>
        <w:bidi w:val="0"/>
        <w:spacing w:lineRule="auto" w:line="268" w:before="0" w:after="0"/>
        <w:ind w:left="0" w:right="0" w:hanging="360"/>
        <w:jc w:val="left"/>
        <w:rPr/>
      </w:pPr>
      <w:r>
        <w:rPr>
          <w:rFonts w:ascii="Times New Roman;sans-serif" w:hAnsi="Times New Roman;sans-serif"/>
          <w:b w:val="false"/>
          <w:color w:val="000000"/>
          <w:sz w:val="20"/>
        </w:rPr>
        <w:t>(3)</w:t>
      </w:r>
      <w:r>
        <w:rPr>
          <w:rFonts w:ascii="Times New Roman;sans-serif" w:hAnsi="Times New Roman;sans-serif"/>
          <w:b w:val="false"/>
          <w:color w:val="000000"/>
          <w:sz w:val="18"/>
        </w:rPr>
        <w:t>Includes a $10.9 million unrealized gain during the three months ended June 30, 2023 related to the revaluation of inactive HECM loan buyouts opportunistically acquired at a discount and securitized in a private placement transaction completed in June 2023. Also see Note 2 – Securitizations and Variable Interest Entities.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(4)Excludes gains of $0.1 million and $13.4 million during the three and six months ended June 30, 2022, respectively, on inter-segment economic hedge derivatives presented within MSR valuation adjustments, net. No such gains or losses were recognized during the three and six months ended June 30, 2023. Third-party derivatives are hedging the net exposure of MSR and pipeline, and the change in fair value of derivatives are reported within MSR valuation adjustments, net. Inter-segment derivatives are established to transfer risk and allocate hedging gains/losses to the pipeline separately from the MSR portfolio and are eliminated in the consolidated financial statements. Refer to Note 17 – Business Segment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tbl>
      <w:tblPr>
        <w:tblW w:w="2488" w:type="dxa"/>
        <w:jc w:val="left"/>
        <w:tblInd w:w="0" w:type="dxa"/>
        <w:tblLayout w:type="fixed"/>
        <w:tblCellMar>
          <w:top w:w="28" w:type="dxa"/>
          <w:left w:w="28" w:type="dxa"/>
          <w:bottom w:w="28" w:type="dxa"/>
          <w:right w:w="28" w:type="dxa"/>
        </w:tblCellMar>
      </w:tblPr>
      <w:tblGrid>
        <w:gridCol w:w="182"/>
        <w:gridCol w:w="160"/>
        <w:gridCol w:w="160"/>
        <w:gridCol w:w="160"/>
        <w:gridCol w:w="160"/>
        <w:gridCol w:w="160"/>
        <w:gridCol w:w="160"/>
        <w:gridCol w:w="160"/>
        <w:gridCol w:w="160"/>
        <w:gridCol w:w="160"/>
        <w:gridCol w:w="160"/>
        <w:gridCol w:w="160"/>
        <w:gridCol w:w="160"/>
        <w:gridCol w:w="160"/>
        <w:gridCol w:w="226"/>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48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5 - Reverse Mortgages</w:t>
            </w:r>
          </w:p>
        </w:tc>
      </w:tr>
    </w:tbl>
    <w:tbl>
      <w:tblPr>
        <w:tblW w:w="10205" w:type="dxa"/>
        <w:jc w:val="left"/>
        <w:tblInd w:w="0" w:type="dxa"/>
        <w:tblLayout w:type="fixed"/>
        <w:tblCellMar>
          <w:top w:w="28" w:type="dxa"/>
          <w:left w:w="28" w:type="dxa"/>
          <w:bottom w:w="28" w:type="dxa"/>
          <w:right w:w="28" w:type="dxa"/>
        </w:tblCellMar>
      </w:tblPr>
      <w:tblGrid>
        <w:gridCol w:w="1150"/>
        <w:gridCol w:w="826"/>
        <w:gridCol w:w="820"/>
        <w:gridCol w:w="343"/>
        <w:gridCol w:w="1245"/>
        <w:gridCol w:w="177"/>
        <w:gridCol w:w="109"/>
        <w:gridCol w:w="109"/>
        <w:gridCol w:w="109"/>
        <w:gridCol w:w="266"/>
        <w:gridCol w:w="1021"/>
        <w:gridCol w:w="137"/>
        <w:gridCol w:w="109"/>
        <w:gridCol w:w="109"/>
        <w:gridCol w:w="109"/>
        <w:gridCol w:w="343"/>
        <w:gridCol w:w="1245"/>
        <w:gridCol w:w="177"/>
        <w:gridCol w:w="109"/>
        <w:gridCol w:w="109"/>
        <w:gridCol w:w="109"/>
        <w:gridCol w:w="263"/>
        <w:gridCol w:w="1013"/>
        <w:gridCol w:w="198"/>
      </w:tblGrid>
      <w:tr>
        <w:trPr/>
        <w:tc>
          <w:tcPr>
            <w:tcW w:w="115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HMBS - Related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HMBS - Related Borrowings</w:t>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7,662.9 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(7,118.8)</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Originations </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of HECM loans accounted for as a financing (including realized fair value changes)</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(566.0)</w:t>
            </w:r>
          </w:p>
        </w:tc>
        <w:tc>
          <w:tcPr>
            <w:tcW w:w="19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proceeds from securitization of HECM loans and tails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(principal payments received)</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w:t>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 (1)</w:t>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(7,155.3)</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loans (pledged to HMBS-related borrowings)</w:t>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7,220.8 </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(7,155.3)</w:t>
            </w:r>
          </w:p>
        </w:tc>
        <w:tc>
          <w:tcPr>
            <w:tcW w:w="19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Unsecuritized loans</w:t>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47"/>
        <w:gridCol w:w="824"/>
        <w:gridCol w:w="817"/>
        <w:gridCol w:w="342"/>
        <w:gridCol w:w="1243"/>
        <w:gridCol w:w="176"/>
        <w:gridCol w:w="109"/>
        <w:gridCol w:w="109"/>
        <w:gridCol w:w="109"/>
        <w:gridCol w:w="267"/>
        <w:gridCol w:w="1027"/>
        <w:gridCol w:w="138"/>
        <w:gridCol w:w="109"/>
        <w:gridCol w:w="109"/>
        <w:gridCol w:w="109"/>
        <w:gridCol w:w="342"/>
        <w:gridCol w:w="1243"/>
        <w:gridCol w:w="176"/>
        <w:gridCol w:w="109"/>
        <w:gridCol w:w="109"/>
        <w:gridCol w:w="109"/>
        <w:gridCol w:w="265"/>
        <w:gridCol w:w="1018"/>
        <w:gridCol w:w="199"/>
      </w:tblGrid>
      <w:tr>
        <w:trPr/>
        <w:tc>
          <w:tcPr>
            <w:tcW w:w="114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HMBS - Related Borrowings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Loans Held for Investment - Reverse Mortgages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HMBS - Related Borrowings </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7,199.8 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(6,885.0)</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Originations </w:t>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Securitization of HECM loans accounted for as a financing (including realized fair value changes)</w:t>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(502.3)</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(1,149.9)</w:t>
            </w:r>
          </w:p>
        </w:tc>
        <w:tc>
          <w:tcPr>
            <w:tcW w:w="19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proceeds from securitization of HECM loans and tails</w:t>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 </w:t>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(principal payments received)</w:t>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to:</w:t>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 (Other assets)</w:t>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earnings (1)</w:t>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(7,155.3)</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loans (pledged to HMBS-related borrowings)</w:t>
            </w:r>
          </w:p>
        </w:tc>
        <w:tc>
          <w:tcPr>
            <w:tcW w:w="3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c>
          <w:tcPr>
            <w:tcW w:w="13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7,220.8 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(7,155.3)</w:t>
            </w:r>
          </w:p>
        </w:tc>
        <w:tc>
          <w:tcPr>
            <w:tcW w:w="19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Unsecuritized loans</w:t>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7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7,376.5 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(1)See further breakdown of the net gain (loss)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961"/>
        <w:gridCol w:w="1674"/>
        <w:gridCol w:w="1678"/>
        <w:gridCol w:w="258"/>
        <w:gridCol w:w="496"/>
        <w:gridCol w:w="132"/>
        <w:gridCol w:w="132"/>
        <w:gridCol w:w="132"/>
        <w:gridCol w:w="132"/>
        <w:gridCol w:w="258"/>
        <w:gridCol w:w="625"/>
        <w:gridCol w:w="132"/>
        <w:gridCol w:w="109"/>
        <w:gridCol w:w="109"/>
        <w:gridCol w:w="109"/>
        <w:gridCol w:w="234"/>
        <w:gridCol w:w="567"/>
        <w:gridCol w:w="120"/>
        <w:gridCol w:w="120"/>
        <w:gridCol w:w="120"/>
        <w:gridCol w:w="120"/>
        <w:gridCol w:w="234"/>
        <w:gridCol w:w="567"/>
        <w:gridCol w:w="186"/>
      </w:tblGrid>
      <w:tr>
        <w:trPr/>
        <w:tc>
          <w:tcPr>
            <w:tcW w:w="1961"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3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Gain (Loss) on Reverse Loans Held for Investment and HMBS-related Borrowings, Net</w:t>
            </w:r>
          </w:p>
        </w:tc>
        <w:tc>
          <w:tcPr>
            <w:tcW w:w="2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new originations (1)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tail securitizations (2)</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(servicing fee) (3)</w:t>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8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 in fair value of securitized loans held for investment and HMBS-related borrowings, net</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3"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5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included in earnings (2)</w:t>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fees and other</w:t>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the changes in fair value of newly originated loans held for investment in the period from interest rate lock commitment date through securitization date.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the cash realized gains upon securitization of tails (previously reported within Other change in fair value of securitized loans held for investment and HMBS-related borrowings, net in the table above).</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(3)Includes the interest income on loans held for investment less the interest expense on HMBS-related borrowings (previously reported within Other change in fair value of securitized loans held for investment and HMBS-related borrowings, net in the table above). The net interest income includes the servicing fee Ocwen is contractually entitled to on securitized loans.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55" w:type="dxa"/>
        <w:jc w:val="left"/>
        <w:tblInd w:w="0" w:type="dxa"/>
        <w:tblLayout w:type="fixed"/>
        <w:tblCellMar>
          <w:top w:w="28" w:type="dxa"/>
          <w:left w:w="28" w:type="dxa"/>
          <w:bottom w:w="28" w:type="dxa"/>
          <w:right w:w="28" w:type="dxa"/>
        </w:tblCellMar>
      </w:tblPr>
      <w:tblGrid>
        <w:gridCol w:w="561"/>
        <w:gridCol w:w="494"/>
        <w:gridCol w:w="700"/>
      </w:tblGrid>
      <w:tr>
        <w:trPr/>
        <w:tc>
          <w:tcPr>
            <w:tcW w:w="56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6 – Advances </w:t>
            </w:r>
          </w:p>
        </w:tc>
      </w:tr>
    </w:tbl>
    <w:tbl>
      <w:tblPr>
        <w:tblW w:w="6864" w:type="dxa"/>
        <w:jc w:val="left"/>
        <w:tblInd w:w="0" w:type="dxa"/>
        <w:tblLayout w:type="fixed"/>
        <w:tblCellMar>
          <w:top w:w="28" w:type="dxa"/>
          <w:left w:w="28" w:type="dxa"/>
          <w:bottom w:w="28" w:type="dxa"/>
          <w:right w:w="28" w:type="dxa"/>
        </w:tblCellMar>
      </w:tblPr>
      <w:tblGrid>
        <w:gridCol w:w="1266"/>
        <w:gridCol w:w="1110"/>
        <w:gridCol w:w="1118"/>
        <w:gridCol w:w="287"/>
        <w:gridCol w:w="839"/>
        <w:gridCol w:w="148"/>
        <w:gridCol w:w="109"/>
        <w:gridCol w:w="109"/>
        <w:gridCol w:w="109"/>
        <w:gridCol w:w="380"/>
        <w:gridCol w:w="1110"/>
        <w:gridCol w:w="279"/>
      </w:tblGrid>
      <w:tr>
        <w:trPr/>
        <w:tc>
          <w:tcPr>
            <w:tcW w:w="126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and interest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and insurance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Foreclosures, bankruptcy, REO and other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losses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activity in net advances: </w:t>
      </w:r>
    </w:p>
    <w:tbl>
      <w:tblPr>
        <w:tblW w:w="9738" w:type="dxa"/>
        <w:jc w:val="center"/>
        <w:tblInd w:w="0" w:type="dxa"/>
        <w:tblLayout w:type="fixed"/>
        <w:tblCellMar>
          <w:top w:w="28" w:type="dxa"/>
          <w:left w:w="28" w:type="dxa"/>
          <w:bottom w:w="28" w:type="dxa"/>
          <w:right w:w="28" w:type="dxa"/>
        </w:tblCellMar>
      </w:tblPr>
      <w:tblGrid>
        <w:gridCol w:w="1525"/>
        <w:gridCol w:w="1341"/>
        <w:gridCol w:w="1349"/>
        <w:gridCol w:w="251"/>
        <w:gridCol w:w="735"/>
        <w:gridCol w:w="130"/>
        <w:gridCol w:w="203"/>
        <w:gridCol w:w="203"/>
        <w:gridCol w:w="130"/>
        <w:gridCol w:w="251"/>
        <w:gridCol w:w="735"/>
        <w:gridCol w:w="130"/>
        <w:gridCol w:w="109"/>
        <w:gridCol w:w="109"/>
        <w:gridCol w:w="109"/>
        <w:gridCol w:w="228"/>
        <w:gridCol w:w="667"/>
        <w:gridCol w:w="118"/>
        <w:gridCol w:w="118"/>
        <w:gridCol w:w="118"/>
        <w:gridCol w:w="118"/>
        <w:gridCol w:w="228"/>
        <w:gridCol w:w="667"/>
        <w:gridCol w:w="166"/>
      </w:tblGrid>
      <w:tr>
        <w:trPr/>
        <w:tc>
          <w:tcPr>
            <w:tcW w:w="1525"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before Allowance for Losses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advances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from Receivables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of advances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Collections of advances and other </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536"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before Allowance for Losses</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 Allowance for Losses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expense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charge-offs and other </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 Allowance for Losses</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net</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tbl>
      <w:tblPr>
        <w:tblW w:w="2594" w:type="dxa"/>
        <w:jc w:val="left"/>
        <w:tblInd w:w="0" w:type="dxa"/>
        <w:tblLayout w:type="fixed"/>
        <w:tblCellMar>
          <w:top w:w="28" w:type="dxa"/>
          <w:left w:w="28" w:type="dxa"/>
          <w:bottom w:w="28" w:type="dxa"/>
          <w:right w:w="28" w:type="dxa"/>
        </w:tblCellMar>
      </w:tblPr>
      <w:tblGrid>
        <w:gridCol w:w="830"/>
        <w:gridCol w:w="729"/>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Note 7 – Mortgage Servicing</w:t>
            </w:r>
          </w:p>
        </w:tc>
      </w:tr>
    </w:tbl>
    <w:tbl>
      <w:tblPr>
        <w:tblW w:w="10205" w:type="dxa"/>
        <w:jc w:val="center"/>
        <w:tblInd w:w="0" w:type="dxa"/>
        <w:tblLayout w:type="fixed"/>
        <w:tblCellMar>
          <w:top w:w="28" w:type="dxa"/>
          <w:left w:w="28" w:type="dxa"/>
          <w:bottom w:w="28" w:type="dxa"/>
          <w:right w:w="28" w:type="dxa"/>
        </w:tblCellMar>
      </w:tblPr>
      <w:tblGrid>
        <w:gridCol w:w="943"/>
        <w:gridCol w:w="515"/>
        <w:gridCol w:w="440"/>
        <w:gridCol w:w="211"/>
        <w:gridCol w:w="766"/>
        <w:gridCol w:w="109"/>
        <w:gridCol w:w="109"/>
        <w:gridCol w:w="109"/>
        <w:gridCol w:w="109"/>
        <w:gridCol w:w="257"/>
        <w:gridCol w:w="750"/>
        <w:gridCol w:w="134"/>
        <w:gridCol w:w="109"/>
        <w:gridCol w:w="109"/>
        <w:gridCol w:w="109"/>
        <w:gridCol w:w="211"/>
        <w:gridCol w:w="766"/>
        <w:gridCol w:w="109"/>
        <w:gridCol w:w="109"/>
        <w:gridCol w:w="109"/>
        <w:gridCol w:w="109"/>
        <w:gridCol w:w="211"/>
        <w:gridCol w:w="766"/>
        <w:gridCol w:w="109"/>
        <w:gridCol w:w="109"/>
        <w:gridCol w:w="109"/>
        <w:gridCol w:w="109"/>
        <w:gridCol w:w="257"/>
        <w:gridCol w:w="750"/>
        <w:gridCol w:w="134"/>
        <w:gridCol w:w="109"/>
        <w:gridCol w:w="109"/>
        <w:gridCol w:w="109"/>
        <w:gridCol w:w="211"/>
        <w:gridCol w:w="766"/>
        <w:gridCol w:w="155"/>
      </w:tblGrid>
      <w:tr>
        <w:trPr/>
        <w:tc>
          <w:tcPr>
            <w:tcW w:w="94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8" w:type="dxa"/>
            <w:gridSpan w:val="3"/>
            <w:vMerge w:val="restart"/>
            <w:tcBorders/>
            <w:tcMar>
              <w:top w:w="0" w:type="dxa"/>
              <w:left w:w="0" w:type="dxa"/>
              <w:bottom w:w="0" w:type="dxa"/>
              <w:right w:w="0" w:type="dxa"/>
            </w:tcMar>
            <w:vAlign w:val="center"/>
          </w:tcPr>
          <w:p>
            <w:pPr>
              <w:pStyle w:val="TableContents"/>
              <w:bidi w:val="0"/>
              <w:spacing w:lineRule="auto" w:line="240" w:before="120" w:after="12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MSRs – At Fair Value</w:t>
            </w:r>
          </w:p>
        </w:tc>
        <w:tc>
          <w:tcPr>
            <w:tcW w:w="830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1898" w:type="dxa"/>
            <w:gridSpan w:val="3"/>
            <w:vMerge w:val="continue"/>
            <w:tcBorders/>
            <w:tcMar>
              <w:top w:w="0" w:type="dxa"/>
              <w:left w:w="0" w:type="dxa"/>
              <w:bottom w:w="0" w:type="dxa"/>
              <w:right w:w="0" w:type="dxa"/>
            </w:tcMar>
            <w:vAlign w:val="center"/>
          </w:tcPr>
          <w:p>
            <w:pPr>
              <w:pStyle w:val="Normal"/>
              <w:bidi w:val="0"/>
              <w:jc w:val="left"/>
              <w:rPr/>
            </w:pPr>
            <w:r>
              <w:rPr/>
            </w:r>
          </w:p>
        </w:tc>
        <w:tc>
          <w:tcPr>
            <w:tcW w:w="39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on the sale of residential mortgage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transfers and adjustments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(sales)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recognized in earnings: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valuation inputs or assumptions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Realization of expected cash flows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recognized in earnings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43"/>
        <w:gridCol w:w="515"/>
        <w:gridCol w:w="440"/>
        <w:gridCol w:w="211"/>
        <w:gridCol w:w="766"/>
        <w:gridCol w:w="109"/>
        <w:gridCol w:w="109"/>
        <w:gridCol w:w="109"/>
        <w:gridCol w:w="109"/>
        <w:gridCol w:w="257"/>
        <w:gridCol w:w="750"/>
        <w:gridCol w:w="134"/>
        <w:gridCol w:w="109"/>
        <w:gridCol w:w="109"/>
        <w:gridCol w:w="109"/>
        <w:gridCol w:w="211"/>
        <w:gridCol w:w="766"/>
        <w:gridCol w:w="109"/>
        <w:gridCol w:w="109"/>
        <w:gridCol w:w="109"/>
        <w:gridCol w:w="109"/>
        <w:gridCol w:w="211"/>
        <w:gridCol w:w="766"/>
        <w:gridCol w:w="109"/>
        <w:gridCol w:w="109"/>
        <w:gridCol w:w="109"/>
        <w:gridCol w:w="109"/>
        <w:gridCol w:w="257"/>
        <w:gridCol w:w="750"/>
        <w:gridCol w:w="134"/>
        <w:gridCol w:w="109"/>
        <w:gridCol w:w="109"/>
        <w:gridCol w:w="109"/>
        <w:gridCol w:w="211"/>
        <w:gridCol w:w="766"/>
        <w:gridCol w:w="155"/>
      </w:tblGrid>
      <w:tr>
        <w:trPr/>
        <w:tc>
          <w:tcPr>
            <w:tcW w:w="94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vMerge w:val="restart"/>
            <w:tcBorders/>
            <w:tcMar>
              <w:top w:w="0" w:type="dxa"/>
              <w:left w:w="0" w:type="dxa"/>
              <w:bottom w:w="0" w:type="dxa"/>
              <w:right w:w="0" w:type="dxa"/>
            </w:tcMar>
            <w:vAlign w:val="center"/>
          </w:tcPr>
          <w:p>
            <w:pPr>
              <w:pStyle w:val="TableContents"/>
              <w:bidi w:val="0"/>
              <w:spacing w:lineRule="auto" w:line="240" w:before="120" w:after="12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MSRs – At Fair Value</w:t>
            </w:r>
          </w:p>
        </w:tc>
        <w:tc>
          <w:tcPr>
            <w:tcW w:w="830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898" w:type="dxa"/>
            <w:gridSpan w:val="3"/>
            <w:vMerge w:val="continue"/>
            <w:tcBorders/>
            <w:tcMar>
              <w:top w:w="0" w:type="dxa"/>
              <w:left w:w="0" w:type="dxa"/>
              <w:bottom w:w="0" w:type="dxa"/>
              <w:right w:w="0" w:type="dxa"/>
            </w:tcMar>
            <w:vAlign w:val="center"/>
          </w:tcPr>
          <w:p>
            <w:pPr>
              <w:pStyle w:val="Normal"/>
              <w:bidi w:val="0"/>
              <w:jc w:val="left"/>
              <w:rPr/>
            </w:pPr>
            <w:r>
              <w:rPr/>
            </w:r>
          </w:p>
        </w:tc>
        <w:tc>
          <w:tcPr>
            <w:tcW w:w="39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Recognized on the sale of residential mortgage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transfers and adjustments (1)</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additions (sales)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recognized in earnings: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valuation inputs or assumptions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Realization of expected cash flows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recognized in earnings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(1)Servicing transfers and adjustments for the three months ended June 30, 2023 include a $32.5 million derecognition of Agency MSRs previously sold to MAV in a transaction which did not qualify for sale accounting treatment. We derecognized the MSRs with a UPB of $2.3 billion from our balance sheet together with the associated Pledged MSR liability upon the sale of the MSRs by MAV to a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delinquency status of the loans underlying our MSRs:</w:t>
      </w:r>
    </w:p>
    <w:tbl>
      <w:tblPr>
        <w:tblW w:w="9855" w:type="dxa"/>
        <w:jc w:val="center"/>
        <w:tblInd w:w="0" w:type="dxa"/>
        <w:tblLayout w:type="fixed"/>
        <w:tblCellMar>
          <w:top w:w="28" w:type="dxa"/>
          <w:left w:w="28" w:type="dxa"/>
          <w:bottom w:w="28" w:type="dxa"/>
          <w:right w:w="28" w:type="dxa"/>
        </w:tblCellMar>
      </w:tblPr>
      <w:tblGrid>
        <w:gridCol w:w="880"/>
        <w:gridCol w:w="773"/>
        <w:gridCol w:w="776"/>
        <w:gridCol w:w="203"/>
        <w:gridCol w:w="203"/>
        <w:gridCol w:w="408"/>
        <w:gridCol w:w="109"/>
        <w:gridCol w:w="109"/>
        <w:gridCol w:w="109"/>
        <w:gridCol w:w="273"/>
        <w:gridCol w:w="273"/>
        <w:gridCol w:w="683"/>
        <w:gridCol w:w="109"/>
        <w:gridCol w:w="109"/>
        <w:gridCol w:w="109"/>
        <w:gridCol w:w="255"/>
        <w:gridCol w:w="256"/>
        <w:gridCol w:w="317"/>
        <w:gridCol w:w="109"/>
        <w:gridCol w:w="109"/>
        <w:gridCol w:w="109"/>
        <w:gridCol w:w="203"/>
        <w:gridCol w:w="203"/>
        <w:gridCol w:w="408"/>
        <w:gridCol w:w="109"/>
        <w:gridCol w:w="109"/>
        <w:gridCol w:w="109"/>
        <w:gridCol w:w="273"/>
        <w:gridCol w:w="273"/>
        <w:gridCol w:w="683"/>
        <w:gridCol w:w="109"/>
        <w:gridCol w:w="109"/>
        <w:gridCol w:w="109"/>
        <w:gridCol w:w="255"/>
        <w:gridCol w:w="256"/>
        <w:gridCol w:w="366"/>
      </w:tblGrid>
      <w:tr>
        <w:trPr/>
        <w:tc>
          <w:tcPr>
            <w:tcW w:w="88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Delinquent loans</w:t>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 - 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 - Agency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days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 days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days or more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30-60-90 days or more</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6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MSR UPB and Fair Value</w:t>
      </w:r>
    </w:p>
    <w:tbl>
      <w:tblPr>
        <w:tblW w:w="10205" w:type="dxa"/>
        <w:jc w:val="left"/>
        <w:tblInd w:w="0" w:type="dxa"/>
        <w:tblLayout w:type="fixed"/>
        <w:tblCellMar>
          <w:top w:w="28" w:type="dxa"/>
          <w:left w:w="28" w:type="dxa"/>
          <w:bottom w:w="28" w:type="dxa"/>
          <w:right w:w="28" w:type="dxa"/>
        </w:tblCellMar>
      </w:tblPr>
      <w:tblGrid>
        <w:gridCol w:w="944"/>
        <w:gridCol w:w="798"/>
        <w:gridCol w:w="766"/>
        <w:gridCol w:w="211"/>
        <w:gridCol w:w="766"/>
        <w:gridCol w:w="109"/>
        <w:gridCol w:w="280"/>
        <w:gridCol w:w="819"/>
        <w:gridCol w:w="146"/>
        <w:gridCol w:w="109"/>
        <w:gridCol w:w="109"/>
        <w:gridCol w:w="109"/>
        <w:gridCol w:w="211"/>
        <w:gridCol w:w="766"/>
        <w:gridCol w:w="109"/>
        <w:gridCol w:w="280"/>
        <w:gridCol w:w="819"/>
        <w:gridCol w:w="146"/>
        <w:gridCol w:w="109"/>
        <w:gridCol w:w="109"/>
        <w:gridCol w:w="109"/>
        <w:gridCol w:w="211"/>
        <w:gridCol w:w="766"/>
        <w:gridCol w:w="109"/>
        <w:gridCol w:w="277"/>
        <w:gridCol w:w="810"/>
        <w:gridCol w:w="208"/>
      </w:tblGrid>
      <w:tr>
        <w:trPr/>
        <w:tc>
          <w:tcPr>
            <w:tcW w:w="94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 ($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 ($ billions)</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MSRs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 transferred MSRs (1)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transferred MSRs (1)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(1)MSRs subject to sale agreements that do not meet sale accounting criteria. See Note 8 — Other Financing Liabilities, at Fair Value.</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(2)At June 30, 2023, the UPB of MSRs transferred to Rithm for which title is retained by Ocwen was $10.3 billion.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purchased MSRs with a UPB of $3.8 billion and $7.3 billion from unrelated third-parties during the six months ended June 30, 2023 and 2022, respectively. We sold MSRs, servicing released, with a UPB of $31.3 million and $11.1 billion during the six months ended June 30, 2023 and 2022, respectively, to unrelated third parties.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Servicing Revenue</w:t>
      </w:r>
    </w:p>
    <w:tbl>
      <w:tblPr>
        <w:tblW w:w="8541" w:type="dxa"/>
        <w:jc w:val="left"/>
        <w:tblInd w:w="0" w:type="dxa"/>
        <w:tblLayout w:type="fixed"/>
        <w:tblCellMar>
          <w:top w:w="28" w:type="dxa"/>
          <w:left w:w="28" w:type="dxa"/>
          <w:bottom w:w="28" w:type="dxa"/>
          <w:right w:w="28" w:type="dxa"/>
        </w:tblCellMar>
      </w:tblPr>
      <w:tblGrid>
        <w:gridCol w:w="1147"/>
        <w:gridCol w:w="1007"/>
        <w:gridCol w:w="1010"/>
        <w:gridCol w:w="251"/>
        <w:gridCol w:w="735"/>
        <w:gridCol w:w="130"/>
        <w:gridCol w:w="130"/>
        <w:gridCol w:w="130"/>
        <w:gridCol w:w="130"/>
        <w:gridCol w:w="251"/>
        <w:gridCol w:w="735"/>
        <w:gridCol w:w="130"/>
        <w:gridCol w:w="109"/>
        <w:gridCol w:w="109"/>
        <w:gridCol w:w="109"/>
        <w:gridCol w:w="228"/>
        <w:gridCol w:w="667"/>
        <w:gridCol w:w="118"/>
        <w:gridCol w:w="118"/>
        <w:gridCol w:w="118"/>
        <w:gridCol w:w="118"/>
        <w:gridCol w:w="228"/>
        <w:gridCol w:w="667"/>
        <w:gridCol w:w="166"/>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cMar>
              <w:top w:w="0" w:type="dxa"/>
              <w:left w:w="0" w:type="dxa"/>
              <w:bottom w:w="0" w:type="dxa"/>
              <w:right w:w="0" w:type="dxa"/>
            </w:tcMar>
            <w:vAlign w:val="center"/>
          </w:tcPr>
          <w:p>
            <w:pPr>
              <w:pStyle w:val="TableContents"/>
              <w:bidi w:val="0"/>
              <w:spacing w:before="120" w:after="283"/>
              <w:jc w:val="left"/>
              <w:rPr/>
            </w:pPr>
            <w:r>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servicing and subservicing fees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(1)</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 (1)</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Custodial accounts (float earnings)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 charges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 ancillary fees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collection fees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Recording fees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Boarding and deboarding fees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forbearance fees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and subservicing fees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pPr>
      <w:r>
        <w:rPr>
          <w:rFonts w:ascii="Times New Roman;sans-serif" w:hAnsi="Times New Roman;sans-serif"/>
          <w:b w:val="false"/>
          <w:color w:val="000000"/>
          <w:sz w:val="18"/>
        </w:rPr>
        <w:t>(1)Includes servicing fees related to transferred MSRs and subservicing fees. See Note 8 — Other Financing Liabilities, at Fair Value</w:t>
      </w:r>
      <w:r>
        <w:rPr>
          <w:rFonts w:ascii="Times New Roman;sans-serif" w:hAnsi="Times New Roman;sans-serif"/>
          <w:b/>
          <w:color w:val="000000"/>
          <w:sz w:val="20"/>
        </w:rPr>
        <w:t>.</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Float balances, on which we earn interest referred to as float earnings (balances in custodial accounts, which represent collections of principal and interest that we receive from borrowers on behalf of investors) are held in escrow by unaffiliated banks and are excluded from our unaudited consolidated balance sheets. Float balances amounted to $2.2 billion, $1.5 billion and $1.8 billion at June 30, 2023, December 31, 2022 and June 30,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MSR valuation adjustments, net:</w:t>
      </w:r>
    </w:p>
    <w:tbl>
      <w:tblPr>
        <w:tblW w:w="10205" w:type="dxa"/>
        <w:jc w:val="left"/>
        <w:tblInd w:w="0" w:type="dxa"/>
        <w:tblLayout w:type="fixed"/>
        <w:tblCellMar>
          <w:top w:w="28" w:type="dxa"/>
          <w:left w:w="28" w:type="dxa"/>
          <w:bottom w:w="28" w:type="dxa"/>
          <w:right w:w="28" w:type="dxa"/>
        </w:tblCellMar>
      </w:tblPr>
      <w:tblGrid>
        <w:gridCol w:w="1797"/>
        <w:gridCol w:w="1568"/>
        <w:gridCol w:w="1578"/>
        <w:gridCol w:w="243"/>
        <w:gridCol w:w="711"/>
        <w:gridCol w:w="125"/>
        <w:gridCol w:w="125"/>
        <w:gridCol w:w="125"/>
        <w:gridCol w:w="125"/>
        <w:gridCol w:w="243"/>
        <w:gridCol w:w="711"/>
        <w:gridCol w:w="125"/>
        <w:gridCol w:w="109"/>
        <w:gridCol w:w="109"/>
        <w:gridCol w:w="109"/>
        <w:gridCol w:w="219"/>
        <w:gridCol w:w="705"/>
        <w:gridCol w:w="113"/>
        <w:gridCol w:w="113"/>
        <w:gridCol w:w="113"/>
        <w:gridCol w:w="113"/>
        <w:gridCol w:w="219"/>
        <w:gridCol w:w="639"/>
        <w:gridCol w:w="168"/>
      </w:tblGrid>
      <w:tr>
        <w:trPr/>
        <w:tc>
          <w:tcPr>
            <w:tcW w:w="179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94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943" w:type="dxa"/>
            <w:gridSpan w:val="3"/>
            <w:vMerge w:val="continue"/>
            <w:tcBorders/>
            <w:tcMar>
              <w:top w:w="0" w:type="dxa"/>
              <w:left w:w="0" w:type="dxa"/>
              <w:bottom w:w="0" w:type="dxa"/>
              <w:right w:w="0" w:type="dxa"/>
            </w:tcMar>
            <w:vAlign w:val="center"/>
          </w:tcPr>
          <w:p>
            <w:pPr>
              <w:pStyle w:val="Normal"/>
              <w:bidi w:val="0"/>
              <w:jc w:val="left"/>
              <w:rPr/>
            </w:pPr>
            <w:r>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fair value changes due to rates and assumptions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 realization of expected cash flows </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 fair value gains (losses) (1)</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fair value changes due to rates and assumptions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realization of expected cash flows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Pledged MSR liability fair value gains (losses) (2) </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fair value changes due to rates and assumptions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realization of expected cash flows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ESS financing liability fair value gains (losses) (2)</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fair value gain (loss) (MSR economic hedges)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$0.1 million and $0.3 million for the three and six months ended June 30, 2023, respectively, and $0 and $0 during the three and six months ended June 30, 2022, respectively, of fair value changes on the reverse MSR liability and other.</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(2)Also refer to Note 8 — Other Financing Liabilities, at Fair Value for additional information related to the ESS financing liability and Pledged MSR liability, including a tabular presentation of activity of the Pledged MSR liability for the reported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14" w:type="dxa"/>
        <w:jc w:val="left"/>
        <w:tblInd w:w="0" w:type="dxa"/>
        <w:tblLayout w:type="fixed"/>
        <w:tblCellMar>
          <w:top w:w="28" w:type="dxa"/>
          <w:left w:w="28" w:type="dxa"/>
          <w:bottom w:w="28" w:type="dxa"/>
          <w:right w:w="28" w:type="dxa"/>
        </w:tblCellMar>
      </w:tblPr>
      <w:tblGrid>
        <w:gridCol w:w="1446"/>
        <w:gridCol w:w="1271"/>
        <w:gridCol w:w="1797"/>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8 — Other Financing Liabilities, at Fair Value</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presents financing liabilities carried at fair value which include pledged MSR liabilities recorded in connection with MSR transfers, subservicing retained, that do not qualify for sale accounting, liabilities of consolidated mortgage-backed securitization trusts and MSR excess servicing spread (ESS) financing liability carried at fair value (see Note 12 – Borrowings for ESS financing liability carried at amortized cost). </w:t>
      </w:r>
    </w:p>
    <w:tbl>
      <w:tblPr>
        <w:tblW w:w="10205" w:type="dxa"/>
        <w:jc w:val="left"/>
        <w:tblInd w:w="0" w:type="dxa"/>
        <w:tblLayout w:type="fixed"/>
        <w:tblCellMar>
          <w:top w:w="28" w:type="dxa"/>
          <w:left w:w="28" w:type="dxa"/>
          <w:bottom w:w="28" w:type="dxa"/>
          <w:right w:w="28" w:type="dxa"/>
        </w:tblCellMar>
      </w:tblPr>
      <w:tblGrid>
        <w:gridCol w:w="1618"/>
        <w:gridCol w:w="1287"/>
        <w:gridCol w:w="1294"/>
        <w:gridCol w:w="456"/>
        <w:gridCol w:w="456"/>
        <w:gridCol w:w="461"/>
        <w:gridCol w:w="109"/>
        <w:gridCol w:w="109"/>
        <w:gridCol w:w="109"/>
        <w:gridCol w:w="109"/>
        <w:gridCol w:w="109"/>
        <w:gridCol w:w="323"/>
        <w:gridCol w:w="323"/>
        <w:gridCol w:w="324"/>
        <w:gridCol w:w="109"/>
        <w:gridCol w:w="109"/>
        <w:gridCol w:w="109"/>
        <w:gridCol w:w="221"/>
        <w:gridCol w:w="805"/>
        <w:gridCol w:w="114"/>
        <w:gridCol w:w="109"/>
        <w:gridCol w:w="109"/>
        <w:gridCol w:w="109"/>
        <w:gridCol w:w="245"/>
        <w:gridCol w:w="892"/>
        <w:gridCol w:w="187"/>
      </w:tblGrid>
      <w:tr>
        <w:trPr/>
        <w:tc>
          <w:tcPr>
            <w:tcW w:w="161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 not qualifying for sale accounting (1):</w:t>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Original Rights to MSRs Agreements, at fair value - Rithm </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MSRs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at fair value - MAV </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8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at fair value - Others </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liability - Owed to securitization investors, at fair value: Residential Asset Securitization Trust 2003-A11 (RAST 2003-A11) (2)</w:t>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at fair value (3)</w:t>
            </w:r>
          </w:p>
        </w:tc>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financing liabilities, at fair value</w:t>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(1)MSRs transferred, subservicing retained, or sold in transactions which do not qualify for sale accounting treatment are accounted for as secured financings.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(2)Consists of securitization debt certificates due to third parties that represent beneficial interests in trusts that are consolidated.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(3)Consists of the obligation to remit to a third party a specified percentage of future servicing fee collections (servicing spread) on reference pools of MSRs, which we are entitled to as owner of the related MSRs.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activity of the pledged MSR liability recorded in connection with the MSR transfer agreements with Rithm and MAV that do not qualify for sale accounting.</w:t>
      </w:r>
    </w:p>
    <w:tbl>
      <w:tblPr>
        <w:tblW w:w="10205" w:type="dxa"/>
        <w:jc w:val="center"/>
        <w:tblInd w:w="0" w:type="dxa"/>
        <w:tblLayout w:type="fixed"/>
        <w:tblCellMar>
          <w:top w:w="28" w:type="dxa"/>
          <w:left w:w="28" w:type="dxa"/>
          <w:bottom w:w="28" w:type="dxa"/>
          <w:right w:w="28" w:type="dxa"/>
        </w:tblCellMar>
      </w:tblPr>
      <w:tblGrid>
        <w:gridCol w:w="1017"/>
        <w:gridCol w:w="647"/>
        <w:gridCol w:w="652"/>
        <w:gridCol w:w="260"/>
        <w:gridCol w:w="761"/>
        <w:gridCol w:w="134"/>
        <w:gridCol w:w="109"/>
        <w:gridCol w:w="109"/>
        <w:gridCol w:w="109"/>
        <w:gridCol w:w="211"/>
        <w:gridCol w:w="616"/>
        <w:gridCol w:w="109"/>
        <w:gridCol w:w="109"/>
        <w:gridCol w:w="109"/>
        <w:gridCol w:w="109"/>
        <w:gridCol w:w="211"/>
        <w:gridCol w:w="766"/>
        <w:gridCol w:w="109"/>
        <w:gridCol w:w="109"/>
        <w:gridCol w:w="109"/>
        <w:gridCol w:w="109"/>
        <w:gridCol w:w="260"/>
        <w:gridCol w:w="761"/>
        <w:gridCol w:w="134"/>
        <w:gridCol w:w="109"/>
        <w:gridCol w:w="109"/>
        <w:gridCol w:w="109"/>
        <w:gridCol w:w="211"/>
        <w:gridCol w:w="616"/>
        <w:gridCol w:w="109"/>
        <w:gridCol w:w="109"/>
        <w:gridCol w:w="109"/>
        <w:gridCol w:w="109"/>
        <w:gridCol w:w="211"/>
        <w:gridCol w:w="616"/>
        <w:gridCol w:w="159"/>
      </w:tblGrid>
      <w:tr>
        <w:trPr/>
        <w:tc>
          <w:tcPr>
            <w:tcW w:w="101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r>
      <w:tr>
        <w:trPr/>
        <w:tc>
          <w:tcPr>
            <w:tcW w:w="2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Pledged MSR Liability</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financing liability (2)</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 (loss)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fair value due to inputs and assumptions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16"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Realization of expected cash flows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(gain) loss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Ending Balance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833"/>
        <w:gridCol w:w="406"/>
        <w:gridCol w:w="409"/>
        <w:gridCol w:w="228"/>
        <w:gridCol w:w="667"/>
        <w:gridCol w:w="118"/>
        <w:gridCol w:w="109"/>
        <w:gridCol w:w="109"/>
        <w:gridCol w:w="109"/>
        <w:gridCol w:w="270"/>
        <w:gridCol w:w="789"/>
        <w:gridCol w:w="140"/>
        <w:gridCol w:w="109"/>
        <w:gridCol w:w="109"/>
        <w:gridCol w:w="109"/>
        <w:gridCol w:w="211"/>
        <w:gridCol w:w="766"/>
        <w:gridCol w:w="109"/>
        <w:gridCol w:w="109"/>
        <w:gridCol w:w="109"/>
        <w:gridCol w:w="109"/>
        <w:gridCol w:w="323"/>
        <w:gridCol w:w="946"/>
        <w:gridCol w:w="168"/>
        <w:gridCol w:w="109"/>
        <w:gridCol w:w="109"/>
        <w:gridCol w:w="109"/>
        <w:gridCol w:w="270"/>
        <w:gridCol w:w="789"/>
        <w:gridCol w:w="140"/>
        <w:gridCol w:w="109"/>
        <w:gridCol w:w="109"/>
        <w:gridCol w:w="109"/>
        <w:gridCol w:w="211"/>
        <w:gridCol w:w="616"/>
        <w:gridCol w:w="161"/>
      </w:tblGrid>
      <w:tr>
        <w:trPr/>
        <w:tc>
          <w:tcPr>
            <w:tcW w:w="83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Pledged MSR Liability </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 Agreements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Original Rights to MSRs Agreements - Rithm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 Agreements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transfers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Derecognition of financing liability (2)</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Calls </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 (loss)</w:t>
            </w:r>
          </w:p>
        </w:tc>
        <w:tc>
          <w:tcPr>
            <w:tcW w:w="1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 due to inputs and assumptions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Realization of expected cash flows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(gain) loss (3)</w:t>
            </w:r>
          </w:p>
        </w:tc>
        <w:tc>
          <w:tcPr>
            <w:tcW w:w="8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Ending Balance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fair value of the Pledged MSR liability differs from the fair value of the associated transferred MSR asset mostly due to the portion of ancillary income that is contractually retained by PMC (shared between PMC and MAV) and other contractual cash flows during the expected life of the subservicing agreement.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(2)During the three months ended June 30, 2023, we derecognized a portion of the MAV Pledged MSR liability upon sale of the related MSRs by MAV to a third party with a UPB of $2.3 billion.</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(3)The changes in fair value of the MAV Pledged MSR liability includes a $14.1 million loss associated with the amendment to the MAV Subservicing Agreement in March 2022, resulting in lower contractual ancillary income retained by PMC.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Pledged MSR liability expense recorded in connection with the MSR sale agreements with MAV, Rithm and others that do not qualify for sale accounting and the ESS financing liabilities.</w:t>
      </w:r>
    </w:p>
    <w:tbl>
      <w:tblPr>
        <w:tblW w:w="10205" w:type="dxa"/>
        <w:jc w:val="left"/>
        <w:tblInd w:w="0" w:type="dxa"/>
        <w:tblLayout w:type="fixed"/>
        <w:tblCellMar>
          <w:top w:w="28" w:type="dxa"/>
          <w:left w:w="28" w:type="dxa"/>
          <w:bottom w:w="28" w:type="dxa"/>
          <w:right w:w="28" w:type="dxa"/>
        </w:tblCellMar>
      </w:tblPr>
      <w:tblGrid>
        <w:gridCol w:w="1272"/>
        <w:gridCol w:w="873"/>
        <w:gridCol w:w="877"/>
        <w:gridCol w:w="276"/>
        <w:gridCol w:w="669"/>
        <w:gridCol w:w="142"/>
        <w:gridCol w:w="109"/>
        <w:gridCol w:w="109"/>
        <w:gridCol w:w="109"/>
        <w:gridCol w:w="211"/>
        <w:gridCol w:w="511"/>
        <w:gridCol w:w="109"/>
        <w:gridCol w:w="109"/>
        <w:gridCol w:w="109"/>
        <w:gridCol w:w="109"/>
        <w:gridCol w:w="211"/>
        <w:gridCol w:w="511"/>
        <w:gridCol w:w="109"/>
        <w:gridCol w:w="109"/>
        <w:gridCol w:w="109"/>
        <w:gridCol w:w="109"/>
        <w:gridCol w:w="276"/>
        <w:gridCol w:w="669"/>
        <w:gridCol w:w="142"/>
        <w:gridCol w:w="109"/>
        <w:gridCol w:w="109"/>
        <w:gridCol w:w="109"/>
        <w:gridCol w:w="211"/>
        <w:gridCol w:w="511"/>
        <w:gridCol w:w="109"/>
        <w:gridCol w:w="109"/>
        <w:gridCol w:w="109"/>
        <w:gridCol w:w="109"/>
        <w:gridCol w:w="211"/>
        <w:gridCol w:w="511"/>
        <w:gridCol w:w="159"/>
      </w:tblGrid>
      <w:tr>
        <w:trPr/>
        <w:tc>
          <w:tcPr>
            <w:tcW w:w="127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Rithm, MAV and others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Subservicing fee retained by Ocwen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fee/income and other settlement (including expense reimbursement)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MSR net servicing fee remittance</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servicing spread remittance</w:t>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6"/>
        <w:gridCol w:w="778"/>
        <w:gridCol w:w="781"/>
        <w:gridCol w:w="253"/>
        <w:gridCol w:w="738"/>
        <w:gridCol w:w="130"/>
        <w:gridCol w:w="109"/>
        <w:gridCol w:w="109"/>
        <w:gridCol w:w="109"/>
        <w:gridCol w:w="211"/>
        <w:gridCol w:w="511"/>
        <w:gridCol w:w="109"/>
        <w:gridCol w:w="109"/>
        <w:gridCol w:w="109"/>
        <w:gridCol w:w="109"/>
        <w:gridCol w:w="211"/>
        <w:gridCol w:w="616"/>
        <w:gridCol w:w="109"/>
        <w:gridCol w:w="109"/>
        <w:gridCol w:w="109"/>
        <w:gridCol w:w="109"/>
        <w:gridCol w:w="253"/>
        <w:gridCol w:w="738"/>
        <w:gridCol w:w="130"/>
        <w:gridCol w:w="109"/>
        <w:gridCol w:w="109"/>
        <w:gridCol w:w="109"/>
        <w:gridCol w:w="211"/>
        <w:gridCol w:w="511"/>
        <w:gridCol w:w="109"/>
        <w:gridCol w:w="109"/>
        <w:gridCol w:w="109"/>
        <w:gridCol w:w="109"/>
        <w:gridCol w:w="211"/>
        <w:gridCol w:w="616"/>
        <w:gridCol w:w="158"/>
      </w:tblGrid>
      <w:tr>
        <w:trPr/>
        <w:tc>
          <w:tcPr>
            <w:tcW w:w="118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2022</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Rithm and Others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Rithm, MAV and others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Subservicing fee retained by Ocwen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fee/income and other settlement (including expense reimbursement)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Transferred MSR net servicing fee remittance</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servicing spread remittance</w:t>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On May 2, 2022, Ocwen entered into amendments to its servicing agreements with Rithm to extend their terms to December 31, 2023 and provide for subsequent, automatic one-year renewals, unless Ocwen provides six months’ advance notice of termination (by July 1), or Rithm provides three months’ advance notice of termination (by October 1), among other changes. Ocwen did not provide notice of termination on July 1,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the UPB of MSRs subject to the servicing agreements with Rithm subsidiaries is $47.0 billion, including $1.8 billion for which Ocwen or Rithm is subservicer for another entity as servicer of record and $10.3 billion for which title has not transferred to Rithm. We describe Rithm’s rights and obligations with respect to such non-transferred MSRs as “Rights to MSRs”. As the third-party consents required for title to the MSRs to transfer were not obtained, the $10.3 billion Rights to MSRs may (i) be acquired by Ocwen at a price determined in accordance with the terms of the previously disclosed agreements entered into in January 2018 (the New RMSR Agreements), at the option of Ocwen, or (ii) be sold, together with Ocwen’s title to those MSRs, to a third party, subject to an additional Ocwen option to acquire at a price based on the winning third-party bid rather than selling to the third party. If the Rights to MSRs are not transferred pursuant to these alternatives, then the Rights to MSRs will remain subject to the subservicing agreement.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stated above, Rithm has the right to terminate the $10.3 billion Rights to MSRs for convenience, in whole but not in part, subject to three months’ advance notice of termination. If Rithm exercises this termination right, Rithm has the option of seeking (i) the transfer of the MSRs through a sale to a third party of its Rights to MSRs (together with a transfer of Ocwen’s title to those MSRs) or (ii) a substitute RMSR arrangement that substantially replicates the Rights to MSRs structure under which we would transfer title to the MSRs to a successor servicer and Rithm would continue to own the economic rights and obligations related to the MSRs. In the case of option (i), we have a purchase option, as described above. If Rithm is not able to sell the Rights to MSRs or establish a substitute RMSR arrangement with another servicer, Rithm has the right to revoke its termination notice and re-instate the applicable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of expenses. We may also agree on alternative arrangements that are not contemplated under our existing agreements or that are variations of those contemplated under our existing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04" w:type="dxa"/>
        <w:jc w:val="center"/>
        <w:tblInd w:w="0" w:type="dxa"/>
        <w:tblLayout w:type="fixed"/>
        <w:tblCellMar>
          <w:top w:w="28" w:type="dxa"/>
          <w:left w:w="28" w:type="dxa"/>
          <w:bottom w:w="28" w:type="dxa"/>
          <w:right w:w="28" w:type="dxa"/>
        </w:tblCellMar>
      </w:tblPr>
      <w:tblGrid>
        <w:gridCol w:w="610"/>
        <w:gridCol w:w="536"/>
        <w:gridCol w:w="758"/>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9 – Receivables</w:t>
            </w:r>
          </w:p>
        </w:tc>
      </w:tr>
    </w:tbl>
    <w:tbl>
      <w:tblPr>
        <w:tblW w:w="9040" w:type="dxa"/>
        <w:jc w:val="left"/>
        <w:tblInd w:w="0" w:type="dxa"/>
        <w:tblLayout w:type="fixed"/>
        <w:tblCellMar>
          <w:top w:w="28" w:type="dxa"/>
          <w:left w:w="28" w:type="dxa"/>
          <w:bottom w:w="28" w:type="dxa"/>
          <w:right w:w="28" w:type="dxa"/>
        </w:tblCellMar>
      </w:tblPr>
      <w:tblGrid>
        <w:gridCol w:w="2053"/>
        <w:gridCol w:w="1806"/>
        <w:gridCol w:w="1811"/>
        <w:gridCol w:w="287"/>
        <w:gridCol w:w="839"/>
        <w:gridCol w:w="148"/>
        <w:gridCol w:w="109"/>
        <w:gridCol w:w="109"/>
        <w:gridCol w:w="109"/>
        <w:gridCol w:w="380"/>
        <w:gridCol w:w="1110"/>
        <w:gridCol w:w="279"/>
      </w:tblGrid>
      <w:tr>
        <w:trPr/>
        <w:tc>
          <w:tcPr>
            <w:tcW w:w="205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Servicing-related receivables: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 claims - Forward</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 claims - Reverse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and reimbursable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custodial accounts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 from sale of MSRs (holdback)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and reimbursable expenses - Due from Rithm</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fees, reimbursable expenses and other - Due from MAV</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receivable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receivables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Allowance for losses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and December 31, 2022, the allowance for losses primarily related to receivables of our Servicing business. The allowance for losses related to FHA-, VA- or USDA insured loans repurchased from Ginnie Mae guaranteed securitizations (government-insured claims) was $27.0 million and $33.8 million at June 30, 2023 and December 31, 2022, respectively. </w:t>
      </w:r>
    </w:p>
    <w:tbl>
      <w:tblPr>
        <w:tblW w:w="10205" w:type="dxa"/>
        <w:jc w:val="left"/>
        <w:tblInd w:w="0" w:type="dxa"/>
        <w:tblLayout w:type="fixed"/>
        <w:tblCellMar>
          <w:top w:w="28" w:type="dxa"/>
          <w:left w:w="28" w:type="dxa"/>
          <w:bottom w:w="28" w:type="dxa"/>
          <w:right w:w="28" w:type="dxa"/>
        </w:tblCellMar>
      </w:tblPr>
      <w:tblGrid>
        <w:gridCol w:w="1762"/>
        <w:gridCol w:w="1547"/>
        <w:gridCol w:w="1553"/>
        <w:gridCol w:w="275"/>
        <w:gridCol w:w="668"/>
        <w:gridCol w:w="141"/>
        <w:gridCol w:w="141"/>
        <w:gridCol w:w="141"/>
        <w:gridCol w:w="141"/>
        <w:gridCol w:w="275"/>
        <w:gridCol w:w="668"/>
        <w:gridCol w:w="141"/>
        <w:gridCol w:w="109"/>
        <w:gridCol w:w="109"/>
        <w:gridCol w:w="109"/>
        <w:gridCol w:w="250"/>
        <w:gridCol w:w="606"/>
        <w:gridCol w:w="129"/>
        <w:gridCol w:w="129"/>
        <w:gridCol w:w="129"/>
        <w:gridCol w:w="129"/>
        <w:gridCol w:w="250"/>
        <w:gridCol w:w="606"/>
        <w:gridCol w:w="197"/>
      </w:tblGrid>
      <w:tr>
        <w:trPr/>
        <w:tc>
          <w:tcPr>
            <w:tcW w:w="176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4862" w:type="dxa"/>
            <w:gridSpan w:val="3"/>
            <w:vMerge w:val="restart"/>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Allowance for Losses - Government-Insured Loan Claims</w:t>
            </w:r>
          </w:p>
        </w:tc>
        <w:tc>
          <w:tcPr>
            <w:tcW w:w="2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862" w:type="dxa"/>
            <w:gridSpan w:val="3"/>
            <w:vMerge w:val="continue"/>
            <w:tcBorders/>
            <w:tcMar>
              <w:top w:w="0" w:type="dxa"/>
              <w:left w:w="0" w:type="dxa"/>
              <w:bottom w:w="0" w:type="dxa"/>
              <w:right w:w="0" w:type="dxa"/>
            </w:tcMar>
            <w:vAlign w:val="center"/>
          </w:tcPr>
          <w:p>
            <w:pPr>
              <w:pStyle w:val="Normal"/>
              <w:bidi w:val="0"/>
              <w:jc w:val="left"/>
              <w:rPr/>
            </w:pPr>
            <w:r>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Beginning balance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 and other, net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869" w:type="dxa"/>
        <w:jc w:val="left"/>
        <w:tblInd w:w="0" w:type="dxa"/>
        <w:tblLayout w:type="fixed"/>
        <w:tblCellMar>
          <w:top w:w="28" w:type="dxa"/>
          <w:left w:w="28" w:type="dxa"/>
          <w:bottom w:w="28" w:type="dxa"/>
          <w:right w:w="28" w:type="dxa"/>
        </w:tblCellMar>
      </w:tblPr>
      <w:tblGrid>
        <w:gridCol w:w="2196"/>
        <w:gridCol w:w="1933"/>
        <w:gridCol w:w="2740"/>
      </w:tblGrid>
      <w:tr>
        <w:trPr/>
        <w:tc>
          <w:tcPr>
            <w:tcW w:w="219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 10 - Investment in Equity Method Investee and Related Party Transactions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account for our 15% investment in MAV Canopy under the equity method.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2023, PMC subserviced a total $46.6 billion UPB on behalf of MAV under the Subservicing Agreement, of which $22.9 billion MSR was previously sold by PMC to MAV and remains reported on the consolidated balance sheet of PMC.</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and 2022, PMC transferred UPB of $17.9 million and $191.4 million under a flow MSR sale agreement (Recapture Agreement), respectively. During the six months ended June 30, 2023 and 2022, PMC transferred MSRs with UPB of nil and $5.7 billion to MAV under various MSR purchase and sale agreements, respectively. These MSR sale transactions between PMC and MAV do not qualify for sale accounting primarily due to the termination restrictions of the subservicing agreement, and are accounted for as secured borrowings. See Note 8 — Other Financing Liabilities, at Fair Value.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MAV Canopy, MAV and Oaktree are deemed related parties to Ocwen. In addition to the transactions described above, Ocwen issued common stock, warrants and senior secured notes to Oaktree in 2021. See also Note 12 – Borrowings and Note 15 – Interest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055" w:type="dxa"/>
        <w:jc w:val="center"/>
        <w:tblInd w:w="0" w:type="dxa"/>
        <w:tblLayout w:type="fixed"/>
        <w:tblCellMar>
          <w:top w:w="28" w:type="dxa"/>
          <w:left w:w="28" w:type="dxa"/>
          <w:bottom w:w="28" w:type="dxa"/>
          <w:right w:w="28" w:type="dxa"/>
        </w:tblCellMar>
      </w:tblPr>
      <w:tblGrid>
        <w:gridCol w:w="658"/>
        <w:gridCol w:w="579"/>
        <w:gridCol w:w="818"/>
      </w:tblGrid>
      <w:tr>
        <w:trPr/>
        <w:tc>
          <w:tcPr>
            <w:tcW w:w="65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11 – Other Assets</w:t>
            </w:r>
          </w:p>
        </w:tc>
      </w:tr>
    </w:tbl>
    <w:tbl>
      <w:tblPr>
        <w:tblW w:w="10205" w:type="dxa"/>
        <w:jc w:val="left"/>
        <w:tblInd w:w="0" w:type="dxa"/>
        <w:tblLayout w:type="fixed"/>
        <w:tblCellMar>
          <w:top w:w="28" w:type="dxa"/>
          <w:left w:w="28" w:type="dxa"/>
          <w:bottom w:w="28" w:type="dxa"/>
          <w:right w:w="28" w:type="dxa"/>
        </w:tblCellMar>
      </w:tblPr>
      <w:tblGrid>
        <w:gridCol w:w="2517"/>
        <w:gridCol w:w="2185"/>
        <w:gridCol w:w="2199"/>
        <w:gridCol w:w="282"/>
        <w:gridCol w:w="825"/>
        <w:gridCol w:w="145"/>
        <w:gridCol w:w="109"/>
        <w:gridCol w:w="109"/>
        <w:gridCol w:w="109"/>
        <w:gridCol w:w="369"/>
        <w:gridCol w:w="1080"/>
        <w:gridCol w:w="276"/>
      </w:tblGrid>
      <w:tr>
        <w:trPr/>
        <w:tc>
          <w:tcPr>
            <w:tcW w:w="2517"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6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asset</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Derivatives, at fair value </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(net of accumulated amortization of $8.0 million and $5.0 million)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lender fees, net </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margin deposit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representation, warranty and indemnification claims - Agency MSR sale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690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6901"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6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010" w:type="dxa"/>
        <w:jc w:val="center"/>
        <w:tblInd w:w="0" w:type="dxa"/>
        <w:tblLayout w:type="fixed"/>
        <w:tblCellMar>
          <w:top w:w="28" w:type="dxa"/>
          <w:left w:w="28" w:type="dxa"/>
          <w:bottom w:w="28" w:type="dxa"/>
          <w:right w:w="28" w:type="dxa"/>
        </w:tblCellMar>
      </w:tblPr>
      <w:tblGrid>
        <w:gridCol w:w="644"/>
        <w:gridCol w:w="566"/>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12 – Borrowings</w:t>
            </w:r>
          </w:p>
        </w:tc>
      </w:tr>
    </w:tbl>
    <w:tbl>
      <w:tblPr>
        <w:tblW w:w="10205" w:type="dxa"/>
        <w:jc w:val="center"/>
        <w:tblInd w:w="0" w:type="dxa"/>
        <w:tblLayout w:type="fixed"/>
        <w:tblCellMar>
          <w:top w:w="28" w:type="dxa"/>
          <w:left w:w="28" w:type="dxa"/>
          <w:bottom w:w="28" w:type="dxa"/>
          <w:right w:w="28" w:type="dxa"/>
        </w:tblCellMar>
      </w:tblPr>
      <w:tblGrid>
        <w:gridCol w:w="741"/>
        <w:gridCol w:w="649"/>
        <w:gridCol w:w="653"/>
        <w:gridCol w:w="128"/>
        <w:gridCol w:w="128"/>
        <w:gridCol w:w="128"/>
        <w:gridCol w:w="128"/>
        <w:gridCol w:w="128"/>
        <w:gridCol w:w="293"/>
        <w:gridCol w:w="293"/>
        <w:gridCol w:w="294"/>
        <w:gridCol w:w="109"/>
        <w:gridCol w:w="109"/>
        <w:gridCol w:w="109"/>
        <w:gridCol w:w="263"/>
        <w:gridCol w:w="263"/>
        <w:gridCol w:w="264"/>
        <w:gridCol w:w="111"/>
        <w:gridCol w:w="111"/>
        <w:gridCol w:w="111"/>
        <w:gridCol w:w="215"/>
        <w:gridCol w:w="628"/>
        <w:gridCol w:w="111"/>
        <w:gridCol w:w="109"/>
        <w:gridCol w:w="109"/>
        <w:gridCol w:w="109"/>
        <w:gridCol w:w="213"/>
        <w:gridCol w:w="622"/>
        <w:gridCol w:w="274"/>
        <w:gridCol w:w="109"/>
        <w:gridCol w:w="109"/>
        <w:gridCol w:w="109"/>
        <w:gridCol w:w="215"/>
        <w:gridCol w:w="628"/>
        <w:gridCol w:w="276"/>
        <w:gridCol w:w="109"/>
        <w:gridCol w:w="109"/>
        <w:gridCol w:w="109"/>
        <w:gridCol w:w="218"/>
        <w:gridCol w:w="638"/>
        <w:gridCol w:w="173"/>
      </w:tblGrid>
      <w:tr>
        <w:trPr/>
        <w:tc>
          <w:tcPr>
            <w:tcW w:w="74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563" w:type="dxa"/>
            <w:gridSpan w:val="11"/>
            <w:tcBorders/>
            <w:tcMar>
              <w:top w:w="0" w:type="dxa"/>
              <w:left w:w="0" w:type="dxa"/>
              <w:bottom w:w="0" w:type="dxa"/>
              <w:right w:w="0" w:type="dxa"/>
            </w:tcMar>
            <w:vAlign w:val="center"/>
          </w:tcPr>
          <w:p>
            <w:pPr>
              <w:pStyle w:val="TableContents"/>
              <w:bidi w:val="0"/>
              <w:spacing w:lineRule="auto" w:line="240" w:before="120" w:after="120"/>
              <w:jc w:val="left"/>
              <w:rPr>
                <w:rFonts w:ascii="Times New Roman;sans-serif" w:hAnsi="Times New Roman;sans-serif"/>
                <w:b/>
                <w:color w:val="000000"/>
                <w:sz w:val="20"/>
              </w:rPr>
            </w:pPr>
            <w:r>
              <w:rPr>
                <w:rFonts w:ascii="Times New Roman;sans-serif" w:hAnsi="Times New Roman;sans-serif"/>
                <w:b/>
                <w:color w:val="000000"/>
                <w:sz w:val="20"/>
              </w:rPr>
              <w:t>Advance Match Funded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c>
          <w:tcPr>
            <w:tcW w:w="1356" w:type="dxa"/>
            <w:gridSpan w:val="6"/>
            <w:tcBorders/>
          </w:tcPr>
          <w:p>
            <w:pPr>
              <w:pStyle w:val="TableContents"/>
              <w:bidi w:val="0"/>
              <w:spacing w:before="0" w:after="283"/>
              <w:jc w:val="left"/>
              <w:rPr>
                <w:sz w:val="4"/>
                <w:szCs w:val="4"/>
              </w:rPr>
            </w:pPr>
            <w:r>
              <w:rPr>
                <w:sz w:val="4"/>
                <w:szCs w:val="4"/>
              </w:rPr>
            </w:r>
          </w:p>
        </w:tc>
      </w:tr>
      <w:tr>
        <w:trPr/>
        <w:tc>
          <w:tcPr>
            <w:tcW w:w="20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 Date (1)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Available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 2022</w:t>
            </w:r>
          </w:p>
        </w:tc>
      </w:tr>
      <w:tr>
        <w:trPr/>
        <w:tc>
          <w:tcPr>
            <w:tcW w:w="2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 xml:space="preserve">Ocwen Master Advance Receivables Trust (OMART) </w:t>
            </w:r>
            <w:r>
              <w:rPr>
                <w:rFonts w:ascii="Times New Roman;sans-serif" w:hAnsi="Times New Roman;sans-serif"/>
                <w:b w:val="false"/>
                <w:color w:val="000000"/>
                <w:sz w:val="20"/>
              </w:rPr>
              <w:t xml:space="preserve">- Advance Receivables Backed Notes - Series 2015-VF5 </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Ocwen GSE Advance Funding (OGAF</w:t>
            </w:r>
            <w:r>
              <w:rPr>
                <w:rFonts w:ascii="Times New Roman;sans-serif" w:hAnsi="Times New Roman;sans-serif"/>
                <w:b w:val="false"/>
                <w:color w:val="000000"/>
                <w:sz w:val="20"/>
              </w:rPr>
              <w:t xml:space="preserve">) - Advance Receivables Backed Notes, Series 2015-VF1 </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EBO Advance facility (3)</w:t>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9"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(4)</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amortization date of our facilities is the date on which the revolving period ends under each advance facility note and repayment of the outstanding balance must begin if the note is not renewed or extended. In all of our advance facilities, there are multiple notes outstanding. After the amortization date for each note,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 committed borrowing capacity under the OMART and OGAF facilities is available to us provided that we have sufficient eligible collateral to pledge. At June 30, 2023, none of the available borrowing capacity of the OMART and OGAF advance financing notes could be used based on the amount of eligible collateral.</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(3)</w:t>
      </w:r>
      <w:r>
        <w:rPr>
          <w:rFonts w:ascii="Times New Roman;sans-serif" w:hAnsi="Times New Roman;sans-serif"/>
          <w:b w:val="false"/>
          <w:color w:val="000000"/>
          <w:sz w:val="18"/>
        </w:rPr>
        <w:t>We entered into a loan and security agreement to finance the acquisition of advances in connection with the early buyout of certain fixed-rate, fully-amortizing FHA-insured residential mortgage loans. At June 30, 2023, none of the available borrowing capacity of the facility could be used based on the amount of eligible collateral.</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(4)The weighted average interest rate, excluding the effect of the amortization of prepaid lender fees. At June 30, 2023 and December 31, 2022, the balance of unamortized prepaid lender fees was $0.5 million and $2.3 million, respectively, and are included in Other assets in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326" w:type="dxa"/>
        <w:jc w:val="left"/>
        <w:tblInd w:w="0" w:type="dxa"/>
        <w:tblLayout w:type="fixed"/>
        <w:tblCellMar>
          <w:top w:w="28" w:type="dxa"/>
          <w:left w:w="28" w:type="dxa"/>
          <w:bottom w:w="28" w:type="dxa"/>
          <w:right w:w="28" w:type="dxa"/>
        </w:tblCellMar>
      </w:tblPr>
      <w:tblGrid>
        <w:gridCol w:w="561"/>
        <w:gridCol w:w="334"/>
        <w:gridCol w:w="336"/>
        <w:gridCol w:w="109"/>
        <w:gridCol w:w="109"/>
        <w:gridCol w:w="109"/>
        <w:gridCol w:w="394"/>
        <w:gridCol w:w="394"/>
        <w:gridCol w:w="398"/>
        <w:gridCol w:w="109"/>
        <w:gridCol w:w="109"/>
        <w:gridCol w:w="109"/>
        <w:gridCol w:w="319"/>
        <w:gridCol w:w="319"/>
        <w:gridCol w:w="308"/>
        <w:gridCol w:w="109"/>
        <w:gridCol w:w="109"/>
        <w:gridCol w:w="109"/>
        <w:gridCol w:w="109"/>
        <w:gridCol w:w="109"/>
        <w:gridCol w:w="294"/>
        <w:gridCol w:w="859"/>
        <w:gridCol w:w="153"/>
        <w:gridCol w:w="109"/>
        <w:gridCol w:w="109"/>
        <w:gridCol w:w="109"/>
        <w:gridCol w:w="211"/>
        <w:gridCol w:w="766"/>
        <w:gridCol w:w="271"/>
        <w:gridCol w:w="109"/>
        <w:gridCol w:w="109"/>
        <w:gridCol w:w="109"/>
        <w:gridCol w:w="211"/>
        <w:gridCol w:w="766"/>
        <w:gridCol w:w="271"/>
        <w:gridCol w:w="109"/>
        <w:gridCol w:w="109"/>
        <w:gridCol w:w="109"/>
        <w:gridCol w:w="211"/>
        <w:gridCol w:w="616"/>
        <w:gridCol w:w="154"/>
      </w:tblGrid>
      <w:tr>
        <w:trPr/>
        <w:tc>
          <w:tcPr>
            <w:tcW w:w="56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1"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Mortgage Loan Financing Facilities, net</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Available Borrowing Capacity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color w:val="000000"/>
                <w:sz w:val="20"/>
              </w:rPr>
            </w:pPr>
            <w:r>
              <w:rPr>
                <w:rFonts w:ascii="Times New Roman;sans-serif" w:hAnsi="Times New Roman;sans-serif"/>
                <w:b/>
                <w:color w:val="000000"/>
                <w:sz w:val="20"/>
              </w:rPr>
              <w:t>Dec. 31, 2022</w:t>
            </w:r>
          </w:p>
        </w:tc>
      </w:tr>
      <w:tr>
        <w:trPr/>
        <w:tc>
          <w:tcPr>
            <w:tcW w:w="12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$175 million Master repurchase agreement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Loans held for sale (LHFS), Receivables and 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repurchase agreement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Loans Held for Investment (LHFI)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million Mortgage warehouse agreement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Participation agreement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November 2023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$173 million Master repurchase agreement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LHFI and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repurchase agreement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million Mortgage warehouse agreement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LHFI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$204 million Mortgage warehouse agreement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LHFI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$230 million Mortgage warehouse agreement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repurchase agreement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 million Loan and security agreement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 million Master repurchase agreement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 and LHFI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million Master repurchase agreement (13)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LHFS,</w:t>
              <w:br/>
              <w:t>Receivables and REO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OLIT Asset-Backed Notes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Reverse LHFS,</w:t>
              <w:br/>
              <w:t>Receivables and REO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2036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Mortgage Loan Financing Facilities,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2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and debt issuance costs - OLIT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5868" w:type="dxa"/>
            <w:gridSpan w:val="2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Mortgage Loan Financing Facilities,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8" w:type="dxa"/>
            <w:gridSpan w:val="2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interest rate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8"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(1)Of the borrowing capacity on mortgage loan financing facilities extended on a committed basis, $1.7 million of the available borrowing capacity could be used at June 30, 2023 based on the amount of eligible collateral that could be pledged.</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(2)</w:t>
      </w:r>
      <w:r>
        <w:rPr>
          <w:rFonts w:ascii="Times New Roman;sans-serif" w:hAnsi="Times New Roman;sans-serif"/>
          <w:b w:val="false"/>
          <w:color w:val="000000"/>
          <w:sz w:val="18"/>
        </w:rPr>
        <w:t>On February 9, 2023, we voluntarily allowed the facility to mature.</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(3)</w:t>
      </w:r>
      <w:r>
        <w:rPr>
          <w:color w:val="000000"/>
        </w:rPr>
        <w:t xml:space="preserve"> </w:t>
      </w:r>
      <w:r>
        <w:rPr>
          <w:rFonts w:ascii="Times New Roman;sans-serif" w:hAnsi="Times New Roman;sans-serif"/>
          <w:b w:val="false"/>
          <w:color w:val="000000"/>
          <w:sz w:val="18"/>
        </w:rPr>
        <w:t>This agreement has no stated maturity dat</w:t>
      </w:r>
      <w:r>
        <w:rPr>
          <w:rFonts w:ascii="Times New Roman;sans-serif" w:hAnsi="Times New Roman;sans-serif"/>
          <w:b w:val="false"/>
          <w:color w:val="000000"/>
          <w:sz w:val="18"/>
          <w:shd w:fill="FFFFFF" w:val="clear"/>
        </w:rPr>
        <w:t>e.</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(4)In June 2023, the maturity date of this facility was extended to</w:t>
      </w:r>
      <w:r>
        <w:rPr>
          <w:color w:val="000000"/>
        </w:rPr>
        <w:t xml:space="preserve"> </w:t>
      </w:r>
      <w:r>
        <w:rPr>
          <w:rFonts w:ascii="Times New Roman;sans-serif" w:hAnsi="Times New Roman;sans-serif"/>
          <w:b w:val="false"/>
          <w:color w:val="000000"/>
          <w:sz w:val="18"/>
        </w:rPr>
        <w:t xml:space="preserve">July 22, 2023 and the uncommitted borrowing capacity was increased to $400.0 million. In July 2023, </w:t>
      </w:r>
      <w:r>
        <w:rPr>
          <w:rFonts w:ascii="Times New Roman;sans-serif" w:hAnsi="Times New Roman;sans-serif"/>
          <w:b w:val="false"/>
          <w:color w:val="000000"/>
          <w:sz w:val="18"/>
          <w:shd w:fill="FFFFFF" w:val="clear"/>
        </w:rPr>
        <w:t>the maturity date was further extended to November</w:t>
      </w:r>
      <w:r>
        <w:rPr>
          <w:color w:val="000000"/>
        </w:rPr>
        <w:t xml:space="preserve"> </w:t>
      </w:r>
      <w:r>
        <w:rPr>
          <w:rFonts w:ascii="Times New Roman;sans-serif" w:hAnsi="Times New Roman;sans-serif"/>
          <w:b w:val="false"/>
          <w:color w:val="000000"/>
          <w:sz w:val="18"/>
        </w:rPr>
        <w:t>30, 2023 and the uncommitted borrowing capacity was increased to $650.0 million.</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 xml:space="preserve">(5)In June 2023, the maturity date of this facility was extended to </w:t>
      </w:r>
      <w:r>
        <w:rPr>
          <w:rFonts w:ascii="Times New Roman;sans-serif" w:hAnsi="Times New Roman;sans-serif"/>
          <w:b w:val="false"/>
          <w:color w:val="000000"/>
          <w:sz w:val="18"/>
        </w:rPr>
        <w:t>July 22, 2023 and further extended to August 22, 2023 in July 2023.</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(6)In June 2023, the maturity date of this facility was extended to June</w:t>
      </w:r>
      <w:r>
        <w:rPr>
          <w:color w:val="000000"/>
        </w:rPr>
        <w:t xml:space="preserve"> </w:t>
      </w:r>
      <w:r>
        <w:rPr>
          <w:rFonts w:ascii="Times New Roman;sans-serif" w:hAnsi="Times New Roman;sans-serif"/>
          <w:b w:val="false"/>
          <w:color w:val="000000"/>
          <w:sz w:val="18"/>
        </w:rPr>
        <w:t>22, 2024.</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(7)In June 2023, the maturity date of this facility was extended to</w:t>
      </w:r>
      <w:r>
        <w:rPr>
          <w:color w:val="000000"/>
        </w:rPr>
        <w:t xml:space="preserve"> </w:t>
      </w:r>
      <w:r>
        <w:rPr>
          <w:rFonts w:ascii="Times New Roman;sans-serif" w:hAnsi="Times New Roman;sans-serif"/>
          <w:b w:val="false"/>
          <w:color w:val="000000"/>
          <w:sz w:val="18"/>
        </w:rPr>
        <w:t xml:space="preserve">July 14, 2023. In July 2023, </w:t>
      </w:r>
      <w:r>
        <w:rPr>
          <w:rFonts w:ascii="Times New Roman;sans-serif" w:hAnsi="Times New Roman;sans-serif"/>
          <w:b w:val="false"/>
          <w:color w:val="000000"/>
          <w:sz w:val="18"/>
          <w:shd w:fill="FFFFFF" w:val="clear"/>
        </w:rPr>
        <w:t xml:space="preserve">the maturity date was further extended to October 12, 2023 and </w:t>
      </w:r>
      <w:r>
        <w:rPr>
          <w:rFonts w:ascii="Times New Roman;sans-serif" w:hAnsi="Times New Roman;sans-serif"/>
          <w:b w:val="false"/>
          <w:color w:val="000000"/>
          <w:sz w:val="18"/>
        </w:rPr>
        <w:t>the committed borrowing capacity was reduced to $40.0 million.</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 xml:space="preserve">(8)In May 2023, the maturity date of this facility was extended to </w:t>
      </w:r>
      <w:r>
        <w:rPr>
          <w:rFonts w:ascii="Times New Roman;sans-serif" w:hAnsi="Times New Roman;sans-serif"/>
          <w:b w:val="false"/>
          <w:color w:val="000000"/>
          <w:sz w:val="18"/>
        </w:rPr>
        <w:t>March 31, 2024 and the interest rate margin was revised</w:t>
      </w:r>
      <w:r>
        <w:rPr>
          <w:rFonts w:ascii="Times New Roman;sans-serif" w:hAnsi="Times New Roman;sans-serif"/>
          <w:b w:val="false"/>
          <w:color w:val="000000"/>
          <w:sz w:val="18"/>
          <w:shd w:fill="FFFFFF" w:val="clear"/>
        </w:rPr>
        <w: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(9)The agreement has no stated maturity date, however each transaction has a maximum duration of four years. </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(10)</w:t>
      </w:r>
      <w:r>
        <w:rPr>
          <w:rFonts w:ascii="Times New Roman;sans-serif" w:hAnsi="Times New Roman;sans-serif"/>
          <w:b w:val="false"/>
          <w:color w:val="000000"/>
          <w:sz w:val="18"/>
        </w:rPr>
        <w:t xml:space="preserve">This repurchase agreement provides borrowing at our discretion up to a certain maximum amount of capacity on a rolling 30-day committed basis. This facility is structured as a gestation repurchase facility whereby dry Agency mortgage loans are transferred to a trust which issues a trust certificate that is pledged as the collateral for the borrowings. Each certificate is renewed monthly and the interest rate for this facility is 1 month Term </w:t>
      </w:r>
      <w:r>
        <w:rPr>
          <w:rFonts w:ascii="Times New Roman;sans-serif" w:hAnsi="Times New Roman;sans-serif"/>
          <w:b w:val="false"/>
          <w:color w:val="000000"/>
          <w:sz w:val="18"/>
          <w:shd w:fill="FFFFFF" w:val="clear"/>
        </w:rPr>
        <w:t>Secured Overnight Financing Rate</w:t>
      </w:r>
      <w:r>
        <w:rPr>
          <w:color w:val="000000"/>
        </w:rPr>
        <w:t xml:space="preserve"> </w:t>
      </w:r>
      <w:r>
        <w:rPr>
          <w:rFonts w:ascii="Times New Roman;sans-serif" w:hAnsi="Times New Roman;sans-serif"/>
          <w:b w:val="false"/>
          <w:color w:val="000000"/>
          <w:sz w:val="18"/>
        </w:rPr>
        <w:t xml:space="preserve">(SOFR) plus applicable margin. See Note 2 – Securitizations and Variable Interest Entities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(11)</w:t>
      </w:r>
      <w:r>
        <w:rPr>
          <w:rFonts w:ascii="Times New Roman;sans-serif" w:hAnsi="Times New Roman;sans-serif"/>
          <w:b w:val="false"/>
          <w:color w:val="000000"/>
          <w:sz w:val="18"/>
        </w:rPr>
        <w:t xml:space="preserve">This revolving facility agreement provides committed borrowing capacity secured by eligible HECM loans that are active buyouts, as defined in the agreement. </w:t>
      </w:r>
      <w:r>
        <w:rPr>
          <w:rFonts w:ascii="Times New Roman;sans-serif" w:hAnsi="Times New Roman;sans-serif"/>
          <w:b w:val="false"/>
          <w:color w:val="000000"/>
          <w:sz w:val="18"/>
          <w:shd w:fill="FFFFFF" w:val="clear"/>
        </w:rPr>
        <w:t>In April 2023, the maturity date of this facility was extended to March 31,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(12)In April 2023, the maturity date of this facility was extended to April 6, 2024.</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(13)</w:t>
      </w:r>
      <w:r>
        <w:rPr>
          <w:rFonts w:ascii="Times New Roman;sans-serif" w:hAnsi="Times New Roman;sans-serif"/>
          <w:b w:val="false"/>
          <w:color w:val="000000"/>
          <w:sz w:val="18"/>
        </w:rPr>
        <w:t>On April 3, 2023, we entered into a master repurchase agreement with a total uncommitted borrowing capacity of $200.0 million to finance the purchase of reverse mortgage loans held for sale, claim receivables from HUD and REOs at an interest rate of 1M Term SOFR plus applicable margin.</w:t>
      </w:r>
    </w:p>
    <w:p>
      <w:pPr>
        <w:pStyle w:val="TextBody"/>
        <w:bidi w:val="0"/>
        <w:spacing w:lineRule="auto" w:line="256" w:before="0" w:after="0"/>
        <w:ind w:left="0" w:right="0" w:hanging="360"/>
        <w:jc w:val="left"/>
        <w:rPr/>
      </w:pPr>
      <w:r>
        <w:rPr>
          <w:rFonts w:ascii="Times New Roman;sans-serif" w:hAnsi="Times New Roman;sans-serif"/>
          <w:b w:val="false"/>
          <w:color w:val="000000"/>
          <w:sz w:val="20"/>
        </w:rPr>
        <w:t>(14)</w:t>
      </w:r>
      <w:r>
        <w:rPr>
          <w:rFonts w:ascii="Times New Roman;sans-serif" w:hAnsi="Times New Roman;sans-serif"/>
          <w:b w:val="false"/>
          <w:color w:val="000000"/>
          <w:sz w:val="18"/>
        </w:rPr>
        <w:t xml:space="preserve">In June 2023, OLIT issued different classes of Asset-Backed Notes at a discount, with a stated interest rate of 3.0% and a mandatory call date of June 2026. Payments of interest and principal are made from available funds from a pool of reverse mortgage buyout loans and REOs in accordance with the indenture priority of payments. Also see Note 2 – Securitizations and Variable Interest Entities.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(15)The weighted average interest rate excludes the effect of the amortization of prepaid lender fees. At June 30, 2023 and December 31, 2022, unamortized prepaid lender fees were $1.5 million and $0.5 million, respectively, and are included in Other assets in our consolidated balance sheets.</w:t>
      </w:r>
    </w:p>
    <w:tbl>
      <w:tblPr>
        <w:tblW w:w="12418" w:type="dxa"/>
        <w:jc w:val="left"/>
        <w:tblInd w:w="0" w:type="dxa"/>
        <w:tblLayout w:type="fixed"/>
        <w:tblCellMar>
          <w:top w:w="28" w:type="dxa"/>
          <w:left w:w="28" w:type="dxa"/>
          <w:bottom w:w="28" w:type="dxa"/>
          <w:right w:w="28" w:type="dxa"/>
        </w:tblCellMar>
      </w:tblPr>
      <w:tblGrid>
        <w:gridCol w:w="1221"/>
        <w:gridCol w:w="334"/>
        <w:gridCol w:w="336"/>
        <w:gridCol w:w="109"/>
        <w:gridCol w:w="109"/>
        <w:gridCol w:w="109"/>
        <w:gridCol w:w="325"/>
        <w:gridCol w:w="325"/>
        <w:gridCol w:w="326"/>
        <w:gridCol w:w="109"/>
        <w:gridCol w:w="109"/>
        <w:gridCol w:w="109"/>
        <w:gridCol w:w="109"/>
        <w:gridCol w:w="109"/>
        <w:gridCol w:w="290"/>
        <w:gridCol w:w="290"/>
        <w:gridCol w:w="291"/>
        <w:gridCol w:w="211"/>
        <w:gridCol w:w="511"/>
        <w:gridCol w:w="109"/>
        <w:gridCol w:w="379"/>
        <w:gridCol w:w="730"/>
        <w:gridCol w:w="197"/>
        <w:gridCol w:w="211"/>
        <w:gridCol w:w="511"/>
        <w:gridCol w:w="109"/>
        <w:gridCol w:w="266"/>
        <w:gridCol w:w="646"/>
        <w:gridCol w:w="139"/>
        <w:gridCol w:w="211"/>
        <w:gridCol w:w="616"/>
        <w:gridCol w:w="109"/>
        <w:gridCol w:w="211"/>
        <w:gridCol w:w="616"/>
        <w:gridCol w:w="109"/>
        <w:gridCol w:w="211"/>
        <w:gridCol w:w="616"/>
        <w:gridCol w:w="109"/>
        <w:gridCol w:w="211"/>
        <w:gridCol w:w="616"/>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Financing Facilities,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Available Borrowing Capacity</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Borrowing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Un-committed</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Committed (1)</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 31, 2022</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$265 million Agency MSR financing facility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2024</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$200 million Ginnie Mae MSR financing facility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 Advances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Ocwen Excess Spread-Collateralized Notes, Series 2022-PLS1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 2025</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Notes, Ocwen Asset Servicing Income Series Notes, Series 2014-1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 2028</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$400 million Agency MSR financing facility - revolving loan (6)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MSRs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2025</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MSR financing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2"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 PLS Notes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31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MSR financing facilities,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interest rate (8)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7.88%</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1917"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(1)Of the borrowing capacity on MSR financing facilities extended on a committed basis, $18.1 million of the available borrowing capacity could be used at June 30, 2023 based on the amount of eligible collateral that could be pledged.</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(2)</w:t>
      </w:r>
      <w:r>
        <w:rPr>
          <w:rFonts w:ascii="Times New Roman;sans-serif" w:hAnsi="Times New Roman;sans-serif"/>
          <w:b w:val="false"/>
          <w:color w:val="000000"/>
          <w:sz w:val="18"/>
        </w:rPr>
        <w:t xml:space="preserve">PMC’s obligations under this facility are secured by a lien on the related MSRs. Ocwen guarantees the obligations of PMC under this facility. See Note 2 – Securitizations and Variable Interest Entities for additional information. We are subject to daily margining requirements under the terms of the facility. </w:t>
      </w:r>
      <w:r>
        <w:rPr>
          <w:rFonts w:ascii="Times New Roman;sans-serif" w:hAnsi="Times New Roman;sans-serif"/>
          <w:b w:val="false"/>
          <w:color w:val="000000"/>
          <w:sz w:val="18"/>
          <w:shd w:fill="FFFFFF" w:val="clear"/>
        </w:rPr>
        <w:t>In June 2023, the maturity date of this facility was extended to June</w:t>
      </w:r>
      <w:r>
        <w:rPr>
          <w:color w:val="000000"/>
        </w:rPr>
        <w:t xml:space="preserve"> </w:t>
      </w:r>
      <w:r>
        <w:rPr>
          <w:rFonts w:ascii="Times New Roman;sans-serif" w:hAnsi="Times New Roman;sans-serif"/>
          <w:b w:val="false"/>
          <w:color w:val="000000"/>
          <w:sz w:val="18"/>
        </w:rPr>
        <w:t>28, 2024, the committed borrowing capacity was reduced by $185.0 million to $265.0 million, and the interest rate margin was revised.</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(3)</w:t>
      </w:r>
      <w:r>
        <w:rPr>
          <w:rFonts w:ascii="Times New Roman;sans-serif" w:hAnsi="Times New Roman;sans-serif"/>
          <w:b w:val="false"/>
          <w:color w:val="000000"/>
          <w:sz w:val="18"/>
        </w:rPr>
        <w:t xml:space="preserve">In connection with this facility, PMC entered into a repurchase agreement pursuant to which PMC has sold a participation certificate representing certain economic interests in the Ginnie Mae MSRs and servicing advances and has agreed to repurchase such participation certificate at a future date at the repurchase price set forth in the repurchase agreement. PMC’s obligations under this facility are secured by a lien on the related Ginnie Mae MSRs and servicing advances. Ocwen guarantees the obligations of PMC under the facility. See (2) above regarding daily margining requirements. In April 2023, the maturity date of this facility was extended to April 26, 2024.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(4)The single class PLS Notes are an amortizing debt instrument with an original principal amount of $75.0 million and a fixed interest rate of 5.114%. The PLS Notes are issued by a trust (PLS Issuer) that is included in our consolidated financial statements, and PLS Issuer’s obligations under the facility are secured by a lien on the related PLS MSRs. Ocwen guarantees the obligations of PLS Issuer under the facility. The principal balance amortizes in accordance with a predetermined schedule subject to modification under certain events, with a final payment due in February 2025. See Note 2 – Securitizations and Variable Interest Entities for additional information.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pStyle w:val="TextBody"/>
        <w:bidi w:val="0"/>
        <w:spacing w:lineRule="auto" w:line="288" w:before="0" w:after="0"/>
        <w:ind w:left="0" w:right="0" w:hanging="360"/>
        <w:jc w:val="left"/>
        <w:rPr/>
      </w:pPr>
      <w:r>
        <w:rPr>
          <w:rFonts w:ascii="Times New Roman;sans-serif" w:hAnsi="Times New Roman;sans-serif"/>
          <w:b w:val="false"/>
          <w:color w:val="000000"/>
          <w:sz w:val="18"/>
          <w:shd w:fill="FFFFFF" w:val="clear"/>
        </w:rPr>
        <w:t>(6)</w:t>
      </w:r>
      <w:r>
        <w:rPr>
          <w:rFonts w:ascii="Times New Roman;sans-serif" w:hAnsi="Times New Roman;sans-serif"/>
          <w:b w:val="false"/>
          <w:color w:val="000000"/>
          <w:sz w:val="18"/>
        </w:rPr>
        <w:t>This facility includes a revolving loan secured by a lien on certain of PMC’s Agency MSRs and is subject to daily margining requirements. Any outstanding borrowings on the revolving loan will convert into a term loan in November 2024.</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(7)At June 30, 2023 and December 31, 2022, unamortized prepaid lender fees related to revolving type MSR financing facilities were $5.0 million and $4.9 million, respectively, and are included in Other assets in our consolidated balance sheets.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(8)Weighted average interest rate excluding the effect of the amortization of debt issuance costs and prepaid lender fees. </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0"/>
        <w:gridCol w:w="909"/>
        <w:gridCol w:w="912"/>
        <w:gridCol w:w="964"/>
        <w:gridCol w:w="964"/>
        <w:gridCol w:w="968"/>
        <w:gridCol w:w="109"/>
        <w:gridCol w:w="109"/>
        <w:gridCol w:w="109"/>
        <w:gridCol w:w="333"/>
        <w:gridCol w:w="333"/>
        <w:gridCol w:w="335"/>
        <w:gridCol w:w="255"/>
        <w:gridCol w:w="746"/>
        <w:gridCol w:w="131"/>
        <w:gridCol w:w="109"/>
        <w:gridCol w:w="109"/>
        <w:gridCol w:w="109"/>
        <w:gridCol w:w="312"/>
        <w:gridCol w:w="912"/>
        <w:gridCol w:w="237"/>
      </w:tblGrid>
      <w:tr>
        <w:trPr/>
        <w:tc>
          <w:tcPr>
            <w:tcW w:w="124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0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Notes</w:t>
            </w:r>
          </w:p>
        </w:tc>
        <w:tc>
          <w:tcPr>
            <w:tcW w:w="28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29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3061" w:type="dxa"/>
            <w:gridSpan w:val="3"/>
            <w:vMerge w:val="continue"/>
            <w:tcBorders/>
            <w:tcMar>
              <w:top w:w="0" w:type="dxa"/>
              <w:left w:w="0" w:type="dxa"/>
              <w:bottom w:w="0" w:type="dxa"/>
              <w:right w:w="0" w:type="dxa"/>
            </w:tcMar>
            <w:vAlign w:val="center"/>
          </w:tcPr>
          <w:p>
            <w:pPr>
              <w:pStyle w:val="Normal"/>
              <w:bidi w:val="0"/>
              <w:jc w:val="left"/>
              <w:rPr/>
            </w:pPr>
            <w:r>
              <w:rPr/>
            </w:r>
          </w:p>
        </w:tc>
        <w:tc>
          <w:tcPr>
            <w:tcW w:w="28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vMerge w:val="continue"/>
            <w:tcBorders/>
            <w:tcMar>
              <w:top w:w="0" w:type="dxa"/>
              <w:left w:w="0" w:type="dxa"/>
              <w:bottom w:w="0" w:type="dxa"/>
              <w:right w:w="0" w:type="dxa"/>
            </w:tcMar>
            <w:vAlign w:val="center"/>
          </w:tcPr>
          <w:p>
            <w:pPr>
              <w:pStyle w:val="Normal"/>
              <w:bidi w:val="0"/>
              <w:jc w:val="left"/>
              <w:rPr/>
            </w:pPr>
            <w:r>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 (2)</w:t>
            </w:r>
          </w:p>
        </w:tc>
        <w:tc>
          <w:tcPr>
            <w:tcW w:w="2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2026</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 (due to related parties) (3)</w:t>
            </w:r>
          </w:p>
        </w:tc>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 paid in cash or 13.25% paid-in-kind (see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2027</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Discount </w:t>
            </w:r>
          </w:p>
        </w:tc>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w:t>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OFC Senior Secured Notes </w:t>
            </w:r>
          </w:p>
        </w:tc>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Unamortized debt issuance costs </w:t>
            </w:r>
          </w:p>
        </w:tc>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w:t>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w:t>
            </w:r>
          </w:p>
        </w:tc>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1" w:type="dxa"/>
            <w:gridSpan w:val="3"/>
            <w:tcBorders/>
            <w:vAlign w:val="center"/>
          </w:tcPr>
          <w:p>
            <w:pPr>
              <w:pStyle w:val="TableContents"/>
              <w:bidi w:val="0"/>
              <w:spacing w:before="0" w:after="283"/>
              <w:jc w:val="left"/>
              <w:rPr>
                <w:sz w:val="4"/>
                <w:szCs w:val="4"/>
              </w:rPr>
            </w:pPr>
            <w:r>
              <w:rPr>
                <w:sz w:val="4"/>
                <w:szCs w:val="4"/>
              </w:rPr>
            </w:r>
          </w:p>
        </w:tc>
        <w:tc>
          <w:tcPr>
            <w:tcW w:w="2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(1)Excluding the effect of the amortization of debt issuance costs and discount.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(2)Redeemable at 103.938% and 101.969% before March 15, 2024 and March 15, 2025, respectively, at par thereafter. The Indenture contains customary covenants that limit the ability of PHH Corporation (PHH) and its restricted subsidiaries (including PMC) to, among other things, (i) incur or guarantee additional indebtedness, (ii) incur liens, (iii) pay dividends on or make distributions in respect of PHH’s capital stock or make other restricted payments, (iv) make investments, (v) consolidate, merge, sell or otherwise dispose of certain assets, and (vi) enter into transactions with Ocwen’s affiliates.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(3)Redeemable at par plus a make-whole premium prior to March 4, 2026, at par thereafter. The make-whole premium represents the present value of all scheduled interest payments due through March 4, 2026. The Notes are solely the obligation of Ocwen and are secured by a pledge of substantially all of the assets of Ocwen, including its directly held subsidiaries.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Credit Ratings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Credit ratings are intended to be an indicator of the creditworthiness of a company’s debt obligations. On January 24, 2023, S&amp;P affirmed the issuer credit rating for Ocwen of “B-” and the “B” rating of the PMC Senior Secured Notes. On August 15, 2022, Moody’s affirmed PMC’s long-term corporate family ratings of Caa1 and revised their outlook to Positive from Stable. It is possible that additional actions by credit rating agencies could have a material adverse impact on our liquidity and funding position, including materially changing the terms on which we may be able to borrow money.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our debt agreements, we are subject to various affirmative and negative covenants. Collectively, these covenants include: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Financial covenants, including, but not limited to, specified levels of net worth, liquidity and leverage;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Covenants to operate in material compliance with applicable laws;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Restrictions on our ability to engage in various activities, including but not limited to incurring or guarantying additional forms of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or of PHH or PMC and their respective subsidiaries, creating liens on assets to secure debt, and entering into transactions with affiliates;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Monitoring and reporting of various specified transactions or events, including specific reporting on defined events affecting collateral underlying certain debt agreements;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Requirements to provide audited financial statements within specified timeframes, including requirements that Ocwen’s financial statements and the related audit report be unqualified as to going concern.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restrictive consolidated net worth requirement contained in our debt agreements with borrowings outstanding at June 30, 2023 is a minimum of $300.0 million tangible net worth for both Ocwen and PMC, as defined in certain of our mortgage warehouse, MSR financing and advance financing facilities agreements. The most restrictive liquidity requirement under our debt agreements with borrowings outstanding at June 30, 2023 is for a minimum of $75.0 million for both Ocwen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PMC consolidated liquidity, as defined, under certain of our MSR financing facilities and mortgage warehouse agreements. The minimum tangible net worth and liquidity requirements at PMC are also subject to the minimum requirement set forth by the Agencies. See also Note 18 – Regulatory Requirements.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were in compliance with all of the covenants in our debt agreements as of the date of these unaudited consolidated financial statements.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Collateral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assets held as collateral for secured borrowings and other unencumbered assets which may be subject to a lien under various collateralized borrowings are as follows at June 30, 2023: </w:t>
      </w:r>
    </w:p>
    <w:tbl>
      <w:tblPr>
        <w:tblW w:w="10205" w:type="dxa"/>
        <w:jc w:val="center"/>
        <w:tblInd w:w="0" w:type="dxa"/>
        <w:tblLayout w:type="fixed"/>
        <w:tblCellMar>
          <w:top w:w="28" w:type="dxa"/>
          <w:left w:w="28" w:type="dxa"/>
          <w:bottom w:w="28" w:type="dxa"/>
          <w:right w:w="28" w:type="dxa"/>
        </w:tblCellMar>
      </w:tblPr>
      <w:tblGrid>
        <w:gridCol w:w="1020"/>
        <w:gridCol w:w="748"/>
        <w:gridCol w:w="761"/>
        <w:gridCol w:w="211"/>
        <w:gridCol w:w="871"/>
        <w:gridCol w:w="109"/>
        <w:gridCol w:w="109"/>
        <w:gridCol w:w="109"/>
        <w:gridCol w:w="109"/>
        <w:gridCol w:w="211"/>
        <w:gridCol w:w="871"/>
        <w:gridCol w:w="109"/>
        <w:gridCol w:w="109"/>
        <w:gridCol w:w="109"/>
        <w:gridCol w:w="109"/>
        <w:gridCol w:w="334"/>
        <w:gridCol w:w="1384"/>
        <w:gridCol w:w="173"/>
        <w:gridCol w:w="109"/>
        <w:gridCol w:w="109"/>
        <w:gridCol w:w="109"/>
        <w:gridCol w:w="109"/>
        <w:gridCol w:w="109"/>
        <w:gridCol w:w="411"/>
        <w:gridCol w:w="1203"/>
        <w:gridCol w:w="214"/>
        <w:gridCol w:w="109"/>
        <w:gridCol w:w="109"/>
        <w:gridCol w:w="158"/>
      </w:tblGrid>
      <w:tr>
        <w:trPr/>
        <w:tc>
          <w:tcPr>
            <w:tcW w:w="102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Pledged </w:t>
              <w:b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Collateralized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Unencumbered Assets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securitized (2)</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unsecuritized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MSRs (3)</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REO</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10,582.3 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(1)Certain assets are pledged as collateral to the PMC Senior Secured Notes and OFC Senior Secured (second lien) Notes.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(2)Reverse mortgage loans and real estate owned are pledged as collateral to the HMBS beneficial interest holders, and are not available to satisfy the claims of our creditors. Ginnie Mae, as guarantor of the HMBS, is obligated to the holders of the HMBS in an instance of PMC’s default on its servicing obligations, or if the proceeds realized on HECMs are insufficient to repay all outstanding HMBS related obligations. Ginnie Mae has recourse to PMC in connection with certain claims relating to the performance and obligations of PMC as both issuer of HMBS and servicer of HECMs underlying HMBS.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(3)Excludes MSRs transferred to MAV, Rithm and others, and associated Pledged MSR liability recorded as sale accounting criteria are not met. Pledged assets exceed the MSR asset balance due to the netting of certain PLS MSR portfolios with negative and positive fair values as eligible collateral. </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(4)The total of selected assets disclosed in the above table does not represent the total consolidated assets of Ocwen. For example, the total excludes premises and equipment and certain other assets.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OFC Senior Secured Notes due 2027 have a second lien priority on specified security interests, as defined under the OFC Senior Secured Note Agreement and listed in the table below, and have a priority lien on the following assets: investments by OFC in subsidiaries not guaranteeing the PMC Senior Secured Notes, including PHH and MAV; cash and investment accounts at OFC; and certain other assets, including receivables. </w:t>
      </w:r>
    </w:p>
    <w:tbl>
      <w:tblPr>
        <w:tblW w:w="4542" w:type="dxa"/>
        <w:jc w:val="left"/>
        <w:tblInd w:w="0" w:type="dxa"/>
        <w:tblLayout w:type="fixed"/>
        <w:tblCellMar>
          <w:top w:w="28" w:type="dxa"/>
          <w:left w:w="28" w:type="dxa"/>
          <w:bottom w:w="28" w:type="dxa"/>
          <w:right w:w="28" w:type="dxa"/>
        </w:tblCellMar>
      </w:tblPr>
      <w:tblGrid>
        <w:gridCol w:w="1141"/>
        <w:gridCol w:w="1003"/>
        <w:gridCol w:w="1006"/>
        <w:gridCol w:w="586"/>
        <w:gridCol w:w="374"/>
        <w:gridCol w:w="432"/>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net servicing advances</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deferred servicing fee</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MSR value less borrowings</w:t>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unrestricted cash balances</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advance facility reserves</w:t>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loan value</w:t>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Specified residual value</w:t>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415" w:type="dxa"/>
        <w:jc w:val="center"/>
        <w:tblInd w:w="0" w:type="dxa"/>
        <w:tblLayout w:type="fixed"/>
        <w:tblCellMar>
          <w:top w:w="28" w:type="dxa"/>
          <w:left w:w="28" w:type="dxa"/>
          <w:bottom w:w="28" w:type="dxa"/>
          <w:right w:w="28" w:type="dxa"/>
        </w:tblCellMar>
      </w:tblPr>
      <w:tblGrid>
        <w:gridCol w:w="774"/>
        <w:gridCol w:w="680"/>
        <w:gridCol w:w="961"/>
      </w:tblGrid>
      <w:tr>
        <w:trPr/>
        <w:tc>
          <w:tcPr>
            <w:tcW w:w="774"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13 – Other Liabilities</w:t>
            </w:r>
          </w:p>
        </w:tc>
      </w:tr>
    </w:tbl>
    <w:tbl>
      <w:tblPr>
        <w:tblW w:w="8800" w:type="dxa"/>
        <w:jc w:val="left"/>
        <w:tblInd w:w="0" w:type="dxa"/>
        <w:tblLayout w:type="fixed"/>
        <w:tblCellMar>
          <w:top w:w="28" w:type="dxa"/>
          <w:left w:w="28" w:type="dxa"/>
          <w:bottom w:w="28" w:type="dxa"/>
          <w:right w:w="28" w:type="dxa"/>
        </w:tblCellMar>
      </w:tblPr>
      <w:tblGrid>
        <w:gridCol w:w="1969"/>
        <w:gridCol w:w="1725"/>
        <w:gridCol w:w="1736"/>
        <w:gridCol w:w="287"/>
        <w:gridCol w:w="839"/>
        <w:gridCol w:w="148"/>
        <w:gridCol w:w="109"/>
        <w:gridCol w:w="109"/>
        <w:gridCol w:w="109"/>
        <w:gridCol w:w="380"/>
        <w:gridCol w:w="1110"/>
        <w:gridCol w:w="279"/>
      </w:tblGrid>
      <w:tr>
        <w:trPr/>
        <w:tc>
          <w:tcPr>
            <w:tcW w:w="196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loan repurchase liability</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Rithm - Advance collections, servicing fees and other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expenses </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Checks held for escheat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indemnification obligations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Servicing-related obligations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at fair value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uncertain tax positions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fees and settlements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for unfunded pension obligation and India gratuity plan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related payables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purchase price holdback</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insurance premium payable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servicing fee spread payable</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74" w:type="dxa"/>
        <w:jc w:val="left"/>
        <w:tblInd w:w="0" w:type="dxa"/>
        <w:tblLayout w:type="fixed"/>
        <w:tblCellMar>
          <w:top w:w="28" w:type="dxa"/>
          <w:left w:w="28" w:type="dxa"/>
          <w:bottom w:w="28" w:type="dxa"/>
          <w:right w:w="28" w:type="dxa"/>
        </w:tblCellMar>
      </w:tblPr>
      <w:tblGrid>
        <w:gridCol w:w="1850"/>
        <w:gridCol w:w="1626"/>
        <w:gridCol w:w="2298"/>
      </w:tblGrid>
      <w:tr>
        <w:trPr/>
        <w:tc>
          <w:tcPr>
            <w:tcW w:w="185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14 – Derivative Financial Instruments and Hedging Activities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fair value, notional and maturity of our derivative instruments. The notional amount of our contracts does not represent our exposure to credit loss. None of the derivatives were designated as a hedge for accounting purposes as of or during the six months ended June 30, 2023 and 2022. </w:t>
      </w:r>
    </w:p>
    <w:tbl>
      <w:tblPr>
        <w:tblW w:w="10205" w:type="dxa"/>
        <w:jc w:val="left"/>
        <w:tblInd w:w="0" w:type="dxa"/>
        <w:tblLayout w:type="fixed"/>
        <w:tblCellMar>
          <w:top w:w="28" w:type="dxa"/>
          <w:left w:w="28" w:type="dxa"/>
          <w:bottom w:w="28" w:type="dxa"/>
          <w:right w:w="28" w:type="dxa"/>
        </w:tblCellMar>
      </w:tblPr>
      <w:tblGrid>
        <w:gridCol w:w="1068"/>
        <w:gridCol w:w="937"/>
        <w:gridCol w:w="941"/>
        <w:gridCol w:w="109"/>
        <w:gridCol w:w="452"/>
        <w:gridCol w:w="452"/>
        <w:gridCol w:w="454"/>
        <w:gridCol w:w="211"/>
        <w:gridCol w:w="766"/>
        <w:gridCol w:w="109"/>
        <w:gridCol w:w="226"/>
        <w:gridCol w:w="616"/>
        <w:gridCol w:w="116"/>
        <w:gridCol w:w="109"/>
        <w:gridCol w:w="109"/>
        <w:gridCol w:w="109"/>
        <w:gridCol w:w="440"/>
        <w:gridCol w:w="440"/>
        <w:gridCol w:w="442"/>
        <w:gridCol w:w="211"/>
        <w:gridCol w:w="766"/>
        <w:gridCol w:w="109"/>
        <w:gridCol w:w="225"/>
        <w:gridCol w:w="615"/>
        <w:gridCol w:w="173"/>
      </w:tblGrid>
      <w:tr>
        <w:trPr/>
        <w:tc>
          <w:tcPr>
            <w:tcW w:w="106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Maturities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Assets (Other assets)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Nov. 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IRLCs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 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 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Forward loans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Apr.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 Sep. 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Feb. 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2023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option contracts</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 2023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net gains and losses of our derivative instruments recognized in our consolidated statement of operations.</w:t>
      </w:r>
    </w:p>
    <w:tbl>
      <w:tblPr>
        <w:tblW w:w="10205" w:type="dxa"/>
        <w:jc w:val="left"/>
        <w:tblInd w:w="0" w:type="dxa"/>
        <w:tblLayout w:type="fixed"/>
        <w:tblCellMar>
          <w:top w:w="28" w:type="dxa"/>
          <w:left w:w="28" w:type="dxa"/>
          <w:bottom w:w="28" w:type="dxa"/>
          <w:right w:w="28" w:type="dxa"/>
        </w:tblCellMar>
      </w:tblPr>
      <w:tblGrid>
        <w:gridCol w:w="1029"/>
        <w:gridCol w:w="796"/>
        <w:gridCol w:w="807"/>
        <w:gridCol w:w="225"/>
        <w:gridCol w:w="583"/>
        <w:gridCol w:w="116"/>
        <w:gridCol w:w="116"/>
        <w:gridCol w:w="116"/>
        <w:gridCol w:w="116"/>
        <w:gridCol w:w="225"/>
        <w:gridCol w:w="547"/>
        <w:gridCol w:w="116"/>
        <w:gridCol w:w="109"/>
        <w:gridCol w:w="109"/>
        <w:gridCol w:w="109"/>
        <w:gridCol w:w="217"/>
        <w:gridCol w:w="559"/>
        <w:gridCol w:w="112"/>
        <w:gridCol w:w="112"/>
        <w:gridCol w:w="112"/>
        <w:gridCol w:w="112"/>
        <w:gridCol w:w="217"/>
        <w:gridCol w:w="559"/>
        <w:gridCol w:w="112"/>
        <w:gridCol w:w="109"/>
        <w:gridCol w:w="109"/>
        <w:gridCol w:w="109"/>
        <w:gridCol w:w="944"/>
        <w:gridCol w:w="700"/>
        <w:gridCol w:w="1003"/>
      </w:tblGrid>
      <w:tr>
        <w:trPr/>
        <w:tc>
          <w:tcPr>
            <w:tcW w:w="102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2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Statement Line</w:t>
            </w:r>
          </w:p>
        </w:tc>
      </w:tr>
      <w:tr>
        <w:trPr/>
        <w:tc>
          <w:tcPr>
            <w:tcW w:w="2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Gain (loss)</w:t>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9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 IRLCs</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IRLCs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IRLCs (Equity IQ loans)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trades (economically hedging forward pipeline trades and EBO pipeline)</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 (Economic hedge)</w:t>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trades (economically hedging reverse pipeline trades)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 TBA trades and interest rate option contracts</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Reverse loans</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r>
      <w:tr>
        <w:trPr/>
        <w:tc>
          <w:tcPr>
            <w:tcW w:w="2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r>
      <w:tr>
        <w:trPr/>
        <w:tc>
          <w:tcPr>
            <w:tcW w:w="2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2"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MSR Hedging</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Under our MSR hedging strategy, the interest-rate sensitive MSR portfolio exposure to be hedged is defined as follows: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Agency MSR portfolio,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expected Agency MSR bulk transactions subject to letters of intent (LOI),</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less the Agency MSRs subject to our sale agreements with MAV, Rithm and others (See Note 8 — Other Financing Liabilities, at Fair Value),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less the asset value for securitized HECM loans, net of the corresponding HMBS-related borrowings. </w:t>
      </w:r>
    </w:p>
    <w:p>
      <w:pPr>
        <w:pStyle w:val="TextBody"/>
        <w:bidi w:val="0"/>
        <w:spacing w:lineRule="auto" w:line="288" w:before="120" w:after="120"/>
        <w:jc w:val="left"/>
        <w:rPr/>
      </w:pPr>
      <w:r>
        <w:rPr>
          <w:rFonts w:ascii="Times New Roman;sans-serif" w:hAnsi="Times New Roman;sans-serif"/>
          <w:b w:val="false"/>
          <w:color w:val="000000"/>
          <w:sz w:val="20"/>
        </w:rPr>
        <w:t>The objective of our MSR policy is to provide partial hedge coverage of interest-rate sensitive MSR portfolio exposure, considering market and liquidity conditions. The hedge coverage ratio, defined as the ratio of hedge and asset rate sensitivity (referred to as DV01) is subject to lower and upper thresholds, as modeled. Since September 2022, our hedge policy establishes a minimum 25% and 30% hedge coverage ratio required for interest rate declines less than, and more than 50 basis points, respectively.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During the second quarter of 2023, management raised its minimum hedge coverage ratio to 60%. With a partial hedge coverage ratio, the changes in fair value of our hedging instruments may not fully offset the changes in fair value of our net MSR portfolio exposure attributable to interest rate changes.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with the objective of enhancing the effectiveness of our interest rate hedging strategy.</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derivative instruments include forward trades of MBS or Agency TBAs with different banking counterparties, exchange-traded interest rate swap futures and interest rate options. These derivative instruments are not designated as accounting hedges. TBAs, or To-Be-Announced securities, are actively traded, forward contracts to purchase or sell Agency MBS on a specific future date. From time-to-time, we enter into exchange-traded options contracts with purchased put options financed by written call options. We report changes in fair value of these derivative instruments in MSR valuation adjustments, net in our consolidated statements of operations, within the Servicing segment. We may, from time to time, establish inter-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segment derivative instruments between the MSR and pipeline hedging strategies to minimize the use of third-party derivatives. The fair value gains and losses of such inter-segment derivatives effectively reclassify certain derivative gains and losses between MSR valuation adjustments, net within the Servicing segment and Gain on loans held for sale, net within the Originations segment to reflect the performance of these economic hedging strategies in the appropriate segments (see Note 17 – Business Segment Reporting for the amount of such reclassification). Such inter-segment derivatives are eliminated in our consolidated financial statements.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Pipeline Hedging - Interest Rate Lock Commitments and Loans Held for Sale, at Fair Value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Originations business, we are exposed to interest rate risk and related price risk during the period from the date of the interest rate lock commitment through (i) the lock commitment cancellation or expiration date or (ii) through the date of sale or securitization of the resulting loan into the secondary mortgage market. Loan commitments for forward loans generally range from 5 to 90 days, with the majority of our commitments to borrowers for 40 to 60 days and our commitments to correspondent sellers for 5 to 15 days. Loans held for sale are generally funded and sold within 5 to 30 days. This interest rate exposure of loans and IRLCs is economically hedged with derivative instruments, including forward sales of Agency TBAs. The objective of our pipeline hedging strategy is to reduce the volatility of the fair value of IRLCs and loans due to market interest rates, thus to preserve the initial gain on sale margin at lock date. We report changes in fair value of these derivative instruments as gain or loss on economic hedge instruments within either Gain on loans held for sale, net or Gain on reverse loans held for investment and HMBS-related borrowings, net in our consolidated statements of operations, respectively. See above description of inter-segment derivatives.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EBO and Loan Modification Hedging – Loans Held for Sale, at fair value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Effective February 2022, management started hedging certain Ginnie Mae EBO loans as well as loans in process of modification pending redelivery/re-securitization to manage interest rate risk. Such interest rate exposure on these loans held for sale accounted for at fair value is economically hedged using forward trades of TBAs. Changes in fair value of these derivative instruments are reported as gain or loss on economic hedge instruments within Gain on loans held for sale, net in our consolidated statements of operations. Beginning June 2022, management started hedging the in-process GNMA modification pipeline as well.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400" w:type="dxa"/>
        <w:jc w:val="left"/>
        <w:tblInd w:w="0" w:type="dxa"/>
        <w:tblLayout w:type="fixed"/>
        <w:tblCellMar>
          <w:top w:w="28" w:type="dxa"/>
          <w:left w:w="28" w:type="dxa"/>
          <w:bottom w:w="28" w:type="dxa"/>
          <w:right w:w="28" w:type="dxa"/>
        </w:tblCellMar>
      </w:tblPr>
      <w:tblGrid>
        <w:gridCol w:w="769"/>
        <w:gridCol w:w="676"/>
        <w:gridCol w:w="955"/>
      </w:tblGrid>
      <w:tr>
        <w:trPr/>
        <w:tc>
          <w:tcPr>
            <w:tcW w:w="7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15 – Interest Expense</w:t>
            </w:r>
          </w:p>
        </w:tc>
      </w:tr>
    </w:tbl>
    <w:tbl>
      <w:tblPr>
        <w:tblW w:w="8265" w:type="dxa"/>
        <w:jc w:val="left"/>
        <w:tblInd w:w="0" w:type="dxa"/>
        <w:tblLayout w:type="fixed"/>
        <w:tblCellMar>
          <w:top w:w="28" w:type="dxa"/>
          <w:left w:w="28" w:type="dxa"/>
          <w:bottom w:w="28" w:type="dxa"/>
          <w:right w:w="28" w:type="dxa"/>
        </w:tblCellMar>
      </w:tblPr>
      <w:tblGrid>
        <w:gridCol w:w="1047"/>
        <w:gridCol w:w="922"/>
        <w:gridCol w:w="925"/>
        <w:gridCol w:w="278"/>
        <w:gridCol w:w="674"/>
        <w:gridCol w:w="143"/>
        <w:gridCol w:w="143"/>
        <w:gridCol w:w="143"/>
        <w:gridCol w:w="143"/>
        <w:gridCol w:w="278"/>
        <w:gridCol w:w="674"/>
        <w:gridCol w:w="143"/>
        <w:gridCol w:w="109"/>
        <w:gridCol w:w="109"/>
        <w:gridCol w:w="109"/>
        <w:gridCol w:w="239"/>
        <w:gridCol w:w="700"/>
        <w:gridCol w:w="123"/>
        <w:gridCol w:w="123"/>
        <w:gridCol w:w="123"/>
        <w:gridCol w:w="123"/>
        <w:gridCol w:w="239"/>
        <w:gridCol w:w="580"/>
        <w:gridCol w:w="175"/>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9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894" w:type="dxa"/>
            <w:gridSpan w:val="3"/>
            <w:vMerge w:val="continue"/>
            <w:tcBorders/>
            <w:tcMar>
              <w:top w:w="0" w:type="dxa"/>
              <w:left w:w="0" w:type="dxa"/>
              <w:bottom w:w="0" w:type="dxa"/>
              <w:right w:w="0" w:type="dxa"/>
            </w:tcMar>
            <w:vAlign w:val="center"/>
          </w:tcPr>
          <w:p>
            <w:pPr>
              <w:pStyle w:val="Normal"/>
              <w:bidi w:val="0"/>
              <w:jc w:val="left"/>
              <w:rPr/>
            </w:pPr>
            <w:r>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OFC Senior Secured Notes (1)</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PMC Senior Secured Notes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ans-serif" w:hAnsi="Times New Roman;sans-serif"/>
          <w:b w:val="false"/>
          <w:color w:val="000000"/>
          <w:sz w:val="18"/>
        </w:rPr>
        <w:t xml:space="preserve">(1)Notes issued to Oaktree affiliates, inclusive of amortization of debt issuance costs and discount of $2.4 million and $4.7 million during the </w:t>
      </w:r>
      <w:r>
        <w:rPr>
          <w:rFonts w:ascii="Times New Roman;sans-serif" w:hAnsi="Times New Roman;sans-serif"/>
          <w:b w:val="false"/>
          <w:color w:val="000000"/>
          <w:sz w:val="20"/>
        </w:rPr>
        <w:t xml:space="preserve">three and six months ended June 30, 2023, respectively, </w:t>
      </w:r>
      <w:r>
        <w:rPr>
          <w:rFonts w:ascii="Times New Roman;sans-serif" w:hAnsi="Times New Roman;sans-serif"/>
          <w:b w:val="false"/>
          <w:color w:val="000000"/>
          <w:sz w:val="18"/>
        </w:rPr>
        <w:t xml:space="preserve">and $2.0 million and $3.9 million for the </w:t>
      </w:r>
      <w:r>
        <w:rPr>
          <w:rFonts w:ascii="Times New Roman;sans-serif" w:hAnsi="Times New Roman;sans-serif"/>
          <w:b w:val="false"/>
          <w:color w:val="000000"/>
          <w:sz w:val="20"/>
        </w:rPr>
        <w:t>three and six months ended June 30, 2022</w:t>
      </w:r>
      <w:r>
        <w:rPr>
          <w:rFonts w:ascii="Times New Roman;sans-serif" w:hAnsi="Times New Roman;sans-serif"/>
          <w:b w:val="false"/>
          <w:color w:val="000000"/>
          <w:sz w:val="18"/>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4185" w:type="dxa"/>
        <w:jc w:val="left"/>
        <w:tblInd w:w="0" w:type="dxa"/>
        <w:tblLayout w:type="fixed"/>
        <w:tblCellMar>
          <w:top w:w="28" w:type="dxa"/>
          <w:left w:w="28" w:type="dxa"/>
          <w:bottom w:w="28" w:type="dxa"/>
          <w:right w:w="28" w:type="dxa"/>
        </w:tblCellMar>
      </w:tblPr>
      <w:tblGrid>
        <w:gridCol w:w="1341"/>
        <w:gridCol w:w="1179"/>
        <w:gridCol w:w="1665"/>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4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16 – Basic and Diluted Earnings per Share</w:t>
            </w:r>
          </w:p>
        </w:tc>
      </w:tr>
    </w:tbl>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restricted stock awards, stock options and warrants as determined using the treasury stock method. For the six months ended June 30, 2023, we have excluded the effect of all stock options, common stock awards and warrants from the computation of diluted loss per share because of the anti-dilutive effect of our reported net loss.</w:t>
      </w:r>
    </w:p>
    <w:tbl>
      <w:tblPr>
        <w:tblW w:w="10205" w:type="dxa"/>
        <w:jc w:val="left"/>
        <w:tblInd w:w="0" w:type="dxa"/>
        <w:tblLayout w:type="fixed"/>
        <w:tblCellMar>
          <w:top w:w="28" w:type="dxa"/>
          <w:left w:w="28" w:type="dxa"/>
          <w:bottom w:w="28" w:type="dxa"/>
          <w:right w:w="28" w:type="dxa"/>
        </w:tblCellMar>
      </w:tblPr>
      <w:tblGrid>
        <w:gridCol w:w="1836"/>
        <w:gridCol w:w="1435"/>
        <w:gridCol w:w="1445"/>
        <w:gridCol w:w="285"/>
        <w:gridCol w:w="691"/>
        <w:gridCol w:w="124"/>
        <w:gridCol w:w="124"/>
        <w:gridCol w:w="124"/>
        <w:gridCol w:w="124"/>
        <w:gridCol w:w="285"/>
        <w:gridCol w:w="691"/>
        <w:gridCol w:w="124"/>
        <w:gridCol w:w="109"/>
        <w:gridCol w:w="109"/>
        <w:gridCol w:w="109"/>
        <w:gridCol w:w="279"/>
        <w:gridCol w:w="697"/>
        <w:gridCol w:w="116"/>
        <w:gridCol w:w="116"/>
        <w:gridCol w:w="116"/>
        <w:gridCol w:w="116"/>
        <w:gridCol w:w="285"/>
        <w:gridCol w:w="691"/>
        <w:gridCol w:w="174"/>
      </w:tblGrid>
      <w:tr>
        <w:trPr/>
        <w:tc>
          <w:tcPr>
            <w:tcW w:w="183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71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716" w:type="dxa"/>
            <w:gridSpan w:val="3"/>
            <w:vMerge w:val="continue"/>
            <w:tcBorders/>
            <w:tcMar>
              <w:top w:w="0" w:type="dxa"/>
              <w:left w:w="0" w:type="dxa"/>
              <w:bottom w:w="0" w:type="dxa"/>
              <w:right w:w="0" w:type="dxa"/>
            </w:tcMar>
            <w:vAlign w:val="center"/>
          </w:tcPr>
          <w:p>
            <w:pPr>
              <w:pStyle w:val="Normal"/>
              <w:bidi w:val="0"/>
              <w:jc w:val="left"/>
              <w:rPr/>
            </w:pPr>
            <w:r>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(loss) per share</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7,652,563 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9,257,089 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7,593,391 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9,236,221 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share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Diluted earnings (loss) per share </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7,652,563 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9,257,089 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7,593,391 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9,236,221 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elements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139,160 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awards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awards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138,784 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Dilutive weighted average shares of common stock</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7,919,587 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9,366,606 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7,593,391 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9,514,202 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share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 options and common stock awards excluded from the computation of diluted earnings per share</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Anti-dilutive (1)</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Market-based (2)</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stock options and stock awards that are anti-dilutive based on the application of the treasury stock method.</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(2)Shares that are issuable upon the achievement of certain market-based performance criteria related to Ocwen’s stock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0" w:type="dxa"/>
        <w:jc w:val="left"/>
        <w:tblInd w:w="0" w:type="dxa"/>
        <w:tblLayout w:type="fixed"/>
        <w:tblCellMar>
          <w:top w:w="28" w:type="dxa"/>
          <w:left w:w="28" w:type="dxa"/>
          <w:bottom w:w="28" w:type="dxa"/>
          <w:right w:w="28" w:type="dxa"/>
        </w:tblCellMar>
      </w:tblPr>
      <w:tblGrid>
        <w:gridCol w:w="1086"/>
        <w:gridCol w:w="955"/>
        <w:gridCol w:w="1349"/>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17 – Business Segment Reporting</w:t>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segments reflect the internal reporting that we use to evaluate our operating and financial performance and to assess the allocation of our resources. Our reportable business segments consist of Servicing, Originations, and Corporate Items and Other. During the six months ended June 30, 2023, there have been no changes to our business segments as disclosed in our Annual Report on Form 10-K for the year ended December 31, 2022. </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 for our segments is as follows:</w:t>
      </w:r>
    </w:p>
    <w:tbl>
      <w:tblPr>
        <w:tblW w:w="10205" w:type="dxa"/>
        <w:jc w:val="left"/>
        <w:tblInd w:w="0" w:type="dxa"/>
        <w:tblLayout w:type="fixed"/>
        <w:tblCellMar>
          <w:top w:w="28" w:type="dxa"/>
          <w:left w:w="28" w:type="dxa"/>
          <w:bottom w:w="28" w:type="dxa"/>
          <w:right w:w="28" w:type="dxa"/>
        </w:tblCellMar>
      </w:tblPr>
      <w:tblGrid>
        <w:gridCol w:w="975"/>
        <w:gridCol w:w="733"/>
        <w:gridCol w:w="735"/>
        <w:gridCol w:w="211"/>
        <w:gridCol w:w="616"/>
        <w:gridCol w:w="109"/>
        <w:gridCol w:w="109"/>
        <w:gridCol w:w="109"/>
        <w:gridCol w:w="109"/>
        <w:gridCol w:w="337"/>
        <w:gridCol w:w="673"/>
        <w:gridCol w:w="176"/>
        <w:gridCol w:w="109"/>
        <w:gridCol w:w="109"/>
        <w:gridCol w:w="109"/>
        <w:gridCol w:w="325"/>
        <w:gridCol w:w="789"/>
        <w:gridCol w:w="169"/>
        <w:gridCol w:w="109"/>
        <w:gridCol w:w="109"/>
        <w:gridCol w:w="109"/>
        <w:gridCol w:w="421"/>
        <w:gridCol w:w="810"/>
        <w:gridCol w:w="218"/>
        <w:gridCol w:w="109"/>
        <w:gridCol w:w="109"/>
        <w:gridCol w:w="109"/>
        <w:gridCol w:w="342"/>
        <w:gridCol w:w="1000"/>
        <w:gridCol w:w="258"/>
      </w:tblGrid>
      <w:tr>
        <w:trPr/>
        <w:tc>
          <w:tcPr>
            <w:tcW w:w="97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Eliminations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loans held for sale,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valuation adjustments,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5"/>
        <w:gridCol w:w="733"/>
        <w:gridCol w:w="735"/>
        <w:gridCol w:w="211"/>
        <w:gridCol w:w="616"/>
        <w:gridCol w:w="109"/>
        <w:gridCol w:w="109"/>
        <w:gridCol w:w="109"/>
        <w:gridCol w:w="109"/>
        <w:gridCol w:w="337"/>
        <w:gridCol w:w="673"/>
        <w:gridCol w:w="176"/>
        <w:gridCol w:w="109"/>
        <w:gridCol w:w="109"/>
        <w:gridCol w:w="109"/>
        <w:gridCol w:w="320"/>
        <w:gridCol w:w="798"/>
        <w:gridCol w:w="165"/>
        <w:gridCol w:w="109"/>
        <w:gridCol w:w="109"/>
        <w:gridCol w:w="109"/>
        <w:gridCol w:w="421"/>
        <w:gridCol w:w="810"/>
        <w:gridCol w:w="218"/>
        <w:gridCol w:w="109"/>
        <w:gridCol w:w="109"/>
        <w:gridCol w:w="109"/>
        <w:gridCol w:w="342"/>
        <w:gridCol w:w="1000"/>
        <w:gridCol w:w="258"/>
      </w:tblGrid>
      <w:tr>
        <w:trPr/>
        <w:tc>
          <w:tcPr>
            <w:tcW w:w="97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r>
      <w:tr>
        <w:trP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Eliminations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loans held for sale,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valuation adjustments,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Eliminations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loans held for sale,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valuation adjustments,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2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5"/>
        <w:gridCol w:w="733"/>
        <w:gridCol w:w="735"/>
        <w:gridCol w:w="211"/>
        <w:gridCol w:w="616"/>
        <w:gridCol w:w="109"/>
        <w:gridCol w:w="109"/>
        <w:gridCol w:w="109"/>
        <w:gridCol w:w="109"/>
        <w:gridCol w:w="337"/>
        <w:gridCol w:w="673"/>
        <w:gridCol w:w="176"/>
        <w:gridCol w:w="109"/>
        <w:gridCol w:w="109"/>
        <w:gridCol w:w="109"/>
        <w:gridCol w:w="320"/>
        <w:gridCol w:w="798"/>
        <w:gridCol w:w="165"/>
        <w:gridCol w:w="109"/>
        <w:gridCol w:w="109"/>
        <w:gridCol w:w="109"/>
        <w:gridCol w:w="421"/>
        <w:gridCol w:w="810"/>
        <w:gridCol w:w="218"/>
        <w:gridCol w:w="109"/>
        <w:gridCol w:w="109"/>
        <w:gridCol w:w="109"/>
        <w:gridCol w:w="342"/>
        <w:gridCol w:w="1000"/>
        <w:gridCol w:w="258"/>
      </w:tblGrid>
      <w:tr>
        <w:trPr/>
        <w:tc>
          <w:tcPr>
            <w:tcW w:w="97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2022</w:t>
            </w:r>
          </w:p>
        </w:tc>
      </w:tr>
      <w:tr>
        <w:trPr/>
        <w:tc>
          <w:tcPr>
            <w:tcW w:w="2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Eliminations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loans held for sale,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valuation adjustments, net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ans-serif" w:hAnsi="Times New Roman;sans-serif"/>
          <w:b w:val="false"/>
          <w:color w:val="000000"/>
          <w:sz w:val="18"/>
        </w:rPr>
        <w:t xml:space="preserve">(1)Corporate Eliminations includes inter-segment derivatives eliminations of $0.1 million and $13.4 million for the </w:t>
      </w:r>
      <w:r>
        <w:rPr>
          <w:rFonts w:ascii="Times New Roman;sans-serif" w:hAnsi="Times New Roman;sans-serif"/>
          <w:b w:val="false"/>
          <w:color w:val="000000"/>
          <w:sz w:val="20"/>
        </w:rPr>
        <w:t>three and six months ended June 30, 2022</w:t>
      </w:r>
      <w:r>
        <w:rPr>
          <w:rFonts w:ascii="Times New Roman;sans-serif" w:hAnsi="Times New Roman;sans-serif"/>
          <w:b w:val="false"/>
          <w:color w:val="000000"/>
          <w:sz w:val="18"/>
        </w:rPr>
        <w:t xml:space="preserve">, respectively, reported as Gain on loans held for sale, net in Originations with a corresponding offset in MSR valuation adjustments, net in Servicing. No such derivatives eliminations were recognized during the </w:t>
      </w:r>
      <w:r>
        <w:rPr>
          <w:rFonts w:ascii="Times New Roman;sans-serif" w:hAnsi="Times New Roman;sans-serif"/>
          <w:b w:val="false"/>
          <w:color w:val="000000"/>
          <w:sz w:val="20"/>
        </w:rPr>
        <w:t xml:space="preserve">three and six months ended June 30, 2023. </w:t>
      </w:r>
    </w:p>
    <w:tbl>
      <w:tblPr>
        <w:tblW w:w="10205" w:type="dxa"/>
        <w:jc w:val="left"/>
        <w:tblInd w:w="0" w:type="dxa"/>
        <w:tblLayout w:type="fixed"/>
        <w:tblCellMar>
          <w:top w:w="28" w:type="dxa"/>
          <w:left w:w="28" w:type="dxa"/>
          <w:bottom w:w="28" w:type="dxa"/>
          <w:right w:w="28" w:type="dxa"/>
        </w:tblCellMar>
      </w:tblPr>
      <w:tblGrid>
        <w:gridCol w:w="598"/>
        <w:gridCol w:w="516"/>
        <w:gridCol w:w="512"/>
        <w:gridCol w:w="211"/>
        <w:gridCol w:w="871"/>
        <w:gridCol w:w="109"/>
        <w:gridCol w:w="109"/>
        <w:gridCol w:w="109"/>
        <w:gridCol w:w="109"/>
        <w:gridCol w:w="230"/>
        <w:gridCol w:w="836"/>
        <w:gridCol w:w="120"/>
        <w:gridCol w:w="109"/>
        <w:gridCol w:w="109"/>
        <w:gridCol w:w="109"/>
        <w:gridCol w:w="512"/>
        <w:gridCol w:w="1497"/>
        <w:gridCol w:w="266"/>
        <w:gridCol w:w="109"/>
        <w:gridCol w:w="109"/>
        <w:gridCol w:w="109"/>
        <w:gridCol w:w="109"/>
        <w:gridCol w:w="109"/>
        <w:gridCol w:w="464"/>
        <w:gridCol w:w="1919"/>
        <w:gridCol w:w="345"/>
      </w:tblGrid>
      <w:tr>
        <w:trPr/>
        <w:tc>
          <w:tcPr>
            <w:tcW w:w="5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1"/>
        <w:gridCol w:w="957"/>
        <w:gridCol w:w="962"/>
        <w:gridCol w:w="266"/>
        <w:gridCol w:w="512"/>
        <w:gridCol w:w="138"/>
        <w:gridCol w:w="109"/>
        <w:gridCol w:w="109"/>
        <w:gridCol w:w="109"/>
        <w:gridCol w:w="344"/>
        <w:gridCol w:w="663"/>
        <w:gridCol w:w="179"/>
        <w:gridCol w:w="109"/>
        <w:gridCol w:w="109"/>
        <w:gridCol w:w="109"/>
        <w:gridCol w:w="540"/>
        <w:gridCol w:w="1040"/>
        <w:gridCol w:w="279"/>
        <w:gridCol w:w="109"/>
        <w:gridCol w:w="109"/>
        <w:gridCol w:w="109"/>
        <w:gridCol w:w="616"/>
        <w:gridCol w:w="1185"/>
        <w:gridCol w:w="452"/>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3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 Expense</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Servicing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Originations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Items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Business Segments Consolidated</w:t>
            </w:r>
          </w:p>
        </w:tc>
      </w:tr>
      <w:tr>
        <w:trPr/>
        <w:tc>
          <w:tcPr>
            <w:tcW w:w="10205" w:type="dxa"/>
            <w:gridSpan w:val="2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2022</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2022</w:t>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79" w:type="dxa"/>
        <w:jc w:val="left"/>
        <w:tblInd w:w="0" w:type="dxa"/>
        <w:tblLayout w:type="fixed"/>
        <w:tblCellMar>
          <w:top w:w="28" w:type="dxa"/>
          <w:left w:w="28" w:type="dxa"/>
          <w:bottom w:w="28" w:type="dxa"/>
          <w:right w:w="28" w:type="dxa"/>
        </w:tblCellMar>
      </w:tblPr>
      <w:tblGrid>
        <w:gridCol w:w="1019"/>
        <w:gridCol w:w="895"/>
        <w:gridCol w:w="1265"/>
      </w:tblGrid>
      <w:tr>
        <w:trPr/>
        <w:tc>
          <w:tcPr>
            <w:tcW w:w="101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18 – Regulatory Requirements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extensive regulation and supervision by federal, state, local and foreign governmental authorities, including the Consumer Financial Protection Bureau (CFPB), HUD, the SEC and various state agencies that license our servicing and lending activities. Accordingly, we are regularly subject to examinations, inquiries and requests, including civil investigative demands and subpoenas. The GSEs and their conservator, the Federal Housing Finance Agency (FHFA), Ginnie Mae, the United States Treasury Department, various investors, non-Agency securitization trustees and others also subject us to periodic reviews and audits.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and local laws, and federal and local bankruptcy rules. These laws and regulations apply to all facets of our business, including, but not limited to, licensing, loan originations, consumer disclosures, default servicing and collections, foreclosure, filing of claims, registration of vacant or foreclosed properties, handling of escrow accounts, payment application, interest rate adjustments, assessment of fees, loss mitigation, use of credit reports, handling of unclaimed property, safeguarding of non-public personally identifiable information about our customers, and the ability of our employees to work remotely. These complex requirements can and do change as laws and regulations are enacted, promulgated, amended, interpreted and enforced.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which could increase the possibility of adverse regulatory action against us.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number of foreign laws and regulations apply to our operations outside of the U.S., including laws and regulations that govern licensing, privacy, employment, safety, payroll and other taxes and insurance and laws and regulations that govern the creation, continuation and the winding up of companies as well as the relationships between shareholders, our corporate entities, the public and the government in these countries. Our foreign subsidiaries are subject to inquiries and examinations from foreign governmental regulators in the countries in which we operate outside of the U.S.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licensed entities are required to renew their licenses, typically on an annual basis, and to do so they must satisfy the license renewal requirements of each jurisdiction, which generally include financial requirements such as providing audited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statements and satisfying minimum net worth requirements and non-financial requirements such as satisfactory completion of examinations relating to the licensee’s compliance with applicable laws and regulations. </w:t>
      </w:r>
    </w:p>
    <w:p>
      <w:pPr>
        <w:pStyle w:val="TextBody"/>
        <w:bidi w:val="0"/>
        <w:spacing w:lineRule="auto" w:line="288" w:before="120" w:after="120"/>
        <w:jc w:val="left"/>
        <w:rPr/>
      </w:pPr>
      <w:r>
        <w:rPr>
          <w:rFonts w:ascii="Times New Roman;sans-serif" w:hAnsi="Times New Roman;sans-serif"/>
          <w:b w:val="false"/>
          <w:color w:val="000000"/>
          <w:sz w:val="20"/>
        </w:rPr>
        <w:t>We are also subject to seller/servicer obligations under agreements with the GSEs, HUD, FHA, VA and Ginnie Mae, including capital requirements related to tangible net worth, as defined by the applicable agency, an obligation to provide audited financial statements within 90 days of the applicable entity’s fiscal year end as well as extensive requirements regarding servicing, selling and other matters. We believe our licensed entities were in compliance with all of their minimum net worth requirements at June 30, 2023. Our non-Agency servicing agreements also contain requirements regarding servicing practices and other matters, and a failure to comply with these requirements could have a material adverse impact on our business.</w:t>
      </w:r>
      <w:r>
        <w:rPr>
          <w:color w:val="000000"/>
        </w:rPr>
        <w:t xml:space="preserv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most restrictive of the various net worth requirements for licensing and seller/servicer obligations referenced above is based on the UPB of assets serviced by PMC. Under the applicable formula, the required minimum net worth was $359.4 million at June 30, 2023. PMC’s adjusted net worth was $565.3 million at June 30, 2023. The most restrictive of the various liquidity requirements for licensing and seller/servicer obligations referenced above pertains to PMC and the required minimum liquidity was $40.0 million at June 30, 2023. PMC’s liquid assets were $190.0 million at June 30, 2023.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FHFA, the GSEs and Ginnie Mae announced updated minimum financial eligibility requirements for GSE seller/servicers and Ginnie Mae issuers. The updated minimum financial eligibility requirements modify the definitions of tangible net worth and eligible liquidity, modify their minimum standard measurement and include a new risk-based capital ratio, among other changes. The majority of the updated requirements are effective on September 30, 2023, with Ginnie Mae’s risk-based capital requirements effective on December 31, 2024. We believe PMC would be in compliance with the updated requirements if the updated requirements were in effect as of June 30, 2023, except for the new risk-based capital requirement. We are currently evaluating the potential impacts of these updated requirements, the costs and benefits of achieving compliance, and possible courses of action involving external investor solutions, structural solutions or exiting Ginnie Mae forward originations and owned servicing activities. If we are unable to identify and execute a cost-effective solution that allows us to continue these businesses and are unable to replace the lost income from these activities, or if we misjudge the magnitude of the costs and benefits and their impacts on our business, our financial results could be negatively impacted. As of June 30, 2023, our forward owned servicing portfolio included government-insured loans with a UPB of $14.4 billion, 7% of our total forward owned MSRs or 5% of our total UPB serviced and subserviced. </w:t>
      </w:r>
    </w:p>
    <w:p>
      <w:pPr>
        <w:pStyle w:val="TextBody"/>
        <w:bidi w:val="0"/>
        <w:spacing w:lineRule="auto" w:line="288" w:before="120" w:after="120"/>
        <w:jc w:val="left"/>
        <w:rPr/>
      </w:pPr>
      <w:r>
        <w:rPr>
          <w:rFonts w:ascii="Times New Roman;sans-serif" w:hAnsi="Times New Roman;sans-serif"/>
          <w:b w:val="false"/>
          <w:i/>
          <w:color w:val="000000"/>
          <w:sz w:val="20"/>
        </w:rPr>
        <w:t xml:space="preserve">New York Department of Financial Services (NY DFS). </w:t>
      </w:r>
      <w:r>
        <w:rPr>
          <w:rFonts w:ascii="Times New Roman;sans-serif" w:hAnsi="Times New Roman;sans-serif"/>
          <w:b w:val="false"/>
          <w:color w:val="000000"/>
          <w:sz w:val="20"/>
        </w:rPr>
        <w:t xml:space="preserve">We operate pursuant to certain regulatory requirements with the NY DFS, including obligations arising under a consent order entered into in March 2017 (the NY Consent Order) and the terms of the NY DFS’ conditional approval in September 2018 of our acquisition of PHH. The conditional approval includes reporting obligations and record retention and other requirements relating to the transfer of loans collateralized by New York property (New York loans) onto our servicing system, the Black Knight Financial Services, Inc. (Black Knight) LoanSphere MSP® servicing system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restricts our ability to acquire MSRs with respect to New York loans, so that Ocwen may not increase its aggregate portfolio of New York loans serviced or subserviced by Ocwen by more than 2% per year. This restriction will remain in place until the NY DFS determines that all loans serviced on the REALServicing system have been successfully migrated to Black Knight MSP and that Ocwen has developed a satisfactory infrastructure to board sizable portfolios of MSRs. We transferred all loans onto Black Knight MSP in 2019 and no longer service any loans on the REALServicing system. We believe we have complied with all terms of the PHH acquisition conditional approval to date. We continue to work with the NY DFS to address matters they raise with us as well as to fulfill our commitments under the NY Consent Order and PHH acquisition conditional approval. </w:t>
      </w:r>
    </w:p>
    <w:p>
      <w:pPr>
        <w:pStyle w:val="TextBody"/>
        <w:bidi w:val="0"/>
        <w:spacing w:lineRule="auto" w:line="288" w:before="120" w:after="283"/>
        <w:jc w:val="left"/>
        <w:rPr/>
      </w:pPr>
      <w:r>
        <w:rPr>
          <w:rFonts w:ascii="Times New Roman;sans-serif" w:hAnsi="Times New Roman;sans-serif"/>
          <w:b w:val="false"/>
          <w:i/>
          <w:color w:val="000000"/>
          <w:sz w:val="20"/>
        </w:rPr>
        <w:t>California Department of Financial Protection and Innovation (CA DFPI)</w:t>
      </w:r>
      <w:r>
        <w:rPr>
          <w:rFonts w:ascii="Times New Roman;sans-serif" w:hAnsi="Times New Roman;sans-serif"/>
          <w:b w:val="false"/>
          <w:color w:val="000000"/>
          <w:sz w:val="20"/>
        </w:rPr>
        <w:t xml:space="preserve">. In January 2015 and February 2017, Ocwen Loan Servicing, LLC (OLS) entered into consent orders with the CA DFPI (formerly known as the California Department of Business Oversight) relating to our alleged failure to produce certain information and documents during a routine licensing examination and relating to alleged servicing practices. We have completed all of our obligations under each of these consent orders. We also entered into a consent order in February 2023 to resolve a legacy OLS matter with the CA DFPI primarily addressing OLS’s post-boarding process related to loan payment terms. The Consent Order provides for a $2.5 million settlement with the CA DFPI with the waiver of certain late fees, a loss mitigation campaign, and other reliefs. The settlement was fully accrued at December 31, 2022 and paid in March 2023.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2280" w:type="dxa"/>
        <w:jc w:val="left"/>
        <w:tblInd w:w="0" w:type="dxa"/>
        <w:tblLayout w:type="fixed"/>
        <w:tblCellMar>
          <w:top w:w="28" w:type="dxa"/>
          <w:left w:w="28" w:type="dxa"/>
          <w:bottom w:w="28" w:type="dxa"/>
          <w:right w:w="28" w:type="dxa"/>
        </w:tblCellMar>
      </w:tblPr>
      <w:tblGrid>
        <w:gridCol w:w="730"/>
        <w:gridCol w:w="640"/>
        <w:gridCol w:w="910"/>
      </w:tblGrid>
      <w:tr>
        <w:trPr/>
        <w:tc>
          <w:tcPr>
            <w:tcW w:w="7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19 — Commitments</w:t>
            </w:r>
          </w:p>
        </w:tc>
      </w:tr>
    </w:tbl>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Unfunded Lending Commitments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originated floating-rate reverse mortgage loans under which the borrowers have additional borrowing capacity of $1.8 billion at June 30, 2023. This additional borrowing capacity is available on a scheduled or unscheduled payment basis. During the six months ended June 30, 2023, we funded $135.9 million out of the $1.8 billion borrowing capacity as of December 31, 2022. We also had short-term commitments to lend $1.1 billion and $16.4 million in connection with our forward and reverse mortgage loan IRLCs, respectively, outstanding at June 30, 2023. We finance originated and purchased forward and reverse mortgage loans with repurchase and participation agreements, referred to as warehouse lines.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HMBS Issuer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an HMBS issuer, we assume certain obligations related to each security issued. The most significant obligation is the requirement to purchase loans out of the Ginnie Mae securitization pools once the outstanding principal balance of a reverse mortgage loan is equal to or greater than 98% of the maximum claim amount (MCA repurchases). The table below provides the breakdown of the portfolio UPB with respect to the percentage of the MCA at June 30, 2023. </w:t>
      </w:r>
    </w:p>
    <w:tbl>
      <w:tblPr>
        <w:tblW w:w="8488" w:type="dxa"/>
        <w:jc w:val="left"/>
        <w:tblInd w:w="0" w:type="dxa"/>
        <w:tblLayout w:type="fixed"/>
        <w:tblCellMar>
          <w:top w:w="28" w:type="dxa"/>
          <w:left w:w="28" w:type="dxa"/>
          <w:bottom w:w="28" w:type="dxa"/>
          <w:right w:w="28" w:type="dxa"/>
        </w:tblCellMar>
      </w:tblPr>
      <w:tblGrid>
        <w:gridCol w:w="2595"/>
        <w:gridCol w:w="2283"/>
        <w:gridCol w:w="2291"/>
        <w:gridCol w:w="246"/>
        <w:gridCol w:w="894"/>
        <w:gridCol w:w="179"/>
      </w:tblGrid>
      <w:tr>
        <w:trPr/>
        <w:tc>
          <w:tcPr>
            <w:tcW w:w="259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HECM loans at less than 92% MCA</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HECM loans at equal to or greater than 92% and less than 95% MCA</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Securitized HECM loans at equal to or greater than 95% MCA and less than 98% MCA</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Securitized HECM loans UPB</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and 2022, we repurchased loans in the amount of $181.3 million and $96.6 million, respectively. Activity with regard to HMBS repurchases is as follows:</w:t>
      </w:r>
    </w:p>
    <w:tbl>
      <w:tblPr>
        <w:tblW w:w="6171" w:type="dxa"/>
        <w:jc w:val="center"/>
        <w:tblInd w:w="0" w:type="dxa"/>
        <w:tblLayout w:type="fixed"/>
        <w:tblCellMar>
          <w:top w:w="28" w:type="dxa"/>
          <w:left w:w="28" w:type="dxa"/>
          <w:bottom w:w="28" w:type="dxa"/>
          <w:right w:w="28" w:type="dxa"/>
        </w:tblCellMar>
      </w:tblPr>
      <w:tblGrid>
        <w:gridCol w:w="614"/>
        <w:gridCol w:w="539"/>
        <w:gridCol w:w="542"/>
        <w:gridCol w:w="109"/>
        <w:gridCol w:w="117"/>
        <w:gridCol w:w="117"/>
        <w:gridCol w:w="117"/>
        <w:gridCol w:w="227"/>
        <w:gridCol w:w="552"/>
        <w:gridCol w:w="117"/>
        <w:gridCol w:w="117"/>
        <w:gridCol w:w="117"/>
        <w:gridCol w:w="117"/>
        <w:gridCol w:w="117"/>
        <w:gridCol w:w="117"/>
        <w:gridCol w:w="227"/>
        <w:gridCol w:w="665"/>
        <w:gridCol w:w="117"/>
        <w:gridCol w:w="109"/>
        <w:gridCol w:w="109"/>
        <w:gridCol w:w="109"/>
        <w:gridCol w:w="109"/>
        <w:gridCol w:w="109"/>
        <w:gridCol w:w="211"/>
        <w:gridCol w:w="61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1" w:type="dxa"/>
            <w:gridSpan w:val="1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1526" w:type="dxa"/>
            <w:gridSpan w:val="8"/>
            <w:tcBorders/>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Active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Inactive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Additions </w:t>
            </w:r>
          </w:p>
        </w:tc>
        <w:tc>
          <w:tcPr>
            <w:tcW w:w="109"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 net (1)</w:t>
            </w:r>
          </w:p>
        </w:tc>
        <w:tc>
          <w:tcPr>
            <w:tcW w:w="109"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w:t>
            </w:r>
          </w:p>
        </w:tc>
        <w:tc>
          <w:tcPr>
            <w:tcW w:w="109"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value</w:t>
            </w:r>
          </w:p>
        </w:tc>
        <w:tc>
          <w:tcPr>
            <w:tcW w:w="109"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amounts received upon assignment of loan to HUD, loan payoff, REO liquidation and claim proceeds less any amounts charged off as unrecoverable.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subservicing clients bear the financial obligation and risks associated with purchasing loans out of securitization pools within the portfolio we subservice.</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Client Concentration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Servicing segment has exposure to concentration risk and client retention risk. </w:t>
      </w:r>
    </w:p>
    <w:p>
      <w:pPr>
        <w:pStyle w:val="TextBody"/>
        <w:bidi w:val="0"/>
        <w:spacing w:lineRule="auto" w:line="288" w:before="0" w:after="0"/>
        <w:jc w:val="left"/>
        <w:rPr/>
      </w:pPr>
      <w:r>
        <w:rPr>
          <w:rFonts w:ascii="Times New Roman;sans-serif" w:hAnsi="Times New Roman;sans-serif"/>
          <w:b w:val="false"/>
          <w:color w:val="000000"/>
          <w:sz w:val="20"/>
        </w:rPr>
        <w:t xml:space="preserve">As of June 30, 2023, our servicing portfolio included a significant client relationship with Rithm which represented 16% and 27% of our total servicing portfolio UPB and loan count, respectively, and approximately 68% of all delinquent loans that Ocwen services. Our Subservicing Agreements and Servicing Addendum with Rithm are in their second terms that end December 31, 2023, but they provide for </w:t>
      </w:r>
      <w:r>
        <w:rPr>
          <w:rFonts w:ascii="Times New Roman;sans-serif" w:hAnsi="Times New Roman;sans-serif"/>
          <w:b w:val="false"/>
          <w:color w:val="000000"/>
          <w:sz w:val="20"/>
          <w:shd w:fill="FFFFFF" w:val="clear"/>
        </w:rPr>
        <w:t>automatic one-year renewals, unless</w:t>
      </w:r>
      <w:r>
        <w:rPr>
          <w:color w:val="000000"/>
        </w:rPr>
        <w:t xml:space="preserve"> </w:t>
      </w:r>
      <w:r>
        <w:rPr>
          <w:rFonts w:ascii="Times New Roman;sans-serif" w:hAnsi="Times New Roman;sans-serif"/>
          <w:b w:val="false"/>
          <w:color w:val="000000"/>
          <w:sz w:val="20"/>
        </w:rPr>
        <w:t>Ocwen (by July 1, 2023) or Rithm (by October 1, 2023) provide advance notice of termination. Ocwen did not provide notice of termination on July 1, 2023. At the end of the second term, if notice for termination is given by the appropriate time, Rithm has the right to terminate the Subservicing Agreements and Servicing Addendum for convenience. If Rithm exercises its right to terminate all or some of the agreements for convenience at the end of the Second Term on December 31, 2023, we might need to right-size certain aspects of our servicing business as well as the related corporate support functions. The impacts to our consolidated statements of operations in connection with our Rithm agreements are disclosed in Note 8 — Other Financing Liabilities, at Fair Value. Receivables and Other liabilities recorded on our consolidated balance sheets are disclosed in Note 9 – Receivables and Note 13 – Other Liabilities, respectively.</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of June 30, 2023, our servicing portfolio also included a significant client relationship with MAV which represented 16% and 12% of our total servicing portfolio UPB and loan count, respectively. While our servicing agreement with MAV is non-cancellable and provides us with exclusivity, MAV is permitted to sell the underlying MSR without Ocwen’s consent after May 3, 2024. See Note 10 - Investment in Equity Method Investee and Related Party Transactions and Note 8 — Other Financing Liabilities, at Fair Value.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90" w:type="dxa"/>
        <w:jc w:val="left"/>
        <w:tblInd w:w="0" w:type="dxa"/>
        <w:tblLayout w:type="fixed"/>
        <w:tblCellMar>
          <w:top w:w="28" w:type="dxa"/>
          <w:left w:w="28" w:type="dxa"/>
          <w:bottom w:w="28" w:type="dxa"/>
          <w:right w:w="28" w:type="dxa"/>
        </w:tblCellMar>
      </w:tblPr>
      <w:tblGrid>
        <w:gridCol w:w="702"/>
        <w:gridCol w:w="617"/>
        <w:gridCol w:w="871"/>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Note 20 – Contingencies</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are a defendant in, or a party or potential party to, many threatened and pending legal proceedings, including proceedings brought by borrowers, regulatory agencies (discussed further under “Regulatory” below), current or former employees, those brought on behalf of various classes of claimants, and those brought derivatively on behalf of Ocwen against certain current or former officers and directors or others, and those brought under the False Claims Act by private citizens on behalf of the U.S. In addition, we may be a party or potential party to threatened or pending legal proceedings brought by fair-housing advocates, current and former commercial counterparties and market competitors, including, among others, claims related to the sale or purchase of loans, MSRs or other assets, and breach of contract actions, parties on whose behalf we service or serviced mortgage loans, parties who provide ancillary services including property preservation and other post-foreclosure related services, and parties who provide or provided consulting, subservicing, or other services to Ocwen.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federal and local bankruptcy rules, federal and local tax regulations, and state deceptive trade practices laws. Such proceedings include wrongful foreclosure and eviction actions, bankruptcy violation actions, payment misapplication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and individual state laws, claims related to our payment, escrow and other processing operations, claims relating to fees imposed on borrowers relating to inspection fees, foreclosure attorneys’ fees, reinstatement fees, foreclosure registration fees, payment processing, payment facilitation or payment convenience fees, claims related to ancillary products marketed and sold to borrowers, claims related to loan modifications and loan assumptions, claims related to call recordings, claims regarding certifications of our legal compliance related to our participation in certain government programs, claims related to improper occupancy inspections, and claims related to untimely recording of mortgage satisfactions.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improperly assessed and/or marked up improperly in violation of applicable state and federal law, (3) we breached fiduciary duties we purportedly owe to benefit plans due to the discretion we exercise in servicing certain securitized mortgage loans, (4) certain legacy mortgage reinsurance arrangements violated RESPA, and (5) we failed to subservice loans appropriately pursuant to subservicing and other agreements. In the future, we are likely to become subject to other private legal proceedings alleging failures to comply with applicable laws and regulations, including putative class actions, in the ordinary course of our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view of the inherent difficulty of predicting the outcome of any threatened or pending legal proceedings, particularly where the claimants seek very large or indeterminate damages, including punitive damages, or where the matters present novel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threatened and pending litigation that materially exceed the amount accrued. Our accrual for probable and estimable legal and regulatory matters, including accrued legal fees, was $10.2 million at June 30, 2023. We cannot currently estimate the amount, if any, of reasonably possible losses above amounts that have been recorded at June 30, 2023. </w:t>
      </w:r>
    </w:p>
    <w:p>
      <w:pPr>
        <w:pStyle w:val="TextBody"/>
        <w:bidi w:val="0"/>
        <w:spacing w:lineRule="auto" w:line="268" w:before="0" w:after="0"/>
        <w:jc w:val="left"/>
        <w:rPr/>
      </w:pPr>
      <w:r>
        <w:rPr>
          <w:rFonts w:ascii="Times New Roman;sans-serif" w:hAnsi="Times New Roman;sans-serif"/>
          <w:b w:val="false"/>
          <w:color w:val="000000"/>
          <w:sz w:val="20"/>
        </w:rPr>
        <w:t xml:space="preserve">As previously disclosed, we are subject to individual lawsuits relating to our FDCPA compliance and putative state law class actions based on the FDCPA and similar state statutes. We are currently defending class actions challenging, under state and federal law, our practice of charging borrowers a fee to use certain optional payment methods, including: </w:t>
      </w:r>
      <w:r>
        <w:rPr>
          <w:rFonts w:ascii="Times New Roman;sans-serif" w:hAnsi="Times New Roman;sans-serif"/>
          <w:b w:val="false"/>
          <w:i/>
          <w:color w:val="000000"/>
          <w:sz w:val="20"/>
        </w:rPr>
        <w:t>Morris v. PHH Mortg. Corp., et al.</w:t>
      </w:r>
      <w:r>
        <w:rPr>
          <w:color w:val="000000"/>
        </w:rPr>
        <w:t xml:space="preserve"> </w:t>
      </w:r>
      <w:r>
        <w:rPr>
          <w:rFonts w:ascii="Times New Roman;sans-serif" w:hAnsi="Times New Roman;sans-serif"/>
          <w:b w:val="false"/>
          <w:color w:val="000000"/>
          <w:sz w:val="20"/>
        </w:rPr>
        <w:t xml:space="preserve">(S.D. FL), </w:t>
      </w:r>
      <w:r>
        <w:rPr>
          <w:rFonts w:ascii="Times New Roman;sans-serif" w:hAnsi="Times New Roman;sans-serif"/>
          <w:b w:val="false"/>
          <w:i/>
          <w:color w:val="000000"/>
          <w:sz w:val="20"/>
        </w:rPr>
        <w:t>Torliatt v. PHH Mortg. Corp., et al.</w:t>
      </w:r>
      <w:r>
        <w:rPr>
          <w:color w:val="000000"/>
        </w:rPr>
        <w:t xml:space="preserve"> </w:t>
      </w:r>
      <w:r>
        <w:rPr>
          <w:rFonts w:ascii="Times New Roman;sans-serif" w:hAnsi="Times New Roman;sans-serif"/>
          <w:b w:val="false"/>
          <w:color w:val="000000"/>
          <w:sz w:val="20"/>
        </w:rPr>
        <w:t xml:space="preserve">(N.D. Ca), </w:t>
      </w:r>
      <w:r>
        <w:rPr>
          <w:rFonts w:ascii="Times New Roman;sans-serif" w:hAnsi="Times New Roman;sans-serif"/>
          <w:b w:val="false"/>
          <w:i/>
          <w:color w:val="000000"/>
          <w:sz w:val="20"/>
        </w:rPr>
        <w:t>Thacker v. PHH Mortg. Corp., et al.</w:t>
      </w:r>
      <w:r>
        <w:rPr>
          <w:color w:val="000000"/>
        </w:rPr>
        <w:t xml:space="preserve"> </w:t>
      </w:r>
      <w:r>
        <w:rPr>
          <w:rFonts w:ascii="Times New Roman;sans-serif" w:hAnsi="Times New Roman;sans-serif"/>
          <w:b w:val="false"/>
          <w:color w:val="000000"/>
          <w:sz w:val="20"/>
        </w:rPr>
        <w:t xml:space="preserve">(N.D. WV), </w:t>
      </w:r>
      <w:r>
        <w:rPr>
          <w:rFonts w:ascii="Times New Roman;sans-serif" w:hAnsi="Times New Roman;sans-serif"/>
          <w:b w:val="false"/>
          <w:i/>
          <w:color w:val="000000"/>
          <w:sz w:val="20"/>
        </w:rPr>
        <w:t>Forest v. PHH Mortg. Corp., et al.</w:t>
      </w:r>
      <w:r>
        <w:rPr>
          <w:color w:val="000000"/>
        </w:rPr>
        <w:t xml:space="preserve"> </w:t>
      </w:r>
      <w:r>
        <w:rPr>
          <w:rFonts w:ascii="Times New Roman;sans-serif" w:hAnsi="Times New Roman;sans-serif"/>
          <w:b w:val="false"/>
          <w:color w:val="000000"/>
          <w:sz w:val="20"/>
        </w:rPr>
        <w:t xml:space="preserve">(D. RI), </w:t>
      </w:r>
      <w:r>
        <w:rPr>
          <w:rFonts w:ascii="Times New Roman;sans-serif" w:hAnsi="Times New Roman;sans-serif"/>
          <w:b w:val="false"/>
          <w:i/>
          <w:color w:val="000000"/>
          <w:sz w:val="20"/>
        </w:rPr>
        <w:t>Williams v. PHH Mortg. Corp., et al.</w:t>
      </w:r>
      <w:r>
        <w:rPr>
          <w:color w:val="000000"/>
        </w:rPr>
        <w:t xml:space="preserve"> </w:t>
      </w:r>
      <w:r>
        <w:rPr>
          <w:rFonts w:ascii="Times New Roman;sans-serif" w:hAnsi="Times New Roman;sans-serif"/>
          <w:b w:val="false"/>
          <w:color w:val="000000"/>
          <w:sz w:val="20"/>
        </w:rPr>
        <w:t xml:space="preserve">(S.D. TX) and </w:t>
      </w:r>
      <w:r>
        <w:rPr>
          <w:rFonts w:ascii="Times New Roman;sans-serif" w:hAnsi="Times New Roman;sans-serif"/>
          <w:b w:val="false"/>
          <w:i/>
          <w:color w:val="000000"/>
          <w:sz w:val="20"/>
        </w:rPr>
        <w:t xml:space="preserve">Jones v. PHH Mortg. Corp., et al. </w:t>
      </w:r>
      <w:r>
        <w:rPr>
          <w:rFonts w:ascii="Times New Roman;sans-serif" w:hAnsi="Times New Roman;sans-serif"/>
          <w:b w:val="false"/>
          <w:color w:val="000000"/>
          <w:sz w:val="20"/>
        </w:rPr>
        <w:t xml:space="preserve">(D. N.J.). We have reached settlements in five of these class actions. In the </w:t>
      </w:r>
      <w:r>
        <w:rPr>
          <w:rFonts w:ascii="Times New Roman;sans-serif" w:hAnsi="Times New Roman;sans-serif"/>
          <w:b w:val="false"/>
          <w:i/>
          <w:color w:val="000000"/>
          <w:sz w:val="20"/>
        </w:rPr>
        <w:t>Thacker</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Torliatt</w:t>
      </w:r>
      <w:r>
        <w:rPr>
          <w:color w:val="000000"/>
        </w:rPr>
        <w:t xml:space="preserve"> </w:t>
      </w:r>
      <w:r>
        <w:rPr>
          <w:rFonts w:ascii="Times New Roman;sans-serif" w:hAnsi="Times New Roman;sans-serif"/>
          <w:b w:val="false"/>
          <w:color w:val="000000"/>
          <w:sz w:val="20"/>
        </w:rPr>
        <w:t xml:space="preserve">cases, the parties executed settlement agreements which were granted final approval by the Court in November 2022. In the </w:t>
      </w:r>
      <w:r>
        <w:rPr>
          <w:rFonts w:ascii="Times New Roman;sans-serif" w:hAnsi="Times New Roman;sans-serif"/>
          <w:b w:val="false"/>
          <w:i/>
          <w:color w:val="000000"/>
          <w:sz w:val="20"/>
        </w:rPr>
        <w:t>Morris</w:t>
      </w:r>
      <w:r>
        <w:rPr>
          <w:color w:val="000000"/>
        </w:rPr>
        <w:t xml:space="preserve"> </w:t>
      </w:r>
      <w:r>
        <w:rPr>
          <w:rFonts w:ascii="Times New Roman;sans-serif" w:hAnsi="Times New Roman;sans-serif"/>
          <w:b w:val="false"/>
          <w:color w:val="000000"/>
          <w:sz w:val="20"/>
        </w:rPr>
        <w:t xml:space="preserve">class action, the parties’ settlement agreement was granted final approval by the Court on June 16, 2023. In the </w:t>
      </w:r>
      <w:r>
        <w:rPr>
          <w:rFonts w:ascii="Times New Roman;sans-serif" w:hAnsi="Times New Roman;sans-serif"/>
          <w:b w:val="false"/>
          <w:i/>
          <w:color w:val="000000"/>
          <w:sz w:val="20"/>
        </w:rPr>
        <w:t>Williams</w:t>
      </w:r>
      <w:r>
        <w:rPr>
          <w:color w:val="000000"/>
        </w:rPr>
        <w:t xml:space="preserve"> </w:t>
      </w:r>
      <w:r>
        <w:rPr>
          <w:rFonts w:ascii="Times New Roman;sans-serif" w:hAnsi="Times New Roman;sans-serif"/>
          <w:b w:val="false"/>
          <w:color w:val="000000"/>
          <w:sz w:val="20"/>
        </w:rPr>
        <w:t xml:space="preserve">class action, the Court has granted preliminary approval of the settlement. Finally, we have reached a tentative settlement with the class plaintiffs in the </w:t>
      </w:r>
      <w:r>
        <w:rPr>
          <w:rFonts w:ascii="Times New Roman;sans-serif" w:hAnsi="Times New Roman;sans-serif"/>
          <w:b w:val="false"/>
          <w:i/>
          <w:color w:val="000000"/>
          <w:sz w:val="20"/>
        </w:rPr>
        <w:t>Forest</w:t>
      </w:r>
      <w:r>
        <w:rPr>
          <w:color w:val="000000"/>
        </w:rPr>
        <w:t xml:space="preserve"> </w:t>
      </w:r>
      <w:r>
        <w:rPr>
          <w:rFonts w:ascii="Times New Roman;sans-serif" w:hAnsi="Times New Roman;sans-serif"/>
          <w:b w:val="false"/>
          <w:color w:val="000000"/>
          <w:sz w:val="20"/>
        </w:rPr>
        <w:t xml:space="preserve">class action. In February 2023, the </w:t>
      </w:r>
      <w:r>
        <w:rPr>
          <w:rFonts w:ascii="Times New Roman;sans-serif" w:hAnsi="Times New Roman;sans-serif"/>
          <w:b w:val="false"/>
          <w:i/>
          <w:color w:val="000000"/>
          <w:sz w:val="20"/>
        </w:rPr>
        <w:t>Jones</w:t>
      </w:r>
      <w:r>
        <w:rPr>
          <w:color w:val="000000"/>
        </w:rPr>
        <w:t xml:space="preserve"> </w:t>
      </w:r>
      <w:r>
        <w:rPr>
          <w:rFonts w:ascii="Times New Roman;sans-serif" w:hAnsi="Times New Roman;sans-serif"/>
          <w:b w:val="false"/>
          <w:color w:val="000000"/>
          <w:sz w:val="20"/>
        </w:rPr>
        <w:t>class action was filed in federal court in New Jersey and we have filed a motion to dismiss the complaint.</w:t>
      </w:r>
    </w:p>
    <w:p>
      <w:pPr>
        <w:pStyle w:val="TextBody"/>
        <w:bidi w:val="0"/>
        <w:spacing w:lineRule="auto" w:line="288" w:before="120" w:after="120"/>
        <w:jc w:val="left"/>
        <w:rPr/>
      </w:pPr>
      <w:r>
        <w:rPr>
          <w:rFonts w:ascii="Times New Roman;sans-serif" w:hAnsi="Times New Roman;sans-serif"/>
          <w:b w:val="false"/>
          <w:color w:val="000000"/>
          <w:sz w:val="20"/>
        </w:rPr>
        <w:t xml:space="preserve">In addition, we continue to be involved in legacy matters arising prior to Ocwen’s October 2018 acquisition of PHH, including a putative class action filed in 2008 in the United States District Court for the Eastern District of California against PHH and related entities alleging that PHH’s legacy mortgage reinsurance arrangements between its captive reinsurer, Atrium Insurance Corporation, and certain mortgage insurance providers violated RESPA. See </w:t>
      </w:r>
      <w:r>
        <w:rPr>
          <w:rFonts w:ascii="Times New Roman;sans-serif" w:hAnsi="Times New Roman;sans-serif"/>
          <w:b w:val="false"/>
          <w:i/>
          <w:color w:val="000000"/>
          <w:sz w:val="20"/>
        </w:rPr>
        <w:t>Munoz v. PHH Mortgage Corp. et al.</w:t>
      </w:r>
      <w:r>
        <w:rPr>
          <w:color w:val="000000"/>
        </w:rPr>
        <w:t xml:space="preserve"> </w:t>
      </w:r>
      <w:r>
        <w:rPr>
          <w:rFonts w:ascii="Times New Roman;sans-serif" w:hAnsi="Times New Roman;sans-serif"/>
          <w:b w:val="false"/>
          <w:color w:val="000000"/>
          <w:sz w:val="20"/>
        </w:rPr>
        <w:t>(Eastern District of California). In June 2015, the court certified a class of borrowers who obtained loans with private mortgage insurance through PHH’s captive reinsurance arrangement between June 2007 and December 2009. PHH asserted numerous defenses to the merits of the case. Following pre-trial developments in August 2020, the only issues remaining for trial were whether the plaintiffs had standing to bring their claims and whether the reinsurance services provided by PHH’s captive reinsurance subsidiary, Atrium, were actually provided in order for the safe harbor provision of RESPA to apply. In January 2022, the Court denied a motion by the plaintiffs to enter new evidence and a motion by PHH to decertify the class, which motion PHH may renew if the case ultimately goes to trial. Following the entry of this order, at the request of the parties, the Court dismissed all of the plaintiffs’ claims for lack of standing and entered judgment in favor of PHH. The plaintiffs appealed to the United States Court of Appeals for the Ninth Circuit, and on February 24, 2023 that court reversed and remanded for further proceedings. Ocwen will continue to vigorously defend itself. Our current accrual with respect to this matter is included in the $10.2 million legal and regulatory accrual referenced above. At this time, Ocwen is unable to predict the outcome of this lawsuit or the possible loss or range of loss, if any, associated with the resolution of such lawsuit. If our efforts to defend this lawsuit are not successful, our business, reputation, financial condition, liquidity and results of operations could be materially and adversely affected.</w:t>
      </w:r>
    </w:p>
    <w:p>
      <w:pPr>
        <w:pStyle w:val="TextBody"/>
        <w:bidi w:val="0"/>
        <w:spacing w:lineRule="auto" w:line="288" w:before="120" w:after="120"/>
        <w:jc w:val="left"/>
        <w:rPr/>
      </w:pPr>
      <w:r>
        <w:rPr>
          <w:rFonts w:ascii="Times New Roman;sans-serif" w:hAnsi="Times New Roman;sans-serif"/>
          <w:b w:val="false"/>
          <w:color w:val="000000"/>
          <w:sz w:val="20"/>
        </w:rPr>
        <w:t>Ocwen is a defendant in a certified class action in the U.S. District Court in the Eastern District of California where the plaintiffs claim Ocwen marked up fees for property valuations and title searches in violation of California state law. See</w:t>
      </w:r>
      <w:r>
        <w:rPr>
          <w:color w:val="000000"/>
        </w:rPr>
        <w:t xml:space="preserve"> </w:t>
      </w:r>
      <w:r>
        <w:rPr>
          <w:rFonts w:ascii="Times New Roman;sans-serif" w:hAnsi="Times New Roman;sans-serif"/>
          <w:b w:val="false"/>
          <w:i/>
          <w:color w:val="000000"/>
          <w:sz w:val="20"/>
        </w:rPr>
        <w:t>Weiner v. Ocwen Financial Corp., et al</w:t>
      </w:r>
      <w:r>
        <w:rPr>
          <w:rFonts w:ascii="Times New Roman;sans-serif" w:hAnsi="Times New Roman;sans-serif"/>
          <w:b w:val="false"/>
          <w:color w:val="000000"/>
          <w:sz w:val="20"/>
        </w:rPr>
        <w:t xml:space="preserve">. In May 2020, the court ruled that plaintiff’s recoverable damages are limited to out-of-pocket costs, </w:t>
      </w:r>
      <w:r>
        <w:rPr>
          <w:rFonts w:ascii="Times New Roman;sans-serif" w:hAnsi="Times New Roman;sans-serif"/>
          <w:b w:val="false"/>
          <w:i/>
          <w:color w:val="000000"/>
          <w:sz w:val="20"/>
        </w:rPr>
        <w:t>i.e.</w:t>
      </w:r>
      <w:r>
        <w:rPr>
          <w:rFonts w:ascii="Times New Roman;sans-serif" w:hAnsi="Times New Roman;sans-serif"/>
          <w:b w:val="false"/>
          <w:color w:val="000000"/>
          <w:sz w:val="20"/>
        </w:rPr>
        <w:t>, the amount of marked-up fees actually paid, rather than the entire cost of the valuation that plaintiffs sought. Following further pre-trial developments, the Court scheduled the trial for November 27, 2023. At this time, Ocwen is unable to predict the outcome of this lawsuit or any additional lawsuits that may be filed, the possible loss or range of loss, if any, associated with the resolution of such lawsuits or the potential impact such lawsuits may have on us or our operations. Ocwen intends to vigorously defend against this lawsuit. If our efforts to defend this lawsuit are not successful, our business, financial condition liquidity and results of operations could be materially and adversely affected. Ocwen may have affirmative indemnification rights and/or other claims against third parties related to the allegations in the lawsuit. Although we may pursue these claims, we cannot currently estimate the amount, if any, of recoveries from these third parties.</w:t>
      </w:r>
    </w:p>
    <w:p>
      <w:pPr>
        <w:pStyle w:val="TextBody"/>
        <w:bidi w:val="0"/>
        <w:spacing w:lineRule="auto" w:line="288" w:before="120" w:after="120"/>
        <w:jc w:val="left"/>
        <w:rPr/>
      </w:pPr>
      <w:r>
        <w:rPr>
          <w:rFonts w:ascii="Times New Roman;sans-serif" w:hAnsi="Times New Roman;sans-serif"/>
          <w:b w:val="false"/>
          <w:color w:val="000000"/>
          <w:sz w:val="20"/>
        </w:rPr>
        <w:t xml:space="preserve">We are currently involved in a dispute with a former subservicing client, HSBC Bank USA, N.A. (HSBC), which filed a complaint in the Supreme Court of the State of New York against PHH. See </w:t>
      </w:r>
      <w:r>
        <w:rPr>
          <w:rFonts w:ascii="Times New Roman;sans-serif" w:hAnsi="Times New Roman;sans-serif"/>
          <w:b w:val="false"/>
          <w:i/>
          <w:color w:val="000000"/>
          <w:sz w:val="20"/>
        </w:rPr>
        <w:t>HSBC Bank USA, N.A. v. PHH Mortgage Corp.</w:t>
      </w:r>
      <w:r>
        <w:rPr>
          <w:color w:val="000000"/>
        </w:rPr>
        <w:t xml:space="preserve"> </w:t>
      </w:r>
      <w:r>
        <w:rPr>
          <w:rFonts w:ascii="Times New Roman;sans-serif" w:hAnsi="Times New Roman;sans-serif"/>
          <w:b w:val="false"/>
          <w:color w:val="000000"/>
          <w:sz w:val="20"/>
        </w:rPr>
        <w:t xml:space="preserve">(Supreme Court of the State of New York). HSBC’s claims relate to alleged breaches of agreements entered into under a prior subservicing arrangement and origination assistance agreement. In its complaint, HSBC also asserted a claim for fraud,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was dismissed by the Court. PHH has answered the complaint and has asserted counterclaims against HSBC for breach of contract. We believe we have strong factual and legal defenses to the remaining claims and are vigorously defending the action. Ocwen is currently unable to predict the outcome of this dispute or estimate the size of any loss which could result from a potential resolution reached through litigation or otherwise.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several RMBS trustees have received notices of events of default alleging material failures by servicers to comply with applicable servicing agreements. Although Ocwen has not been sued by an RMBS trustee in response to an event of default notice, there is a risk that Ocwen could be replaced as servicer as a result of said notices, that the trustees could take legal action on behalf of the trust certificate holders, or, under certain circumstances, that the RMBS investors who issue notices of event of default could seek to press their allegations against Ocwen, independent of the trustees. We are unable at this time to predict what, if any, actions any trustee will take in response to an event of default notice, nor can we predict at this time the potential loss or range of loss, if any, associated with the resolution of any event of default notice or the potential impact on our operations. If Ocwen were to be terminated as servicer, or other related legal actions were pursued against Ocwen, it could have an adverse effect on Ocwen’s business, reputation, financial condition, liquidity and results of operations.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Regulatory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a number of ongoing federal and state regulatory examinations, orders, inquiries, subpoenas, civil investigative demands, requests for information and other actions. We may also on occasion be subject to foreign regulatory actions in the countries where we operate outside the U.S.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 (whether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CFPB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servicing system and integrity of Ocwen’s mortgage servicing data, (2) Ocwen’s foreclosure practices and (3) 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The parties participated in mediation in October 2020 and subsequently held additional settlement discussions. However, the parties were unable to reach a resolution of the litigation.</w:t>
      </w:r>
    </w:p>
    <w:p>
      <w:pPr>
        <w:pStyle w:val="TextBody"/>
        <w:bidi w:val="0"/>
        <w:spacing w:lineRule="auto" w:line="276" w:before="0" w:after="0"/>
        <w:jc w:val="left"/>
        <w:rPr/>
      </w:pPr>
      <w:r>
        <w:rPr>
          <w:rFonts w:ascii="Times New Roman;sans-serif" w:hAnsi="Times New Roman;sans-serif"/>
          <w:b w:val="false"/>
          <w:color w:val="000000"/>
          <w:sz w:val="20"/>
        </w:rPr>
        <w:t xml:space="preserve">On March 4, 2021, the court issued an order granting in part and reserving ruling in part on Ocwen’s motion for summary judgment. In that order, the court granted Ocwen summary judgment on 9 of 10 counts in the CFPB’s amended complaint, finding that the CFPB’s allegations were barred under the principles of claim preclusion or </w:t>
      </w:r>
      <w:r>
        <w:rPr>
          <w:rFonts w:ascii="Times New Roman;sans-serif" w:hAnsi="Times New Roman;sans-serif"/>
          <w:b w:val="false"/>
          <w:i/>
          <w:color w:val="000000"/>
          <w:sz w:val="20"/>
        </w:rPr>
        <w:t>res judicata</w:t>
      </w:r>
      <w:r>
        <w:rPr>
          <w:color w:val="000000"/>
        </w:rPr>
        <w:t xml:space="preserve"> </w:t>
      </w:r>
      <w:r>
        <w:rPr>
          <w:rFonts w:ascii="Times New Roman;sans-serif" w:hAnsi="Times New Roman;sans-serif"/>
          <w:b w:val="false"/>
          <w:color w:val="000000"/>
          <w:sz w:val="20"/>
        </w:rPr>
        <w:t>to the extent those claims are premised on servicing activity occurring prior to February 26, 2017 and are covered by a 2014 Consent Judgment entered by the United States District Court for the District of Columbia. The CFPB subsequently filed its Second Amended Complaint to remove count 10 as well as allegations in counts 1-9 concerning servicing activity that occurred after February 26, 2017. On April 21, 2021, the court entered final judgment in our favor, denied all pending motions as moot, and closed the case. The CFPB thereafter filed a notice of appeal. On April 6, 2022, the Eleventh Circuit issued its opinion relating to the appeal, largely adopting the district court’s decision precluding the CFPB from bringing claims covered by the National Mortgage Settlement, but vacating and remanding the case back to the district court to determine which, if any, claims are not covered and may still be brought by the CFPB. Neither party sought rehearing of the Eleventh Circuit’s decision. Following briefing and oral argument, on May 2, 2023, the court issued an order granting in full Ocwen’s motion for summary judgment on the remaining 9 counts. In that order, based on a claim by claim analysis, the court found that all of the CFPB’s claims were barred under the principles of res judicata because they were premised on servicing activity covered by the 2014 Consent Judgment referenced above. Also on May 2, 2023, the court entered final judgment in our favor, denied all pending motions as moot, and closed the case. The CFPB did not appeal the court’s order and therefore the case will remain closed. Our prior accrual with respect to this matter was reversed effective June 30, 2023.</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State Licensing and Other Matters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as well as from state attorneys general, the CFPB and other federal agencies, including the Department of Justice and various inspectors general. For example, we have received requests regarding the charging of certain fees to borrowers (including our practice of charging borrowers a fee to use certain optional payment methods); the post-boarding process to verify loan and payment terms are properly implemented, calculated, and applied; bankruptcy practices; COVID-19-related forbearance and post-forbearance options; and Homeowner Assistance Fund participation and implementation.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and engage with us on various matters.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Loan Put-Back and Related Contingencies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to representation, warranty and indemnification obligations relating to our lending, loan sales and securitization activities, and servicing practices. We receive origination representations and warranties from our network of approved originators in connection with loans we purchased through our correspondent lending channel. To the extent that we have recourse against a third-party originator, we may recover part or all of any loss we may incur. We do not provide or assume any origination representations and warranties in connection with our MSR purchases.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and June 30, 2022, we had outstanding representation and warranty repurchase demands of $39.1 million UPB (142 loans) and $51.9 million UPB (270 loans), respectively. We review each demand and monitor through resolution, primarily through rescission, loan repurchase or make-whole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our liability for representation and warranty obligations and similar indemnification obligations:</w:t>
      </w:r>
    </w:p>
    <w:tbl>
      <w:tblPr>
        <w:tblW w:w="7873" w:type="dxa"/>
        <w:jc w:val="left"/>
        <w:tblInd w:w="0" w:type="dxa"/>
        <w:tblLayout w:type="fixed"/>
        <w:tblCellMar>
          <w:top w:w="28" w:type="dxa"/>
          <w:left w:w="28" w:type="dxa"/>
          <w:bottom w:w="28" w:type="dxa"/>
          <w:right w:w="28" w:type="dxa"/>
        </w:tblCellMar>
      </w:tblPr>
      <w:tblGrid>
        <w:gridCol w:w="1974"/>
        <w:gridCol w:w="1730"/>
        <w:gridCol w:w="1741"/>
        <w:gridCol w:w="252"/>
        <w:gridCol w:w="610"/>
        <w:gridCol w:w="130"/>
        <w:gridCol w:w="130"/>
        <w:gridCol w:w="130"/>
        <w:gridCol w:w="130"/>
        <w:gridCol w:w="252"/>
        <w:gridCol w:w="610"/>
        <w:gridCol w:w="184"/>
      </w:tblGrid>
      <w:tr>
        <w:trPr/>
        <w:tc>
          <w:tcPr>
            <w:tcW w:w="197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Beginning balance (1)</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(reversal of) representation and warranty obligations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production liability</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Charge-offs and other (2) </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Ending balance (1)</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liability for representation and warranty obligations and compensatory fees for foreclosures is reported in Other liabilities (a component of Liability for indemnification obligations) on our unaudited consolidated balance sheets.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principal and interest losses realized in connection with repurchased loans, make-whole, indemnification and fee payments and settlements net of recoveries, if any.</w:t>
      </w:r>
    </w:p>
    <w:p>
      <w:pPr>
        <w:pStyle w:val="TextBody"/>
        <w:bidi w:val="0"/>
        <w:spacing w:lineRule="auto" w:line="288" w:before="120" w:after="283"/>
        <w:jc w:val="left"/>
        <w:rPr/>
      </w:pPr>
      <w:r>
        <w:rPr>
          <w:rFonts w:ascii="Times New Roman;sans-serif" w:hAnsi="Times New Roman;sans-serif"/>
          <w:b w:val="false"/>
          <w:color w:val="000000"/>
          <w:sz w:val="20"/>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2023</w:t>
      </w:r>
      <w:r>
        <w:rPr>
          <w:rFonts w:ascii="Times New Roman;sans-serif" w:hAnsi="Times New Roman;sans-serif"/>
          <w:b w:val="false"/>
          <w:color w:val="000000"/>
          <w:sz w:val="18"/>
        </w:rPr>
        <w:t>.</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Ocwen, on its own behalf and on behalf of various mortgage loan investors, has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entered into tolling agreements, initiated arbitration or litigation, engaged in settlement discussions, or took other similar actions. Ocwen has now settled or otherwise resolved all of its pending mortgage insurance litigation matters.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have affirmative indemnification and other claims against service providers, parties from whom we purchased MSRs or other assets, investors or other parties.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21 – Subsequent Events</w:t>
      </w:r>
    </w:p>
    <w:p>
      <w:pPr>
        <w:pStyle w:val="TextBody"/>
        <w:bidi w:val="0"/>
        <w:spacing w:lineRule="auto" w:line="288" w:before="120" w:after="12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 2023, PMC sold to MAV certain GSE MSRs with a UPB of approximately $6.8 billion in a transaction which did not qualify for sale accounting and was accounted for as a secured borrowing. </w:t>
      </w:r>
    </w:p>
    <w:p>
      <w:pPr>
        <w:pStyle w:val="TextBody"/>
        <w:bidi w:val="0"/>
        <w:spacing w:before="120" w:after="12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6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(Dollars in millions, except per share amounts and unless otherwise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61" w:type="dxa"/>
        <w:jc w:val="left"/>
        <w:tblInd w:w="0" w:type="dxa"/>
        <w:tblLayout w:type="fixed"/>
        <w:tblCellMar>
          <w:top w:w="28" w:type="dxa"/>
          <w:left w:w="28" w:type="dxa"/>
          <w:bottom w:w="28" w:type="dxa"/>
          <w:right w:w="28" w:type="dxa"/>
        </w:tblCellMar>
      </w:tblPr>
      <w:tblGrid>
        <w:gridCol w:w="404"/>
        <w:gridCol w:w="355"/>
        <w:gridCol w:w="502"/>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OVERVIEW</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non-bank mortgage servicer and originator providing solutions through our primary brands, PHH Mortgage and Liberty Reverse Mortgage. PHH Mortgage is one of the largest servicers in the country, focused on delivering a variety of servicing and lending programs. Liberty is one of the nation’s largest reverse mortgage lenders dedicated to education and providing loans that help customers meet their personal and financial needs. We serviced 1.4 million loans with a total UPB of $288.5 billion on behalf of more than 3,800 investors and 116 subservicing clients as of June 30, 2023. We service all mortgage loan classes, including conventional, government-insured, non-Agency, small-balance commercial and multi-family loans. Our Originations business is part of our balanced business model to generate gains on loan sales and profitable returns, and to support the replenishment and the growth of our servicing portfolio. Through our retail, correspondent and wholesale channels, we originate and purchase conventional and government-insured forward and reverse mortgage loans that we sell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securitize on a servicing retained basis. In addition, we grow our mortgage servicing volume through MSR flow purchase agreements, Agency Cash Window and co-issue programs, bulk MSR purchase transactions, and subservicing agreements.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the volume of Originations by channel in the second quarter of 2023 compared with the preceding quarter, and the six months ended June 30, 2023 compared with the corresponding period of the prior year. The volume of Originations is a key driver of the profitability of our Originations segment, together with margins, and a key driver of the replenishment and growth of our Servicing segment. In the second quarter of 2023, we added $7.4 billion of new volume, with $2.6 billion of new subservicing and $4.7 billion of non-bulk new servicing, as further detailed in the below table. </w:t>
      </w:r>
    </w:p>
    <w:tbl>
      <w:tblPr>
        <w:tblW w:w="10205" w:type="dxa"/>
        <w:jc w:val="left"/>
        <w:tblInd w:w="0" w:type="dxa"/>
        <w:tblLayout w:type="fixed"/>
        <w:tblCellMar>
          <w:top w:w="28" w:type="dxa"/>
          <w:left w:w="28" w:type="dxa"/>
          <w:bottom w:w="28" w:type="dxa"/>
          <w:right w:w="28" w:type="dxa"/>
        </w:tblCellMar>
      </w:tblPr>
      <w:tblGrid>
        <w:gridCol w:w="1054"/>
        <w:gridCol w:w="827"/>
        <w:gridCol w:w="834"/>
        <w:gridCol w:w="222"/>
        <w:gridCol w:w="427"/>
        <w:gridCol w:w="114"/>
        <w:gridCol w:w="109"/>
        <w:gridCol w:w="109"/>
        <w:gridCol w:w="109"/>
        <w:gridCol w:w="227"/>
        <w:gridCol w:w="552"/>
        <w:gridCol w:w="117"/>
        <w:gridCol w:w="109"/>
        <w:gridCol w:w="109"/>
        <w:gridCol w:w="109"/>
        <w:gridCol w:w="109"/>
        <w:gridCol w:w="269"/>
        <w:gridCol w:w="254"/>
        <w:gridCol w:w="217"/>
        <w:gridCol w:w="114"/>
        <w:gridCol w:w="114"/>
        <w:gridCol w:w="114"/>
        <w:gridCol w:w="220"/>
        <w:gridCol w:w="534"/>
        <w:gridCol w:w="114"/>
        <w:gridCol w:w="309"/>
        <w:gridCol w:w="828"/>
        <w:gridCol w:w="159"/>
        <w:gridCol w:w="109"/>
        <w:gridCol w:w="109"/>
        <w:gridCol w:w="109"/>
        <w:gridCol w:w="336"/>
        <w:gridCol w:w="902"/>
        <w:gridCol w:w="257"/>
      </w:tblGrid>
      <w:tr>
        <w:trPr/>
        <w:tc>
          <w:tcPr>
            <w:tcW w:w="105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billions</w:t>
            </w:r>
          </w:p>
        </w:tc>
        <w:tc>
          <w:tcPr>
            <w:tcW w:w="3504" w:type="dxa"/>
            <w:gridSpan w:val="1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UPB</w:t>
            </w:r>
          </w:p>
        </w:tc>
        <w:tc>
          <w:tcPr>
            <w:tcW w:w="24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495" w:type="dxa"/>
            <w:gridSpan w:val="3"/>
            <w:tcBorders/>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2023 vs 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YTD 2023 vs YTD 2022</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4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servicing originations</w:t>
            </w:r>
          </w:p>
        </w:tc>
        <w:tc>
          <w:tcPr>
            <w:tcW w:w="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 Consumer Direct MSR (1)</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 MSR (1)</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Flow and Agency Cash Window MSR purchases (2)</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mortgage servicing (3)</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purchases (2)</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purchases - reverse (2)</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servicing additions</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forward subservicing</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new forward subservicing</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2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 additions (4)</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servicing and subservicing UPB additions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(1)Represents the UPB of loans that have been originated or purchased (funded) during the respective periods and for which we recognize a new MSR on our consolidated balance sheets upon sale or securitization.</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(2)Represents the UPB of loans for which the MSR is purchased.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(3)Represents the UPB of reverse mortgage loans that have been securitized on a servicing retained basis. The loans are recognized on our consolidated balance sheets under GAAP without any separate recognition of MSRs.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(4)Includes interim subservicing, including the volume of UPB associated with short-term interim subservicing for certain clients as a support to their originate-to-sell business.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average volume of our Servicing segment during the second quarter of 2023 compared with the preceding quarter, and the six months ended June 30, 2023 compared with the corresponding period of the prior year. The average servicing volume is a key driver of the profitability of our Servicing segment. The relative weight of performing and delinquent loans or servicing and subservicing also drive the gross revenue and expenses, and their timing.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85"/>
        <w:gridCol w:w="638"/>
        <w:gridCol w:w="641"/>
        <w:gridCol w:w="344"/>
        <w:gridCol w:w="285"/>
        <w:gridCol w:w="286"/>
        <w:gridCol w:w="134"/>
        <w:gridCol w:w="134"/>
        <w:gridCol w:w="134"/>
        <w:gridCol w:w="393"/>
        <w:gridCol w:w="287"/>
        <w:gridCol w:w="284"/>
        <w:gridCol w:w="109"/>
        <w:gridCol w:w="109"/>
        <w:gridCol w:w="109"/>
        <w:gridCol w:w="343"/>
        <w:gridCol w:w="288"/>
        <w:gridCol w:w="283"/>
        <w:gridCol w:w="125"/>
        <w:gridCol w:w="125"/>
        <w:gridCol w:w="125"/>
        <w:gridCol w:w="343"/>
        <w:gridCol w:w="288"/>
        <w:gridCol w:w="283"/>
        <w:gridCol w:w="109"/>
        <w:gridCol w:w="109"/>
        <w:gridCol w:w="109"/>
        <w:gridCol w:w="513"/>
        <w:gridCol w:w="356"/>
        <w:gridCol w:w="268"/>
        <w:gridCol w:w="109"/>
        <w:gridCol w:w="109"/>
        <w:gridCol w:w="109"/>
        <w:gridCol w:w="540"/>
        <w:gridCol w:w="393"/>
        <w:gridCol w:w="406"/>
      </w:tblGrid>
      <w:tr>
        <w:trPr/>
        <w:tc>
          <w:tcPr>
            <w:tcW w:w="98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billions</w:t>
            </w:r>
          </w:p>
        </w:tc>
        <w:tc>
          <w:tcPr>
            <w:tcW w:w="48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UPB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Q2 2023 vs 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YTD 2023 vs YTD 2022</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MSR</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(formerly NRZ) and others</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(including interim subservicing)</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mortgage loans (owned)</w:t>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other servicing</w:t>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serviced and subserviced UPB (average)</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and March 31, 2023, the total serviced and subserviced UPB amounted to $288.5 billion and $298.5 billion, respectively, a net decrease of $9.9 billion or 3%. </w:t>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Financial Highlights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Results of operations for the second quarter of 2023</w:t>
      </w:r>
    </w:p>
    <w:p>
      <w:pPr>
        <w:pStyle w:val="TextBody"/>
        <w:bidi w:val="0"/>
        <w:spacing w:lineRule="auto" w:line="288" w:before="120" w:after="60"/>
        <w:ind w:left="0" w:right="0" w:hanging="360"/>
        <w:jc w:val="left"/>
        <w:rPr/>
      </w:pPr>
      <w:r>
        <w:rPr>
          <w:color w:val="000000"/>
        </w:rPr>
        <w:t>•</w:t>
      </w:r>
      <w:r>
        <w:rPr>
          <w:rFonts w:ascii="Times New Roman;sans-serif" w:hAnsi="Times New Roman;sans-serif"/>
          <w:b w:val="false"/>
          <w:color w:val="000000"/>
          <w:sz w:val="20"/>
        </w:rPr>
        <w:t>Net income of $15.5 million, or $2.02 per share basic and $1.95 per share diluted</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Servicing and subservicing fee revenue of $237.6 million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Originations gain on sale of $10.2 million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$14.6 million MSR valuation loss in Servicing attributable to rate and assumption changes, net of hedging</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Financial condition at the end of the second quarter of 2023</w:t>
      </w:r>
    </w:p>
    <w:p>
      <w:pPr>
        <w:pStyle w:val="TextBody"/>
        <w:bidi w:val="0"/>
        <w:spacing w:lineRule="auto" w:line="288" w:before="120" w:after="60"/>
        <w:ind w:left="0" w:right="0" w:hanging="360"/>
        <w:jc w:val="left"/>
        <w:rPr/>
      </w:pPr>
      <w:r>
        <w:rPr>
          <w:color w:val="000000"/>
        </w:rPr>
        <w:t>•</w:t>
      </w:r>
      <w:r>
        <w:rPr>
          <w:rFonts w:ascii="Times New Roman;sans-serif" w:hAnsi="Times New Roman;sans-serif"/>
          <w:b w:val="false"/>
          <w:color w:val="000000"/>
          <w:sz w:val="20"/>
        </w:rPr>
        <w:t>Stockholders’ equity of $433.8 million, or $56.50 book value per common share</w:t>
      </w:r>
      <w:r>
        <w:rPr>
          <w:color w:val="000000"/>
        </w:rPr>
        <w:t xml:space="preserve">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MSR investment of $2.7 billion, up $10.5 million, and a $0.9 billion decrease in the average serviced and subserviced UPB in the quarter</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Cash position of $213.4 million</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Total assets of $13.2 billion </w:t>
      </w:r>
    </w:p>
    <w:p>
      <w:pPr>
        <w:pStyle w:val="TextBody"/>
        <w:bidi w:val="0"/>
        <w:spacing w:lineRule="auto" w:line="288" w:before="180" w:after="120"/>
        <w:jc w:val="left"/>
        <w:rPr/>
      </w:pPr>
      <w:r>
        <w:rPr>
          <w:rFonts w:ascii="Times New Roman;sans-serif" w:hAnsi="Times New Roman;sans-serif"/>
          <w:b/>
          <w:color w:val="000000"/>
          <w:sz w:val="20"/>
        </w:rPr>
        <w:t>Business Initiatives</w:t>
      </w:r>
      <w:r>
        <w:rPr>
          <w:color w:val="000000"/>
        </w:rPr>
        <w:t xml:space="preserve">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We established the following key operating objectives to return to sustainable profitability and drive improved value for shareholders. As our near-term priority remains to return to sustainable profitability, we continue to execute our strategy around these objectives: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Leveraging the core strengths of our balanced and diversified business model through a continued focus on servicing and maintaining agility to address a potential recession;</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Driving prudent growth adapted for the environment, including emphasis on subservicing to drive servicing portfolio UPB growth and expansion of higher margin originations products and clients;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 xml:space="preserve">Reducing cost structure across the organization to achieve industry cost leadership by maintaining continuous cost improvement discipline and optimizing technology, global operations, and scale;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Optimizing liquidity, diversifying capital sources, including leveraging our MSR asset vehicle with Oaktree and expanding our multi-investor partnership model to fund new MSR originations, repositioning for higher rates and allocating capital to deliver value for shareholders.</w:t>
      </w:r>
    </w:p>
    <w:p>
      <w:pPr>
        <w:pStyle w:val="TextBody"/>
        <w:bidi w:val="0"/>
        <w:spacing w:lineRule="auto" w:line="288" w:before="0" w:after="60"/>
        <w:jc w:val="left"/>
        <w:rPr/>
      </w:pPr>
      <w:r>
        <w:rPr>
          <w:rFonts w:ascii="Times New Roman;sans-serif" w:hAnsi="Times New Roman;sans-serif"/>
          <w:b w:val="false"/>
          <w:color w:val="000000"/>
          <w:sz w:val="20"/>
        </w:rPr>
        <w:t>Our growth strategy includes acquiring assets and/or operations of complementary businesses, by means of acquisition, merger or other transaction forms. Our strategy may also include pursuing large transactions, including bulk purchases or sales of MSRs</w:t>
      </w:r>
      <w:r>
        <w:rPr>
          <w:rFonts w:ascii="Times New Roman;sans-serif" w:hAnsi="Times New Roman;sans-serif"/>
          <w:b w:val="false"/>
          <w:color w:val="293849"/>
          <w:sz w:val="20"/>
        </w:rPr>
        <w:t xml:space="preserve">. </w:t>
      </w:r>
      <w:r>
        <w:rPr>
          <w:rFonts w:ascii="Times New Roman;sans-serif" w:hAnsi="Times New Roman;sans-serif"/>
          <w:b w:val="false"/>
          <w:color w:val="000000"/>
          <w:sz w:val="20"/>
        </w:rPr>
        <w:t xml:space="preserve">We have engaged in such transactions in the past, and we continue to explore opportunities that may be accretive to our business and stockholders’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 and Financial Condition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filed on Form 10-K for the fiscal year ended December 31, 2022. </w:t>
      </w:r>
    </w:p>
    <w:tbl>
      <w:tblPr>
        <w:tblW w:w="10205" w:type="dxa"/>
        <w:jc w:val="left"/>
        <w:tblInd w:w="0" w:type="dxa"/>
        <w:tblLayout w:type="fixed"/>
        <w:tblCellMar>
          <w:top w:w="28" w:type="dxa"/>
          <w:left w:w="28" w:type="dxa"/>
          <w:bottom w:w="28" w:type="dxa"/>
          <w:right w:w="28" w:type="dxa"/>
        </w:tblCellMar>
      </w:tblPr>
      <w:tblGrid>
        <w:gridCol w:w="723"/>
        <w:gridCol w:w="588"/>
        <w:gridCol w:w="592"/>
        <w:gridCol w:w="335"/>
        <w:gridCol w:w="285"/>
        <w:gridCol w:w="286"/>
        <w:gridCol w:w="127"/>
        <w:gridCol w:w="127"/>
        <w:gridCol w:w="127"/>
        <w:gridCol w:w="377"/>
        <w:gridCol w:w="289"/>
        <w:gridCol w:w="286"/>
        <w:gridCol w:w="109"/>
        <w:gridCol w:w="109"/>
        <w:gridCol w:w="109"/>
        <w:gridCol w:w="109"/>
        <w:gridCol w:w="109"/>
        <w:gridCol w:w="330"/>
        <w:gridCol w:w="330"/>
        <w:gridCol w:w="331"/>
        <w:gridCol w:w="109"/>
        <w:gridCol w:w="109"/>
        <w:gridCol w:w="109"/>
        <w:gridCol w:w="109"/>
        <w:gridCol w:w="399"/>
        <w:gridCol w:w="287"/>
        <w:gridCol w:w="256"/>
        <w:gridCol w:w="121"/>
        <w:gridCol w:w="121"/>
        <w:gridCol w:w="121"/>
        <w:gridCol w:w="333"/>
        <w:gridCol w:w="288"/>
        <w:gridCol w:w="283"/>
        <w:gridCol w:w="109"/>
        <w:gridCol w:w="109"/>
        <w:gridCol w:w="109"/>
        <w:gridCol w:w="109"/>
        <w:gridCol w:w="109"/>
        <w:gridCol w:w="109"/>
        <w:gridCol w:w="109"/>
        <w:gridCol w:w="248"/>
        <w:gridCol w:w="249"/>
        <w:gridCol w:w="622"/>
      </w:tblGrid>
      <w:tr>
        <w:trPr/>
        <w:tc>
          <w:tcPr>
            <w:tcW w:w="72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ind w:left="0" w:right="0" w:hanging="90"/>
              <w:jc w:val="left"/>
              <w:rPr>
                <w:sz w:val="4"/>
                <w:szCs w:val="4"/>
              </w:rPr>
            </w:pPr>
            <w:r>
              <w:rPr>
                <w:sz w:val="4"/>
                <w:szCs w:val="4"/>
              </w:rPr>
            </w:r>
          </w:p>
        </w:tc>
      </w:tr>
      <w:tr>
        <w:trPr/>
        <w:tc>
          <w:tcPr>
            <w:tcW w:w="1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Results of Operations</w:t>
            </w:r>
          </w:p>
        </w:tc>
        <w:tc>
          <w:tcPr>
            <w:tcW w:w="2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03"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3" w:type="dxa"/>
            <w:gridSpan w:val="3"/>
            <w:vMerge w:val="continue"/>
            <w:tcBorders/>
            <w:tcMar>
              <w:top w:w="0" w:type="dxa"/>
              <w:left w:w="0" w:type="dxa"/>
              <w:bottom w:w="0" w:type="dxa"/>
              <w:right w:w="0" w:type="dxa"/>
            </w:tcMar>
            <w:vAlign w:val="center"/>
          </w:tcPr>
          <w:p>
            <w:pPr>
              <w:pStyle w:val="Normal"/>
              <w:bidi w:val="0"/>
              <w:jc w:val="left"/>
              <w:rPr/>
            </w:pPr>
            <w:r>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533.9</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income (loss) before income taxes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Items and Other</w:t>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3"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Ocwen reported $15.5 million net income in the second quarter of 2023, an improvement of $55.6 million or 138% as compared to the $40.2 million net loss in the first quarter of 2023, mostly driven by higher interest rates, higher origination volume and resolution of the CFPB matter as follows: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A $10.3 million increase in revenue, primarily due to a $3.5 million increase in Servicing revenue and a $4.6 million increase in Originations revenue. The increase in Servicing revenue is mostly due to an increase in float earnings, with higher interest rates, and reverse ancillary income. Gains on reverse loan buyouts opportunistically acquired at a discount, were offset by unrealized fair value losses on reverse loans held for investment and HMBS-related borrowings, net driven by higher market interest rates and widening yield spreads. The increase in Originations revenue is due to an increase in gains on forward loans, with both higher volumes and margins, offset by lower gains on reverse loans due to lower margins. </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 xml:space="preserve">A $20.1 million lower loss on MSR valuation adjustments, net primarily due to a $20.3 million decrease in the loss attributed to rate and assumption change, mostly driven by unfavorable assumption updates to reflect market participant perspectives and actual trade levels, and the favorable impact of an increase in market interest rates in the current quarter vs. a decline in the prior quarter. </w:t>
      </w:r>
    </w:p>
    <w:p>
      <w:pPr>
        <w:pStyle w:val="TextBody"/>
        <w:bidi w:val="0"/>
        <w:spacing w:lineRule="auto" w:line="288" w:before="60" w:after="60"/>
        <w:ind w:left="0" w:right="0" w:hanging="360"/>
        <w:jc w:val="left"/>
        <w:rPr/>
      </w:pPr>
      <w:r>
        <w:rPr>
          <w:color w:val="EE2724"/>
        </w:rPr>
        <w:t>•</w:t>
      </w:r>
      <w:r>
        <w:rPr>
          <w:rFonts w:ascii="Times New Roman;sans-serif" w:hAnsi="Times New Roman;sans-serif"/>
          <w:b w:val="false"/>
          <w:color w:val="000000"/>
          <w:sz w:val="20"/>
        </w:rPr>
        <w:t xml:space="preserve">A $29.8 million decrease in operating expenses, primarily due to a $30.2 million reduction in Professional services due to the reversal of our accrual related to the CFPB matter resolved during the second quarter of 2023 and certain recoveries of prior years’ legal expenses from a private mortgage insurer offset by non-reimbursable legal expense. </w:t>
      </w:r>
    </w:p>
    <w:p>
      <w:pPr>
        <w:pStyle w:val="TextBody"/>
        <w:bidi w:val="0"/>
        <w:spacing w:lineRule="auto" w:line="288" w:before="60" w:after="120"/>
        <w:ind w:left="0" w:right="0" w:hanging="360"/>
        <w:jc w:val="left"/>
        <w:rPr/>
      </w:pPr>
      <w:r>
        <w:rPr>
          <w:color w:val="EE2724"/>
        </w:rPr>
        <w:t>•</w:t>
      </w:r>
      <w:r>
        <w:rPr>
          <w:rFonts w:ascii="Times New Roman;sans-serif" w:hAnsi="Times New Roman;sans-serif"/>
          <w:b w:val="false"/>
          <w:color w:val="000000"/>
          <w:sz w:val="20"/>
        </w:rPr>
        <w:t>A $5.5 million increase in Other, net expense, largely due to an increase in early payoff protection expense in connection with our MSR sale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Total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table presents total revenue by segment and at the consolidated level: </w:t>
      </w:r>
    </w:p>
    <w:tbl>
      <w:tblPr>
        <w:tblW w:w="10205" w:type="dxa"/>
        <w:jc w:val="left"/>
        <w:tblInd w:w="0" w:type="dxa"/>
        <w:tblLayout w:type="fixed"/>
        <w:tblCellMar>
          <w:top w:w="28" w:type="dxa"/>
          <w:left w:w="28" w:type="dxa"/>
          <w:bottom w:w="28" w:type="dxa"/>
          <w:right w:w="28" w:type="dxa"/>
        </w:tblCellMar>
      </w:tblPr>
      <w:tblGrid>
        <w:gridCol w:w="713"/>
        <w:gridCol w:w="629"/>
        <w:gridCol w:w="636"/>
        <w:gridCol w:w="377"/>
        <w:gridCol w:w="285"/>
        <w:gridCol w:w="286"/>
        <w:gridCol w:w="157"/>
        <w:gridCol w:w="157"/>
        <w:gridCol w:w="157"/>
        <w:gridCol w:w="445"/>
        <w:gridCol w:w="287"/>
        <w:gridCol w:w="284"/>
        <w:gridCol w:w="109"/>
        <w:gridCol w:w="109"/>
        <w:gridCol w:w="109"/>
        <w:gridCol w:w="109"/>
        <w:gridCol w:w="109"/>
        <w:gridCol w:w="233"/>
        <w:gridCol w:w="233"/>
        <w:gridCol w:w="551"/>
        <w:gridCol w:w="109"/>
        <w:gridCol w:w="109"/>
        <w:gridCol w:w="109"/>
        <w:gridCol w:w="377"/>
        <w:gridCol w:w="288"/>
        <w:gridCol w:w="283"/>
        <w:gridCol w:w="140"/>
        <w:gridCol w:w="140"/>
        <w:gridCol w:w="140"/>
        <w:gridCol w:w="377"/>
        <w:gridCol w:w="288"/>
        <w:gridCol w:w="283"/>
        <w:gridCol w:w="109"/>
        <w:gridCol w:w="109"/>
        <w:gridCol w:w="109"/>
        <w:gridCol w:w="109"/>
        <w:gridCol w:w="109"/>
        <w:gridCol w:w="303"/>
        <w:gridCol w:w="303"/>
        <w:gridCol w:w="436"/>
      </w:tblGrid>
      <w:tr>
        <w:trPr/>
        <w:tc>
          <w:tcPr>
            <w:tcW w:w="71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9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4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978" w:type="dxa"/>
            <w:gridSpan w:val="3"/>
            <w:vMerge w:val="continue"/>
            <w:tcBorders/>
            <w:tcMar>
              <w:top w:w="0" w:type="dxa"/>
              <w:left w:w="0" w:type="dxa"/>
              <w:bottom w:w="0" w:type="dxa"/>
              <w:right w:w="0" w:type="dxa"/>
            </w:tcMar>
            <w:vAlign w:val="center"/>
          </w:tcPr>
          <w:p>
            <w:pPr>
              <w:pStyle w:val="Normal"/>
              <w:bidi w:val="0"/>
              <w:jc w:val="left"/>
              <w:rPr/>
            </w:pPr>
            <w:r>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8" w:type="dxa"/>
            <w:gridSpan w:val="3"/>
            <w:vMerge w:val="continue"/>
            <w:tcBorders/>
            <w:tcMar>
              <w:top w:w="0" w:type="dxa"/>
              <w:left w:w="0" w:type="dxa"/>
              <w:bottom w:w="0" w:type="dxa"/>
              <w:right w:w="0" w:type="dxa"/>
            </w:tcMar>
            <w:vAlign w:val="center"/>
          </w:tcPr>
          <w:p>
            <w:pPr>
              <w:pStyle w:val="Normal"/>
              <w:bidi w:val="0"/>
              <w:jc w:val="left"/>
              <w:rPr/>
            </w:pPr>
            <w:r>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revenue (1)</w:t>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1978"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(1)Refer to Note 17 – Business Segment Reporting. for a reconciliation to Total revenue for the six months ended June 30, 2022.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segment revenue for the three months ended June 30, 2023 increased $10.2 million, or 4% as compared to the three months ended March 31, 2023, mostly due to a $3.5 million increase in Servicing revenue and a $4.6 million increase in Originations revenue.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increase in Servicing revenue is mostly due to a $5.4 million increase in float earnings, $15.7 million total gains on reverse loan buyouts opportunistically acquired at a discount, partially offset by $18.1 million unrealized fair value losses on reverse loans held for investment and HMBS-related borrowings, net driven by higher market interest rates and widening yield spreads.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The increase in Originations revenue is mostly driven by a $6.1 million increase in gains on forward loans, with both higher volumes and margins, offset by $2.3 million lower gains on reverse loans due to lower margins.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total segment revenue for the six months ended June 30, 2023 was $66.7 million or 14% higher, primarily due to a $111.1 million increase in Servicing revenue offset by a $47.2 million decrease in Originations revenue.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increase in Servicing revenue is mostly due to a $43.6 million increase in float earnings due to higher interest rates, $40.8 million unrealized fair value gains on the reverse loans held for investment and HMBS-related borrowings, net driven by higher interest rates and yields, $15.7 million total gains on reverse loan buyouts opportunistically acquired at a discount and an $8.8 million loss reported in the second quarter of 2022 on certain delinquent and aged loans repurchased in connection with the Ginnie Mae EBO program.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decrease in Originations revenue is primarily driven by a $29.4 million decrease in gains on reverse loans with a 67% decline in volume, and a $11.0 million decrease in gains on forward loans, driven by lower recapture volume in the context of rising interest rates at a historic pace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Refer to the Servicing and Originations segments for a discussion and analysis of MSR valuation adjustments, net and Note 17 – Business Segment Reporting for a reconciliation to the segments.</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10205" w:type="dxa"/>
        <w:jc w:val="left"/>
        <w:tblInd w:w="0" w:type="dxa"/>
        <w:tblLayout w:type="fixed"/>
        <w:tblCellMar>
          <w:top w:w="28" w:type="dxa"/>
          <w:left w:w="28" w:type="dxa"/>
          <w:bottom w:w="28" w:type="dxa"/>
          <w:right w:w="28" w:type="dxa"/>
        </w:tblCellMar>
      </w:tblPr>
      <w:tblGrid>
        <w:gridCol w:w="690"/>
        <w:gridCol w:w="481"/>
        <w:gridCol w:w="482"/>
        <w:gridCol w:w="211"/>
        <w:gridCol w:w="511"/>
        <w:gridCol w:w="109"/>
        <w:gridCol w:w="109"/>
        <w:gridCol w:w="109"/>
        <w:gridCol w:w="109"/>
        <w:gridCol w:w="212"/>
        <w:gridCol w:w="619"/>
        <w:gridCol w:w="109"/>
        <w:gridCol w:w="109"/>
        <w:gridCol w:w="109"/>
        <w:gridCol w:w="109"/>
        <w:gridCol w:w="109"/>
        <w:gridCol w:w="243"/>
        <w:gridCol w:w="244"/>
        <w:gridCol w:w="551"/>
        <w:gridCol w:w="109"/>
        <w:gridCol w:w="109"/>
        <w:gridCol w:w="109"/>
        <w:gridCol w:w="211"/>
        <w:gridCol w:w="616"/>
        <w:gridCol w:w="109"/>
        <w:gridCol w:w="109"/>
        <w:gridCol w:w="109"/>
        <w:gridCol w:w="109"/>
        <w:gridCol w:w="211"/>
        <w:gridCol w:w="616"/>
        <w:gridCol w:w="109"/>
        <w:gridCol w:w="109"/>
        <w:gridCol w:w="109"/>
        <w:gridCol w:w="109"/>
        <w:gridCol w:w="109"/>
        <w:gridCol w:w="109"/>
        <w:gridCol w:w="991"/>
        <w:gridCol w:w="109"/>
        <w:gridCol w:w="262"/>
        <w:gridCol w:w="226"/>
        <w:gridCol w:w="321"/>
      </w:tblGrid>
      <w:tr>
        <w:trPr/>
        <w:tc>
          <w:tcPr>
            <w:tcW w:w="69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65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918" w:type="dxa"/>
            <w:gridSpan w:val="4"/>
            <w:tcBorders/>
          </w:tcPr>
          <w:p>
            <w:pPr>
              <w:pStyle w:val="TableContents"/>
              <w:bidi w:val="0"/>
              <w:spacing w:before="0" w:after="283"/>
              <w:jc w:val="left"/>
              <w:rPr>
                <w:sz w:val="4"/>
                <w:szCs w:val="4"/>
              </w:rPr>
            </w:pPr>
            <w:r>
              <w:rPr>
                <w:sz w:val="4"/>
                <w:szCs w:val="4"/>
              </w:rPr>
            </w:r>
          </w:p>
        </w:tc>
      </w:tr>
      <w:tr>
        <w:trPr/>
        <w:tc>
          <w:tcPr>
            <w:tcW w:w="1653"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r>
      <w:tr>
        <w:trPr/>
        <w:tc>
          <w:tcPr>
            <w:tcW w:w="1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918" w:type="dxa"/>
            <w:gridSpan w:val="4"/>
            <w:tcBorders/>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origination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and benefits expense for the three months ended June 30, 2023 remained flat, as compared to the three months ended March 31, 2023, with certain offsetting items. Salaries and benefits decreased $1.5 million due to a 3% reduction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total average headcount and severance expense decreased $2.5 million, as mostly recognized in the prior quarter. Incentive compensation increased $3.1 million, driven by an increase in expense for cash-settled share-based awards due to the increase in our common stock price during the second quarter of 2023.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Compensation and benefits expense for the six months ended June 30, 2023 decreased $36.2 million, or 24% largely due to a $30.6 million decrease in salaries and benefits. Our total average headcount declined 18%, driven by a 58% decline in Originations average headcount as part of our efforts to right size resources to market opportunities, and a 27% reduction in our average U.S. based Servicing headcount, reflecting our goal to improve efficiencies and create an industry leading cost structure. In addition, commissions decreased by $8.9 million due to lower production volume and headcount in our Originations segment and severance expense decreased by $2.1 million, offset in part by a $7.4 million increase in incentive compensation. The increase in incentive compensation is primarily due to an increase in expense for cash-settled share-based awards due to the increase in our common stock price.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 for the three months ended June 30, 2023 decreased $30.2 million, as compared to the three months ended March 31, 2023, primarily due to the reversal of our accrual related to the CFPB matter resolved during the three months ended June 30, 2023 and certain recoveries of prior years’ legal expenses from a private mortgage insurer offset by non-reimbursable legal expenses. See Note 20 – Contingencies for additional information regarding the closing of the CFPB matter.</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Professional services expense for the six months ended June 30, 2023 decreased $24.5 million, primarily due to a $16.3 million decline in legal expense and a $6.5 million decrease in other professional fees. The decline in legal expenses is largely due to the reversal of our accrual related to the CFPB matter resolved during the second quarter of 2023 and a reduction in expenses related to other legal matters, offset by a $17.5 million reduction in recoveries of prior year expenses ($3.5 million in the six months ended June 30, 2023 vs. $21.0 million in the six months ended June 30, 2022). The decrease in other professional fees is primarily due to our cost saving initiatives related to our reverse subservicing business and outsourced resources utilized in our Originations business.</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 expense for the three months ended June 30, 2023 was mostly flat as compared to the three months ended March 31, 2023. As compared to the six months ended June 30, 2022, Technology and communication expense for the six months ended June 30, 2023 decreased $3.2 million mainly due to lower Originations volume, reduced headcount and cost reduction initiatives.</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 declined $1.1 million for the three months ended June 30, 2023 as compared to the three months ended March 31, 2023 and $3.2 million for the six months ended June 30, 2023 as compared to the six months ended June 30, 2022, primarily due to our exit or downsize of certain leased office facilities in the second half of 2022, including our exit from our New Jersey leased office facility, and lower mailing costs in our Originations segment due to lower production volumes.</w:t>
      </w:r>
    </w:p>
    <w:p>
      <w:pPr>
        <w:pStyle w:val="TextBody"/>
        <w:bidi w:val="0"/>
        <w:spacing w:lineRule="auto" w:line="26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for the three months ended June 30, 2023 remained mostly flat as compared to the three months ended March 31, 2023. As compared to the six months ended June 30, 2022, Other expenses for the six months ended June 30, 2023 decreased $5.9 million mainly due to a $3.1 million decrease in advertising expense in our Originations segment due to lower production volumes and a $2.0 million decline in bank charges due to higher earnings credits as a result of higher interest rates.</w:t>
      </w:r>
    </w:p>
    <w:p>
      <w:pPr>
        <w:pStyle w:val="TextBody"/>
        <w:bidi w:val="0"/>
        <w:spacing w:lineRule="auto" w:line="288" w:before="240" w:after="120"/>
        <w:jc w:val="left"/>
        <w:rPr>
          <w:rFonts w:ascii="Times New Roman;sans-serif" w:hAnsi="Times New Roman;sans-serif"/>
          <w:b/>
          <w:i/>
          <w:color w:val="000000"/>
          <w:sz w:val="20"/>
        </w:rPr>
      </w:pPr>
      <w:r>
        <w:rPr>
          <w:rFonts w:ascii="Times New Roman;sans-serif" w:hAnsi="Times New Roman;sans-serif"/>
          <w:b/>
          <w:i/>
          <w:color w:val="000000"/>
          <w:sz w:val="20"/>
        </w:rPr>
        <w:t>Other Income (Loss)</w:t>
      </w:r>
    </w:p>
    <w:tbl>
      <w:tblPr>
        <w:tblW w:w="10205" w:type="dxa"/>
        <w:jc w:val="left"/>
        <w:tblInd w:w="0" w:type="dxa"/>
        <w:tblLayout w:type="fixed"/>
        <w:tblCellMar>
          <w:top w:w="28" w:type="dxa"/>
          <w:left w:w="28" w:type="dxa"/>
          <w:bottom w:w="28" w:type="dxa"/>
          <w:right w:w="28" w:type="dxa"/>
        </w:tblCellMar>
      </w:tblPr>
      <w:tblGrid>
        <w:gridCol w:w="695"/>
        <w:gridCol w:w="549"/>
        <w:gridCol w:w="553"/>
        <w:gridCol w:w="211"/>
        <w:gridCol w:w="656"/>
        <w:gridCol w:w="109"/>
        <w:gridCol w:w="109"/>
        <w:gridCol w:w="109"/>
        <w:gridCol w:w="109"/>
        <w:gridCol w:w="211"/>
        <w:gridCol w:w="656"/>
        <w:gridCol w:w="109"/>
        <w:gridCol w:w="109"/>
        <w:gridCol w:w="109"/>
        <w:gridCol w:w="109"/>
        <w:gridCol w:w="330"/>
        <w:gridCol w:w="330"/>
        <w:gridCol w:w="331"/>
        <w:gridCol w:w="109"/>
        <w:gridCol w:w="109"/>
        <w:gridCol w:w="109"/>
        <w:gridCol w:w="211"/>
        <w:gridCol w:w="656"/>
        <w:gridCol w:w="109"/>
        <w:gridCol w:w="109"/>
        <w:gridCol w:w="109"/>
        <w:gridCol w:w="109"/>
        <w:gridCol w:w="211"/>
        <w:gridCol w:w="656"/>
        <w:gridCol w:w="109"/>
        <w:gridCol w:w="109"/>
        <w:gridCol w:w="109"/>
        <w:gridCol w:w="109"/>
        <w:gridCol w:w="109"/>
        <w:gridCol w:w="109"/>
        <w:gridCol w:w="991"/>
        <w:gridCol w:w="109"/>
        <w:gridCol w:w="199"/>
        <w:gridCol w:w="201"/>
        <w:gridCol w:w="160"/>
      </w:tblGrid>
      <w:tr>
        <w:trPr/>
        <w:tc>
          <w:tcPr>
            <w:tcW w:w="69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9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669" w:type="dxa"/>
            <w:gridSpan w:val="4"/>
            <w:tcBorders/>
          </w:tcPr>
          <w:p>
            <w:pPr>
              <w:pStyle w:val="TableContents"/>
              <w:bidi w:val="0"/>
              <w:spacing w:before="0" w:after="283"/>
              <w:jc w:val="left"/>
              <w:rPr>
                <w:sz w:val="4"/>
                <w:szCs w:val="4"/>
              </w:rPr>
            </w:pPr>
            <w:r>
              <w:rPr>
                <w:sz w:val="4"/>
                <w:szCs w:val="4"/>
              </w:rPr>
            </w:r>
          </w:p>
        </w:tc>
      </w:tr>
      <w:tr>
        <w:trPr/>
        <w:tc>
          <w:tcPr>
            <w:tcW w:w="1797" w:type="dxa"/>
            <w:gridSpan w:val="3"/>
            <w:vMerge w:val="continue"/>
            <w:tcBorders/>
            <w:tcMar>
              <w:top w:w="0" w:type="dxa"/>
              <w:left w:w="0" w:type="dxa"/>
              <w:bottom w:w="0" w:type="dxa"/>
              <w:right w:w="0" w:type="dxa"/>
            </w:tcMar>
            <w:vAlign w:val="center"/>
          </w:tcPr>
          <w:p>
            <w:pPr>
              <w:pStyle w:val="Normal"/>
              <w:bidi w:val="0"/>
              <w:jc w:val="left"/>
              <w:rPr/>
            </w:pPr>
            <w:r>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vMerge w:val="continue"/>
            <w:tcBorders/>
            <w:tcMar>
              <w:top w:w="0" w:type="dxa"/>
              <w:left w:w="0" w:type="dxa"/>
              <w:bottom w:w="0" w:type="dxa"/>
              <w:right w:w="0" w:type="dxa"/>
            </w:tcMar>
            <w:vAlign w:val="center"/>
          </w:tcPr>
          <w:p>
            <w:pPr>
              <w:pStyle w:val="Normal"/>
              <w:bidi w:val="0"/>
              <w:jc w:val="left"/>
              <w:rPr/>
            </w:pPr>
            <w:r>
              <w:rPr/>
            </w:r>
          </w:p>
        </w:tc>
        <w:tc>
          <w:tcPr>
            <w:tcW w:w="669" w:type="dxa"/>
            <w:gridSpan w:val="4"/>
            <w:tcBorders/>
          </w:tcPr>
          <w:p>
            <w:pPr>
              <w:pStyle w:val="TableContents"/>
              <w:bidi w:val="0"/>
              <w:spacing w:before="0" w:after="283"/>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1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interest expense for three months ended June 30, 2023 remained flat as compared to the three months ended March 31, 2023, with higher interest income due to a higher loan balance largely offset by higher interest expense to finance such loan balance increase.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Net interest expense for the six months ended June 30, 2023 increased $37.3 million, primarily due to higher cost of funds of our servicing asset-backed financing facilities driven by a more than 400 basis points increase in market interest rates, and the repayment of a lower cost servicing advance facility during the third quarter of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Refer to Servicing segment for discussion and analysis of Pledged MSR liability expense and Earnings of equity method investee.</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Benefit (Expense) </w:t>
      </w:r>
    </w:p>
    <w:tbl>
      <w:tblPr>
        <w:tblW w:w="10205" w:type="dxa"/>
        <w:jc w:val="left"/>
        <w:tblInd w:w="0" w:type="dxa"/>
        <w:tblLayout w:type="fixed"/>
        <w:tblCellMar>
          <w:top w:w="28" w:type="dxa"/>
          <w:left w:w="28" w:type="dxa"/>
          <w:bottom w:w="28" w:type="dxa"/>
          <w:right w:w="28" w:type="dxa"/>
        </w:tblCellMar>
      </w:tblPr>
      <w:tblGrid>
        <w:gridCol w:w="817"/>
        <w:gridCol w:w="687"/>
        <w:gridCol w:w="693"/>
        <w:gridCol w:w="211"/>
        <w:gridCol w:w="511"/>
        <w:gridCol w:w="271"/>
        <w:gridCol w:w="109"/>
        <w:gridCol w:w="109"/>
        <w:gridCol w:w="109"/>
        <w:gridCol w:w="211"/>
        <w:gridCol w:w="564"/>
        <w:gridCol w:w="271"/>
        <w:gridCol w:w="109"/>
        <w:gridCol w:w="109"/>
        <w:gridCol w:w="109"/>
        <w:gridCol w:w="258"/>
        <w:gridCol w:w="260"/>
        <w:gridCol w:w="551"/>
        <w:gridCol w:w="109"/>
        <w:gridCol w:w="109"/>
        <w:gridCol w:w="109"/>
        <w:gridCol w:w="211"/>
        <w:gridCol w:w="564"/>
        <w:gridCol w:w="271"/>
        <w:gridCol w:w="109"/>
        <w:gridCol w:w="109"/>
        <w:gridCol w:w="109"/>
        <w:gridCol w:w="211"/>
        <w:gridCol w:w="511"/>
        <w:gridCol w:w="271"/>
        <w:gridCol w:w="109"/>
        <w:gridCol w:w="109"/>
        <w:gridCol w:w="109"/>
        <w:gridCol w:w="258"/>
        <w:gridCol w:w="260"/>
        <w:gridCol w:w="551"/>
        <w:gridCol w:w="157"/>
      </w:tblGrid>
      <w:tr>
        <w:trPr/>
        <w:tc>
          <w:tcPr>
            <w:tcW w:w="81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tax expense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tax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val="false"/>
          <w:color w:val="000000"/>
          <w:sz w:val="20"/>
        </w:rPr>
        <w:t>Our effective tax rate for the periods indicated in the table above differs from the federal statutory income tax rate primarily due to the full valuation allowance recorded on our net U.S. federal and state deferred tax assets. We conduct periodic evaluations of positive and negative evidence to determine whether it is more likely than not that the deferred tax asset can be realized in future periods. In these evaluations, we give more significant weight to objective evidence, such as our actual financial condition and historical results of operations, as compared to subjective evidence, such as projections of future taxable income or losses. The U.S. jurisdiction is in a cumulative loss position for the three-year period ended June 30, 2023. We recognize that cumulative losses in recent years is an objective form of negative evidence in assessing the need for a valuation allowance and that such negative evidence is difficult to overcome.</w:t>
      </w:r>
      <w:r>
        <w:rPr>
          <w:color w:val="008080"/>
        </w:rPr>
        <w:t xml:space="preserve"> </w:t>
      </w:r>
      <w:r>
        <w:rPr>
          <w:rFonts w:ascii="Times New Roman;sans-serif" w:hAnsi="Times New Roman;sans-serif"/>
          <w:b w:val="false"/>
          <w:color w:val="000000"/>
          <w:sz w:val="20"/>
        </w:rPr>
        <w:t>Other factors considered in these evaluations are estimates of future taxable income, future reversals of temporary differences, taxable income in prior carryback years, and the impact of tax planning strategies that may be implemented, if warranted. We evaluated all positive and negative evidence and determined that a full valuation allowance at June 30, 2023 remains appropriate. The income tax expense (benefit) is primarily comprised of income taxes in foreign jurisdictions and changes in uncertain tax positions. Also refer to Note 19 - Income Taxes to the consolidated financial statements in our Annual Report on Form 10-K for the year ended December 31, 2022 for further details on deferred tax assets.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$0.9 million income tax expense recognized in the three months ended June 30, 2023 was driven primarily by projected income tax expense related to pre-tax earnings in foreign jurisdictions as well as income tax expense for the accrual of additional interest and penalties on uncertain tax positions. The $1.9 million income tax expense recognized in the three months ended March 31, 2023 was driven primarily by projected income tax expense related to pre-tax earnings in foreign jurisdictions as well as income tax expense for the accrual of additional interest and penalties on uncertain tax positions.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2022, income tax expense of $2.3 million was driven primarily by income tax expense related to pre-tax earnings and income tax benefit related to the favorable resolution of an uncertain tax position. As compared with the six months ended June 30, 2022, income tax expense for the six months ended June 30, 2023 increased by $0.4 million primarily due to a reduction in projected income tax expense in foreign jurisdictions, offset by a reduction in income tax benefit related to the favorable resolution of uncertain tax positions and an increase in income tax expense related to interest and penalties. The decline in the effective tax rate is primarily due to the $92.8 million decrease in pre-tax earnings in the six months ended June 30, 2023 compared to the same period in 2022, as well as a reduction in projected income tax expense in foreign jurisdictions and a reduction in income tax benefit related to the favorable resolution of uncertain tax positions.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our transfer pricing agreements, our operations in India and Philippines are compensated on a cost-plus basis for the services they provide, such that even when we have a consolidated pre-tax loss from operations these foreign operations have taxable income, which is subject to statutory tax rates in these jurisdictions that are higher than the U.S. statutory rate of 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120"/>
        <w:jc w:val="left"/>
        <w:rPr/>
      </w:pPr>
      <w:r>
        <w:rPr>
          <w:rFonts w:ascii="Times New Roman;sans-serif" w:hAnsi="Times New Roman;sans-serif"/>
          <w:b/>
          <w:i/>
          <w:color w:val="000000"/>
          <w:sz w:val="20"/>
        </w:rPr>
        <w:t>Financial</w:t>
      </w:r>
      <w:r>
        <w:rPr>
          <w:color w:val="000000"/>
        </w:rPr>
        <w:t xml:space="preserve"> </w:t>
      </w:r>
      <w:r>
        <w:rPr>
          <w:rFonts w:ascii="Times New Roman;sans-serif" w:hAnsi="Times New Roman;sans-serif"/>
          <w:b/>
          <w:i/>
          <w:color w:val="000000"/>
          <w:sz w:val="20"/>
        </w:rPr>
        <w:t>Condition</w:t>
      </w:r>
    </w:p>
    <w:tbl>
      <w:tblPr>
        <w:tblW w:w="9349" w:type="dxa"/>
        <w:jc w:val="left"/>
        <w:tblInd w:w="0" w:type="dxa"/>
        <w:tblLayout w:type="fixed"/>
        <w:tblCellMar>
          <w:top w:w="28" w:type="dxa"/>
          <w:left w:w="28" w:type="dxa"/>
          <w:bottom w:w="28" w:type="dxa"/>
          <w:right w:w="28" w:type="dxa"/>
        </w:tblCellMar>
      </w:tblPr>
      <w:tblGrid>
        <w:gridCol w:w="1205"/>
        <w:gridCol w:w="1059"/>
        <w:gridCol w:w="1065"/>
        <w:gridCol w:w="287"/>
        <w:gridCol w:w="839"/>
        <w:gridCol w:w="148"/>
        <w:gridCol w:w="109"/>
        <w:gridCol w:w="109"/>
        <w:gridCol w:w="109"/>
        <w:gridCol w:w="387"/>
        <w:gridCol w:w="1135"/>
        <w:gridCol w:w="202"/>
        <w:gridCol w:w="109"/>
        <w:gridCol w:w="109"/>
        <w:gridCol w:w="109"/>
        <w:gridCol w:w="239"/>
        <w:gridCol w:w="597"/>
        <w:gridCol w:w="125"/>
        <w:gridCol w:w="109"/>
        <w:gridCol w:w="109"/>
        <w:gridCol w:w="109"/>
        <w:gridCol w:w="233"/>
        <w:gridCol w:w="233"/>
        <w:gridCol w:w="61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Condition Summary </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MSRs, at fair value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Advances, net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sale </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Loans held for investment, at fair value </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by Segment</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Items and Other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HMBS-related borrowings, at fair value</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financing liabilities, at fair value </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Advance match funded liabilities </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 net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net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liabilities </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by Segment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Items and Other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Book value per share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increased $816.8 million, or 7%, between December 31, 2022 and June 30, 2023 due to a $733.8 million increase in our loans held for sale portfolio mostly driven by forward loan production volumes higher than sales, and a $170.0 million fair value increase in reverse Loans held for investment, mostly driven by capitalization of interest. These increases were offset in part by a $116.2 million decline in servicing advances that was mainly due to seasonal reduction of escrow balances. Our MSR portfolio remained largely stable (increased by $10.5 million or 0.4%) with newly originated and acquired MSRs more than offsetting portfolio runoff.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increased by $839.7 million, or 7%, as compared to December 31, 2022, with similar effects as described above. Our borrowings under mortgage loan financing facilities increased $812.3 million due to the higher loans held for sale balance at June 30, 2023, including the issuance of the OLIT Notes in connection with the securitization of reverse mortgage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loan buyouts. Our HMBS-related borrowings increased by $159.6 million mostly due to fair value changes attributable to interest. The $136.6 million increase in Other financing liabilities is primarily due to the issuance of ESS financing liabilities and Pledged MSR liabilities in connection with MSR transfers that did not qualify for sale accounting. This increase in Other financial liabilities allowed for the repayment of MSR financing facilities, driving an $89.0 million decrease. This shift in financing instruments is the result of our strategy to use capital partners and further de-risk our MSR exposure. Advance match funded liabilities decreased $83.2 million consistent with the decline in servicing advances discussed above.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decreased $22.9 million during the six months ended June 30, 2023 mostly due to the $24.7 million net loss for the period.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Key Trends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provides information regarding certain key drivers of our financial performance and includes certain forward-looking statements that are based on the current beliefs and expectations of Ocwen’s management and are subject to significant risks and uncertainties. Refer to Forward-Looking Statements beginning on page 2 of this Form 10-Q and Part I, Item 1.A. of our Annual Report on Form 10-K for the year ended December 31, 2022, for discussion of certain of those risks and uncertainties and other factors that could cause Ocwen’s actual results to differ materially because of those risks and uncertainties. There is no assurance that actual results will be in line with the outlook information set forth below, and Ocwen does not undertake to update any forward-looking statements. Also refer to the Segment results of operations section for further detail, the description of our business environment, initiatives and risks. </w:t>
      </w:r>
    </w:p>
    <w:p>
      <w:pPr>
        <w:pStyle w:val="TextBody"/>
        <w:bidi w:val="0"/>
        <w:spacing w:lineRule="auto" w:line="288" w:before="120" w:after="283"/>
        <w:jc w:val="left"/>
        <w:rPr/>
      </w:pPr>
      <w:r>
        <w:rPr>
          <w:rFonts w:ascii="Times New Roman;sans-serif" w:hAnsi="Times New Roman;sans-serif"/>
          <w:b w:val="false"/>
          <w:i/>
          <w:color w:val="000000"/>
          <w:sz w:val="20"/>
        </w:rPr>
        <w:t>Servicing and subservicing fee revenue</w:t>
      </w:r>
      <w:r>
        <w:rPr>
          <w:color w:val="000000"/>
        </w:rPr>
        <w:t xml:space="preserve"> </w:t>
      </w:r>
      <w:r>
        <w:rPr>
          <w:rFonts w:ascii="Times New Roman;sans-serif" w:hAnsi="Times New Roman;sans-serif"/>
          <w:b w:val="false"/>
          <w:color w:val="000000"/>
          <w:sz w:val="20"/>
        </w:rPr>
        <w:t>- Our servicing fee revenue is a function of the volume being serviced - UPB for servicing fees and loan count for subservicing fees. We expect we will continue to modestly grow our servicing portfolio through our multi-channel Originations platform and through MAV and other capital partners, with an emphasis on subservicing. We have added $117.6 billion subservicing UPB since June 30, 2021.</w:t>
      </w:r>
    </w:p>
    <w:p>
      <w:pPr>
        <w:pStyle w:val="TextBody"/>
        <w:bidi w:val="0"/>
        <w:spacing w:lineRule="auto" w:line="288" w:before="120" w:after="120"/>
        <w:jc w:val="left"/>
        <w:rPr/>
      </w:pPr>
      <w:r>
        <w:rPr>
          <w:rFonts w:ascii="Times New Roman;sans-serif" w:hAnsi="Times New Roman;sans-serif"/>
          <w:b w:val="false"/>
          <w:i/>
          <w:color w:val="000000"/>
          <w:sz w:val="20"/>
        </w:rPr>
        <w:t xml:space="preserve">Gain on sale of loans held for sale </w:t>
      </w:r>
      <w:r>
        <w:rPr>
          <w:rFonts w:ascii="Times New Roman;sans-serif" w:hAnsi="Times New Roman;sans-serif"/>
          <w:b w:val="false"/>
          <w:color w:val="000000"/>
          <w:sz w:val="20"/>
        </w:rPr>
        <w:t>- Our gain on sale is driven by both volume and margin and is channel-sensitive. The industry outlook for loan origination for the remainder of 2023 and early 2024 remains largely depressed, with historical low origination volumes and elevated mortgage interest rates . We expect recapture volumes in our Consumer Direct channel to remain at depressed levels absent any significant interest rate decrease and expect competitive pressure on margins across all channels. We expect to continue to prudently manage our Correspondent volume at margins that are accretive to the business.</w:t>
      </w:r>
    </w:p>
    <w:p>
      <w:pPr>
        <w:pStyle w:val="TextBody"/>
        <w:bidi w:val="0"/>
        <w:spacing w:lineRule="auto" w:line="288" w:before="120" w:after="120"/>
        <w:jc w:val="left"/>
        <w:rPr/>
      </w:pPr>
      <w:r>
        <w:rPr>
          <w:rFonts w:ascii="Times New Roman;sans-serif" w:hAnsi="Times New Roman;sans-serif"/>
          <w:b w:val="false"/>
          <w:i/>
          <w:color w:val="000000"/>
          <w:sz w:val="20"/>
        </w:rPr>
        <w:t xml:space="preserve">Gain on reverse loans held for investment and HMBS-related borrowings, net </w:t>
      </w:r>
      <w:r>
        <w:rPr>
          <w:rFonts w:ascii="Times New Roman;sans-serif" w:hAnsi="Times New Roman;sans-serif"/>
          <w:b w:val="false"/>
          <w:color w:val="000000"/>
          <w:sz w:val="20"/>
        </w:rPr>
        <w:t xml:space="preserve">- The reverse mortgage origination gain is driven by the same factors as gain on sale of loans held for sale, with smaller volumes in the reverse mortgage market and generally larger margins. With our experience and brand in the marketplace, we expect to continue to maintain or prudently grow our portfolio albeit with some channel mix changes. We expect continued uncertain market interest rate and spread conditions. The fair value of the net reverse servicing asset is expected to continue to follow market conditions, with fair value gains or losses generally associated with declining or increasing interest rates, respectively, and is part of our forward MSR hedging strategy. </w:t>
      </w:r>
    </w:p>
    <w:p>
      <w:pPr>
        <w:pStyle w:val="TextBody"/>
        <w:bidi w:val="0"/>
        <w:spacing w:lineRule="auto" w:line="288" w:before="120" w:after="120"/>
        <w:jc w:val="left"/>
        <w:rPr/>
      </w:pPr>
      <w:r>
        <w:rPr>
          <w:rFonts w:ascii="Times New Roman;sans-serif" w:hAnsi="Times New Roman;sans-serif"/>
          <w:b w:val="false"/>
          <w:i/>
          <w:color w:val="000000"/>
          <w:sz w:val="20"/>
        </w:rPr>
        <w:t xml:space="preserve">MSR valuation adjustments, net - </w:t>
      </w:r>
      <w:r>
        <w:rPr>
          <w:rFonts w:ascii="Times New Roman;sans-serif" w:hAnsi="Times New Roman;sans-serif"/>
          <w:b w:val="false"/>
          <w:color w:val="000000"/>
          <w:sz w:val="20"/>
        </w:rPr>
        <w:t xml:space="preserve">Our net MSR fair value changes include multiple components. First, amortization of our investment is a function of the UPB, capitalized value of the MSR relative to the UPB, and the level of scheduled payments and prepayments. We expect the MSR realization of expected cash flows to follow the growth of our MSR portfolio offset by the growth of ESS financing liabilities. Second, MSR fair value changes are driven by changes in interest rates and assumptions, such as forecasted prepayments. Third, the MSR fair value changes are partially offset by derivative fair value changes that economically hedge the MSR portfolio. We are exposed to increased interest rate volatility due to our interest rate sensitive GSE MSR portfolio. Our hedging strategy provides only partial hedge coverage and we would expect net MSR fair value losses if interest rates drop and conversely, net MSR fair value gains if interest rates rise, also dependent on our hedge coverage ratio. We expect that, other things being equal, the magnitude of the fair value changes of the MSR portfolio due to market interest rates, net of the MSR hedges, to decrease if our hedge coverage ratio increases, or vice versa. Refer to the sensitivity analysis in Item 3 - Quantitative and Qualitative Disclosures About Market Risk for further detail. </w:t>
      </w:r>
    </w:p>
    <w:p>
      <w:pPr>
        <w:pStyle w:val="TextBody"/>
        <w:bidi w:val="0"/>
        <w:spacing w:lineRule="auto" w:line="288" w:before="120" w:after="120"/>
        <w:jc w:val="left"/>
        <w:rPr/>
      </w:pPr>
      <w:r>
        <w:rPr>
          <w:rFonts w:ascii="Times New Roman;sans-serif" w:hAnsi="Times New Roman;sans-serif"/>
          <w:b w:val="false"/>
          <w:i/>
          <w:color w:val="000000"/>
          <w:sz w:val="20"/>
        </w:rPr>
        <w:t xml:space="preserve">Operating expenses </w:t>
      </w:r>
      <w:r>
        <w:rPr>
          <w:rFonts w:ascii="Times New Roman;sans-serif" w:hAnsi="Times New Roman;sans-serif"/>
          <w:b w:val="false"/>
          <w:color w:val="000000"/>
          <w:sz w:val="20"/>
        </w:rPr>
        <w:t>- Compensation and benefits are a significant component of our cost-to-service and cost-to-originate and is directly correlated to headcount levels. Headcount in Servicing is primarily driven by the number of loans or UPB being serviced and subserviced, and by the relative mix of performing, delinquent and defaulted loans. As servicing volume is expected to modestly increase (see above), we expect a stable workforce. We expect to continue to right-size and prudently manage our Originations headcount and operating expenses to align with funded volume. Our operating expenses are expected to correlate with volumes, with some productivity and efficiencies expected through our technology and continuous improvement initiatives. Elevated inflation may result in higher operating expenses due to increases in salaries and benefits and rates charged by our vendors.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704" w:type="dxa"/>
        <w:jc w:val="left"/>
        <w:tblInd w:w="0" w:type="dxa"/>
        <w:tblLayout w:type="fixed"/>
        <w:tblCellMar>
          <w:top w:w="28" w:type="dxa"/>
          <w:left w:w="28" w:type="dxa"/>
          <w:bottom w:w="28" w:type="dxa"/>
          <w:right w:w="28" w:type="dxa"/>
        </w:tblCellMar>
      </w:tblPr>
      <w:tblGrid>
        <w:gridCol w:w="1185"/>
        <w:gridCol w:w="1041"/>
        <w:gridCol w:w="1478"/>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SEGMENT RESULTS OF OPERATIONS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activities are organized into two reportable business segments that reflect our primary lines of business - Servicing and Originations - as well as a Corporate Items and Other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46" w:type="dxa"/>
        <w:jc w:val="left"/>
        <w:tblInd w:w="0" w:type="dxa"/>
        <w:tblLayout w:type="fixed"/>
        <w:tblCellMar>
          <w:top w:w="28" w:type="dxa"/>
          <w:left w:w="28" w:type="dxa"/>
          <w:bottom w:w="28" w:type="dxa"/>
          <w:right w:w="28" w:type="dxa"/>
        </w:tblCellMar>
      </w:tblPr>
      <w:tblGrid>
        <w:gridCol w:w="399"/>
        <w:gridCol w:w="350"/>
        <w:gridCol w:w="497"/>
      </w:tblGrid>
      <w:tr>
        <w:trPr/>
        <w:tc>
          <w:tcPr>
            <w:tcW w:w="39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SERVICING</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earn contractual monthly servicing fees pursuant to servicing agreements pertaining to MSRs we own, which are typically payable as a percentage of UPB, as well as ancillary fees, including late fees, modification incentive fees, REO referral commissions, float earnings and convenience or other loan collection fees, where permitted. We also earn fees under both subservicing and special servicing arrangements with banks and other institutions, including Rithm and MAV, who own the MSRs. Subservicing and special servicing fees are earned either as a percentage of UPB or on a per-loan basis. Subservicing per-loan fees typically vary based on type of investor and on loan delinquency status.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2023, we serviced 1.4 million mortgage loans with an aggregate UPB serviced and subserviced of $288.5 billion. The average UPB during the second quarter of 2023 was flat compared to the first quarter of 2023. Compared to the six months ended June 30, 2022, the average UPB during the six months ended June 30, 2023 increased by 5% or $14.1 billion. We manage the size of our servicing portfolio with our Originations business and by selectively purchasing MSRs based on capital allocation and financial return targets.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performance of our servicing segment is impacted by the changes in fair value of the MSR portfolio due to changes in market interest rates, among other factors. Our MSR portfolio is carried at fair value, with changes in fair value recorded in earnings, within MSR valuation adjustments, net. The fair value of our MSRs is typically correlated to changes in market interest rates; as interest rates decrease, the value of the servicing portfolio typically decreases as a result of higher anticipated prepayment speeds, and the reverse is true. The sensitivity of MSR fair value to interest rates is typically higher for higher credit quality loans, such as our Agency loans. Our Non-Agency portfolio is significantly seasoned, with an average loan age of approximately 18 years, exhibiting little response to movements in market interest rates. Our hedging strategy is designed to partially reduce the volatility of the MSR portfolio to interest rates.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Concentration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Rithm (formerly NRZ) and MAV are our largest subservicing clients.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Rithm accounted for 16% and 27% of the total serviced UPB and loan count, respectively, in our servicing portfolio as of June 30, 2023, and 68% of all delinquent loans. Rithm servicing fees retained by Ocwen represented approximately 9% of the total servicing and subservicing fees earned by Ocwen, net of servicing fees remitted to Rithm during the second quarter of 2023.Consistent with a subservicing relationship, Rithm is responsible for funding the advances we service on its behalf. The servicing agreement expires on December 31, 2023 with subsequent automatic one-year renewals unless notice of termination is provided.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MAV represented 16% and 12% of our total servicing portfolio UPB and loan count, respectively, as of June 30, 2023. MAV servicing fees retained by Ocwen represented approximately 2% of the total servicing and subservicing fees earned by Ocwen, net of servicing fees remitted to MAV, during the second quarter of 2023. PMC has exclusive rights to service the mortgage loans underlying MSRs owned by MAV. MAV provides us with a source of additional subservicing volume, either with the MSRs that MAV purchases outright from third parties or with the MSRs that MAV purchases from PMC. Refer to Note 10 - Investment in Equity Method Investee and Related Party Transactions.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Loan Resolutions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strong track record of success as a leader in the servicing industry in foreclosure prevention and loss mitigation that helps homeowners stay in their homes and improves financial outcomes for mortgage loan investors. Reducing delinquencies also enables us to recover advances and recognize additional ancillary income, such as late fees, which we do not recognize on delinquent loans until they are brought current. Loan resolution activities address the pipeline of delinquent loans and generally lead to (i) modification of the loan terms, (ii) repayment plan alternatives, (iii) a discounted payoff of the loan (e.g., a “short sale”), or (iv) foreclosure or deed-in-lieu-of-foreclosure and sale of the resulting REO. Loan modifications must be made in accordance with the applicable servicing agreement as such agreements may require approvals or impose restrictions upon, or even forbid, loan modifications. To select an appropriate loan modification option for a borrower, we perform a structured analysis, using a proprietary model, of all options using information provided by the borrower as well as external data, including recent broker price opinions to value the mortgaged property. Our proprietary model includes, among other things, an assessment of re-default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Advance Obligation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servicer, we are generally obligated to advance funds in the event borrowers are delinquent on their monthly mortgage related payments. We advance principal and interest (P&amp;I Advances), taxes and insurance (T&amp;I Advances) and legal fees, property valuation fees, property inspection fees, maintenance costs and preservation costs on properties that have been foreclosed (Corporate Advances). For certain loans in non-Agency securitization trusts, we have the ability to cease making P&amp;I advances and immediately recover advances previously made from the general collections of the respective trust if we determine that our P&amp;I advances cannot be recovered from the projected future cash flows. With T&amp;I and Corporate advances, we continue to advance if net future cash flows exceed projected future advances without regard to advances already made.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advances have the highest reimbursement priority (i.e., they are “top of the waterfall”) so that we are entitled to repayment from respective loan or REO liquidation proceeds before any interest or principal is paid on the bonds that were issued by the trust. In the majority of cases, advances in excess of respective loan or REO liquidation proceeds may be recovered from pool-level proceeds. The costs incurred in meeting these obligations consist principally of the interest expense incurred in financing the servicing advances. Most subservicing agreements, including our agreements with Rithm, provide for prompt reimbursement of any advances from the owner of the servicing rights.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Significant Variables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could significantly impact the results of our Servicing segment from period to period.</w:t>
      </w:r>
    </w:p>
    <w:p>
      <w:pPr>
        <w:pStyle w:val="TextBody"/>
        <w:bidi w:val="0"/>
        <w:spacing w:lineRule="auto" w:line="268" w:before="0" w:after="0"/>
        <w:jc w:val="left"/>
        <w:rPr/>
      </w:pPr>
      <w:r>
        <w:rPr>
          <w:rFonts w:ascii="Times New Roman;sans-serif" w:hAnsi="Times New Roman;sans-serif"/>
          <w:b w:val="false"/>
          <w:i/>
          <w:color w:val="000000"/>
          <w:sz w:val="20"/>
        </w:rPr>
        <w:t>Aggregate UPB and Loan Count</w:t>
      </w:r>
      <w:r>
        <w:rPr>
          <w:rFonts w:ascii="Times New Roman;sans-serif" w:hAnsi="Times New Roman;sans-serif"/>
          <w:b w:val="false"/>
          <w:color w:val="000000"/>
          <w:sz w:val="20"/>
        </w:rPr>
        <w:t>. Servicing fees are generally earned as a percentage of UPB and subservicing fees are earned on a per-loan basis or as a percentage of UPB. As a result, the change in aggregate UPB and loan count for which we have servicing rights or subservicing rights will directly impact our revenue contributed by our Servicing segment. Aggregate UPB and loan count decline as a result of portfolio run-off and increase to the extent we retain MSRs from new originations or engage in MSR acquisitions.</w:t>
      </w:r>
    </w:p>
    <w:p>
      <w:pPr>
        <w:pStyle w:val="TextBody"/>
        <w:bidi w:val="0"/>
        <w:spacing w:lineRule="auto" w:line="288" w:before="120" w:after="120"/>
        <w:jc w:val="left"/>
        <w:rPr/>
      </w:pPr>
      <w:r>
        <w:rPr>
          <w:rFonts w:ascii="Times New Roman;sans-serif" w:hAnsi="Times New Roman;sans-serif"/>
          <w:b w:val="false"/>
          <w:i/>
          <w:color w:val="000000"/>
          <w:sz w:val="20"/>
        </w:rPr>
        <w:t>Cost to Service and Operating Efficiency</w:t>
      </w:r>
      <w:r>
        <w:rPr>
          <w:rFonts w:ascii="Times New Roman;sans-serif" w:hAnsi="Times New Roman;sans-serif"/>
          <w:b w:val="false"/>
          <w:color w:val="000000"/>
          <w:sz w:val="20"/>
        </w:rPr>
        <w:t xml:space="preserve">. Our operating results for our Servicing segment are heavily dependent on our ability to scale our operations to cost-effectively and efficiently perform servicing activities in accordance with our servicing agreements. </w:t>
      </w:r>
    </w:p>
    <w:p>
      <w:pPr>
        <w:pStyle w:val="TextBody"/>
        <w:bidi w:val="0"/>
        <w:spacing w:lineRule="auto" w:line="288" w:before="120" w:after="283"/>
        <w:jc w:val="left"/>
        <w:rPr/>
      </w:pPr>
      <w:r>
        <w:rPr>
          <w:rFonts w:ascii="Times New Roman;sans-serif" w:hAnsi="Times New Roman;sans-serif"/>
          <w:b w:val="false"/>
          <w:i/>
          <w:color w:val="000000"/>
          <w:sz w:val="20"/>
        </w:rPr>
        <w:t>Delinquencies</w:t>
      </w:r>
      <w:r>
        <w:rPr>
          <w:rFonts w:ascii="Times New Roman;sans-serif" w:hAnsi="Times New Roman;sans-serif"/>
          <w:b w:val="false"/>
          <w:color w:val="000000"/>
          <w:sz w:val="20"/>
        </w:rPr>
        <w:t xml:space="preserve">. Delinquencies impact our financial results and operating cash flows for our Servicing segment. Non-performing loans are more expensive to service because the loss mitigation activities that we must undertake to keep borrowers in their homes or to foreclose, if necessary, are costlier than the activities required to service a performing loan. These loss mitigation activities include increased contact with the borrower for collection and the development of forbearance plans or loan modifications by highly skilled associates who command higher compensation as well as the higher compliance costs associated with these, and similar activities. While the higher cost is somewhat offset by ancillary fees for severely delinquent loans or loans that enter the foreclosure process, the incremental revenue opportunities are generally not sufficient to cover our increased costs.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when borrowers are delinquent, the amount of funds that we are required to advance to the investors increases. We utilize servicing advance financing facilities, which are asset-backed (i.e., match funded liabilities) securitization facilities, to finance a portion of our advances. As a result, increased delinquencies result in increased interest expense.</w:t>
      </w:r>
    </w:p>
    <w:p>
      <w:pPr>
        <w:pStyle w:val="TextBody"/>
        <w:bidi w:val="0"/>
        <w:spacing w:lineRule="auto" w:line="288" w:before="120" w:after="283"/>
        <w:jc w:val="left"/>
        <w:rPr/>
      </w:pPr>
      <w:r>
        <w:rPr>
          <w:rFonts w:ascii="Times New Roman;sans-serif" w:hAnsi="Times New Roman;sans-serif"/>
          <w:b w:val="false"/>
          <w:i/>
          <w:color w:val="000000"/>
          <w:sz w:val="20"/>
        </w:rPr>
        <w:t>Prepayment Speed</w:t>
      </w:r>
      <w:r>
        <w:rPr>
          <w:rFonts w:ascii="Times New Roman;sans-serif" w:hAnsi="Times New Roman;sans-serif"/>
          <w:b w:val="false"/>
          <w:color w:val="000000"/>
          <w:sz w:val="20"/>
        </w:rPr>
        <w:t>. The rate at which portfolio UPB declines can have a significant impact on our Servicing segment. Items reducing UPB include scheduled and unscheduled principal payments (runoff), refinancing, loan modifications involving forgiveness of principal, voluntary property sales and involuntary property sales such as foreclosures. Prepayment speed impacts future servicing fees, runoff and valuation of MSRs, float earnings on float balances and interest expense on advances. Increases in anticipated lifetime prepayment speeds generally cause MSR valuation adjustments to increase because MSRs are valued based on total expected servicing income over the life of a portfolio. The converse is true when expectations for prepayment speeds decrease.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Reverse Mortgages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activities include both the subservicing of reverse mortgage loans on behalf of investors and the servicing of our owned portfolio.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activities and financial performance related to reverse mortgage loans that are securitized and classified as held for investment, at fair value, together with the HMBS-related borrowings, at fair value (internally identified as our Reverse Owned Servicing business) are reflected in the Servicing segment, consistent with how the activities are managed and internally reported. Once a reverse mortgage loan is securitized, our activities are generally consistent with other loan servicing as described above, with the following variations.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ARM-based HECM loan agreements, the borrowers have additional borrowing capacity of $1.8 billion at June 30, 2023. These draws or tails are funded by the servicer and are subsequently securitized. We do not incur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substantive underwriting, marketing or compensation costs in connection with any future draws, although we must maintain sufficient capital resources and available borrowing capacity to ensure that we are able to fund these future draws prior to securitization with Ginnie Mae (generally less than 30 days). </w:t>
      </w:r>
    </w:p>
    <w:p>
      <w:pPr>
        <w:pStyle w:val="TextBody"/>
        <w:bidi w:val="0"/>
        <w:spacing w:lineRule="auto" w:line="288" w:before="120" w:after="120"/>
        <w:jc w:val="left"/>
        <w:rPr/>
      </w:pPr>
      <w:r>
        <w:rPr>
          <w:rFonts w:ascii="Times New Roman;sans-serif" w:hAnsi="Times New Roman;sans-serif"/>
          <w:b w:val="false"/>
          <w:color w:val="000000"/>
          <w:sz w:val="20"/>
        </w:rPr>
        <w:t>As an HMBS issuer, we assume certain obligations related to each security issued. In addition to our obligation to fund tails</w:t>
      </w:r>
      <w:r>
        <w:rPr>
          <w:rFonts w:ascii="Times New Roman;sans-serif" w:hAnsi="Times New Roman;sans-serif"/>
          <w:b w:val="false"/>
          <w:color w:val="008080"/>
          <w:sz w:val="20"/>
        </w:rPr>
        <w:t>, t</w:t>
      </w:r>
      <w:r>
        <w:rPr>
          <w:rFonts w:ascii="Times New Roman;sans-serif" w:hAnsi="Times New Roman;sans-serif"/>
          <w:b w:val="false"/>
          <w:color w:val="000000"/>
          <w:sz w:val="20"/>
        </w:rPr>
        <w:t>he most significant obligation is the requirement to purchase loans out of the Ginnie Mae securitization pools once they reach 98% of the maximum claim amount (MCA repurchases or active buyouts). Active repurchased loans or buyouts are assigned to HUD and payment is received from HUD through a claims process, generally within 90 days. HUD reimburses us for the outstanding principal balance on the loan up to the maximum claim amount; we bear the risk of exposure if the outstanding balance on a loan exceeds the maximum claim amount. Inactive repurchased loans or buyouts (loans that are in default for one of the following reasons - title conveyances or the borrower is deceased, no longer occupies the property or is delinquent on tax and insurance payments) are generally liquidated through foreclosure and subsequent sale of REO. State specific foreclosure and REO liquidation timelines have a significant impact on the timing and amount of our recovery. If we are unable to sell the property securing the inactive reverse loan for an acceptable price within the timeframe established by HUD (six months),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liquidation processes related to delayed timelines due to market conditions, sales commissions, property preservation costs or property tax and insurance advances. The significance of future losses associated with appraisal-based claims is dependent upon the volume of inactive loans, condition of foreclosed properties and the general real estate market.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Gain on reverse loans held for investment and HMBS-related borrowings, net reported within the Servicing segment includes the net fair value changes of securitized reverse mortgage loans held for investment and HMBS-related borrowings, for which we elected the fair value accounting option. The net fair value changes of the reverse mortgage loans and related borrowings reported within the Servicing segment include the following:</w:t>
      </w:r>
    </w:p>
    <w:p>
      <w:pPr>
        <w:pStyle w:val="TextBody"/>
        <w:bidi w:val="0"/>
        <w:spacing w:lineRule="auto" w:line="288" w:before="120" w:after="60"/>
        <w:ind w:left="0" w:right="0" w:hanging="360"/>
        <w:jc w:val="left"/>
        <w:rPr/>
      </w:pPr>
      <w:r>
        <w:rPr>
          <w:color w:val="000000"/>
        </w:rPr>
        <w:t>•</w:t>
      </w:r>
      <w:r>
        <w:rPr>
          <w:rFonts w:ascii="Times New Roman;sans-serif" w:hAnsi="Times New Roman;sans-serif"/>
          <w:b w:val="false"/>
          <w:color w:val="000000"/>
          <w:sz w:val="20"/>
        </w:rPr>
        <w:t>contractual interest income earned on securitized reverse mortgage loans, net of interest expense on HMBS-related borrowings, that is, the servicing fee we are contractually entitled to and collect on a monthly basis under the Ginnie Mae MBS Guide regarding servicing HMBS;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cash gains on tail securitization. Tails are participations in previously securitized HECMs and are created by additions to principal for borrower draws on lines-of-credit (scheduled and unscheduled), interest, servicing fees, and mortgage insurance premiums;</w:t>
      </w:r>
    </w:p>
    <w:p>
      <w:pPr>
        <w:pStyle w:val="TextBody"/>
        <w:bidi w:val="0"/>
        <w:spacing w:lineRule="auto" w:line="288" w:before="60" w:after="60"/>
        <w:ind w:left="0" w:right="0" w:hanging="360"/>
        <w:jc w:val="left"/>
        <w:rPr/>
      </w:pPr>
      <w:r>
        <w:rPr>
          <w:color w:val="000000"/>
        </w:rPr>
        <w:t>•</w:t>
      </w:r>
      <w:r>
        <w:rPr>
          <w:rFonts w:ascii="Times New Roman;sans-serif" w:hAnsi="Times New Roman;sans-serif"/>
          <w:b w:val="false"/>
          <w:color w:val="000000"/>
          <w:sz w:val="20"/>
        </w:rPr>
        <w:t>fair value changes due to the realization of other expected cash flows of the net asset balance of securitized loans held for investment and HMBS-related borrowings; and</w:t>
      </w:r>
    </w:p>
    <w:p>
      <w:pPr>
        <w:pStyle w:val="TextBody"/>
        <w:bidi w:val="0"/>
        <w:spacing w:lineRule="auto" w:line="288" w:before="60" w:after="120"/>
        <w:ind w:left="0" w:right="0" w:hanging="360"/>
        <w:jc w:val="left"/>
        <w:rPr/>
      </w:pPr>
      <w:r>
        <w:rPr>
          <w:color w:val="000000"/>
        </w:rPr>
        <w:t>•</w:t>
      </w:r>
      <w:r>
        <w:rPr>
          <w:rFonts w:ascii="Times New Roman;sans-serif" w:hAnsi="Times New Roman;sans-serif"/>
          <w:b w:val="false"/>
          <w:color w:val="000000"/>
          <w:sz w:val="20"/>
        </w:rPr>
        <w:t xml:space="preserve">fair value changes due to the inputs and assumptions of the net balance of securitized loans held for investment and HMBS-related borrowings.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Ginnie Mae securitized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 HECM loans have a longer duration than HMBS-related borrowings as a result of the future draw commitments, and our obligations as issuer of HMBS to purchase loans out of the Ginnie Mae securitization pools once the outstanding principal balance of the related HECM loan is equal to 98% of the maximum claim amount.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 strictly reflects the financial performance of owned loans/servicing. The financial performance associated with the subservicing of reverse mortgage loans on behalf of investors is primarily reflected within Servicing and subservicing fees, net. We collect higher subservicing fees for inactive loans relative to the base subservicing fee for performing loans or active repurchased loans, commensurate with the level of servicing efforts, as described above.</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Third-Party Servicer Ratings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Like other servicers, we are the subject of mortgage servicer ratings or rankings (collectively, ratings) issued and revised from time to time by rating agencies including Moody’s Investors Service, Inc. (Moody’s), S&amp;P Global Ratings, Inc. (S&amp;P) and Fitch Ratings, Inc.(Fitch). Favorable ratings from these agencies are important to the conduct of our loan servicing and lending businesses.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latest key servicer ratings:</w:t>
      </w:r>
    </w:p>
    <w:tbl>
      <w:tblPr>
        <w:tblW w:w="9688" w:type="dxa"/>
        <w:jc w:val="center"/>
        <w:tblInd w:w="0" w:type="dxa"/>
        <w:tblLayout w:type="fixed"/>
        <w:tblCellMar>
          <w:top w:w="28" w:type="dxa"/>
          <w:left w:w="28" w:type="dxa"/>
          <w:bottom w:w="28" w:type="dxa"/>
          <w:right w:w="28" w:type="dxa"/>
        </w:tblCellMar>
      </w:tblPr>
      <w:tblGrid>
        <w:gridCol w:w="1399"/>
        <w:gridCol w:w="1230"/>
        <w:gridCol w:w="1240"/>
        <w:gridCol w:w="572"/>
        <w:gridCol w:w="572"/>
        <w:gridCol w:w="580"/>
        <w:gridCol w:w="205"/>
        <w:gridCol w:w="205"/>
        <w:gridCol w:w="205"/>
        <w:gridCol w:w="586"/>
        <w:gridCol w:w="403"/>
        <w:gridCol w:w="406"/>
        <w:gridCol w:w="205"/>
        <w:gridCol w:w="205"/>
        <w:gridCol w:w="205"/>
        <w:gridCol w:w="448"/>
        <w:gridCol w:w="448"/>
        <w:gridCol w:w="574"/>
      </w:tblGrid>
      <w:tr>
        <w:trPr/>
        <w:tc>
          <w:tcPr>
            <w:tcW w:w="139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PHH Mortgage Corporation (PMC)</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S&amp;P</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Fitch</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Forward</w:t>
            </w:r>
          </w:p>
        </w:tc>
        <w:tc>
          <w:tcPr>
            <w:tcW w:w="17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Prime Servicer</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Subprime Servicer</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Special Servicer</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RSS3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Second/Subordinate Lien Servicer</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Home Equity Servicer</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Alt-A Servicer</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RPS3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Master Servicer</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SQ3+</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RMS3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Ratings Outlook</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Positive / Stable</w:t>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last action </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28, 2021</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22, 2023</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2022</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Reverse</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Reverse Servicer</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Above Average</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Ratings Outlook</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initial rating</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27, 2022</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2023, S&amp;P raised the ratings for residential mortgage primary, special, subprime and subordinate-lien servicer from Average to Above Average and affirmed the overall Above Average ranking as a residential mortgage loan master servicer and the ratings outlook as Stable. S&amp;P’s rankings reflects i) senior and middle management teams, which have sound industry experience and tenure levels and low turnover, ii) multiple levels of internal controls to monitor the operations, iii) internal or external audit findings - no material findings noted, based on the reports provided, iv) effective and industry-recognized technology systems and good level of automation in reporting, accounting, and cash administration, v) proactive servicer oversight program and comprehensive practices to monitor default activity to mitigate losses; and vi) continued portfolio runoff, reflecting the securitization market's limited new business opportunities and high competition levels with several master servicers competing for those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results of operations of our Servicing segment. The amounts presented are before the elimination of balances and transactions with our other segments:</w:t>
      </w:r>
    </w:p>
    <w:tbl>
      <w:tblPr>
        <w:tblW w:w="10205" w:type="dxa"/>
        <w:jc w:val="left"/>
        <w:tblInd w:w="0" w:type="dxa"/>
        <w:tblLayout w:type="fixed"/>
        <w:tblCellMar>
          <w:top w:w="28" w:type="dxa"/>
          <w:left w:w="28" w:type="dxa"/>
          <w:bottom w:w="28" w:type="dxa"/>
          <w:right w:w="28" w:type="dxa"/>
        </w:tblCellMar>
      </w:tblPr>
      <w:tblGrid>
        <w:gridCol w:w="1000"/>
        <w:gridCol w:w="782"/>
        <w:gridCol w:w="788"/>
        <w:gridCol w:w="328"/>
        <w:gridCol w:w="285"/>
        <w:gridCol w:w="286"/>
        <w:gridCol w:w="123"/>
        <w:gridCol w:w="123"/>
        <w:gridCol w:w="123"/>
        <w:gridCol w:w="367"/>
        <w:gridCol w:w="288"/>
        <w:gridCol w:w="285"/>
        <w:gridCol w:w="109"/>
        <w:gridCol w:w="109"/>
        <w:gridCol w:w="109"/>
        <w:gridCol w:w="246"/>
        <w:gridCol w:w="247"/>
        <w:gridCol w:w="551"/>
        <w:gridCol w:w="109"/>
        <w:gridCol w:w="109"/>
        <w:gridCol w:w="109"/>
        <w:gridCol w:w="399"/>
        <w:gridCol w:w="229"/>
        <w:gridCol w:w="205"/>
        <w:gridCol w:w="118"/>
        <w:gridCol w:w="118"/>
        <w:gridCol w:w="118"/>
        <w:gridCol w:w="327"/>
        <w:gridCol w:w="288"/>
        <w:gridCol w:w="283"/>
        <w:gridCol w:w="109"/>
        <w:gridCol w:w="109"/>
        <w:gridCol w:w="109"/>
        <w:gridCol w:w="246"/>
        <w:gridCol w:w="247"/>
        <w:gridCol w:w="551"/>
        <w:gridCol w:w="109"/>
        <w:gridCol w:w="164"/>
      </w:tblGrid>
      <w:tr>
        <w:trPr/>
        <w:tc>
          <w:tcPr>
            <w:tcW w:w="100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vMerge w:val="continue"/>
            <w:tcBorders/>
            <w:tcMar>
              <w:top w:w="0" w:type="dxa"/>
              <w:left w:w="0" w:type="dxa"/>
              <w:bottom w:w="0" w:type="dxa"/>
              <w:right w:w="0" w:type="dxa"/>
            </w:tcMar>
            <w:vAlign w:val="center"/>
          </w:tcPr>
          <w:p>
            <w:pPr>
              <w:pStyle w:val="Normal"/>
              <w:bidi w:val="0"/>
              <w:jc w:val="left"/>
              <w:rPr/>
            </w:pPr>
            <w:r>
              <w:rPr/>
            </w:r>
          </w:p>
        </w:tc>
        <w:tc>
          <w:tcPr>
            <w:tcW w:w="273" w:type="dxa"/>
            <w:gridSpan w:val="2"/>
            <w:tcBorders/>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loans held for sale, net</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expense</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8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n/m: not meaningful</w:t>
            </w:r>
          </w:p>
        </w:tc>
        <w:tc>
          <w:tcPr>
            <w:tcW w:w="8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148" w:type="dxa"/>
        <w:jc w:val="left"/>
        <w:tblInd w:w="0" w:type="dxa"/>
        <w:tblLayout w:type="fixed"/>
        <w:tblCellMar>
          <w:top w:w="28" w:type="dxa"/>
          <w:left w:w="28" w:type="dxa"/>
          <w:bottom w:w="28" w:type="dxa"/>
          <w:right w:w="28" w:type="dxa"/>
        </w:tblCellMar>
      </w:tblPr>
      <w:tblGrid>
        <w:gridCol w:w="1353"/>
        <w:gridCol w:w="1187"/>
        <w:gridCol w:w="1194"/>
        <w:gridCol w:w="211"/>
        <w:gridCol w:w="616"/>
        <w:gridCol w:w="109"/>
        <w:gridCol w:w="109"/>
        <w:gridCol w:w="109"/>
        <w:gridCol w:w="109"/>
        <w:gridCol w:w="220"/>
        <w:gridCol w:w="642"/>
        <w:gridCol w:w="113"/>
        <w:gridCol w:w="109"/>
        <w:gridCol w:w="109"/>
        <w:gridCol w:w="109"/>
        <w:gridCol w:w="220"/>
        <w:gridCol w:w="220"/>
        <w:gridCol w:w="551"/>
        <w:gridCol w:w="109"/>
        <w:gridCol w:w="109"/>
        <w:gridCol w:w="109"/>
        <w:gridCol w:w="109"/>
        <w:gridCol w:w="109"/>
        <w:gridCol w:w="211"/>
        <w:gridCol w:w="616"/>
        <w:gridCol w:w="109"/>
        <w:gridCol w:w="109"/>
        <w:gridCol w:w="109"/>
        <w:gridCol w:w="109"/>
        <w:gridCol w:w="218"/>
        <w:gridCol w:w="218"/>
        <w:gridCol w:w="61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Selected Operating Statistics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 Serviced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Unpaid principal balance (UPB) in billions: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loans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real estate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Non-Agency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(4)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(formerly NRZ) and others (5)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Number (in 000’s):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Performing loans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 Rithm</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loans -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Non-performing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 loans (2)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Non-Agency loans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 (5)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 (5)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68"/>
        <w:gridCol w:w="835"/>
        <w:gridCol w:w="838"/>
        <w:gridCol w:w="211"/>
        <w:gridCol w:w="406"/>
        <w:gridCol w:w="271"/>
        <w:gridCol w:w="109"/>
        <w:gridCol w:w="109"/>
        <w:gridCol w:w="109"/>
        <w:gridCol w:w="218"/>
        <w:gridCol w:w="421"/>
        <w:gridCol w:w="281"/>
        <w:gridCol w:w="109"/>
        <w:gridCol w:w="109"/>
        <w:gridCol w:w="109"/>
        <w:gridCol w:w="220"/>
        <w:gridCol w:w="220"/>
        <w:gridCol w:w="551"/>
        <w:gridCol w:w="109"/>
        <w:gridCol w:w="109"/>
        <w:gridCol w:w="109"/>
        <w:gridCol w:w="211"/>
        <w:gridCol w:w="406"/>
        <w:gridCol w:w="271"/>
        <w:gridCol w:w="109"/>
        <w:gridCol w:w="109"/>
        <w:gridCol w:w="109"/>
        <w:gridCol w:w="211"/>
        <w:gridCol w:w="511"/>
        <w:gridCol w:w="271"/>
        <w:gridCol w:w="109"/>
        <w:gridCol w:w="109"/>
        <w:gridCol w:w="109"/>
        <w:gridCol w:w="220"/>
        <w:gridCol w:w="220"/>
        <w:gridCol w:w="551"/>
        <w:gridCol w:w="158"/>
      </w:tblGrid>
      <w:tr>
        <w:trPr/>
        <w:tc>
          <w:tcPr>
            <w:tcW w:w="106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Prepayment speed (CPR) (7): </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Voluntary CPR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Involuntary CPR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Total CPR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Number of completed modifications </w:t>
            </w:r>
            <w:r>
              <w:rPr>
                <w:rFonts w:ascii="Times New Roman;sans-serif" w:hAnsi="Times New Roman;sans-serif"/>
                <w:b w:val="false"/>
                <w:i/>
                <w:color w:val="000000"/>
                <w:sz w:val="20"/>
              </w:rPr>
              <w:t>(in 000’s)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 in connection with loan modifications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(1)Performing loans include those loans that are less than 90 days past due and those loans for which borrowers are making scheduled payments under loan modification, forbearance or bankruptcy plans. We consider all other loans to be non-performing.</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(2)Conventional loans include 65,796 and 66,919 prime loans with a UPB of $13.3 billion and $13.4 billion at June 30, 2023 and March 31, 2023, respectively, that we service or subservice. This compares to 68,985 prime loans with a UPB of $13.4 billion at June 30, 2022. Prime loans are generally good credit quality loans that meet GSE underwriting standards.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(3)Includes 35,972 reverse mortgage loans with a UPB of $7.8 billion that are recognized in our consolidated balance sheet at June 30, 2023.</w:t>
      </w:r>
    </w:p>
    <w:p>
      <w:pPr>
        <w:pStyle w:val="TextBody"/>
        <w:bidi w:val="0"/>
        <w:spacing w:lineRule="auto" w:line="26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(4)Includes $23.7 billion UPB subserviced and $22.9 billion UPB of MSRs sold to MAV that did not achieve sale accounting treatment at June 30, 2023.</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(5)Loans serviced or subserviced pursuant to our agreements with Rithm or MAV.</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(6)Includes $1.8 billion UPB of subserviced loans at June 30, 2023.</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(7)Total 3-month % CPR includes voluntary and involuntary prepayments, as shown in the table, plus scheduled principal amortization.</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the rollforward of activity of our portfolio of mortgage loans serviced that includes MSRs, whole loans and subserviced loans, both forward and reverse: </w:t>
      </w:r>
    </w:p>
    <w:tbl>
      <w:tblPr>
        <w:tblW w:w="7262" w:type="dxa"/>
        <w:jc w:val="left"/>
        <w:tblInd w:w="0" w:type="dxa"/>
        <w:tblLayout w:type="fixed"/>
        <w:tblCellMar>
          <w:top w:w="28" w:type="dxa"/>
          <w:left w:w="28" w:type="dxa"/>
          <w:bottom w:w="28" w:type="dxa"/>
          <w:right w:w="28" w:type="dxa"/>
        </w:tblCellMar>
      </w:tblPr>
      <w:tblGrid>
        <w:gridCol w:w="728"/>
        <w:gridCol w:w="640"/>
        <w:gridCol w:w="642"/>
        <w:gridCol w:w="247"/>
        <w:gridCol w:w="723"/>
        <w:gridCol w:w="127"/>
        <w:gridCol w:w="127"/>
        <w:gridCol w:w="127"/>
        <w:gridCol w:w="127"/>
        <w:gridCol w:w="247"/>
        <w:gridCol w:w="723"/>
        <w:gridCol w:w="127"/>
        <w:gridCol w:w="109"/>
        <w:gridCol w:w="109"/>
        <w:gridCol w:w="109"/>
        <w:gridCol w:w="383"/>
        <w:gridCol w:w="383"/>
        <w:gridCol w:w="176"/>
        <w:gridCol w:w="135"/>
        <w:gridCol w:w="135"/>
        <w:gridCol w:w="135"/>
        <w:gridCol w:w="383"/>
        <w:gridCol w:w="383"/>
        <w:gridCol w:w="237"/>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Amount of UPB (</w:t>
            </w:r>
            <w:r>
              <w:rPr>
                <w:rFonts w:ascii="Times New Roman;sans-serif" w:hAnsi="Times New Roman;sans-serif"/>
                <w:b/>
                <w:i/>
                <w:color w:val="000000"/>
                <w:sz w:val="20"/>
              </w:rPr>
              <w:t>$ 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Count (000’s)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at January 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(1) (2)</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sales (2)</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transfers (1)</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Runoff</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at March 31</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(1) (3)</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 sales </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transfers (1)</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Runoff</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at June 30</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1,359.1 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201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the volume UPB associated with short-term interim subservicing for some clients as a support to their originate-to-sell business, where loans may be boarded and deboarded within the same quarter.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(2)Includes MSRs sold to an unrelated third party in the first quarter of 2022 consisting of 38,850 loans with a UPB of $11.1 billion, with the remaining active loans transferred out of the PMC servicing system in the third quarter of 2022, and for which PMC performed interim subservicing. </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(3)Additions include purchased MSRs on portfolios consisting of 190 loans with a UPB of $73.2 million that have not yet transferred to the PMC servicing system as of June 30, 2023. Because we have legal title to the MSRs, the UPB and count of the loans are included in our reported servicing portfolio. The seller continues to subservice the loans on an interim basis between the transaction closing date and the servicing transfer date. </w:t>
      </w:r>
    </w:p>
    <w:p>
      <w:pPr>
        <w:pStyle w:val="TextBody"/>
        <w:bidi w:val="0"/>
        <w:spacing w:before="0" w:after="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breakdown of our servicer advances:</w:t>
      </w:r>
    </w:p>
    <w:tbl>
      <w:tblPr>
        <w:tblW w:w="11930" w:type="dxa"/>
        <w:jc w:val="left"/>
        <w:tblInd w:w="0" w:type="dxa"/>
        <w:tblLayout w:type="fixed"/>
        <w:tblCellMar>
          <w:top w:w="28" w:type="dxa"/>
          <w:left w:w="28" w:type="dxa"/>
          <w:bottom w:w="28" w:type="dxa"/>
          <w:right w:w="28" w:type="dxa"/>
        </w:tblCellMar>
      </w:tblPr>
      <w:tblGrid>
        <w:gridCol w:w="858"/>
        <w:gridCol w:w="630"/>
        <w:gridCol w:w="298"/>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51"/>
        <w:gridCol w:w="283"/>
        <w:gridCol w:w="288"/>
        <w:gridCol w:w="109"/>
        <w:gridCol w:w="109"/>
        <w:gridCol w:w="109"/>
        <w:gridCol w:w="391"/>
        <w:gridCol w:w="368"/>
        <w:gridCol w:w="203"/>
        <w:gridCol w:w="109"/>
        <w:gridCol w:w="109"/>
        <w:gridCol w:w="109"/>
        <w:gridCol w:w="435"/>
        <w:gridCol w:w="345"/>
        <w:gridCol w:w="226"/>
        <w:gridCol w:w="109"/>
        <w:gridCol w:w="109"/>
        <w:gridCol w:w="109"/>
        <w:gridCol w:w="546"/>
        <w:gridCol w:w="288"/>
        <w:gridCol w:w="283"/>
        <w:gridCol w:w="109"/>
        <w:gridCol w:w="109"/>
        <w:gridCol w:w="109"/>
        <w:gridCol w:w="247"/>
        <w:gridCol w:w="253"/>
        <w:gridCol w:w="363"/>
      </w:tblGrid>
      <w:tr>
        <w:trPr/>
        <w:tc>
          <w:tcPr>
            <w:tcW w:w="85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9"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Advances by investor type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and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and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Foreclosures, Bankruptcy, REO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and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Taxes and Insurance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Foreclosures, Bankruptcy, REO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Conventional</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Government-insured</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Non-Agency</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w:t>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t>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718.9</w:t>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 related to our reverse mortgage loans reported within our Servicing segment:</w:t>
      </w:r>
    </w:p>
    <w:tbl>
      <w:tblPr>
        <w:tblW w:w="10205" w:type="dxa"/>
        <w:jc w:val="left"/>
        <w:tblInd w:w="0" w:type="dxa"/>
        <w:tblLayout w:type="fixed"/>
        <w:tblCellMar>
          <w:top w:w="28" w:type="dxa"/>
          <w:left w:w="28" w:type="dxa"/>
          <w:bottom w:w="28" w:type="dxa"/>
          <w:right w:w="28" w:type="dxa"/>
        </w:tblCellMar>
      </w:tblPr>
      <w:tblGrid>
        <w:gridCol w:w="1164"/>
        <w:gridCol w:w="979"/>
        <w:gridCol w:w="981"/>
        <w:gridCol w:w="211"/>
        <w:gridCol w:w="766"/>
        <w:gridCol w:w="271"/>
        <w:gridCol w:w="109"/>
        <w:gridCol w:w="109"/>
        <w:gridCol w:w="109"/>
        <w:gridCol w:w="211"/>
        <w:gridCol w:w="766"/>
        <w:gridCol w:w="271"/>
        <w:gridCol w:w="109"/>
        <w:gridCol w:w="109"/>
        <w:gridCol w:w="109"/>
        <w:gridCol w:w="220"/>
        <w:gridCol w:w="220"/>
        <w:gridCol w:w="551"/>
        <w:gridCol w:w="109"/>
        <w:gridCol w:w="109"/>
        <w:gridCol w:w="109"/>
        <w:gridCol w:w="211"/>
        <w:gridCol w:w="766"/>
        <w:gridCol w:w="271"/>
        <w:gridCol w:w="109"/>
        <w:gridCol w:w="109"/>
        <w:gridCol w:w="109"/>
        <w:gridCol w:w="211"/>
        <w:gridCol w:w="211"/>
        <w:gridCol w:w="616"/>
      </w:tblGrid>
      <w:tr>
        <w:trPr/>
        <w:tc>
          <w:tcPr>
            <w:tcW w:w="116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Reverse Mortgage Loans </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Unpaid principal balance (UPB) in millions: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Active Buyouts (2)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Inactive Buyouts (2)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Inactive buyouts % to total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draw commitments (UPB) in millions: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in millions: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HMBS related borrowings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 value to UPB</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(1)Securitized loans only; excludes unsecuritized loans reported within the Originations segment.</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(2)Buyouts are reported as Loans held for sale, Accounts Receivable or REO depending on the loan and foreclosure status.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(3)Internally referred to as HECM or reverse MSR.</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ans-serif" w:hAnsi="Times New Roman;sans-serif"/>
          <w:b/>
          <w:color w:val="000000"/>
          <w:sz w:val="20"/>
        </w:rPr>
      </w:pPr>
      <w:r>
        <w:rPr>
          <w:rFonts w:ascii="Times New Roman;sans-serif" w:hAnsi="Times New Roman;sans-serif"/>
          <w:b/>
          <w:color w:val="000000"/>
          <w:sz w:val="20"/>
        </w:rPr>
        <w:t>Servicing and Subservicing Fees</w:t>
      </w:r>
    </w:p>
    <w:tbl>
      <w:tblPr>
        <w:tblW w:w="10205" w:type="dxa"/>
        <w:jc w:val="left"/>
        <w:tblInd w:w="0" w:type="dxa"/>
        <w:tblLayout w:type="fixed"/>
        <w:tblCellMar>
          <w:top w:w="28" w:type="dxa"/>
          <w:left w:w="28" w:type="dxa"/>
          <w:bottom w:w="28" w:type="dxa"/>
          <w:right w:w="28" w:type="dxa"/>
        </w:tblCellMar>
      </w:tblPr>
      <w:tblGrid>
        <w:gridCol w:w="923"/>
        <w:gridCol w:w="809"/>
        <w:gridCol w:w="813"/>
        <w:gridCol w:w="211"/>
        <w:gridCol w:w="616"/>
        <w:gridCol w:w="109"/>
        <w:gridCol w:w="109"/>
        <w:gridCol w:w="109"/>
        <w:gridCol w:w="109"/>
        <w:gridCol w:w="216"/>
        <w:gridCol w:w="632"/>
        <w:gridCol w:w="111"/>
        <w:gridCol w:w="109"/>
        <w:gridCol w:w="109"/>
        <w:gridCol w:w="109"/>
        <w:gridCol w:w="109"/>
        <w:gridCol w:w="220"/>
        <w:gridCol w:w="220"/>
        <w:gridCol w:w="551"/>
        <w:gridCol w:w="109"/>
        <w:gridCol w:w="109"/>
        <w:gridCol w:w="109"/>
        <w:gridCol w:w="211"/>
        <w:gridCol w:w="616"/>
        <w:gridCol w:w="109"/>
        <w:gridCol w:w="109"/>
        <w:gridCol w:w="109"/>
        <w:gridCol w:w="109"/>
        <w:gridCol w:w="211"/>
        <w:gridCol w:w="616"/>
        <w:gridCol w:w="109"/>
        <w:gridCol w:w="109"/>
        <w:gridCol w:w="109"/>
        <w:gridCol w:w="109"/>
        <w:gridCol w:w="109"/>
        <w:gridCol w:w="215"/>
        <w:gridCol w:w="215"/>
        <w:gridCol w:w="619"/>
      </w:tblGrid>
      <w:tr>
        <w:trPr/>
        <w:tc>
          <w:tcPr>
            <w:tcW w:w="923"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104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Loan servicing and subservicing fees: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(owned MSR)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Subservicing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6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subservicing fees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54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servicing and subservicing fees for the three months ended June 30, 2023 increased $5.4 million or 2% as compared to the three months ended March 31, 2023, and $42.3 million or 10% as compared to the six months ended June 30, 2022, primarily driven by higher float earnings (ancillary income) with higher interest rates and reverse ancillary income, as further discussed below. </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respective drivers of residential loan servicing (owned MSR) and subservicing fees. </w:t>
      </w:r>
    </w:p>
    <w:tbl>
      <w:tblPr>
        <w:tblW w:w="10205" w:type="dxa"/>
        <w:jc w:val="left"/>
        <w:tblInd w:w="0" w:type="dxa"/>
        <w:tblLayout w:type="fixed"/>
        <w:tblCellMar>
          <w:top w:w="28" w:type="dxa"/>
          <w:left w:w="28" w:type="dxa"/>
          <w:bottom w:w="28" w:type="dxa"/>
          <w:right w:w="28" w:type="dxa"/>
        </w:tblCellMar>
      </w:tblPr>
      <w:tblGrid>
        <w:gridCol w:w="967"/>
        <w:gridCol w:w="850"/>
        <w:gridCol w:w="855"/>
        <w:gridCol w:w="349"/>
        <w:gridCol w:w="285"/>
        <w:gridCol w:w="286"/>
        <w:gridCol w:w="137"/>
        <w:gridCol w:w="137"/>
        <w:gridCol w:w="137"/>
        <w:gridCol w:w="399"/>
        <w:gridCol w:w="302"/>
        <w:gridCol w:w="269"/>
        <w:gridCol w:w="109"/>
        <w:gridCol w:w="109"/>
        <w:gridCol w:w="109"/>
        <w:gridCol w:w="220"/>
        <w:gridCol w:w="220"/>
        <w:gridCol w:w="551"/>
        <w:gridCol w:w="109"/>
        <w:gridCol w:w="109"/>
        <w:gridCol w:w="109"/>
        <w:gridCol w:w="348"/>
        <w:gridCol w:w="288"/>
        <w:gridCol w:w="283"/>
        <w:gridCol w:w="127"/>
        <w:gridCol w:w="127"/>
        <w:gridCol w:w="127"/>
        <w:gridCol w:w="348"/>
        <w:gridCol w:w="288"/>
        <w:gridCol w:w="283"/>
        <w:gridCol w:w="109"/>
        <w:gridCol w:w="109"/>
        <w:gridCol w:w="109"/>
        <w:gridCol w:w="211"/>
        <w:gridCol w:w="211"/>
        <w:gridCol w:w="619"/>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6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Servicing and Subservicing Fees</w:t>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(owned MSRs)</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servicing fee (% of UPB) (1)</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fee (excluding MAV, Rithm and others)</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monthly fee per loan (in dollars) (2)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Residential assets serviced</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 UPB ($ in billions):</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 Owned (2)</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134.7</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 number (in 000’s):</w:t>
            </w:r>
          </w:p>
        </w:tc>
        <w:tc>
          <w:tcPr>
            <w:tcW w:w="9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portfolio (2)</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portfolio</w:t>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forward</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Subservicing - reverse</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subservicing</w:t>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MAV</w:t>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Rithm and others</w:t>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(1)Excludes owned reverse mortgage loans.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(2)Includes reverse mortgage loans.</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Comparing the three months ended June 30, 2023 to the three months ended March 31, 2023, servicing and subservicing fees (excluding ancillary income) decreased $3.1 million, or 2%. This 2% decrease is driven by a $1.3 million, or 7% decrease in subservicing fee income due to a 5% decrease in the average number of loans in our subservicing portfolio. </w:t>
      </w:r>
    </w:p>
    <w:p>
      <w:pPr>
        <w:pStyle w:val="TextBody"/>
        <w:bidi w:val="0"/>
        <w:spacing w:lineRule="auto" w:line="288" w:before="6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our servicing and subservicing fees (excluding ancillary income) for the six months ended June 30, 2023 were flat, with the decline in Rithm fees due to the portfolio runoff offset by the growth in the other portfolios. Our servicing fees on our owned MSR portfolio increased by $9.9 million and our subservicing fees grew by $3.0 million driven by reverse mortgage loans under the subservicing agreement with MAM (RMS) boarded in the first half of 2022. These increases were offset by a $13.2 million reduction in fees collected on behalf of Rithm due to portfolio runoff.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both servicing fees collected and subservicing fees retained by Ocwen under the Rithm (formerly NRZ) agreements and agreements with other clients. See Note 8 — Other Financing Liabilities, at Fair Value for additional information.</w:t>
      </w:r>
    </w:p>
    <w:tbl>
      <w:tblPr>
        <w:tblW w:w="10205" w:type="dxa"/>
        <w:jc w:val="left"/>
        <w:tblInd w:w="0" w:type="dxa"/>
        <w:tblLayout w:type="fixed"/>
        <w:tblCellMar>
          <w:top w:w="28" w:type="dxa"/>
          <w:left w:w="28" w:type="dxa"/>
          <w:bottom w:w="28" w:type="dxa"/>
          <w:right w:w="28" w:type="dxa"/>
        </w:tblCellMar>
      </w:tblPr>
      <w:tblGrid>
        <w:gridCol w:w="1807"/>
        <w:gridCol w:w="1590"/>
        <w:gridCol w:w="1598"/>
        <w:gridCol w:w="211"/>
        <w:gridCol w:w="511"/>
        <w:gridCol w:w="271"/>
        <w:gridCol w:w="109"/>
        <w:gridCol w:w="109"/>
        <w:gridCol w:w="109"/>
        <w:gridCol w:w="211"/>
        <w:gridCol w:w="511"/>
        <w:gridCol w:w="271"/>
        <w:gridCol w:w="109"/>
        <w:gridCol w:w="109"/>
        <w:gridCol w:w="109"/>
        <w:gridCol w:w="211"/>
        <w:gridCol w:w="616"/>
        <w:gridCol w:w="271"/>
        <w:gridCol w:w="109"/>
        <w:gridCol w:w="109"/>
        <w:gridCol w:w="109"/>
        <w:gridCol w:w="211"/>
        <w:gridCol w:w="616"/>
        <w:gridCol w:w="318"/>
      </w:tblGrid>
      <w:tr>
        <w:trPr/>
        <w:tc>
          <w:tcPr>
            <w:tcW w:w="1807"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Rithm Servicing and Subservicing Fees</w:t>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fees collected on behalf of Rithm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remitted to Rithm (1)</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subservicing fees on Rithm agreements (2)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Rithm UPB ($ in billions)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31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Average annualized retained subservicing fees as a % of Rithm UPB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(1)Reported within Pledged MSR liability expense. The Rithm servicing fee includes the total servicing fees collected on behalf of Rithm relating to the MSR sold but not derecognized from our balance sheet. Under GAAP, we separately present servicing fees collected and remitted on a gross basis, with the servicing fees remitted to Rithm reported as Pledged MSR liability expense. </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(2)Excludes ancillary income.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2023, the net retained fee on our Rithm portfolio declined $0.4 million as compared to the three months ended March 31, 2023. As compared to the six months ended June 30, 2022, the net retained fee on our Rithm portfolio in the six months ended June 30, 2023 decreased $3.9 million. The decline in the Rithm fee collection and remittance in the six months ended June 30, 2023 is primarily driven by the decline in the average UPB of 8% as compared to the six months ended June 30, 2022, due to portfolio runoff and prepayments.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detail of our ancillary income:</w:t>
      </w:r>
    </w:p>
    <w:tbl>
      <w:tblPr>
        <w:tblW w:w="10205" w:type="dxa"/>
        <w:jc w:val="left"/>
        <w:tblInd w:w="0" w:type="dxa"/>
        <w:tblLayout w:type="fixed"/>
        <w:tblCellMar>
          <w:top w:w="28" w:type="dxa"/>
          <w:left w:w="28" w:type="dxa"/>
          <w:bottom w:w="28" w:type="dxa"/>
          <w:right w:w="28" w:type="dxa"/>
        </w:tblCellMar>
      </w:tblPr>
      <w:tblGrid>
        <w:gridCol w:w="881"/>
        <w:gridCol w:w="699"/>
        <w:gridCol w:w="704"/>
        <w:gridCol w:w="211"/>
        <w:gridCol w:w="511"/>
        <w:gridCol w:w="109"/>
        <w:gridCol w:w="109"/>
        <w:gridCol w:w="109"/>
        <w:gridCol w:w="109"/>
        <w:gridCol w:w="233"/>
        <w:gridCol w:w="566"/>
        <w:gridCol w:w="120"/>
        <w:gridCol w:w="109"/>
        <w:gridCol w:w="109"/>
        <w:gridCol w:w="109"/>
        <w:gridCol w:w="109"/>
        <w:gridCol w:w="220"/>
        <w:gridCol w:w="220"/>
        <w:gridCol w:w="551"/>
        <w:gridCol w:w="175"/>
        <w:gridCol w:w="175"/>
        <w:gridCol w:w="176"/>
        <w:gridCol w:w="211"/>
        <w:gridCol w:w="511"/>
        <w:gridCol w:w="109"/>
        <w:gridCol w:w="175"/>
        <w:gridCol w:w="175"/>
        <w:gridCol w:w="176"/>
        <w:gridCol w:w="211"/>
        <w:gridCol w:w="511"/>
        <w:gridCol w:w="109"/>
        <w:gridCol w:w="109"/>
        <w:gridCol w:w="109"/>
        <w:gridCol w:w="109"/>
        <w:gridCol w:w="109"/>
        <w:gridCol w:w="109"/>
        <w:gridCol w:w="109"/>
        <w:gridCol w:w="215"/>
        <w:gridCol w:w="215"/>
        <w:gridCol w:w="619"/>
      </w:tblGrid>
      <w:tr>
        <w:trPr/>
        <w:tc>
          <w:tcPr>
            <w:tcW w:w="88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Ancillary Income</w:t>
            </w:r>
          </w:p>
        </w:tc>
        <w:tc>
          <w:tcPr>
            <w:tcW w:w="2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Custodial accounts (float earnings)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Late charges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subservicing ancillary fees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collection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Recording fees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Boarding and deboarding fees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GSE forbearance fees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Ancillary income for the three months ended June 30, 2023 increased by $8.5 million as compared to the three months ended March 31, 2023 primarily because of a $6.0 million increase in float earnings driven by higher average float balances and higher interest rates, and a $1.7 million increase in reverse subservicing ancillary fees relating to increased claim activity.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ancillary income for the six months ended June 30, 2023 increased by $42.2 million largely due to a $43.6 million increase in float earnings due to higher interest rates and an $8.6 million increase in reverse subservicing fees recognized on reverse mortgage loans boarded under the subservicing agreement with MAM (RMS) during the first half of 2022, including fees associated with increased claim activity. Recording fees were $3.4 million lower due to the reduction in payoff volume.</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Gain (Loss) on Loans Held for Sale, Net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a $15.1 million gain on loans held for sale, net for the three months ended June 30, 2023, as compared to a $1.3 million loss for the three months ended March 31, 2023. The gain reported in the three months ended June 30, 2023 is mostly attributable to the revaluation of reverse mortgage buyouts opportunistically acquired at a discount and securitized in the quarter. The loss reported in the three months ended March 31, 2023 were related to the repurchased loans in connection with Ginnie Mae loan modifications and buyout activities due to the unfavorable impact of higher interest rates on redelivery gains.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we recognized a gain on loans held for sale, net of $13.8 million, a $28.0 million improvement as compared to the $14.2 million loss on loans held for sale, net for the six months ended June 30, 2022. The improvement is mostly driven by the revaluation gain of reverse mortgage buyouts discussed above in the second quarter of 2023 and the $8.8 million loss reported in the second quarter of 2022 on certain delinquent and aged loans repurchased in connection with the Ginnie Mae EBO program.</w:t>
      </w:r>
    </w:p>
    <w:p>
      <w:pPr>
        <w:pStyle w:val="TextBody"/>
        <w:bidi w:val="0"/>
        <w:spacing w:lineRule="auto" w:line="288" w:before="120" w:after="20"/>
        <w:jc w:val="left"/>
        <w:rPr>
          <w:rFonts w:ascii="Times New Roman;sans-serif" w:hAnsi="Times New Roman;sans-serif"/>
          <w:b/>
          <w:i/>
          <w:color w:val="000000"/>
          <w:sz w:val="20"/>
        </w:rPr>
      </w:pPr>
      <w:r>
        <w:rPr>
          <w:rFonts w:ascii="Times New Roman;sans-serif" w:hAnsi="Times New Roman;sans-serif"/>
          <w:b/>
          <w:i/>
          <w:color w:val="000000"/>
          <w:sz w:val="20"/>
        </w:rPr>
        <w:t>Gain (Loss) on Reverse Loans Held for Investment and HMBS-Related Borrowings, Net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reverse loans held for investment and HMBS-related borrowings, net reported in the Servicing segment is the net change in fair value of securitized loans held for investment and HMBS-related borrowings. Gain (loss) on reverse loans held for investment and HMBS-related borrowings, net excludes reverse subservicing that is reflected in Servicing and subservicing fees.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the net fair value change and is comprised of net interest income and other fair value gains or losses. Net interest income is primarily driven by the volume of securitized UPB as it is the interest income earned on the securitized loans offset against interest expense incurred on the HMBS-related borrowings, and represents a component of our compensation for servicing the portfolio, which is a percentage of the outstanding UPB. Other fair value changes are primarily driven by changes in market-based inputs or assumptions. Lower interest rates generally result in favorable net fair value impacts on our HECM reverse mortgage loans and the related HMBS financing liability and higher interest rates generally result in unfavorable net fair value impacts. Note that the fair value changes of the net asset value between securitized HECM loans and HMBS (referred to as our reverse MSR) attributable to interest rate changes are effectively used as a hedge of our forward MSR portfolio. See further description of our hedging strategy in Item 3. Quantitative and Qualitative Disclosures about Market Risk.</w:t>
      </w:r>
    </w:p>
    <w:tbl>
      <w:tblPr>
        <w:tblW w:w="10205" w:type="dxa"/>
        <w:jc w:val="left"/>
        <w:tblInd w:w="0" w:type="dxa"/>
        <w:tblLayout w:type="fixed"/>
        <w:tblCellMar>
          <w:top w:w="28" w:type="dxa"/>
          <w:left w:w="28" w:type="dxa"/>
          <w:bottom w:w="28" w:type="dxa"/>
          <w:right w:w="28" w:type="dxa"/>
        </w:tblCellMar>
      </w:tblPr>
      <w:tblGrid>
        <w:gridCol w:w="928"/>
        <w:gridCol w:w="587"/>
        <w:gridCol w:w="591"/>
        <w:gridCol w:w="211"/>
        <w:gridCol w:w="429"/>
        <w:gridCol w:w="109"/>
        <w:gridCol w:w="109"/>
        <w:gridCol w:w="109"/>
        <w:gridCol w:w="109"/>
        <w:gridCol w:w="215"/>
        <w:gridCol w:w="522"/>
        <w:gridCol w:w="111"/>
        <w:gridCol w:w="109"/>
        <w:gridCol w:w="109"/>
        <w:gridCol w:w="109"/>
        <w:gridCol w:w="109"/>
        <w:gridCol w:w="243"/>
        <w:gridCol w:w="245"/>
        <w:gridCol w:w="551"/>
        <w:gridCol w:w="109"/>
        <w:gridCol w:w="175"/>
        <w:gridCol w:w="175"/>
        <w:gridCol w:w="176"/>
        <w:gridCol w:w="211"/>
        <w:gridCol w:w="511"/>
        <w:gridCol w:w="109"/>
        <w:gridCol w:w="175"/>
        <w:gridCol w:w="175"/>
        <w:gridCol w:w="176"/>
        <w:gridCol w:w="211"/>
        <w:gridCol w:w="534"/>
        <w:gridCol w:w="109"/>
        <w:gridCol w:w="109"/>
        <w:gridCol w:w="109"/>
        <w:gridCol w:w="109"/>
        <w:gridCol w:w="109"/>
        <w:gridCol w:w="109"/>
        <w:gridCol w:w="109"/>
        <w:gridCol w:w="243"/>
        <w:gridCol w:w="245"/>
        <w:gridCol w:w="551"/>
        <w:gridCol w:w="161"/>
      </w:tblGrid>
      <w:tr>
        <w:trPr/>
        <w:tc>
          <w:tcPr>
            <w:tcW w:w="9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(servicing fee)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 on tail securitization</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fair value gains (losses) (1)</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shd w:fill="FFFFFF" w:val="clear"/>
            <w:tcMar>
              <w:top w:w="0" w:type="dxa"/>
              <w:left w:w="0" w:type="dxa"/>
              <w:bottom w:w="0" w:type="dxa"/>
              <w:right w:w="0" w:type="dxa"/>
            </w:tcMar>
            <w:vAlign w:val="center"/>
          </w:tcPr>
          <w:p>
            <w:pPr>
              <w:pStyle w:val="TableContents"/>
              <w:bidi w:val="0"/>
              <w:spacing w:lineRule="auto" w:line="240" w:before="120" w:after="2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reverse loans held for investment and HMBS-related borrowings, net (Servicing)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6"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realization of cash flows and fair value gains and losses due to inputs and assumptions. </w:t>
      </w:r>
    </w:p>
    <w:p>
      <w:pPr>
        <w:pStyle w:val="TextBody"/>
        <w:bidi w:val="0"/>
        <w:spacing w:lineRule="auto" w:line="288" w:before="120" w:after="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on reverse loans held for investment and HMBS-related borrowings, net decreased $18.1 million for the three months ended June 30, 2023 as compared to the three months ended March 31, 2023 mostly due to unrealized fair value losses on the HECM loan portfolio, net of HMBS attributable to higher market rates and a widening yield spread. </w:t>
      </w:r>
    </w:p>
    <w:p>
      <w:pPr>
        <w:pStyle w:val="TextBody"/>
        <w:bidi w:val="0"/>
        <w:spacing w:lineRule="auto" w:line="288" w:before="120" w:after="20"/>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 for the six months ended June 30, 2023 was $9.9 million, a $40.8 million favorable change compared to the $30.9 million loss in the six months ended June 30, 2022. We reported $45.5 million unrealized fair value losses in the first half of 2022 driven by increasing interest rates and widening yield spread directly impacting projected asset life and the tail value of the HECM reverse mortgage loans. Tails represent the future draws of borrowers, scheduled and unscheduled, as well as capitalized interest and are included in the fair value of the underlying loans. As our HECM loan portfolio is predominantly comprised of ARMs, higher interest rates cause the loan balance to accrue and reach the 98% maximum claim amount liquidation event more quickly. Tails are securitized on a monthly basis and a widening yield spread results in lower cash gain on securitization while a narrowing yield spread results in higher gains.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MSR valuation adjustments, net reported in our Servicing segment:</w:t>
      </w:r>
    </w:p>
    <w:tbl>
      <w:tblPr>
        <w:tblW w:w="10205" w:type="dxa"/>
        <w:jc w:val="left"/>
        <w:tblInd w:w="0" w:type="dxa"/>
        <w:tblLayout w:type="fixed"/>
        <w:tblCellMar>
          <w:top w:w="28" w:type="dxa"/>
          <w:left w:w="28" w:type="dxa"/>
          <w:bottom w:w="28" w:type="dxa"/>
          <w:right w:w="28" w:type="dxa"/>
        </w:tblCellMar>
      </w:tblPr>
      <w:tblGrid>
        <w:gridCol w:w="1009"/>
        <w:gridCol w:w="807"/>
        <w:gridCol w:w="812"/>
        <w:gridCol w:w="320"/>
        <w:gridCol w:w="267"/>
        <w:gridCol w:w="267"/>
        <w:gridCol w:w="117"/>
        <w:gridCol w:w="117"/>
        <w:gridCol w:w="117"/>
        <w:gridCol w:w="354"/>
        <w:gridCol w:w="268"/>
        <w:gridCol w:w="266"/>
        <w:gridCol w:w="109"/>
        <w:gridCol w:w="109"/>
        <w:gridCol w:w="109"/>
        <w:gridCol w:w="244"/>
        <w:gridCol w:w="245"/>
        <w:gridCol w:w="551"/>
        <w:gridCol w:w="109"/>
        <w:gridCol w:w="109"/>
        <w:gridCol w:w="109"/>
        <w:gridCol w:w="109"/>
        <w:gridCol w:w="318"/>
        <w:gridCol w:w="321"/>
        <w:gridCol w:w="318"/>
        <w:gridCol w:w="114"/>
        <w:gridCol w:w="114"/>
        <w:gridCol w:w="114"/>
        <w:gridCol w:w="318"/>
        <w:gridCol w:w="269"/>
        <w:gridCol w:w="265"/>
        <w:gridCol w:w="109"/>
        <w:gridCol w:w="109"/>
        <w:gridCol w:w="109"/>
        <w:gridCol w:w="244"/>
        <w:gridCol w:w="245"/>
        <w:gridCol w:w="551"/>
        <w:gridCol w:w="163"/>
      </w:tblGrid>
      <w:tr>
        <w:trPr/>
        <w:tc>
          <w:tcPr>
            <w:tcW w:w="10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vMerge w:val="continue"/>
            <w:tcBorders/>
            <w:tcMar>
              <w:top w:w="0" w:type="dxa"/>
              <w:left w:w="0" w:type="dxa"/>
              <w:bottom w:w="0" w:type="dxa"/>
              <w:right w:w="0" w:type="dxa"/>
            </w:tcMar>
            <w:vAlign w:val="center"/>
          </w:tcPr>
          <w:p>
            <w:pPr>
              <w:pStyle w:val="Normal"/>
              <w:bidi w:val="0"/>
              <w:jc w:val="left"/>
              <w:rPr/>
            </w:pPr>
            <w:r>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Realization of expected cash flows (runoff) of MSRs, MSR pledged liability and ESS financing liability</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gains (losses) of MSRs, MSR pledged liability and ESS financing liability due to rates and assumptions</w:t>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hedging derivative fair value gain (loss)</w:t>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90"/>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 Fair value gains (losses) of MSRs, MSR pledged liability and ESS financing liability due to rates and assumptions, net of hedging (1)</w:t>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MSR valuation adjustments, net</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not meaningful</w:t>
            </w:r>
          </w:p>
        </w:tc>
        <w:tc>
          <w:tcPr>
            <w:tcW w:w="8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(1)Excludes fair value changes of reverse mortgage loans held-for-investment and HMBS related borrowing due to rates and assumptions that are part of the MSR hedging strategy. Also refer to the MSR Hedging Strategy section of Item 3. Quantitative and Qualitative Disclosures about Market Risks for further detail.</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 includes the loss on the MSR portfolio associated with the realization of its expected cash flows, or runoff, due to the passage of time, and any fair value gains or losses due to inputs, market interest rates or assumptions, net of hedging gains and losses. Included in MSR valuation adjustments, net are fair value gains and losses of the MSR pledged liability associated with the MSR transfers that do not meet sale accounting treatment and the ESS financing liabilities for which we elected the fair value option and that is collateralized by MSRs. 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generally the bulk market, incorporating available industry survey results and client feedback, and including risk premiums and liquidity adjustments. While interest rates are a key value driver, MSR fair value may change for other market-driven factors, including but not limited to the supply and demand of the market or the required yield or perceived value by investors of such MSRs.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$50.5 million loss in MSR valuation adjustments, net for the three months ended June 30, 2023 is comprised of $35.9 million runoff and a $14.6 million fair value loss attributed to rates and assumptions, net of hedging. The runoff in the three months ended June 30, 2023 was flat compared to the three months ended March 31, 2023 (increased by $0.2 million) consistent with the average serviced UPB in the respective periods. The $14.6 million fair value loss due to rates and assumptions, net of hedging is primarily due to unfavorable assumption updates to reflect market participant perspectives and actual trade levels, and an increase in market interest rates (e.g., the 10-year swap rate increased by 35 basis points in the three months ended June 30, 2023) that resulted in owned MSR fair value gains largely offset by hedging loss . The interest rate exposure is hedged under our MSR hedging strategy, with an average 92% hedge coverage ratio during the second quarter of 2023.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MSR valuation adjustments, net for the three months ended June 30, 2023 increased $20.4 million (lower loss) as compared to the three months ended March 31, 2023 primarily due to a $20.6 million decrease in the loss attributed to rate and assumption change, net of hedging gains and losses, as the portfolio runoff remained flat. The reduction in the loss is mostly driven by the change in hedge coverage ratio and an increase in market interest rates in the current quarter vs. a decline in the prior quarter. The 10-year swap rate increased by 35 basis points in the three months ended June 30, 2023 as compared to a decrease of 30 basis points in the three months ended March 31, 2023. The average hedge coverage ratio increased from 37% to 92% during the second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MSR valuation adjustments, net declined $161.8 million (higher loss) mainly due to the loss reported in the six months ended June 30, 2023 and the gain reported in the six months ended June 30, 2022 attributed to rate and assumption change, net of hedging. The change from a gain to a loss is primarily due to changes in market interest rates (e.g., the 10-year swap rate increased by 5 basis points in the six months ended June 30, 2023 and by 148 basis points in the six months ended June 30, 2022) and assumption updates discussed above. The decrease in runoff is in part due to the ESS financing liabilities issued beginning in the third quarter of 2022. Our MSR hedging policy is designed to partially reduce the volatility of the MSR portfolio fair value due to market interest rates. Refer to Item 3 - Quantitative and Qualitative Disclosures about Market Risk for further detail on our hedging strategy and its effectiveness. </w:t>
      </w:r>
    </w:p>
    <w:p>
      <w:pPr>
        <w:pStyle w:val="TextBody"/>
        <w:bidi w:val="0"/>
        <w:spacing w:before="120" w:after="12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Compensation and Benefits</w:t>
      </w:r>
    </w:p>
    <w:tbl>
      <w:tblPr>
        <w:tblW w:w="10205" w:type="dxa"/>
        <w:jc w:val="left"/>
        <w:tblInd w:w="0" w:type="dxa"/>
        <w:tblLayout w:type="fixed"/>
        <w:tblCellMar>
          <w:top w:w="28" w:type="dxa"/>
          <w:left w:w="28" w:type="dxa"/>
          <w:bottom w:w="28" w:type="dxa"/>
          <w:right w:w="28" w:type="dxa"/>
        </w:tblCellMar>
      </w:tblPr>
      <w:tblGrid>
        <w:gridCol w:w="611"/>
        <w:gridCol w:w="536"/>
        <w:gridCol w:w="538"/>
        <w:gridCol w:w="386"/>
        <w:gridCol w:w="233"/>
        <w:gridCol w:w="233"/>
        <w:gridCol w:w="123"/>
        <w:gridCol w:w="123"/>
        <w:gridCol w:w="123"/>
        <w:gridCol w:w="393"/>
        <w:gridCol w:w="247"/>
        <w:gridCol w:w="225"/>
        <w:gridCol w:w="109"/>
        <w:gridCol w:w="109"/>
        <w:gridCol w:w="109"/>
        <w:gridCol w:w="109"/>
        <w:gridCol w:w="109"/>
        <w:gridCol w:w="220"/>
        <w:gridCol w:w="220"/>
        <w:gridCol w:w="551"/>
        <w:gridCol w:w="203"/>
        <w:gridCol w:w="191"/>
        <w:gridCol w:w="192"/>
        <w:gridCol w:w="292"/>
        <w:gridCol w:w="324"/>
        <w:gridCol w:w="233"/>
        <w:gridCol w:w="203"/>
        <w:gridCol w:w="191"/>
        <w:gridCol w:w="192"/>
        <w:gridCol w:w="292"/>
        <w:gridCol w:w="324"/>
        <w:gridCol w:w="233"/>
        <w:gridCol w:w="109"/>
        <w:gridCol w:w="109"/>
        <w:gridCol w:w="109"/>
        <w:gridCol w:w="109"/>
        <w:gridCol w:w="109"/>
        <w:gridCol w:w="109"/>
        <w:gridCol w:w="109"/>
        <w:gridCol w:w="109"/>
        <w:gridCol w:w="109"/>
        <w:gridCol w:w="212"/>
        <w:gridCol w:w="212"/>
        <w:gridCol w:w="623"/>
      </w:tblGrid>
      <w:tr>
        <w:trPr/>
        <w:tc>
          <w:tcPr>
            <w:tcW w:w="61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Compensation and benefits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Employment - Servicing</w:t>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w:t>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 and other</w:t>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and benefits expense for the three months ended June 30, 2023 decreased $2.7 million or 9% as compared to the three months ended March 31, 2023 primarily due to a $1.9 million severance expense recorded in the first quarter of 2023 and a decrease in salaries and benefits expense due to the decline in overall average headcount and further offshoring of our servicing operations.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Compensation and benefits expense for the six months ended June 30, 2023 decreased $7.9 million or 12%, largely driven by a $9.4 million decrease in salary and benefits expense, offset in part by a $1.9 million increase in severance expense. The decrease in salaries and benefit expense is driven by a 27% reduction in our average U.S. Servicing headcount, reflecting our goal to improve efficiencies and create an industry leading cost structure, also driven by the further integration of reverse servicing. The offshore-to-total average headcount ratio for Servicing increased from 71% for the six months ended June 30, 2022 to 78% for the six months ended June 30, 2023.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Servicing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Servicing expense primarily includes claim losses and interest curtailments on government-insured loans, provision expense for advances and servicing representation and warranties, and certain loan-volume related expenses. </w:t>
      </w:r>
    </w:p>
    <w:tbl>
      <w:tblPr>
        <w:tblW w:w="387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Servicing expense was flat in the three months ended June 30, 2023 as compared to the three months ended March 31, 2023, in line with a flat average UPB.</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Servicing expense for the six months ended June 30, 2023 increased $3.7 million. The increase is primarily due to a $5.7 million release of provision for indemnification recorded in the six months ended June 30, 2022 as a result of favorable settlements. Among others, the increase was offset in part by a reduction in satisfaction and interest on payoff expense attributable to lower payoff volume.</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Operating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(total operating expenses less Compensation and benefits and Servicing expense) for the three months ended June 30, 2023 increased by $2.2 million as compared to the three months ended March 31, 2023, primarily driven by non-reimbursable legal expenses.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other operating expenses for the six months ended June 30, 2023 increased by $6.8 million, with an $8.7 million increase in Professional services partially offset by a $1.1 million reduction in Occupancy and equipment expense and Corporate overhead allocations driven by lower headcount. While litigation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declined by $5.2 million, the increase in Professional services is due to a $14.1 million recovery of legal expenses in the six months ended June 30, 2022 following a favorable settlement.</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primarily includes net interest expense and pledged MSR liability expense. </w:t>
      </w:r>
    </w:p>
    <w:tbl>
      <w:tblPr>
        <w:tblW w:w="10205" w:type="dxa"/>
        <w:jc w:val="left"/>
        <w:tblInd w:w="0" w:type="dxa"/>
        <w:tblLayout w:type="fixed"/>
        <w:tblCellMar>
          <w:top w:w="28" w:type="dxa"/>
          <w:left w:w="28" w:type="dxa"/>
          <w:bottom w:w="28" w:type="dxa"/>
          <w:right w:w="28" w:type="dxa"/>
        </w:tblCellMar>
      </w:tblPr>
      <w:tblGrid>
        <w:gridCol w:w="564"/>
        <w:gridCol w:w="408"/>
        <w:gridCol w:w="409"/>
        <w:gridCol w:w="211"/>
        <w:gridCol w:w="511"/>
        <w:gridCol w:w="271"/>
        <w:gridCol w:w="109"/>
        <w:gridCol w:w="109"/>
        <w:gridCol w:w="109"/>
        <w:gridCol w:w="211"/>
        <w:gridCol w:w="511"/>
        <w:gridCol w:w="271"/>
        <w:gridCol w:w="109"/>
        <w:gridCol w:w="109"/>
        <w:gridCol w:w="109"/>
        <w:gridCol w:w="109"/>
        <w:gridCol w:w="109"/>
        <w:gridCol w:w="220"/>
        <w:gridCol w:w="220"/>
        <w:gridCol w:w="551"/>
        <w:gridCol w:w="198"/>
        <w:gridCol w:w="186"/>
        <w:gridCol w:w="187"/>
        <w:gridCol w:w="211"/>
        <w:gridCol w:w="511"/>
        <w:gridCol w:w="271"/>
        <w:gridCol w:w="198"/>
        <w:gridCol w:w="186"/>
        <w:gridCol w:w="187"/>
        <w:gridCol w:w="211"/>
        <w:gridCol w:w="511"/>
        <w:gridCol w:w="271"/>
        <w:gridCol w:w="109"/>
        <w:gridCol w:w="109"/>
        <w:gridCol w:w="109"/>
        <w:gridCol w:w="109"/>
        <w:gridCol w:w="109"/>
        <w:gridCol w:w="109"/>
        <w:gridCol w:w="109"/>
        <w:gridCol w:w="233"/>
        <w:gridCol w:w="233"/>
        <w:gridCol w:w="618"/>
      </w:tblGrid>
      <w:tr>
        <w:trPr/>
        <w:tc>
          <w:tcPr>
            <w:tcW w:w="5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618"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debt interest expense allocation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Escrow</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balances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Effective average interest rate</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match funded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1M Term SOFR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for the three months ended June 30, 2023 increased by $1.7 million or 4% as compared to the three months ended March 31, 2023, mostly due to a $2.0 million increase on mortgage loan financing facilities. The increase in interest expense on mortgage loan financing facilities is driven by our opportunistic acquisition of reverse mortgage buyouts. </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interest expense for the six months ended June 30, 2023 increased $39.5 million, or 87%, mostly driven by a more than 400 basis points increase in market interest rates. The increase in market interest rates resulted in the $18.9 million increase in interest expense on MSR financing facilities as average borrowings was mostly flat and a $4.7 million increase in interest expense on mortgage loan financing facilities, partially offset by a decrease in average borrowings. Interest expense on advance match funded facilities increased $15.6 million despite the lower average borrowings as a result of market rate increase and our repayment of lower cost OMART term notes during the third quarter of 2022.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for the three months ended June 30, 2023 increased $1.8 million as compared to the three months ended March 31, 2023, primarily due to a higher balance of loans held for sale driven by our opportunistic acquisition of reverse mortgage buyouts. As compared to the six months ended June 30, 2022, interest income for the six months ended June 30, 2023 increased by $3.0 million mostly due to $4.2 million from reverse buyouts driven by higher rates and larger buyout portfolio and $1.4 million on reverse mortgage buyouts opportunistically acquired in the second quarter of 2023, partially offset by a $3.0 million decrease driven by the decline in forward Ginnie Mae modification repurchase volume.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includes the servicing fee remittance related to the MSR transfers that do not meet sale accounting criteria and are presented on a gross basis in our consolidated financial statements, together with the servicing spread remittance associated with our ESS financing liability at fair value. See Note 8 — Other Financing Liabilities, at Fair Value to the Unaudited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Pledged MSR liability expense:</w:t>
      </w:r>
    </w:p>
    <w:tbl>
      <w:tblPr>
        <w:tblW w:w="10205" w:type="dxa"/>
        <w:jc w:val="left"/>
        <w:tblInd w:w="0" w:type="dxa"/>
        <w:tblLayout w:type="fixed"/>
        <w:tblCellMar>
          <w:top w:w="28" w:type="dxa"/>
          <w:left w:w="28" w:type="dxa"/>
          <w:bottom w:w="28" w:type="dxa"/>
          <w:right w:w="28" w:type="dxa"/>
        </w:tblCellMar>
      </w:tblPr>
      <w:tblGrid>
        <w:gridCol w:w="978"/>
        <w:gridCol w:w="545"/>
        <w:gridCol w:w="547"/>
        <w:gridCol w:w="211"/>
        <w:gridCol w:w="511"/>
        <w:gridCol w:w="109"/>
        <w:gridCol w:w="109"/>
        <w:gridCol w:w="109"/>
        <w:gridCol w:w="109"/>
        <w:gridCol w:w="216"/>
        <w:gridCol w:w="524"/>
        <w:gridCol w:w="111"/>
        <w:gridCol w:w="109"/>
        <w:gridCol w:w="109"/>
        <w:gridCol w:w="109"/>
        <w:gridCol w:w="109"/>
        <w:gridCol w:w="220"/>
        <w:gridCol w:w="220"/>
        <w:gridCol w:w="551"/>
        <w:gridCol w:w="197"/>
        <w:gridCol w:w="184"/>
        <w:gridCol w:w="185"/>
        <w:gridCol w:w="211"/>
        <w:gridCol w:w="616"/>
        <w:gridCol w:w="109"/>
        <w:gridCol w:w="197"/>
        <w:gridCol w:w="184"/>
        <w:gridCol w:w="185"/>
        <w:gridCol w:w="211"/>
        <w:gridCol w:w="616"/>
        <w:gridCol w:w="109"/>
        <w:gridCol w:w="109"/>
        <w:gridCol w:w="109"/>
        <w:gridCol w:w="109"/>
        <w:gridCol w:w="109"/>
        <w:gridCol w:w="109"/>
        <w:gridCol w:w="109"/>
        <w:gridCol w:w="211"/>
        <w:gridCol w:w="211"/>
        <w:gridCol w:w="619"/>
      </w:tblGrid>
      <w:tr>
        <w:trPr/>
        <w:tc>
          <w:tcPr>
            <w:tcW w:w="97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36"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fees collected on behalf of third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Subservicing fee retained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Ancillary fee/income and other settlement (including expense reimbursement)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servicing fee remittance (1)</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servicing spread remittance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Pledged MSR liability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5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(1)For MSR transfers that do not meet sale accounting criteria. See Note 8 — Other Financing Liabilities, at Fair Value.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Pledged MSR liability expense for the three months ended June 30, 2023 increased $2.8 million, as compared to the three months ended March 31, 2023, largely due to a $3.4 million increase in ESS remittances due to the issuance of new liabilities.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Pledged MSR liability expense for the six months ended June 30, 2023 increased $20.6 million, mostly due to $24.5 million servicing spread remittance on the ESS financing liabilities issued beginning in the third quarter of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Earnings of equity method investee represents our 15% share of MAV Canopy. Earnings for the three months ended June 30, 2023 increased $2.6 million as compared to the three months ended March 31, 2023 primarily due to the fair value gains recorded by MAV Canopy on its MSR portfolio due to rising interest rates. The $12.8 million decrease in earnings for the six months ended June 30, 2023 is predominantly driven by the fair value gains recorded by MAV Canopy during the six months ended June 30, 2022 on its MSR portfolio due to interest rates rising more in 2022 than 2023 (e.g., the 10-year swap rate increased by 5 basis points in the six months ended June 30, 2023 and by 148 basis points in the six months ended June 30, 2022).</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Other, net expense for the three months ended June 30, 2023 increased $3.9 million, as compared to the three months ended March 31, 2023, largely due to a $4.2 million increase in early payoff protection expense in connection with our MSR sale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21" w:type="dxa"/>
        <w:jc w:val="left"/>
        <w:tblInd w:w="0" w:type="dxa"/>
        <w:tblLayout w:type="fixed"/>
        <w:tblCellMar>
          <w:top w:w="28" w:type="dxa"/>
          <w:left w:w="28" w:type="dxa"/>
          <w:bottom w:w="28" w:type="dxa"/>
          <w:right w:w="28" w:type="dxa"/>
        </w:tblCellMar>
      </w:tblPr>
      <w:tblGrid>
        <w:gridCol w:w="519"/>
        <w:gridCol w:w="456"/>
        <w:gridCol w:w="646"/>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ORIGINATIONS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originate and purchase loans and MSRs through multiple channels, including retail, wholesale, correspondent, flow MSR purchase agreements, the Agency Cash Window and Co-issue programs and bulk MSR purchases.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originate and purchase conventional loans (conforming to the underwriting standards of Fannie Mae or Freddie Mac; collectively referred to as Agency loans) and government-insured (FHA, VA or USDA) forward mortgage loans. The GSEs and Ginnie Mae guarantee these mortgage securitizations. We originate HECM loans, or reverse mortgages, which are mostly insured by the FHA and we are an approved issuer of HMBS that are guaranteed by Ginnie Mae.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retail, our Consumer Direct channel for forward mortgage loans focuses on targeting existing servicing customers by offering them competitive mortgage refinance opportunities, where permitted by the governing servicing and pooling agreement. In doing so, we generate revenues for our forward lending business and protect the servicing portfolio by retaining these customers. A portion of our servicing portfolio is susceptible to refinance activity during periods of declining interest rates. Origination recapture volume and related gains are a natural economic hedge, to a certain degree, to the impact of declining MSR values as interest rates decline. In addition to rate and term refinance activities, our Consumer Direct channel targets purchase mortgage loans, cash-out, debt consolidation, mortgage insurance premium reduction, and new customer acquisition.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forward lending correspondent channel drives higher servicing portfolio replenishment. We purchase closed loans that have been underwritten to investor guidelines from our network of correspondent sellers and sell and securitize them, on a servicing retained basis. We offer correspondent sellers the choice to take out mandatory or best efforts contracts, under which the seller's obligation to deliver the mortgage loan becomes mandatory only when and if the mortgage is closed and funded. Additionally, we offer correspondent sellers the opportunity to leverage a non-delegated underwriting option for best-efforts deliveries. As of June 30, 2023, we have relationships with 666 approved correspondent sellers, or 66 new sellers since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originate and purchase reverse mortgage loans through our retail, wholesale and correspondent lending channels, under the guidelines of the HECM reverse mortgage insurance program of the FHA. Loans originated under this program are generally insured by the FHA, which provides protection against risk of borrower default.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After origination, we sell the loans in the secondary mortgage market, through GSE and Ginnie Mae securitizations on a servicing retained basis. Origination revenue mostly includes gain on sale, which represents the difference between the origination or purchase value and the sale value of the loan including its MSR value, and fee income earned at origination. As the securitizations of reverse mortgage loans do not achieve sale accounting treatment and the loans are classified as Loans held for investment, at fair value, originations revenue mostly include the fair value changes of the loan from lock date to securitization date that are reported in Gain on reverse loans held for investment and HMBS-related borrowings, net and fee income that is reported in Other revenue, net.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customary origination representations and warranties to investors in connection with our GSE loan sales and securitization activities. We receive customary origination representations and warranties from our network of approved correspondent lenders. We recognize the fair value of the liability for our representations and warranties at the time of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purchase MSRs through flow purchase agreements, the Agency Cash Window co-issue programs and bulk MSR purchases. The Agency Cash Window programs we participate in, and purchase MSR from, allow mortgage companies and financial institutions to sell whole loans servicing released to the respective agency and sell the MSR to the winning bidder. In addition, we partner with other originators to replenish our MSRs through flow purchase agreements. We do not provide or assume any origination representations and warranties in connection with our MSR purchases. As of June 30, 2023, we have relationships with 254 approved sellers through the Agency Cash Window co-issue programs, or 16 new sellers since December 31, 2022.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recognize our MSR originations and purchases with the associated economics in our Originations segment, and transfer the MSR to our Servicing segment once the MSR is initially recognized on our balance sheet with all subsequent performance associated with the MSR, including funding cost, run-off and other fair value changes reflected in our Servicing segment.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source additional servicing volume through our subservicing and interim servicing agreements, through our existing relationships and our enterprise sales initiatives. We do not report any revenue or gain associated with subservicing within the Originations segment as the impact is captured in the Servicing segment. However, sales efforts and certain costs - marginal compensation and benefits - are managed and reported within the Originations segment.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2023, our Originations business originated or purchased forward and reverse mortgage loans with a UPB of $2.7 billion and $183.2 million, respectively. In addition, we purchased $1.8 billion UPB MSR through the Agency Cash Window and flow purchase programs during the second quarter of 2023.</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Significant Variables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factors could significantly impact the results of our Originations segment from period to period.</w:t>
      </w:r>
    </w:p>
    <w:p>
      <w:pPr>
        <w:pStyle w:val="TextBody"/>
        <w:bidi w:val="0"/>
        <w:spacing w:lineRule="auto" w:line="288" w:before="120" w:after="120"/>
        <w:jc w:val="left"/>
        <w:rPr/>
      </w:pPr>
      <w:r>
        <w:rPr>
          <w:rFonts w:ascii="Times New Roman;sans-serif" w:hAnsi="Times New Roman;sans-serif"/>
          <w:b w:val="false"/>
          <w:i/>
          <w:color w:val="000000"/>
          <w:sz w:val="20"/>
        </w:rPr>
        <w:t xml:space="preserve">Mortgage Rates. </w:t>
      </w:r>
      <w:r>
        <w:rPr>
          <w:rFonts w:ascii="Times New Roman;sans-serif" w:hAnsi="Times New Roman;sans-serif"/>
          <w:b w:val="false"/>
          <w:color w:val="000000"/>
          <w:sz w:val="20"/>
        </w:rPr>
        <w:t xml:space="preserve">Changes in mortgage rates directly impact the demand for both purchase and refinance forward mortgages and therefore impact the financial results of our Originations segment. Small changes in mortgage rates directly impact housing affordability for both first-time and move-up home buyers and affect their ability to purchase a home. For refinance loans, current market mortgage rates must be considered relative to the rates on the current mortgage debt outstanding. As the time and cost to refinance has decreased, relatively small reductions in mortgage rates can trigger higher refinancing activity. Given the large size of U.S. residential forward mortgage debt outstanding, the impact of mortgage rate changes can drive significant swings in mortgage refinance volume. </w:t>
      </w:r>
    </w:p>
    <w:p>
      <w:pPr>
        <w:pStyle w:val="TextBody"/>
        <w:bidi w:val="0"/>
        <w:spacing w:lineRule="auto" w:line="288" w:before="120" w:after="120"/>
        <w:jc w:val="left"/>
        <w:rPr/>
      </w:pPr>
      <w:r>
        <w:rPr>
          <w:rFonts w:ascii="Times New Roman;sans-serif" w:hAnsi="Times New Roman;sans-serif"/>
          <w:b w:val="false"/>
          <w:i/>
          <w:color w:val="000000"/>
          <w:sz w:val="20"/>
        </w:rPr>
        <w:t>Market Size and Composition.</w:t>
      </w:r>
      <w:r>
        <w:rPr>
          <w:color w:val="000000"/>
        </w:rPr>
        <w:t xml:space="preserve"> </w:t>
      </w:r>
      <w:r>
        <w:rPr>
          <w:rFonts w:ascii="Times New Roman;sans-serif" w:hAnsi="Times New Roman;sans-serif"/>
          <w:b w:val="false"/>
          <w:color w:val="000000"/>
          <w:sz w:val="20"/>
        </w:rPr>
        <w:t>The volume of new or refinanced loans is impacted by changes to existing, or development of new, GSE or other government sponsored programs. Changes in GSE or HUD guidelines and costs and the availability of alternative financing sources, such as non-Agency proprietary loans and traditional home equity loans, impact borrower demand for forward and reverse mortgages and therefore can impact the volume of mortgage originations.</w:t>
      </w:r>
    </w:p>
    <w:p>
      <w:pPr>
        <w:pStyle w:val="TextBody"/>
        <w:bidi w:val="0"/>
        <w:spacing w:lineRule="auto" w:line="288" w:before="120" w:after="120"/>
        <w:jc w:val="left"/>
        <w:rPr/>
      </w:pPr>
      <w:r>
        <w:rPr>
          <w:rFonts w:ascii="Times New Roman;sans-serif" w:hAnsi="Times New Roman;sans-serif"/>
          <w:b w:val="false"/>
          <w:i/>
          <w:color w:val="000000"/>
          <w:sz w:val="20"/>
        </w:rPr>
        <w:t>Margins.</w:t>
      </w:r>
      <w:r>
        <w:rPr>
          <w:color w:val="000000"/>
        </w:rPr>
        <w:t xml:space="preserve"> </w:t>
      </w:r>
      <w:r>
        <w:rPr>
          <w:rFonts w:ascii="Times New Roman;sans-serif" w:hAnsi="Times New Roman;sans-serif"/>
          <w:b w:val="false"/>
          <w:color w:val="000000"/>
          <w:sz w:val="20"/>
        </w:rPr>
        <w:t xml:space="preserve">Changes in pricing margin for mortgages are closely correlated with changes in market size for mortgage loans. As loan demand and market capacity move out of alignment, pricing adjusts. In a growing market, margins expand and in a contracting market, margins tighten as lenders seek to keep their production at or close to full capacity. Managing capacity and cost is critical as volumes change. Among our channels, our margins per loan are highest in the retail channel and lowest in the correspondent channel. We work directly with the borrower to process, underwrite and close loans in our retail and reverse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wholesale channels. In our retail channel, we also identify the customer and take loan applications. As a result, our retail channel is the most people- and cost-intensive and experiences the greatest volume volatility. </w:t>
      </w:r>
    </w:p>
    <w:p>
      <w:pPr>
        <w:pStyle w:val="TextBody"/>
        <w:bidi w:val="0"/>
        <w:spacing w:lineRule="auto" w:line="288" w:before="120" w:after="120"/>
        <w:jc w:val="left"/>
        <w:rPr/>
      </w:pPr>
      <w:r>
        <w:rPr>
          <w:rFonts w:ascii="Times New Roman;sans-serif" w:hAnsi="Times New Roman;sans-serif"/>
          <w:b w:val="false"/>
          <w:i/>
          <w:color w:val="000000"/>
          <w:sz w:val="20"/>
        </w:rPr>
        <w:t>Investor Demand.</w:t>
      </w:r>
      <w:r>
        <w:rPr>
          <w:color w:val="000000"/>
        </w:rPr>
        <w:t xml:space="preserve"> </w:t>
      </w:r>
      <w:r>
        <w:rPr>
          <w:rFonts w:ascii="Times New Roman;sans-serif" w:hAnsi="Times New Roman;sans-serif"/>
          <w:b w:val="false"/>
          <w:color w:val="000000"/>
          <w:sz w:val="20"/>
        </w:rPr>
        <w:t>The liquidity of the secondary market for mortgage loans impacts the size of the mortgage loan market by defining loan attributes and credit guidelines for loans that investors are willing to buy and at what price. In recent years, the GSEs have been the dominant providers of secondary market liquidity for forward mortgages, keeping the product and credit spectrum relatively homogeneous and risk averse (higher credit standards).</w:t>
      </w:r>
    </w:p>
    <w:p>
      <w:pPr>
        <w:pStyle w:val="TextBody"/>
        <w:bidi w:val="0"/>
        <w:spacing w:lineRule="auto" w:line="288" w:before="120" w:after="120"/>
        <w:jc w:val="left"/>
        <w:rPr/>
      </w:pPr>
      <w:r>
        <w:rPr>
          <w:rFonts w:ascii="Times New Roman;sans-serif" w:hAnsi="Times New Roman;sans-serif"/>
          <w:b w:val="false"/>
          <w:i/>
          <w:color w:val="000000"/>
          <w:sz w:val="20"/>
        </w:rPr>
        <w:t>Economic Conditions.</w:t>
      </w:r>
      <w:r>
        <w:rPr>
          <w:color w:val="000000"/>
        </w:rPr>
        <w:t xml:space="preserve"> </w:t>
      </w:r>
      <w:r>
        <w:rPr>
          <w:rFonts w:ascii="Times New Roman;sans-serif" w:hAnsi="Times New Roman;sans-serif"/>
          <w:b w:val="false"/>
          <w:color w:val="000000"/>
          <w:sz w:val="20"/>
        </w:rPr>
        <w:t>General economic conditions can impact the growth and revenue of our Originations segment by impacting the capacity for consumer credit and the supply of capital. More specifically, employment levels and home prices are variables that can each have a material impact on mortgage volume. Employment levels, the level of wages and the stability of employment are underlying factors that impact credit qualification. The effect of home prices on lending volumes is significant and complex. As home prices go up, home equity increases and this improves the position of existing homeowners either to refinance or to sell their home, which often leads to a new home purchase and a new forward mortgage loan, or in the case of a reverse mortgage, increase the size of the mortgage loan available and the number of potential borrowers. However, if home prices increase rapidly, the effect on affordability for first-time and move-up buyers can dampen the demand for mortgage loans. The more restrictive standards for loan to value (LTV) ratios, debt to income (DTI) ratios and employment that characterize the current market amplify the significance and sensitivity of the housing market and related mortgage lending volumes to employment levels and home prices. If home prices decline due to increased mortgage interest rates or for other reasons, home sales may decline and it may be more difficult for homeowners to refinance existing mortgages, thereby negatively impacting mortgage volume.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results of operations of our Originations segment. The amounts presented are before the elimination of balances and transactions with our other segments:</w:t>
      </w:r>
    </w:p>
    <w:tbl>
      <w:tblPr>
        <w:tblW w:w="10205" w:type="dxa"/>
        <w:jc w:val="left"/>
        <w:tblInd w:w="0" w:type="dxa"/>
        <w:tblLayout w:type="fixed"/>
        <w:tblCellMar>
          <w:top w:w="28" w:type="dxa"/>
          <w:left w:w="28" w:type="dxa"/>
          <w:bottom w:w="28" w:type="dxa"/>
          <w:right w:w="28" w:type="dxa"/>
        </w:tblCellMar>
      </w:tblPr>
      <w:tblGrid>
        <w:gridCol w:w="1212"/>
        <w:gridCol w:w="627"/>
        <w:gridCol w:w="629"/>
        <w:gridCol w:w="326"/>
        <w:gridCol w:w="234"/>
        <w:gridCol w:w="234"/>
        <w:gridCol w:w="121"/>
        <w:gridCol w:w="121"/>
        <w:gridCol w:w="121"/>
        <w:gridCol w:w="363"/>
        <w:gridCol w:w="247"/>
        <w:gridCol w:w="188"/>
        <w:gridCol w:w="109"/>
        <w:gridCol w:w="109"/>
        <w:gridCol w:w="109"/>
        <w:gridCol w:w="109"/>
        <w:gridCol w:w="245"/>
        <w:gridCol w:w="247"/>
        <w:gridCol w:w="551"/>
        <w:gridCol w:w="202"/>
        <w:gridCol w:w="190"/>
        <w:gridCol w:w="191"/>
        <w:gridCol w:w="227"/>
        <w:gridCol w:w="234"/>
        <w:gridCol w:w="234"/>
        <w:gridCol w:w="202"/>
        <w:gridCol w:w="190"/>
        <w:gridCol w:w="191"/>
        <w:gridCol w:w="227"/>
        <w:gridCol w:w="234"/>
        <w:gridCol w:w="234"/>
        <w:gridCol w:w="109"/>
        <w:gridCol w:w="109"/>
        <w:gridCol w:w="109"/>
        <w:gridCol w:w="109"/>
        <w:gridCol w:w="109"/>
        <w:gridCol w:w="109"/>
        <w:gridCol w:w="233"/>
        <w:gridCol w:w="233"/>
        <w:gridCol w:w="627"/>
      </w:tblGrid>
      <w:tr>
        <w:trPr/>
        <w:tc>
          <w:tcPr>
            <w:tcW w:w="121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4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468" w:type="dxa"/>
            <w:gridSpan w:val="3"/>
            <w:vMerge w:val="continue"/>
            <w:tcBorders/>
            <w:tcMar>
              <w:top w:w="0" w:type="dxa"/>
              <w:left w:w="0" w:type="dxa"/>
              <w:bottom w:w="0" w:type="dxa"/>
              <w:right w:w="0" w:type="dxa"/>
            </w:tcMar>
            <w:vAlign w:val="center"/>
          </w:tcPr>
          <w:p>
            <w:pPr>
              <w:pStyle w:val="Normal"/>
              <w:bidi w:val="0"/>
              <w:jc w:val="left"/>
              <w:rPr/>
            </w:pPr>
            <w:r>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8" w:type="dxa"/>
            <w:gridSpan w:val="3"/>
            <w:vMerge w:val="continue"/>
            <w:tcBorders/>
            <w:tcMar>
              <w:top w:w="0" w:type="dxa"/>
              <w:left w:w="0" w:type="dxa"/>
              <w:bottom w:w="0" w:type="dxa"/>
              <w:right w:w="0" w:type="dxa"/>
            </w:tcMar>
            <w:vAlign w:val="center"/>
          </w:tcPr>
          <w:p>
            <w:pPr>
              <w:pStyle w:val="Normal"/>
              <w:bidi w:val="0"/>
              <w:jc w:val="left"/>
              <w:rPr/>
            </w:pPr>
            <w:r>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 </w:t>
            </w:r>
          </w:p>
        </w:tc>
        <w:tc>
          <w:tcPr>
            <w:tcW w:w="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net (1)</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 xml:space="preserve">MSR valuation adjustments, net </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expense</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6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6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8"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468"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583"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(1)Includes ancillary fee income related to MSR acquisitions reported as Servicing and subservicing fees at the consolidated level of $0.4 million and $0.8 million for the three and six months ended June 30, 2023, respectively, $0.4 million for the three months ended March 31, 2023 and $1.1 million for the six months ended June 30, 2022. </w:t>
      </w:r>
    </w:p>
    <w:p>
      <w:pPr>
        <w:pStyle w:val="TextBody"/>
        <w:bidi w:val="0"/>
        <w:spacing w:before="0" w:after="120"/>
        <w:jc w:val="left"/>
        <w:rPr/>
      </w:pPr>
      <w:r>
        <w:rPr/>
      </w:r>
    </w:p>
    <w:p>
      <w:pPr>
        <w:pStyle w:val="TextBody"/>
        <w:bidi w:val="0"/>
        <w:spacing w:lineRule="auto" w:line="288" w:before="12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operating statistics for our Originations segment:</w:t>
      </w:r>
    </w:p>
    <w:tbl>
      <w:tblPr>
        <w:tblW w:w="10205" w:type="dxa"/>
        <w:jc w:val="center"/>
        <w:tblInd w:w="0" w:type="dxa"/>
        <w:tblLayout w:type="fixed"/>
        <w:tblCellMar>
          <w:top w:w="28" w:type="dxa"/>
          <w:left w:w="28" w:type="dxa"/>
          <w:bottom w:w="28" w:type="dxa"/>
          <w:right w:w="28" w:type="dxa"/>
        </w:tblCellMar>
      </w:tblPr>
      <w:tblGrid>
        <w:gridCol w:w="843"/>
        <w:gridCol w:w="481"/>
        <w:gridCol w:w="482"/>
        <w:gridCol w:w="211"/>
        <w:gridCol w:w="766"/>
        <w:gridCol w:w="271"/>
        <w:gridCol w:w="109"/>
        <w:gridCol w:w="109"/>
        <w:gridCol w:w="109"/>
        <w:gridCol w:w="211"/>
        <w:gridCol w:w="616"/>
        <w:gridCol w:w="271"/>
        <w:gridCol w:w="109"/>
        <w:gridCol w:w="109"/>
        <w:gridCol w:w="109"/>
        <w:gridCol w:w="220"/>
        <w:gridCol w:w="220"/>
        <w:gridCol w:w="551"/>
        <w:gridCol w:w="109"/>
        <w:gridCol w:w="109"/>
        <w:gridCol w:w="109"/>
        <w:gridCol w:w="211"/>
        <w:gridCol w:w="766"/>
        <w:gridCol w:w="271"/>
        <w:gridCol w:w="109"/>
        <w:gridCol w:w="109"/>
        <w:gridCol w:w="109"/>
        <w:gridCol w:w="211"/>
        <w:gridCol w:w="616"/>
        <w:gridCol w:w="271"/>
        <w:gridCol w:w="109"/>
        <w:gridCol w:w="109"/>
        <w:gridCol w:w="109"/>
        <w:gridCol w:w="233"/>
        <w:gridCol w:w="233"/>
        <w:gridCol w:w="615"/>
      </w:tblGrid>
      <w:tr>
        <w:trPr/>
        <w:tc>
          <w:tcPr>
            <w:tcW w:w="84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8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806"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6" w:type="dxa"/>
            <w:gridSpan w:val="3"/>
            <w:vMerge w:val="continue"/>
            <w:tcBorders/>
            <w:tcMar>
              <w:top w:w="0" w:type="dxa"/>
              <w:left w:w="0" w:type="dxa"/>
              <w:bottom w:w="0" w:type="dxa"/>
              <w:right w:w="0" w:type="dxa"/>
            </w:tcMar>
            <w:vAlign w:val="center"/>
          </w:tcPr>
          <w:p>
            <w:pPr>
              <w:pStyle w:val="Normal"/>
              <w:bidi w:val="0"/>
              <w:jc w:val="left"/>
              <w:rPr/>
            </w:pPr>
            <w:r>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20"/>
              </w:rPr>
              <w:t xml:space="preserve">Loan Production by Channel </w:t>
            </w:r>
            <w:r>
              <w:rPr>
                <w:rFonts w:ascii="Times New Roman;sans-serif" w:hAnsi="Times New Roman;sans-serif"/>
                <w:b w:val="false"/>
                <w:i/>
                <w:color w:val="000000"/>
                <w:sz w:val="20"/>
              </w:rPr>
              <w:t>(in billions)</w:t>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 loans </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Purchase production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Refinance production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8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8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 (1)</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color w:val="000000"/>
                <w:sz w:val="20"/>
              </w:rPr>
              <w:t xml:space="preserve">MSR Purchases by Channel </w:t>
            </w:r>
            <w:r>
              <w:rPr>
                <w:rFonts w:ascii="Times New Roman;sans-serif" w:hAnsi="Times New Roman;sans-serif"/>
                <w:b w:val="false"/>
                <w:i/>
                <w:color w:val="000000"/>
                <w:sz w:val="20"/>
              </w:rPr>
              <w:t>(in billions)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Cash Window / Flow MSR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purchases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Bulk reverse purchases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 xml:space="preserve">Short-term loan commitment </w:t>
            </w:r>
            <w:r>
              <w:rPr>
                <w:rFonts w:ascii="Times New Roman;sans-serif" w:hAnsi="Times New Roman;sans-serif"/>
                <w:b w:val="false"/>
                <w:i/>
                <w:color w:val="000000"/>
                <w:sz w:val="20"/>
              </w:rPr>
              <w:t>(at period end; in millions)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 loans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Employment - Originations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Reverse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India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06"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(1)Loan production excludes reverse mortgage loan draws by borrowers disbursed subsequent to origination that are reported within the Servicing segment.</w:t>
      </w:r>
    </w:p>
    <w:p>
      <w:pPr>
        <w:pStyle w:val="TextBody"/>
        <w:bidi w:val="0"/>
        <w:spacing w:before="6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Gain on Loans Held for Sale,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Gain on loans held for sale by channel and the related forward loan origination volume and margins (excluding fees that are presented in Other revenue, net): </w:t>
      </w:r>
    </w:p>
    <w:tbl>
      <w:tblPr>
        <w:tblW w:w="10295" w:type="dxa"/>
        <w:jc w:val="left"/>
        <w:tblInd w:w="0" w:type="dxa"/>
        <w:tblLayout w:type="fixed"/>
        <w:tblCellMar>
          <w:top w:w="28" w:type="dxa"/>
          <w:left w:w="28" w:type="dxa"/>
          <w:bottom w:w="28" w:type="dxa"/>
          <w:right w:w="28" w:type="dxa"/>
        </w:tblCellMar>
      </w:tblPr>
      <w:tblGrid>
        <w:gridCol w:w="909"/>
        <w:gridCol w:w="205"/>
        <w:gridCol w:w="207"/>
        <w:gridCol w:w="211"/>
        <w:gridCol w:w="511"/>
        <w:gridCol w:w="271"/>
        <w:gridCol w:w="109"/>
        <w:gridCol w:w="109"/>
        <w:gridCol w:w="109"/>
        <w:gridCol w:w="211"/>
        <w:gridCol w:w="511"/>
        <w:gridCol w:w="271"/>
        <w:gridCol w:w="109"/>
        <w:gridCol w:w="109"/>
        <w:gridCol w:w="109"/>
        <w:gridCol w:w="109"/>
        <w:gridCol w:w="109"/>
        <w:gridCol w:w="233"/>
        <w:gridCol w:w="233"/>
        <w:gridCol w:w="551"/>
        <w:gridCol w:w="185"/>
        <w:gridCol w:w="170"/>
        <w:gridCol w:w="171"/>
        <w:gridCol w:w="211"/>
        <w:gridCol w:w="511"/>
        <w:gridCol w:w="271"/>
        <w:gridCol w:w="185"/>
        <w:gridCol w:w="170"/>
        <w:gridCol w:w="171"/>
        <w:gridCol w:w="211"/>
        <w:gridCol w:w="511"/>
        <w:gridCol w:w="271"/>
        <w:gridCol w:w="109"/>
        <w:gridCol w:w="109"/>
        <w:gridCol w:w="109"/>
        <w:gridCol w:w="109"/>
        <w:gridCol w:w="109"/>
        <w:gridCol w:w="109"/>
        <w:gridCol w:w="109"/>
        <w:gridCol w:w="109"/>
        <w:gridCol w:w="109"/>
        <w:gridCol w:w="233"/>
        <w:gridCol w:w="233"/>
        <w:gridCol w:w="614"/>
      </w:tblGrid>
      <w:tr>
        <w:trPr/>
        <w:tc>
          <w:tcPr>
            <w:tcW w:w="9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21"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Gain on Loans Held for Sale (1)</w:t>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Gain on Sale Margin (2)</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Origination UPB (3) </w:t>
            </w:r>
            <w:r>
              <w:rPr>
                <w:rFonts w:ascii="Times New Roman;sans-serif" w:hAnsi="Times New Roman;sans-serif"/>
                <w:b w:val="false"/>
                <w:i/>
                <w:color w:val="000000"/>
                <w:sz w:val="20"/>
              </w:rPr>
              <w:t>(in billions)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Correspondent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 Direct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(1)Includes realized gains on loan sales and related new MSR capitalization, changes in fair value of IRLCs, changes in fair value of loans held for sale and economic hedging gains and losses.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(2)Ratio of gain on Loans held for sale to Origination UPB. Note that the ratio differs from the day-one gain on sale margin upon lock.</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(3)Defined as the UPB of loans funded in the period.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loans held for sale, net for the three months ended June 30, 2023 increased by $6.0 million as compared to the three months ended March 31, 2023 with $4.4 million increase in our Correspondent channel and $1.6 million increase in Consumer Direct. The gain increase is mostly driven by an increase in margin, with a 9% increase in volume quarter over quarter, although the elevated interest rate environment continues to adversely impact both purchase and refinance borrower activities due to a decline in affordability. The increase in margin is driven by our increased mix of higher margin products, as we continue to expand Ginnie Mae loans and best efforts execution.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Gain on loans held for sale, net for the six months ended June 30, 2023 declined $11.0 million with a $14.1 million decrease in our Consumer Direct channel, partially offset by a $3.1 million higher gain in our Correspondent channel. The decline in Consumer Direct is driven by an 84% decrease in loan production volume, offset in part by a 75% higher margin. Our Consumer Direct channel was exposed to rapidly changing and unfavorable market conditions for borrower refinancing due to rising interest rates beginning in the first quarter of 2022. In our Correspondent channel, despite the 23% decrease in loan production volume, we recognized a $3.1 million higher gain in the six months ended June 30, 2023 as compared to the six months ended June 30, 2022 due to higher margin. We continue to expand higher margin products such as Ginnie Mae loans and best execution. In addition, the margin of our Correspondent channel in the six months ended June 30, 2022 was adversely impacted by the significant volatility in the market as interest rates rapidly increased.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Gain on Reverse Loans Held for Investment and HMBS-Related Borrowings, Net</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Gain on reverse loans held for investment and HMBS-related borrowings, net of the Originations segment that comprises fair value changes of the pipeline and unsecuritized reverse mortgage loans held for investment, at fair value, together with volume and margin: </w:t>
      </w:r>
    </w:p>
    <w:tbl>
      <w:tblPr>
        <w:tblW w:w="10304" w:type="dxa"/>
        <w:jc w:val="left"/>
        <w:tblInd w:w="0" w:type="dxa"/>
        <w:tblLayout w:type="fixed"/>
        <w:tblCellMar>
          <w:top w:w="28" w:type="dxa"/>
          <w:left w:w="28" w:type="dxa"/>
          <w:bottom w:w="28" w:type="dxa"/>
          <w:right w:w="28" w:type="dxa"/>
        </w:tblCellMar>
      </w:tblPr>
      <w:tblGrid>
        <w:gridCol w:w="611"/>
        <w:gridCol w:w="339"/>
        <w:gridCol w:w="341"/>
        <w:gridCol w:w="211"/>
        <w:gridCol w:w="511"/>
        <w:gridCol w:w="271"/>
        <w:gridCol w:w="109"/>
        <w:gridCol w:w="109"/>
        <w:gridCol w:w="109"/>
        <w:gridCol w:w="211"/>
        <w:gridCol w:w="511"/>
        <w:gridCol w:w="271"/>
        <w:gridCol w:w="109"/>
        <w:gridCol w:w="109"/>
        <w:gridCol w:w="109"/>
        <w:gridCol w:w="109"/>
        <w:gridCol w:w="109"/>
        <w:gridCol w:w="220"/>
        <w:gridCol w:w="220"/>
        <w:gridCol w:w="551"/>
        <w:gridCol w:w="109"/>
        <w:gridCol w:w="185"/>
        <w:gridCol w:w="170"/>
        <w:gridCol w:w="171"/>
        <w:gridCol w:w="211"/>
        <w:gridCol w:w="511"/>
        <w:gridCol w:w="271"/>
        <w:gridCol w:w="185"/>
        <w:gridCol w:w="170"/>
        <w:gridCol w:w="171"/>
        <w:gridCol w:w="211"/>
        <w:gridCol w:w="511"/>
        <w:gridCol w:w="271"/>
        <w:gridCol w:w="109"/>
        <w:gridCol w:w="109"/>
        <w:gridCol w:w="109"/>
        <w:gridCol w:w="109"/>
        <w:gridCol w:w="109"/>
        <w:gridCol w:w="109"/>
        <w:gridCol w:w="109"/>
        <w:gridCol w:w="109"/>
        <w:gridCol w:w="109"/>
        <w:gridCol w:w="211"/>
        <w:gridCol w:w="211"/>
        <w:gridCol w:w="614"/>
      </w:tblGrid>
      <w:tr>
        <w:trPr/>
        <w:tc>
          <w:tcPr>
            <w:tcW w:w="61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Origination UPB (1) </w:t>
            </w:r>
            <w:r>
              <w:rPr>
                <w:rFonts w:ascii="Times New Roman;sans-serif" w:hAnsi="Times New Roman;sans-serif"/>
                <w:b w:val="false"/>
                <w:i/>
                <w:color w:val="000000"/>
                <w:sz w:val="20"/>
              </w:rPr>
              <w:t>(in billions)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 margin (2)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reverse loans held for investment and HMBS-related borrowings, net (Originations)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(1)Defined as the UPB of loans funded in the period.</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(2)Ratio of origination gain and fees - see (3) below - to origination UPB. Note that the ratio includes gains or losses on IRLCs.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(3)Includes gain on new origination, and loan fees and other. Includes non-cash gain on securitization of newly originated loans of $4.7 million and $9.4 million for the three and six months ended June 30, 2023, respectively, $4.7 million for the three months ended March 31, 2023 and $21.3 million for the six months ended June 30, 2022.</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reported $4.8 million Originations Gain on reverse loans held for investment and HMBS-related borrowings, net for the three months ended June 30, 2023, a $2.3 million, or 32% decrease as compared to the three months ended March 31, 2023, primarily driven by significantly lower margins across our reverse originations. The lower margins were mostly driven by HECM spreads widening substantially (approximately 20 basis points) during the second quarter of 2023 due to economic conditions, while spreads were mostly flat during the first quarter of 2023.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Gain on reverse loans held for investment and HMBS-related borrowings, net for the six months ended June 30, 2023 decreased $29.4 million, or 71%. The decrease is primarily driven by a decline in volume in each of our channels. The decline in our volume is driven by the drastic increase in market interest rates with industry volume reduction of approximately 65%. Higher rates directly reduce loan proceeds available to borrowers. While each channel reported higher margins, the aggregate margin decreased due to the significant decline in volume of the higher margin Retail channel. Our Retail channel generated a net $22.3 million gain decrease in the six months ended June 30, 2023 as compared to the six months ended June 30, 2022.</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Other Revenue,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 for the three months ended June 30, 2023 increased $0.8 million as compared to the three months ended March 31, 2023 primarily due to an increase in correspondent and broker fees with higher origination volume. As compared to the six months ended June 30, 2022, Other revenue for the six months ended June 30, 2023 declined $6.8 million primarily due to a decline in volume.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MSR Valuation Adjustments, Net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 valuation adjustments, net includes revaluation gains on certain MSRs opportunistically purchased through the Agency Cash Window programs, and flow purchases. As an aggregator of MSRs, we may purchase MSRs from smaller originators with a purchase price at a discount to fair value and we recognize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 Quarter over quarter changes in MSR valuation adjustments, net are mostly due to volume changes.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for the three months ended June 30, 2023 increased $2.4 million, or 13%, as compared to the three months ended March 31, 2023. Compensation and benefits increased $1.3 million, or 14%, primarily driven by an increase in commissions due to the increase in production volume. Other operating expenses (total operating expenses less Compensation and benefits) increased $1.1 million, also primarily attributed to the increase in production volume.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Operating expenses for the six months ended June 30, 2023 declined $49.0 million or 55%, as a result of our efforts to right size our resources to lower market opportunities. Compensation and benefits decreased $32.5 million, or 61% with a $19.8 million decrease in salaries and benefit expense, an $8.6 million decrease in commissions due to lower production volume and headcount, a $2.1 million decrease in severance expense and a $1.9 million decline in incentive compensation. The decrease in salaries and benefit expenses is primarily driven by the 58% decrease in Originations average total headcount, including a 67% reduction in average U.S. headcount. The offshore-to-total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average headcount ratio for Originations increased from 45% for the six months ended June 30, 2022 to 57% for the six months ended June 30, 2023. Other operating expenses (total operating expenses less Compensation and benefits) decreased $16.5 million primarily attributed to the decline in production volumes as compared to six months ended June 30, 2022. All expense categories decreased, including a $5.9 million decrease in Origination expense, $3.1 million decrease in advertising expense, $2.5 million decrease in Professional services driven by lower outsourced resource, $1.9 million decrease in Occupancy and equipment expense driven by lower mailing and postage expenses, and $1.6 million decrease in Technology and communications due to lower origination volume.</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consists primarily of interest earned on newly-originated and purchased loans prior to sale to investors. Interest expense is incurred to finance the mortgage loans prior to sale or securitization. We finance originated and purchased forward and reverse mortgage loans with repurchase and participation agreements, commonly referred to as warehouse lines.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for the three months ended June 30, 2023 increased $4.2 million as compared to the three months ended March 31, 2023 primarily due to the increase in origination volume. Similarly, interest expense for the three months ended June 30, 2023 increased $4.2 million as compared to the three months ended March 31, 2023 primarily due to the increase in average warehouse facility debt balances consistent with higher average held for sale loan balances.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compared to the six months ended June 30, 2022, interest income for the six months ended June 30, 2023 increased $12.5 million primarily due to higher interest rates, offset in part by lower origination volume. Similarly, as compared to the six months ended June 30, 2022, interest expense for the six months ended June 30, 2023 increased $14.6 million primarily due to an increase in effective interest rates driven by base rate increases and an increase in average warehouse facility debt balances consistent with higher average held for sale loan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69" w:type="dxa"/>
        <w:jc w:val="left"/>
        <w:tblInd w:w="0" w:type="dxa"/>
        <w:tblLayout w:type="fixed"/>
        <w:tblCellMar>
          <w:top w:w="28" w:type="dxa"/>
          <w:left w:w="28" w:type="dxa"/>
          <w:bottom w:w="28" w:type="dxa"/>
          <w:right w:w="28" w:type="dxa"/>
        </w:tblCellMar>
      </w:tblPr>
      <w:tblGrid>
        <w:gridCol w:w="1047"/>
        <w:gridCol w:w="920"/>
        <w:gridCol w:w="1302"/>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CORPORATE ITEMS AND OTHER</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Items and Other includes revenues and expenses of corporate support services, our reinsurance business CRL, inactive entities, and our other business activities that are currently individually insignificant, revenues and expenses that are not directly related to other reportable segments, interest income on short-term investments of cash, gain or loss on repurchases of debt, interest expense on unallocated corporate debt and foreign currency exchange gains or losses. Interest expense on corporate debt is allocated to the Servicing segment and the Originations segment based on relative financing requirements, with the exception of the OFC Senior Secured Notes. Accordingly, the financing cost of the Servicing and Originations segments reflects and is consistent with the financing structure of the licensed entity PMC that carries out these businesses and does not depend on the financing structure strategy of its parent, as a holding company.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Corporate support services include finance, facilities, human resources, internal audit, legal, risk and compliance, capital markets and technology functions. Certain expenses incurred by corporate support services are allocated to the Servicing and Originations segments using various methodologies intended to approximate the utilization of such services. Various measurements of utilization of corporate support services are maintained, primarily time studies, personnel volumes and service consumption levels. Support service costs not allocated to the Servicing and Originations segments are retained in the Corporate Items and Other segment along with certain other costs including certain litigation and settlement related expenses or recoveries, and other costs related to operating as a public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CRL, our wholly-owned captive reinsurance subsidiary, provides re-insurance related to coverage on REO properties owned or serviced by us. CRL assumes a quota share of REO insurance coverage written by a third-party insurer under a blanket policy issued to PMC. The underlying REO policy provides coverage for direct physical loss on commercial and residential properties, subject to certain limitations. Under the terms of the reinsurance agreement, CRL assumes a 60% quota share of premiums and all related losses and loss adjustment expenses incurred by the third-party insurer. The reinsurance agreement expires December 31, 2023, but may be terminated by either party at any time with six months advance written notice. The agreement will automatically renew for additional one-year terms unless either party provides 60 days advance written notice prior to renewal.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results of operations of Corporate Items and Other. The amounts presented are before the elimination of balances and transactions with our other segments: </w:t>
      </w:r>
    </w:p>
    <w:tbl>
      <w:tblPr>
        <w:tblW w:w="10205" w:type="dxa"/>
        <w:jc w:val="left"/>
        <w:tblInd w:w="0" w:type="dxa"/>
        <w:tblLayout w:type="fixed"/>
        <w:tblCellMar>
          <w:top w:w="28" w:type="dxa"/>
          <w:left w:w="28" w:type="dxa"/>
          <w:bottom w:w="28" w:type="dxa"/>
          <w:right w:w="28" w:type="dxa"/>
        </w:tblCellMar>
      </w:tblPr>
      <w:tblGrid>
        <w:gridCol w:w="935"/>
        <w:gridCol w:w="706"/>
        <w:gridCol w:w="712"/>
        <w:gridCol w:w="332"/>
        <w:gridCol w:w="264"/>
        <w:gridCol w:w="202"/>
        <w:gridCol w:w="125"/>
        <w:gridCol w:w="125"/>
        <w:gridCol w:w="125"/>
        <w:gridCol w:w="372"/>
        <w:gridCol w:w="286"/>
        <w:gridCol w:w="255"/>
        <w:gridCol w:w="109"/>
        <w:gridCol w:w="109"/>
        <w:gridCol w:w="109"/>
        <w:gridCol w:w="109"/>
        <w:gridCol w:w="247"/>
        <w:gridCol w:w="248"/>
        <w:gridCol w:w="551"/>
        <w:gridCol w:w="207"/>
        <w:gridCol w:w="196"/>
        <w:gridCol w:w="197"/>
        <w:gridCol w:w="232"/>
        <w:gridCol w:w="269"/>
        <w:gridCol w:w="271"/>
        <w:gridCol w:w="207"/>
        <w:gridCol w:w="196"/>
        <w:gridCol w:w="197"/>
        <w:gridCol w:w="232"/>
        <w:gridCol w:w="269"/>
        <w:gridCol w:w="271"/>
        <w:gridCol w:w="109"/>
        <w:gridCol w:w="109"/>
        <w:gridCol w:w="109"/>
        <w:gridCol w:w="247"/>
        <w:gridCol w:w="248"/>
        <w:gridCol w:w="551"/>
        <w:gridCol w:w="167"/>
      </w:tblGrid>
      <w:tr>
        <w:trPr/>
        <w:tc>
          <w:tcPr>
            <w:tcW w:w="93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167" w:type="dxa"/>
            <w:tcBorders/>
          </w:tcPr>
          <w:p>
            <w:pPr>
              <w:pStyle w:val="TableContents"/>
              <w:bidi w:val="0"/>
              <w:spacing w:before="0" w:after="283"/>
              <w:jc w:val="left"/>
              <w:rPr>
                <w:sz w:val="4"/>
                <w:szCs w:val="4"/>
              </w:rPr>
            </w:pPr>
            <w:r>
              <w:rPr>
                <w:sz w:val="4"/>
                <w:szCs w:val="4"/>
              </w:rPr>
            </w:r>
          </w:p>
        </w:tc>
      </w:tr>
      <w:tr>
        <w:trPr/>
        <w:tc>
          <w:tcPr>
            <w:tcW w:w="2353"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6" w:type="dxa"/>
            <w:gridSpan w:val="3"/>
            <w:vMerge w:val="continue"/>
            <w:tcBorders/>
            <w:tcMar>
              <w:top w:w="0" w:type="dxa"/>
              <w:left w:w="0" w:type="dxa"/>
              <w:bottom w:w="0" w:type="dxa"/>
              <w:right w:w="0" w:type="dxa"/>
            </w:tcMar>
            <w:vAlign w:val="center"/>
          </w:tcPr>
          <w:p>
            <w:pPr>
              <w:pStyle w:val="Normal"/>
              <w:bidi w:val="0"/>
              <w:jc w:val="left"/>
              <w:rPr/>
            </w:pPr>
            <w:r>
              <w:rPr/>
            </w:r>
          </w:p>
        </w:tc>
        <w:tc>
          <w:tcPr>
            <w:tcW w:w="167" w:type="dxa"/>
            <w:tcBorders/>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(CRL)</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communications</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and origination</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90"/>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 before corporate overhead allocations</w:t>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 allocations</w:t>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Servicing segment</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Originations segment</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7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5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 w:type="dxa"/>
            <w:tcBorders/>
            <w:vAlign w:val="center"/>
          </w:tcPr>
          <w:p>
            <w:pPr>
              <w:pStyle w:val="TableContents"/>
              <w:bidi w:val="0"/>
              <w:spacing w:before="0" w:after="283"/>
              <w:jc w:val="left"/>
              <w:rPr>
                <w:sz w:val="4"/>
                <w:szCs w:val="4"/>
              </w:rPr>
            </w:pPr>
            <w:r>
              <w:rPr>
                <w:sz w:val="4"/>
                <w:szCs w:val="4"/>
              </w:rPr>
            </w:r>
          </w:p>
        </w:tc>
      </w:tr>
      <w:tr>
        <w:trPr/>
        <w:tc>
          <w:tcPr>
            <w:tcW w:w="2353"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Compensation and Benefits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 expense for the three months ended June 30, 2023 increased $1.1 million, or 6%, as compared to the three months ended March 31, 2023 primarily as a result of a $1.6 million increase in incentive compensation mostly due to an increase in the fair value of cash-settled share-based awards in the quarter following the increase of our common stock price, as compared to a decrease in the prior quarter.</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compared to the six months ended June 30, 2022, Compensation and benefits expense for the six months ended June 30, 2023 increased $4.3 million, or 12%, primarily as a result of an $7.7 million increase in incentive compensation offset by a $2.0 million decline in severance and a $1.4 million decline in salaries and benefit expense. The increase in incentive compensation is primarily due to an increase in share-based awards expense associated with the increase in our common stock price, new awards and lower expense in the first quarter of 2022 due to forfeitures. The average Corporate headcount declined by 20% and the offshore-to-total average headcount ratio increased from 71% for the six months ended June 30, 2022 to 75% for the six months ended June 30, 2023.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Professional Services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expense for the three months ended June 30, 2023 declined $33.5 million as compared to the three months ended March 31, 2023, primarily due to the reversal of our accrual related to the CFPB matter resolved in the second quarter of 2023 and certain recoveries of prior years’ legal expenses from private mortgage insurers. As compared to the six months ended June 30, 2022, Professional services expense for the six months ended June 30, 2023 declined $30.7 million, due to the main factors described above and a lower utilization of other professional services in six months ended June 30, 2023 including consulting services related to corporate strategy and business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795" w:type="dxa"/>
        <w:jc w:val="left"/>
        <w:tblInd w:w="0" w:type="dxa"/>
        <w:tblLayout w:type="fixed"/>
        <w:tblCellMar>
          <w:top w:w="28" w:type="dxa"/>
          <w:left w:w="28" w:type="dxa"/>
          <w:bottom w:w="28" w:type="dxa"/>
          <w:right w:w="28" w:type="dxa"/>
        </w:tblCellMar>
      </w:tblPr>
      <w:tblGrid>
        <w:gridCol w:w="1216"/>
        <w:gridCol w:w="1068"/>
        <w:gridCol w:w="1511"/>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tc>
      </w:tr>
    </w:tbl>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we are actively engaged with our lenders and as a result, renew, replace or extend our debt agreements to the extent necessary to finance our operations. See Note 12 – Borrowings to the Unaudited Consolidated Financial Statements for additional information. We actively monitor and, during the six months ended June 30, 2023, we have adjusted our borrowing capacity on our various collateralized debt agreements to align with our financing needs and to optimize our financing costs.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borrowing capacity under our advance facilities, mortgage warehouse facilities and MSR financing facilities is as follows: </w:t>
      </w:r>
    </w:p>
    <w:tbl>
      <w:tblPr>
        <w:tblW w:w="10205" w:type="dxa"/>
        <w:jc w:val="left"/>
        <w:tblInd w:w="0" w:type="dxa"/>
        <w:tblLayout w:type="fixed"/>
        <w:tblCellMar>
          <w:top w:w="28" w:type="dxa"/>
          <w:left w:w="28" w:type="dxa"/>
          <w:bottom w:w="28" w:type="dxa"/>
          <w:right w:w="28" w:type="dxa"/>
        </w:tblCellMar>
      </w:tblPr>
      <w:tblGrid>
        <w:gridCol w:w="384"/>
        <w:gridCol w:w="273"/>
        <w:gridCol w:w="274"/>
        <w:gridCol w:w="515"/>
        <w:gridCol w:w="458"/>
        <w:gridCol w:w="267"/>
        <w:gridCol w:w="109"/>
        <w:gridCol w:w="109"/>
        <w:gridCol w:w="109"/>
        <w:gridCol w:w="579"/>
        <w:gridCol w:w="299"/>
        <w:gridCol w:w="301"/>
        <w:gridCol w:w="109"/>
        <w:gridCol w:w="109"/>
        <w:gridCol w:w="109"/>
        <w:gridCol w:w="675"/>
        <w:gridCol w:w="349"/>
        <w:gridCol w:w="350"/>
        <w:gridCol w:w="109"/>
        <w:gridCol w:w="109"/>
        <w:gridCol w:w="109"/>
        <w:gridCol w:w="515"/>
        <w:gridCol w:w="458"/>
        <w:gridCol w:w="267"/>
        <w:gridCol w:w="109"/>
        <w:gridCol w:w="109"/>
        <w:gridCol w:w="109"/>
        <w:gridCol w:w="579"/>
        <w:gridCol w:w="299"/>
        <w:gridCol w:w="301"/>
        <w:gridCol w:w="109"/>
        <w:gridCol w:w="109"/>
        <w:gridCol w:w="109"/>
        <w:gridCol w:w="631"/>
        <w:gridCol w:w="326"/>
        <w:gridCol w:w="470"/>
      </w:tblGrid>
      <w:tr>
        <w:trPr/>
        <w:tc>
          <w:tcPr>
            <w:tcW w:w="38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December 31, 2022</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Borrowing Capacity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Committed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Uncommitted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Total Borrowing Capacity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Committed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Available Borrowing Capacity - Uncommitted (1)</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facilities</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9"/>
              </w:rPr>
            </w:pPr>
            <w:r>
              <w:rPr>
                <w:rFonts w:ascii="Times New Roman;sans-serif" w:hAnsi="Times New Roman;sans-serif"/>
                <w:b w:val="false"/>
                <w:color w:val="000000"/>
                <w:sz w:val="19"/>
              </w:rPr>
              <w:t>13.2</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1,097.6</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MSR financing facilities</w:t>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3,712.4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1,128.0</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(1)Total Borrowing Capacity represents the maximum amount which can be borrowed, subject to eligible collateral. Available Borrowing Capacity represents Total Borrowing Capacity less outstanding borrowings.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2023, none of the available borrowing capacity under our advance financing facilities could be funded based on the amount of eligible collateral that had been pledged to such facilities. Also, none of our uncommitted borrowing capacity was available to fund advances at June 30, 2023 under our Ginnie Mae MSR financing facility based on the amount of eligible collateral. We may utilize committed borrowing capacity under our mortgage loan financing facilities and MSR financing facilities to the extent we have sufficient eligible collateral to borrow against and otherwise satisfy the applicable conditions to funding. At June 30, 2023, we had $1.7 million committed borrowing capacity under our mortgage loan financing facilities and $18.1 million committed borrowing capacity under our MSR financing facilities, based on the amount of eligible collateral. Uncommitted amounts can be advanced at the discretion of the lender, and there can be no assurance that any uncommitted amounts will be available to us at any particular time.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2023, our total liquidity was $233.2 million compared to $219.1 million at December 31, 2022, which comprised an unrestricted cash position of $213.4 million compared to $208.0 million at December 31, 2022. We typically invest cash in excess of our immediate operating needs in deposit accounts and other liquid assets.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optimize our daily cash position to reduce financing costs while closely monitoring our liquidity needs and ongoing funding requirements. We regularly monitor and project cash flows over various time horizons, including bank concentration, as a way to anticipate and mitigate liquidity risk. We maintain liquidity buffers to be responsive to the level of risks, including stressed market interest rate conditions and operational risk.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Use of Funds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near-term uses of funds in the normal course include: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Payment of operating costs and corporate expenses;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Payments for advances in excess of collections;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Investing in our servicing and originations businesses, including MSRs, other asset acquisitions and MAV Canopy equity contributions;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Originated and repurchased loans, including scheduled and unscheduled equity draws on reverse mortgage loans;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Payment of margin calls under our MSR financing facilities and derivative instruments;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Repayments of borrowings, including under our MSR financing, advance financing and warehouse facilities, and payment of interest expense;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Net negative working capital and other general corporate cash outflows.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originated floating-rate reverse mortgage loans under which the borrowers have additional borrowing capacity of $1.8 billion at June 30, 2023. This additional borrowing capacity is available on a scheduled or unscheduled payment basis. During the six months ended June 30, 2023, we funded $135.9 million out of the $1.8 billion borrowing capacity available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December 31, 2022. We also had short-term commitments to lend $1.1 billion and $16.4 million in connection with our forward and reverse mortgage loan IRLCs, respectively, outstanding at June 30, 2023. As an HMBS issuer, we assume certain obligations related to each security issued. The most significant obligation is the requirement to repurchase loans out of the Ginnie Mae securitization pools once the outstanding principal balance of the related HECM is equal to or greater than 98% of the maximum claim amount (MCA repurchases). We carry these repurchases until reimbursement by HUD and/or property liquidation if inactive. Our reverse subservicing clients bear the financial obligation and risks associated with purchasing loans out of securitization pools within the portfolio we subservice. We finance originated and purchased forward and reverse mortgage loans with repurchase and participation agreements, referred to as warehouse lines.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Regarding the current maturities of our borrowings, as of June 30, 2023, we have approximately $2.1 billion of debt outstanding that would either come due, begin amortizing or require partial repayment in the next 12 months. This amount is comprised of $1.3 billion of borrowings under forward and reverse mortgage warehouse facilities, $429.5 million of notes under advance financing facilities that will enter their respective amortization periods, $399.6 million outstanding under Agency and Ginnie Mae MSR financing facilities maturing in the next 12 months and $15.6 million of scheduled principal amortization on the PLS Notes secured by PLS MSRs.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liquidity management, we consider our servicing advance requirements during each investor remittance period and the uncertainties of daily margin calls on our collateralized debt facilities and derivative instruments due to interest rate fluctuations. As servicer, we are required to advance to investors the loan P&amp;I installments not collected from borrowers for those delinquent loans, including those on forbearance plans. Loan payoffs and prepayments are a source of additional liquidity and are dependent on the interest rate environment. We also advance T&amp;I and Corporate advances primarily on properties that are in default or have been foreclosed. Our obligations to make these advances are governed by servicing agreements or guides, depending on investors or guarantor. As subservicer, we are also required to make P&amp;I, T&amp;I and Corporate advances on behalf of servicers following the servicing agreements or guides. However, servicers are generally required to reimburse us within 30 days of our advancing under the terms of the subservicing agreements, and we are generally reimbursed by Rithm the same day we fund P&amp;I advances, or within no more than three days for servicing advances and certain P&amp;I advances under the Ocwen agreements.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generally subject to daily margining requirements under the terms of our MSR financing facilities and daily cash calls for our TBAs, interest rate swap futures or other derivatives.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 While the objective of our hedging strategy is to reduce volatility due to interest rates, it is also designed to address cash and liquidity considerations.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medium- and long-term requirements for cash include: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Payment of interest and principal repayment of our corporate debt that matures in 2026 and 2027;</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payments associated with the confirmation of loss contingencies;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Any other payments required under contractual obligations discussed above that extend beyond one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focused on ensuring that we have sufficient liquidity sources to continue to operate and support our business initiatives. We continuously evaluate alternative financings to diversify our sources of funds, optimize maturities and reduce our funding cost. See “Sources of Funds” below.</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Sources of Funds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sources of funds for near-term liquidity in normal course include: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Collections of servicing and subservicing fees and ancillary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Collections of advances in excess of new advances;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match funded advance financing facilities;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other borrowings, including warehouse facilities, MSR financing facilities, MSR transfers and ESS financing;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Proceeds from sales and securitizations of originated loans and repurchased loans;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Net positive working capital from changes in other assets and liabilities.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cash and liquidity management strategy. Revolving variable funding notes issued under our advance financing facilities to financial institutions typically have a revolving period of 12 months. Additionally, certain of our financing and subservicing agreements permit us to retain advance collections for a period ranging from one to two business days before remittance, thus providing a source of short-term liquidity.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mortgage loan repurchase and participation facilities (commonly called warehouse lines) to fund newly-originated loans on a short-term basis until they are sold or securitized to secondary market investors, including GSEs or other third-party investors, and to fund repurchases of certain Ginnie Mae forward loans, HECM loans, second-lien loans and other types of loans. These facilities contain eligibility criteria that include aging and concentration limits by loan type among other provisions. Currently, our financing agreements generally have maximum terms of 364 days. The funds are typically repaid using the proceeds from the sale of the loans to the secondary market investors, usually within 30 days.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VA or USDA. In June 2023, we issued a private placement securitization of reverse mortgage buyouts with an initial principal amount of $264.9 million, expanding our access to capital markets and reducing our reliance on warehouse financing facilities.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evaluate financing structure options that we believe will most effectively provide the necessary capacity to support our investment plans, address upcoming debt maturities and accommodate our business needs. We continue to diversify our sources of funds, allowing us to reduce our reliance on existing asset-backed financing facilities and de-risk our MSR and other exposures. We continuously evaluate the allocation of our capital to MSR investments, the related returns, funding and liquidity requirements. The relationship with MAV may continue to provide PMC with an additional means to finance MSRs and maintain liquidity while maintaining servicing volume. With the development of MAV and our relationships with other clients, additional opportunities to rebalance our servicing and subservicing portfolio mix are available to us and may result in further sales of MSRs while we would perform subservicing for the sold portfolio, or further ESS issuances.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or guarantying additional debt, paying dividends or making distributions on or purchasing equity interests of Ocwen and its subsidiaries, repurchasing or redeeming capital stock or junior capital, repurchasing or redeeming subordinated debt prior to maturity, issuing preferred stock, selling or transferring assets or making loans or investments or other restricted payments, entering into mergers or consolidations or sales of all or substantially all of the assets of Ocwen and its subsidiaries, creating liens on assets to secure debt, and entering into transactions with affiliates. These covenants may limit the manner in which we conduct our business and may limit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litigation and changes of control. See Note 12 – Borrowings to the Unaudited Consolidated Financial Statements for additional information regarding our covenants. The most restrictive liquidity requirement under our debt agreements is for a minimum of $75.0 million in consolidated liquidity, as defined, under certain of our advance match funded debt and MSR financing facilities agreements. At June 30, 2023, we held unrestricted cash in excess of this minimum amount.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covenants in our debt agreements as of June 30, 2023. </w:t>
      </w:r>
    </w:p>
    <w:p>
      <w:pPr>
        <w:pStyle w:val="TextBody"/>
        <w:bidi w:val="0"/>
        <w:spacing w:lineRule="auto" w:line="288"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Credit Ratings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 </w:t>
      </w:r>
    </w:p>
    <w:tbl>
      <w:tblPr>
        <w:tblW w:w="9015"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854"/>
        <w:gridCol w:w="854"/>
        <w:gridCol w:w="857"/>
        <w:gridCol w:w="109"/>
        <w:gridCol w:w="109"/>
        <w:gridCol w:w="109"/>
        <w:gridCol w:w="109"/>
        <w:gridCol w:w="109"/>
        <w:gridCol w:w="704"/>
        <w:gridCol w:w="704"/>
        <w:gridCol w:w="706"/>
        <w:gridCol w:w="109"/>
        <w:gridCol w:w="109"/>
        <w:gridCol w:w="109"/>
        <w:gridCol w:w="487"/>
        <w:gridCol w:w="487"/>
        <w:gridCol w:w="690"/>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Rating 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Long-term Corporate Rating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Review Status / Outlook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last action</w:t>
            </w:r>
          </w:p>
        </w:tc>
      </w:tr>
      <w:tr>
        <w:trPr/>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Caa1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Positive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2022</w:t>
            </w:r>
          </w:p>
        </w:tc>
      </w:tr>
      <w:tr>
        <w:trPr/>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S&amp;P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24, 2023</w:t>
            </w:r>
          </w:p>
        </w:tc>
      </w:tr>
      <w:tr>
        <w:trPr/>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24, 2023, S&amp;P affirmed the long-term corporate rating of Ocwen at “B-” and affirmed the “B” rating of the PMC Senior Secured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 is possible that additional actions by credit rating agencies could have a material adverse impact on our liquidity and funding position, including materially changing the terms on which we may be able to borrow money.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primarily impacted by operating results, including Originations gains on loan sales, changes in our servicing advance balances, the level of mortgage loan production, the timing of sales and securitizations of mortgage loans, and the margin calls required under our MSR financing facilities or derivative instruments. We classify purchases of MSRs through flow purchase agreements, Agency Cash Window and bulk acquisitions as investing activity. MSR investments represent a key indicator of our ability to generate future income in our Servicing business, together with originated MSRs. We classify changes in HECM loans held for investment as investing activity and changes in the related HMBS borrowings as financing activity.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Rithm agreements represent an important component of our liquidity management, and have a significant impact on our consolidated statements of cash flows. Because the payments we received in connection with our agreements with Rithm were recorded as secured financings, additions to, and reductions in, the balance of those secured financings were recognized as financing activity in our consolidated statements of cash flows. Excluding the impact of changes to the secured financings attributed to changes in fair value, changes in the balance of these secured financings are reflected in cash flows from operating activities despite having no impact on our consolidated cash balance.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flows are summarized as follows:</w:t>
      </w:r>
    </w:p>
    <w:tbl>
      <w:tblPr>
        <w:tblW w:w="8103" w:type="dxa"/>
        <w:jc w:val="left"/>
        <w:tblInd w:w="0" w:type="dxa"/>
        <w:tblLayout w:type="fixed"/>
        <w:tblCellMar>
          <w:top w:w="28" w:type="dxa"/>
          <w:left w:w="28" w:type="dxa"/>
          <w:bottom w:w="28" w:type="dxa"/>
          <w:right w:w="28" w:type="dxa"/>
        </w:tblCellMar>
      </w:tblPr>
      <w:tblGrid>
        <w:gridCol w:w="2014"/>
        <w:gridCol w:w="1768"/>
        <w:gridCol w:w="1783"/>
        <w:gridCol w:w="417"/>
        <w:gridCol w:w="269"/>
        <w:gridCol w:w="271"/>
        <w:gridCol w:w="215"/>
        <w:gridCol w:w="215"/>
        <w:gridCol w:w="215"/>
        <w:gridCol w:w="417"/>
        <w:gridCol w:w="215"/>
        <w:gridCol w:w="304"/>
      </w:tblGrid>
      <w:tr>
        <w:trPr/>
        <w:tc>
          <w:tcPr>
            <w:tcW w:w="2014"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in millions</w:t>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ans-serif" w:hAnsi="Times New Roman;sans-serif"/>
          <w:b w:val="false"/>
          <w:color w:val="000000"/>
          <w:sz w:val="20"/>
        </w:rPr>
        <w:br/>
      </w:r>
      <w:r>
        <w:rPr>
          <w:rFonts w:ascii="Times New Roman;sans-serif" w:hAnsi="Times New Roman;sans-serif"/>
          <w:b/>
          <w:i/>
          <w:color w:val="000000"/>
          <w:sz w:val="20"/>
        </w:rPr>
        <w:t>Cash flows for the six months ended June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used $648.7 million of cash primarily due to net cash paid on loans held for sale of $788.0 million as loan production volume exceeded sales. Offsetting operating cash inflows include net collections of servicing advances of $114.0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used $22.5 million of cash. The primary use of cash in our investing activities was $52.3 million to purchase MSRs. Offsetting cash inflows include $20.6 million net cash inflows in connection with our HECM reverse mortgages, $7.6 million of capital distributions, net of contributions, from our equity method investee MAV Canopy and $5.1 million proceeds from the sale of advances.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provided $729.5 million of cash. Financing cash inflows are primarily comprised of $816.0 million net from borrowings under our mortgage loan financing facilities, including the OLIT securitization, due to the increase in loans held for sale, $88.3 million of proceeds from the sale of MSRs accounted for as a financing in connection with sales of MSRs. and $68.7 million of proceeds from ESS financing. Offsetting cash outflows include $83.2 million of net repayments on advance match funded liabilities due to the decline in servicing advances, $88.4 million of net repayments on MSR financing facilities, and $45.0 million of net payments on the financing liabilities related to MSRs transferred and ESS financings due to runoff. Cash inflows of $502.3 million received in connection with our reverse mortgage securitizations, which are accounted for as secured financings, were more than offset by repayments on the related financing liability of $525.1 million. </w:t>
      </w:r>
    </w:p>
    <w:p>
      <w:pPr>
        <w:pStyle w:val="TextBody"/>
        <w:bidi w:val="0"/>
        <w:spacing w:lineRule="auto" w:line="288" w:before="120" w:after="120"/>
        <w:jc w:val="left"/>
        <w:rPr>
          <w:rFonts w:ascii="Times New Roman;sans-serif" w:hAnsi="Times New Roman;sans-serif"/>
          <w:b/>
          <w:i/>
          <w:color w:val="000000"/>
          <w:sz w:val="20"/>
        </w:rPr>
      </w:pPr>
      <w:r>
        <w:rPr>
          <w:rFonts w:ascii="Times New Roman;sans-serif" w:hAnsi="Times New Roman;sans-serif"/>
          <w:b/>
          <w:i/>
          <w:color w:val="000000"/>
          <w:sz w:val="20"/>
        </w:rPr>
        <w:t>Cash flows for the six months ended June 30, 2022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operating activities provided $310.9 million of cash with net cash received on loans held for sale of $120.6 million due to higher forward loan production volumes. In addition, net collections of servicing advances were $105.9 million, mostly T&amp;I advances, and we received earnings distributions of $12.0 million from MAV Canopy.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investing activities used $137.3 million of cash. The primary uses of cash in our investing activities include $149.1 million net cash outflows in connection with our HECM reverse mortgages, $103.5 million to purchase MSRs, $6.9 million acquisition of reverse subservicing agreement and $11.6 million of capital contributions, net of distributions, to MAV Canopy. Offsetting cash inflows include $134.5 million proceeds from the sale of MSRs to an unrelated third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pPr>
      <w:r>
        <w:rPr>
          <w:rFonts w:ascii="Times New Roman;sans-serif" w:hAnsi="Times New Roman;sans-serif"/>
          <w:b w:val="false"/>
          <w:color w:val="000000"/>
          <w:sz w:val="20"/>
        </w:rPr>
        <w:t>Our financing activities used $114.4 million of cash. Cash outflows include $217.0 million net repayments of borrowings under our mortgage loan financing facilities and MSR financing facilities due to the decline in loans held for sale, $35.3 million of net repayments on advance match funded liabilities due to the decline in servicing advances, and $57.0 million of net payments on the financing liabilities related to MSRs transferred due to runoff. We also paid $23.6 million to repurchase $25.0 million of our 7.875%</w:t>
      </w:r>
      <w:r>
        <w:rPr>
          <w:color w:val="000000"/>
        </w:rPr>
        <w:t xml:space="preserve"> </w:t>
      </w:r>
      <w:r>
        <w:rPr>
          <w:rFonts w:ascii="Times New Roman;sans-serif" w:hAnsi="Times New Roman;sans-serif"/>
          <w:b w:val="false"/>
          <w:color w:val="000000"/>
          <w:sz w:val="20"/>
        </w:rPr>
        <w:t xml:space="preserve">PMC Senior Secured Notes and $2.3 million to repurchase 84,087 shares of our common stock. Cash inflows include $1.1 billion received in connection with our reverse mortgage securitizations, which are accounted for as secured financings, partially offset by repayments on the related financing liability of $993.5 million, and $66.2 million of proceeds from the sale of MSRs accounted for as a financing in connection with sales of MSRs to MAV.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99" w:type="dxa"/>
        <w:jc w:val="left"/>
        <w:tblInd w:w="0" w:type="dxa"/>
        <w:tblLayout w:type="fixed"/>
        <w:tblCellMar>
          <w:top w:w="28" w:type="dxa"/>
          <w:left w:w="28" w:type="dxa"/>
          <w:bottom w:w="28" w:type="dxa"/>
          <w:right w:w="28" w:type="dxa"/>
        </w:tblCellMar>
      </w:tblPr>
      <w:tblGrid>
        <w:gridCol w:w="1633"/>
        <w:gridCol w:w="1434"/>
        <w:gridCol w:w="2032"/>
      </w:tblGrid>
      <w:tr>
        <w:trPr/>
        <w:tc>
          <w:tcPr>
            <w:tcW w:w="1633"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policies and estimates involving significant judgments primarily relate to fair value measurements, income taxes, allowance for losses on assets, and the provision for losses that may arise from contingencies, including indemnification obligations and litigation proceedings. We use fair value measurements to record fair value adjustments to certain instruments in our statement of operations and to determine fair value disclosures, including but not limited to MSRs, Pledged MSR liabilities and Loans held for sale, Loans held for investment-Reverse mortgages, and HMBS-related borrowings. As of June 30, 2023, 89% of our assets and 69% of our liabilities were reported at fair value, with fair value changes reported in our statement of operations. Substantially all our assets and liabilities at fair value were classified as Level 3 instruments due to unobservable inputs.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significant accounting policies and critical accounting estimates are disclosed in our Annual Report on Form 10-K for the year ended December 31, 2022 in Note 1 to the Consolidated Financial Statements and in Management’s Discussion and Analysis of Financial Condition and Results of Operations under “Critical Accounting Policies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19" w:type="dxa"/>
        <w:jc w:val="left"/>
        <w:tblInd w:w="0" w:type="dxa"/>
        <w:tblLayout w:type="fixed"/>
        <w:tblCellMar>
          <w:top w:w="28" w:type="dxa"/>
          <w:left w:w="28" w:type="dxa"/>
          <w:bottom w:w="28" w:type="dxa"/>
          <w:right w:w="28" w:type="dxa"/>
        </w:tblCellMar>
      </w:tblPr>
      <w:tblGrid>
        <w:gridCol w:w="1288"/>
        <w:gridCol w:w="1131"/>
        <w:gridCol w:w="1600"/>
      </w:tblGrid>
      <w:tr>
        <w:trPr/>
        <w:tc>
          <w:tcPr>
            <w:tcW w:w="128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180" w:after="120"/>
              <w:jc w:val="left"/>
              <w:rPr>
                <w:rFonts w:ascii="Times New Roman;sans-serif" w:hAnsi="Times New Roman;sans-serif"/>
                <w:b/>
                <w:color w:val="000000"/>
                <w:sz w:val="20"/>
              </w:rPr>
            </w:pPr>
            <w:r>
              <w:rPr>
                <w:rFonts w:ascii="Times New Roman;sans-serif" w:hAnsi="Times New Roman;sans-serif"/>
                <w:b/>
                <w:color w:val="000000"/>
                <w:sz w:val="20"/>
              </w:rPr>
              <w:t>RECENT ACCOUNTING DEVELOPMENTS</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1 - Organization and Basis of Presentation to the Unaudited Consolidated Financial Statements for information related to recent accounting standards updates.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 (Dollars in millions unless otherwise indicated)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Interest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principal market risk exposure is the impact of interest rate changes on our mortgage-related assets and commitments, including MSRs, loans held for sale, loans held for investment, IRLCs and other derivative instruments. In addition, changes in interest rates could materially and adversely affect the amount of escrow and float income, the volume of mortgage loan originations or result in MSR fair value changes. We also have exposure to the effects of changes in interest rates on our floating-rate borrowings, including MSR and advance financing facilities.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management-level Market Risk Committee establishes and maintains policies that govern our risk appetite and associated hedging programs, including such factors as market volatility, duration and interest rate sensitivity measures, limits, targeted hedge ratios, the hedge instruments that we are permitted to use in our hedging activities and the counterparties with whom we are permitted to enter into hedging transactions and our liquidity risk profile. See Note 14 – Derivative Financial Instruments and Hedging Activities to the Unaudited Consolidated Financial Statements for additional information regarding our use of derivatives.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MSR Hedging Strategy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MSRs are carried at fair value with changes in fair value being recorded in earnings in the period in which the changes occur. The fair value of MSRs is subject to changes in market interest rates, among other inputs and assumptions.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objective of our risk management MSR policy is to provide partial hedge coverage of interest-rate sensitive MSR portfolio exposure, considering market and liquidity conditions. The interest-rate sensitive MSR portfolio exposure is defined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Agency MSR portfolio,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expected Agency MSR bulk transactions subject to letters of intent (LOI),</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less the Agency MSRs subject to our sale agreements with Rithm (formerly NRZ), MAV and others (See Note 8 — Other Financing Liabilities, at Fair Value),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less the asset value for securitized HECM loans, net of the corresponding HMBS-related borrowings (Reverse MSR). </w:t>
      </w:r>
    </w:p>
    <w:p>
      <w:pPr>
        <w:pStyle w:val="TextBody"/>
        <w:bidi w:val="0"/>
        <w:spacing w:lineRule="auto" w:line="288" w:before="0" w:after="0"/>
        <w:jc w:val="left"/>
        <w:rPr/>
      </w:pPr>
      <w:r>
        <w:rPr>
          <w:rFonts w:ascii="Times New Roman;sans-serif" w:hAnsi="Times New Roman;sans-serif"/>
          <w:b w:val="false"/>
          <w:color w:val="000000"/>
          <w:sz w:val="20"/>
        </w:rPr>
        <w:t>The hedge coverage ratio, defined as the ratio of hedge and asset rate sensitivity (referred to as DV01) at the time of measurement, is subject to lower and upper thresholds, as modeled. Our MSR hedge policy establishes a minimum 25% and 30% hedge coverage ratio required for interest rate declines less than, and more than 50 basis points, respectively. Prior to September 30, 2022, the hedge coverage ratio was required to remain within a minimum of</w:t>
      </w:r>
      <w:r>
        <w:rPr>
          <w:color w:val="000000"/>
        </w:rPr>
        <w:t xml:space="preserve"> </w:t>
      </w:r>
      <w:r>
        <w:rPr>
          <w:rFonts w:ascii="Times New Roman;sans-serif" w:hAnsi="Times New Roman;sans-serif"/>
          <w:b w:val="false"/>
          <w:color w:val="000000"/>
          <w:sz w:val="20"/>
        </w:rPr>
        <w:t>40% and maximum of 60%. MSRs subject to LOI may be covered under a separate hedge coverage ratio requirement sufficient to preserve the economics of the intended transactions. Accordingly, the changes in fair value of our hedging instruments may not fully offset the changes in fair value of our net MSR portfolio exposure attributable to interest rate changes. We periodically evaluate the hedge coverage ratio at the intended shock interval to determine if it is relevant or warrants adjustment based on market conditions, symmetry of interest rate risk exposure, and liquidity impacts of both the hedge and asset profile under shock scenarios. As the market dictates, management may choose to maintain hedge coverage ratio levels at or beyond the above thresholds, with approval of the Market Risk Committee, in order to preserve liquidity and/or optimize asset returns. During the second quarter of 2023, management raised its minimum hedge coverage ratio to 60%. In addition, while DV01 measures may remain within the range of our hedging strategy’s objective, actual changes in fair value of the derivatives and MSR portfolio may not offset to the same extent, due to non-parallel changes in the interest rate curve and the basis risk inherent in the MSR profile and hedging instruments, among other factors. We continuously evaluate the use of hedging instruments to strive to enhance the effectiveness and efficiency of our interest rate hedging strategy.</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the interest rate sensitivity of our MSR portfolio exposure and associated hedges at June 30, 2023. Hypothetical change in values of the MSR and hedges are presented under a set instantaneous +/- 25 basis point parallel move in rates. Refer to the description below under Sensitivity Analysis for more details. Changes in fair value cannot be extrapolated because the relationship to the change in fair value may not be linear. The amounts based on market risk sensitive measures are hypothetical and presented for illustrative purposes only.</w:t>
      </w:r>
    </w:p>
    <w:tbl>
      <w:tblPr>
        <w:tblW w:w="10205" w:type="dxa"/>
        <w:jc w:val="left"/>
        <w:tblInd w:w="0" w:type="dxa"/>
        <w:tblLayout w:type="fixed"/>
        <w:tblCellMar>
          <w:top w:w="28" w:type="dxa"/>
          <w:left w:w="28" w:type="dxa"/>
          <w:bottom w:w="28" w:type="dxa"/>
          <w:right w:w="28" w:type="dxa"/>
        </w:tblCellMar>
      </w:tblPr>
      <w:tblGrid>
        <w:gridCol w:w="1247"/>
        <w:gridCol w:w="922"/>
        <w:gridCol w:w="928"/>
        <w:gridCol w:w="638"/>
        <w:gridCol w:w="544"/>
        <w:gridCol w:w="331"/>
        <w:gridCol w:w="109"/>
        <w:gridCol w:w="109"/>
        <w:gridCol w:w="109"/>
        <w:gridCol w:w="525"/>
        <w:gridCol w:w="1310"/>
        <w:gridCol w:w="678"/>
        <w:gridCol w:w="109"/>
        <w:gridCol w:w="109"/>
        <w:gridCol w:w="109"/>
        <w:gridCol w:w="465"/>
        <w:gridCol w:w="1261"/>
        <w:gridCol w:w="702"/>
      </w:tblGrid>
      <w:tr>
        <w:trPr/>
        <w:tc>
          <w:tcPr>
            <w:tcW w:w="12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3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at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Hypothetical change in fair value due to 25 bps rate decrease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Hypothetical change in fair value due to 25 bps rate increase (1)</w:t>
            </w:r>
          </w:p>
        </w:tc>
      </w:tr>
      <w:tr>
        <w:trPr/>
        <w:tc>
          <w:tcPr>
            <w:tcW w:w="3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MSRs - interest rate sensitive (excluding Rithm and others and MAV)</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309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jc w:val="left"/>
              <w:rPr>
                <w:sz w:val="4"/>
                <w:szCs w:val="4"/>
              </w:rPr>
            </w:pPr>
            <w:r>
              <w:rPr>
                <w:sz w:val="4"/>
                <w:szCs w:val="4"/>
              </w:rPr>
            </w:r>
          </w:p>
        </w:tc>
      </w:tr>
      <w:tr>
        <w:trPr/>
        <w:tc>
          <w:tcPr>
            <w:tcW w:w="309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value of securitized HECM loans, net of HMBS-related borrowing (Reverse MSR)</w:t>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hedging derivative instruments</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7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hedge position</w:t>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hedge coverage ratio (2)</w:t>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Hypothetical residual exposure to changes in interest rates</w:t>
            </w:r>
          </w:p>
        </w:tc>
        <w:tc>
          <w:tcPr>
            <w:tcW w:w="1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(1)The baseline for the hypothetical change in fair value is based on a 10-year Treasury Rate of 3.85% at June 30, 2023.</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(2)The hypothetical hedge coverage ratio above is calculated as the change in fair value of the total hedge position divided by the change in value of the Agency MSR position.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above hypothetical hedge coverage ratio reflects the instrument sensitivities as of June 30, 2023. The actual hedge coverage ratio during the six months ended June 30, 2023, as monitored by Risk Management, may be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12"/>
        <w:gridCol w:w="1724"/>
        <w:gridCol w:w="1730"/>
        <w:gridCol w:w="109"/>
        <w:gridCol w:w="109"/>
        <w:gridCol w:w="109"/>
        <w:gridCol w:w="820"/>
        <w:gridCol w:w="2261"/>
        <w:gridCol w:w="1231"/>
      </w:tblGrid>
      <w:tr>
        <w:trPr/>
        <w:tc>
          <w:tcPr>
            <w:tcW w:w="2112"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5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3"/>
            <w:tcBorders/>
            <w:tcMar>
              <w:top w:w="0" w:type="dxa"/>
              <w:left w:w="0" w:type="dxa"/>
              <w:bottom w:w="0" w:type="dxa"/>
              <w:right w:w="0" w:type="dxa"/>
            </w:tcMar>
            <w:vAlign w:val="center"/>
          </w:tcPr>
          <w:p>
            <w:pPr>
              <w:pStyle w:val="TableContents"/>
              <w:bidi w:val="0"/>
              <w:spacing w:lineRule="auto" w:line="240" w:before="120" w:after="120"/>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Fair value changes during the three months ended June 30, 2023</w:t>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10-year swap (basis points)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Agency MSRs - interest rate sensitive (excluding Rithm and others and MAV)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2" w:type="dxa"/>
            <w:gridSpan w:val="3"/>
            <w:tcBorders/>
            <w:vAlign w:val="center"/>
          </w:tcPr>
          <w:p>
            <w:pPr>
              <w:pStyle w:val="TableContents"/>
              <w:bidi w:val="0"/>
              <w:spacing w:before="0" w:after="283"/>
              <w:jc w:val="left"/>
              <w:rPr>
                <w:sz w:val="4"/>
                <w:szCs w:val="4"/>
              </w:rPr>
            </w:pPr>
            <w:r>
              <w:rPr>
                <w:sz w:val="4"/>
                <w:szCs w:val="4"/>
              </w:rPr>
            </w:r>
          </w:p>
        </w:tc>
      </w:tr>
      <w:tr>
        <w:trPr/>
        <w:tc>
          <w:tcPr>
            <w:tcW w:w="55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value of securitized HECM loans, net of HMBS-related borrowing (Reverse MSR)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hedging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hedge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Actual hedge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2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Residual fair value changes due to changes in interest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derivative instruments include forward trades of MBS or Agency TBAs with different banking counterparties, exchange-traded interest rate swap futures and interest rate options. TBAs, or To-Be-Announced securities are actively traded, forward contracts to purchase or sell Agency MBS on a specific future date. From time-to-time, we enter into exchange-traded options contracts with purchased put options financed by written call options. These derivative instruments are not designated as accounting hedges. We report changes in fair value of these derivative instruments in MSR valuation adjustments, net in our consolidated statements of operations, within the Servicing segment. We may, from time to time, establish inter-segment derivative instruments between the MSR and pipeline hedging strategies to minimize the use of third-party derivatives. Such inter-segment derivatives are eliminated in our consolidated financial statements.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instruments are subject to margin requirements, posted as either initial or variation margin. Ocwen may be required to post or may be entitled to receive cash collateral with its counterparties through margin calls, based on daily value changes of the instruments. Changes in market factors, including interest rates, and our credit rating may require us to post additional cash collateral and could have a material adverse impact on our financial condition and liquidity.</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Loans Held for Investment and HMBS-related Borrowings</w:t>
      </w:r>
    </w:p>
    <w:p>
      <w:pPr>
        <w:pStyle w:val="TextBody"/>
        <w:bidi w:val="0"/>
        <w:spacing w:lineRule="auto" w:line="288" w:before="120" w:after="120"/>
        <w:jc w:val="left"/>
        <w:rPr/>
      </w:pPr>
      <w:r>
        <w:rPr>
          <w:rFonts w:ascii="Times New Roman;sans-serif" w:hAnsi="Times New Roman;sans-serif"/>
          <w:b w:val="false"/>
          <w:color w:val="000000"/>
          <w:sz w:val="20"/>
        </w:rPr>
        <w:t>The fair value of our HECM loan portfolio generally decreases as market interest rates rise and increases as market rates fall. As our HECM loan portfolio is predominantly comprised of ARMs, higher interest rates cause the loan balance to accrue and reach a 98% maximum claim amount liquidation event more quickly, while lower interest rates extend the timeline to reach maximum claim amount liquidation</w:t>
      </w:r>
      <w:r>
        <w:rPr>
          <w:rFonts w:ascii="Times New Roman;sans-serif" w:hAnsi="Times New Roman;sans-serif"/>
          <w:b w:val="false"/>
          <w:color w:val="000000"/>
          <w:sz w:val="22"/>
        </w:rPr>
        <w:t xml:space="preserve">. </w:t>
      </w:r>
      <w:r>
        <w:rPr>
          <w:rFonts w:ascii="Times New Roman;sans-serif" w:hAnsi="Times New Roman;sans-serif"/>
          <w:b w:val="false"/>
          <w:color w:val="000000"/>
          <w:sz w:val="20"/>
        </w:rPr>
        <w:t>Additionally, portfolio value is heavily influenced by market spreads for fixed and discount margin for ARMs.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our HECM loan portfolio net of the fair value of the HMBS-related borrowings comprises the fair value of reverse mortgage loans, tails that are unsecuritized as of the balance sheet date and the fair value of securitized HECM loans net of the corresponding HMBS-related borrowings that represent the reverse mortgage economic MSR (HMSR) for risk management purposes. The HMSR acts as a partial hedge for our forward MSR value sensitivity. This HMSR exposure is used as a partial offset to our forward MSR exposure and managed as part of our MSR hedging strategy described above. </w:t>
      </w:r>
    </w:p>
    <w:p>
      <w:pPr>
        <w:pStyle w:val="TextBody"/>
        <w:bidi w:val="0"/>
        <w:spacing w:lineRule="auto" w:line="288" w:before="120" w:after="60"/>
        <w:jc w:val="left"/>
        <w:rPr>
          <w:rFonts w:ascii="Times New Roman;sans-serif" w:hAnsi="Times New Roman;sans-serif"/>
          <w:b/>
          <w:color w:val="000000"/>
          <w:sz w:val="20"/>
        </w:rPr>
      </w:pPr>
      <w:r>
        <w:rPr>
          <w:rFonts w:ascii="Times New Roman;sans-serif" w:hAnsi="Times New Roman;sans-serif"/>
          <w:b/>
          <w:color w:val="000000"/>
          <w:sz w:val="20"/>
        </w:rPr>
        <w:t>Pipeline Hedging Strategy - Loans Held for Sale and IRLCs</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Originations business, we are exposed to interest rate risk and related price risk during the period from the date of the interest rate lock commitment through (i) the lock commitment cancellation or expiration date or (ii) through the date of sale of the resulting loan into the secondary mortgage market. Loan commitments for forward loans generally range from 5 to 90 days, with the majority of our commitments to borrowers for 40 to 60 days and our commitments to correspondent sellers for 5 days to 15 days. Loans held for sale are generally funded and sold within 5 to 30 days a wider range than the prior quarter due to expanded execution strategies. The interest rate exposure of loans held for sale and IRLCs is economically hedged with derivative instruments, including forward sales of Agency TBAs. The objective of our pipeline hedging strategy is to provide hedge coverage of locks and loans within certain tolerance levels. The net daily market risk position of net pull-though adjusted locks and loans held for sale, less the offsetting hedges of the forward and reverse pipelines, is monitored daily and its daily limit is the greater of +/- 5% or +/- $15 million. We report changes in fair value of these derivative instruments in gain on loans held for sale in our consolidated statements of operations, within the Originations segment. We establish inter-segment derivative instruments between the MSR and pipeline hedging strategies to minimize the use of third-party derivatives. Such inter-segment derivatives are eliminated in our consolidated financial statements. Reverse origination pipeline is hedged under the same principles as described above, for unsecuritized loans held for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 xml:space="preserve">EBO and Loan Modification Hedging – Loans Held for Sale, at fair value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our Servicing business, effective February 2022, management started hedging certain Ginnie Mae EBO loans repurchased out of securitization pools for modification and reperformance with TBAs to manage the interest rate risk while these loans await redelivery.</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Advance Match Funded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Interest Rate-Sensitive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below present the notional amounts of our financial instruments that are sensitive to changes in interest rates and the related fair value of these instruments at the dates indicated. We use certain assumptions to estimate the fair value of these instruments. </w:t>
      </w:r>
    </w:p>
    <w:tbl>
      <w:tblPr>
        <w:tblW w:w="10205" w:type="dxa"/>
        <w:jc w:val="center"/>
        <w:tblInd w:w="0" w:type="dxa"/>
        <w:tblLayout w:type="fixed"/>
        <w:tblCellMar>
          <w:top w:w="28" w:type="dxa"/>
          <w:left w:w="28" w:type="dxa"/>
          <w:bottom w:w="28" w:type="dxa"/>
          <w:right w:w="28" w:type="dxa"/>
        </w:tblCellMar>
      </w:tblPr>
      <w:tblGrid>
        <w:gridCol w:w="1486"/>
        <w:gridCol w:w="1305"/>
        <w:gridCol w:w="1308"/>
        <w:gridCol w:w="391"/>
        <w:gridCol w:w="358"/>
        <w:gridCol w:w="363"/>
        <w:gridCol w:w="116"/>
        <w:gridCol w:w="116"/>
        <w:gridCol w:w="116"/>
        <w:gridCol w:w="614"/>
        <w:gridCol w:w="411"/>
        <w:gridCol w:w="328"/>
        <w:gridCol w:w="109"/>
        <w:gridCol w:w="109"/>
        <w:gridCol w:w="109"/>
        <w:gridCol w:w="391"/>
        <w:gridCol w:w="358"/>
        <w:gridCol w:w="363"/>
        <w:gridCol w:w="153"/>
        <w:gridCol w:w="153"/>
        <w:gridCol w:w="153"/>
        <w:gridCol w:w="578"/>
        <w:gridCol w:w="380"/>
        <w:gridCol w:w="437"/>
      </w:tblGrid>
      <w:tr>
        <w:trPr/>
        <w:tc>
          <w:tcPr>
            <w:tcW w:w="1486"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(1)</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Rate-Sensitive Assets: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Interest-earning cash</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fair value</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 at lower of cost or fair value (2)</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at fair value</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7,504.1</w:t>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Debt service accounts and time deposits</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rate-sensitive assets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9,299.4</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8,335.7</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8,335.7</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Rate-Sensitive Liabilities (3):</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Match funded liabilities</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(4)</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loan financing facilities, net</w:t>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MSR financing facilities, net (4)</w:t>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954.6</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ESS financing liability, at fair value</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w:t>
            </w:r>
          </w:p>
        </w:tc>
      </w:tr>
      <w:tr>
        <w:trPr/>
        <w:tc>
          <w:tcPr>
            <w:tcW w:w="4099" w:type="dxa"/>
            <w:gridSpan w:val="3"/>
            <w:tcBorders/>
            <w:shd w:fill="CCEEFF" w:val="clear"/>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Total rate-sensitive liabilities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3,755.9</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3,030.0</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2,902.7</w:t>
            </w:r>
          </w:p>
        </w:tc>
      </w:tr>
      <w:tr>
        <w:trPr/>
        <w:tc>
          <w:tcPr>
            <w:tcW w:w="4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483" w:type="dxa"/>
        <w:jc w:val="center"/>
        <w:tblInd w:w="0" w:type="dxa"/>
        <w:tblLayout w:type="fixed"/>
        <w:tblCellMar>
          <w:top w:w="28" w:type="dxa"/>
          <w:left w:w="28" w:type="dxa"/>
          <w:bottom w:w="28" w:type="dxa"/>
          <w:right w:w="28" w:type="dxa"/>
        </w:tblCellMar>
      </w:tblPr>
      <w:tblGrid>
        <w:gridCol w:w="1530"/>
        <w:gridCol w:w="1348"/>
        <w:gridCol w:w="1351"/>
        <w:gridCol w:w="413"/>
        <w:gridCol w:w="358"/>
        <w:gridCol w:w="363"/>
        <w:gridCol w:w="117"/>
        <w:gridCol w:w="117"/>
        <w:gridCol w:w="117"/>
        <w:gridCol w:w="427"/>
        <w:gridCol w:w="238"/>
        <w:gridCol w:w="242"/>
        <w:gridCol w:w="109"/>
        <w:gridCol w:w="109"/>
        <w:gridCol w:w="109"/>
        <w:gridCol w:w="413"/>
        <w:gridCol w:w="358"/>
        <w:gridCol w:w="363"/>
        <w:gridCol w:w="156"/>
        <w:gridCol w:w="156"/>
        <w:gridCol w:w="156"/>
        <w:gridCol w:w="408"/>
        <w:gridCol w:w="217"/>
        <w:gridCol w:w="308"/>
      </w:tblGrid>
      <w:tr>
        <w:trPr/>
        <w:tc>
          <w:tcPr>
            <w:tcW w:w="1530"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Balance</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w:t>
              <w:br/>
              <w:t>Balance</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 (1)</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Rate-Sensitive Derivative Financial Instruments:</w:t>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 (liabilities):</w:t>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IRLCs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553.9</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 sales of loans</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futures</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670.0</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TBA forward MBS trades</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889.0</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option contracts</w:t>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Derivatives, net</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5,471.7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bl>
    <w:p>
      <w:pPr>
        <w:pStyle w:val="TextBody"/>
        <w:bidi w:val="0"/>
        <w:spacing w:lineRule="auto" w:line="288" w:before="6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(1)See Note 3 – Fair Value to the Unaudited Consolidated Financial Statements for additional fair value information on financial instruments.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(2)Net of valuation allowances and including non-performing loans.</w:t>
      </w:r>
    </w:p>
    <w:p>
      <w:pPr>
        <w:pStyle w:val="TextBody"/>
        <w:bidi w:val="0"/>
        <w:spacing w:lineRule="auto" w:line="288"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(3)Excludes financing liabilities that result from sales of assets that do not qualify as sales for accounting purposes and, therefore, are accounted for as secured financings, which have no contractual maturity and are amortized over the life of the related assets.</w:t>
      </w:r>
    </w:p>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(4)Amounts are exclusive of any related discount or unamortized debt issuance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Sensitivity Analysis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MSRs, Loans Held for Sale, Loans Held for Investment and Related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estimated change in the fair value of our MSRs, HECM loans held for investment and loans held for sale that we have elected to carry at fair value as well as any related derivatives at June 30, 2023, given hypothetical instantaneous parallel shifts in the yield curve. We used June 30, 2023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tbl>
      <w:tblPr>
        <w:tblW w:w="8410" w:type="dxa"/>
        <w:jc w:val="left"/>
        <w:tblInd w:w="0" w:type="dxa"/>
        <w:tblLayout w:type="fixed"/>
        <w:tblCellMar>
          <w:top w:w="28" w:type="dxa"/>
          <w:left w:w="28" w:type="dxa"/>
          <w:bottom w:w="28" w:type="dxa"/>
          <w:right w:w="28" w:type="dxa"/>
        </w:tblCellMar>
      </w:tblPr>
      <w:tblGrid>
        <w:gridCol w:w="2153"/>
        <w:gridCol w:w="1891"/>
        <w:gridCol w:w="1895"/>
        <w:gridCol w:w="272"/>
        <w:gridCol w:w="757"/>
        <w:gridCol w:w="140"/>
        <w:gridCol w:w="109"/>
        <w:gridCol w:w="109"/>
        <w:gridCol w:w="109"/>
        <w:gridCol w:w="235"/>
        <w:gridCol w:w="569"/>
        <w:gridCol w:w="171"/>
      </w:tblGrid>
      <w:tr>
        <w:trPr/>
        <w:tc>
          <w:tcPr>
            <w:tcW w:w="2153"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Fair Value</w:t>
            </w:r>
          </w:p>
        </w:tc>
      </w:tr>
      <w:tr>
        <w:trPr/>
        <w:tc>
          <w:tcPr>
            <w:tcW w:w="59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Down 25 bps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Up 25 bps</w:t>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value of securitized HECM loans, net of HMBS-related borrowing</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 - Unsecuritized HECM loans and tails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MSRs - Agency and non-Agency (1)</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IRLCs </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(1)Primarily reflects the impact of market interest rate changes on projected prepayments on the Agency MSR portfolio, Rithm and MAV pledged MSR financing liabilities and ESS financing liabilities.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our net sensitivity from December 31, 2022 to June 30, 2023 (from approximately $23.5 - $(26.1) million) to $16.2 - $(17.2) million for a 25 basis point parallel shift in the yield curve, up and down, respectively) is primarily driven by the effect of the increase in interest rates on our MSR portfolio (due to convexity), the sale of MSRs and the change in our hedging instruments in the six months ended June 30, 2023.</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Borrowings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June 30, 2023 balances, if interest rates were to increase by 100 bps on our variable-rate debt and cash and float balances, we estimate a net negative impact of approximately $0.9 million resulting from an increase of $23.9 million in annual interest income and other credits on deposits, and an increase of $24.8 million in annual interest expense. </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in India and the Philippines expose us to foreign currency exchange rate risk to the extent that our foreign exchange positions remain unhedged. Depending on the magnitude and risk of our positions we may enter into forward exchange contracts to hedge against the effect of changes in the value of the India Rupee or Philippine Peso. We did not enter into any foreign currency hedging derivative instruments during the six months ended June 30, 2023.</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Home Prices</w:t>
      </w:r>
    </w:p>
    <w:p>
      <w:pPr>
        <w:pStyle w:val="TextBody"/>
        <w:bidi w:val="0"/>
        <w:spacing w:lineRule="auto" w:line="288" w:before="12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June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such evaluation, management concluded that our disclosure controls and procedures as of June 30, 2023 were (1) designed and functioning effectively to ensure that material information relating to Ocwen, including its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 Exchange Act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not been any changes in our internal control over financial reporting that occurred during the fiscal quarter ended June 30, 2023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pPr>
      <w:r>
        <w:rPr>
          <w:rFonts w:ascii="Times New Roman;sans-serif" w:hAnsi="Times New Roman;sans-serif"/>
          <w:b w:val="false"/>
          <w:color w:val="000000"/>
          <w:sz w:val="20"/>
        </w:rPr>
        <w:t xml:space="preserve">See </w:t>
      </w:r>
      <w:hyperlink w:anchor="iec1ecc8a73934db2a8a3235bc2df4a70_97">
        <w:r>
          <w:rPr>
            <w:rStyle w:val="InternetLink"/>
            <w:rFonts w:ascii="Times New Roman;sans-serif" w:hAnsi="Times New Roman;sans-serif"/>
            <w:b w:val="false"/>
            <w:strike w:val="false"/>
            <w:dstrike w:val="false"/>
            <w:color w:val="000000"/>
            <w:sz w:val="20"/>
            <w:u w:val="none"/>
            <w:effect w:val="none"/>
          </w:rPr>
          <w:t>Note 20 – Contingencies</w:t>
        </w:r>
      </w:hyperlink>
      <w:r>
        <w:rPr>
          <w:rFonts w:ascii="Times New Roman;sans-serif" w:hAnsi="Times New Roman;sans-serif"/>
          <w:b w:val="false"/>
          <w:color w:val="000000"/>
          <w:sz w:val="20"/>
        </w:rPr>
        <w:t xml:space="preserve"> to the Unaudited Consolidated Financial Statements for a description of our material legal proceedings. That information is incorporated into this item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120"/>
        <w:jc w:val="left"/>
        <w:rPr/>
      </w:pPr>
      <w:r>
        <w:rPr>
          <w:rFonts w:ascii="Times New Roman;sans-serif" w:hAnsi="Times New Roman;sans-serif"/>
          <w:b w:val="false"/>
          <w:color w:val="000000"/>
          <w:sz w:val="20"/>
        </w:rPr>
        <w:t>An investment in our common stock involves significant risk. We describe the most significant risks that management believes affect or could affect us under Part I, Item 1.A. of our Annual Report on Form 10-K for the year ended December 31, 2022. There have been no material changes to our risk factors since our Annual Report on Form 10-K for the year ended December 31, 2022.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0"/>
        <w:gridCol w:w="220"/>
        <w:gridCol w:w="224"/>
        <w:gridCol w:w="109"/>
        <w:gridCol w:w="109"/>
        <w:gridCol w:w="109"/>
        <w:gridCol w:w="2568"/>
        <w:gridCol w:w="2469"/>
        <w:gridCol w:w="35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35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r:id="rId2">
              <w:r>
                <w:rPr>
                  <w:rStyle w:val="InternetLink"/>
                  <w:rFonts w:ascii="Times New Roman;sans-serif" w:hAnsi="Times New Roman;sans-serif"/>
                  <w:b w:val="false"/>
                  <w:color w:val="000000"/>
                  <w:sz w:val="20"/>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00"/>
                  <w:sz w:val="20"/>
                </w:rPr>
                <w:t>Amended and Restated Articles of Incorporation, as amended (1)</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r:id="rId4">
              <w:r>
                <w:rPr>
                  <w:rStyle w:val="InternetLink"/>
                  <w:rFonts w:ascii="Times New Roman;sans-serif" w:hAnsi="Times New Roman;sans-serif"/>
                  <w:b w:val="false"/>
                  <w:color w:val="000000"/>
                  <w:sz w:val="20"/>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00"/>
                  <w:sz w:val="20"/>
                </w:rPr>
                <w:t>Amended and Restated Bylaws of Ocwen Financial Corporation (2)</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agrees to furnish to the Securities and Exchange Commission upon request a copy of each instrument with respect to the issuance of long-term debt of the Company and its subsidiaries, the authorized principal amount of which does not exceed 10% of the consolidated assets of the Company and its subsidiaries.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r:id="rId6">
              <w:r>
                <w:rPr>
                  <w:rStyle w:val="InternetLink"/>
                  <w:rFonts w:ascii="Times New Roman;sans-serif" w:hAnsi="Times New Roman;sans-serif"/>
                  <w:b w:val="false"/>
                  <w:color w:val="000000"/>
                  <w:sz w:val="20"/>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00"/>
                  <w:sz w:val="20"/>
                </w:rPr>
                <w:t>Ocwen Financial Corporation 2021 Equity Incentive Plan, as amended (3)</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30630ex311.htm">
              <w:r>
                <w:rPr>
                  <w:rStyle w:val="InternetLink"/>
                  <w:rFonts w:ascii="Times New Roman;sans-serif" w:hAnsi="Times New Roman;sans-serif"/>
                  <w:b w:val="false"/>
                  <w:color w:val="000000"/>
                  <w:sz w:val="20"/>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630ex311.htm">
              <w:r>
                <w:rPr>
                  <w:rStyle w:val="InternetLink"/>
                  <w:rFonts w:ascii="Times New Roman;sans-serif" w:hAnsi="Times New Roman;sans-serif"/>
                  <w:b w:val="false"/>
                  <w:color w:val="000000"/>
                  <w:sz w:val="20"/>
                </w:rPr>
                <w:t>Certification of the principal executive officer pursuant to Section 302 of the Sarbanes-Oxley Act of 2002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30630ex312.htm">
              <w:r>
                <w:rPr>
                  <w:rStyle w:val="InternetLink"/>
                  <w:rFonts w:ascii="Times New Roman;sans-serif" w:hAnsi="Times New Roman;sans-serif"/>
                  <w:b w:val="false"/>
                  <w:color w:val="000000"/>
                  <w:sz w:val="20"/>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630ex312.htm">
              <w:r>
                <w:rPr>
                  <w:rStyle w:val="InternetLink"/>
                  <w:rFonts w:ascii="Times New Roman;sans-serif" w:hAnsi="Times New Roman;sans-serif"/>
                  <w:b w:val="false"/>
                  <w:color w:val="000000"/>
                  <w:sz w:val="20"/>
                </w:rPr>
                <w:t>Certification of the principal financial officer pursuant to Section 302 of the Sarbanes-Oxley Act of 2002 (filed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30630ex321.htm">
              <w:r>
                <w:rPr>
                  <w:rStyle w:val="InternetLink"/>
                  <w:rFonts w:ascii="Times New Roman;sans-serif" w:hAnsi="Times New Roman;sans-serif"/>
                  <w:b w:val="false"/>
                  <w:color w:val="000000"/>
                  <w:sz w:val="20"/>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630ex321.htm">
              <w:r>
                <w:rPr>
                  <w:rStyle w:val="InternetLink"/>
                  <w:rFonts w:ascii="Times New Roman;sans-serif" w:hAnsi="Times New Roman;sans-serif"/>
                  <w:b w:val="false"/>
                  <w:color w:val="000000"/>
                  <w:sz w:val="20"/>
                </w:rPr>
                <w:t>Certification of the principal executive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pPr>
            <w:hyperlink w:anchor="a20230630ex322.htm">
              <w:r>
                <w:rPr>
                  <w:rStyle w:val="InternetLink"/>
                  <w:rFonts w:ascii="Times New Roman;sans-serif" w:hAnsi="Times New Roman;sans-serif"/>
                  <w:b w:val="false"/>
                  <w:color w:val="000000"/>
                  <w:sz w:val="20"/>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630ex322.htm">
              <w:r>
                <w:rPr>
                  <w:rStyle w:val="InternetLink"/>
                  <w:rFonts w:ascii="Times New Roman;sans-serif" w:hAnsi="Times New Roman;sans-serif"/>
                  <w:b w:val="false"/>
                  <w:color w:val="000000"/>
                  <w:sz w:val="20"/>
                </w:rPr>
                <w:t>Certification of the principal financial officer pursuant to 18 U.S.C. Section 1350, as adopted pursuant to Section 906 of the Sarbanes-Oxley Act of 2002 (furnished herewith)</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from the Company’s Quarterly Report on Form 10-Q for the quarter ended June 30, 2023 were formatted in Inline XBRL: (i) Consolidated Balance Sheets, (ii) Consolidated Statements of Operations, (iii) Consolidated Statements of Comprehensive Income, (iv) Consolidated Statements of Changes in Equity, (v) Consolidated Statements of Cash Flows, and (v) the Notes to Unaudited Consolidated Financial Statements, tagged as blocks of text and including detailed tags.</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the Company’s Quarterly Report on Form 10-Q for the quarter ended June 30, 2023, formatted in Inline XBRL (Included as Exhibit 101).</w:t>
            </w:r>
          </w:p>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10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contract or compensatory plan or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(1)Incorporated by reference to the similarly described exhibit to the Registrant’s Form 10-Q for the period ended September 30, 2020 filed on November 3, 2020.</w:t>
      </w:r>
    </w:p>
    <w:p>
      <w:pPr>
        <w:pStyle w:val="TextBody"/>
        <w:bidi w:val="0"/>
        <w:spacing w:lineRule="auto" w:line="276" w:before="0" w:after="6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(2)Incorporated by reference to the similarly described exhibit to the Registrant’s Form 8-K filed on February 25, 2019.</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(3)Incorporated by reference to the similarly described exhibit to the Registrant’s Form 8-K filed on May 23, 2023</w:t>
      </w:r>
    </w:p>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2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p>
    <w:tbl>
      <w:tblPr>
        <w:tblW w:w="8399" w:type="dxa"/>
        <w:jc w:val="left"/>
        <w:tblInd w:w="0" w:type="dxa"/>
        <w:tblLayout w:type="fixed"/>
        <w:tblCellMar>
          <w:top w:w="28" w:type="dxa"/>
          <w:left w:w="28" w:type="dxa"/>
          <w:bottom w:w="28" w:type="dxa"/>
          <w:right w:w="28" w:type="dxa"/>
        </w:tblCellMar>
      </w:tblPr>
      <w:tblGrid>
        <w:gridCol w:w="667"/>
        <w:gridCol w:w="587"/>
        <w:gridCol w:w="590"/>
        <w:gridCol w:w="395"/>
        <w:gridCol w:w="395"/>
        <w:gridCol w:w="395"/>
        <w:gridCol w:w="1557"/>
        <w:gridCol w:w="1557"/>
        <w:gridCol w:w="225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Ocwen Financial Corporation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B. O’Neil</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(On behalf of the Registrant and as its 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Glen A. Messina,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Ocwen Financial Corporation;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bl>
      <w:tblPr>
        <w:tblW w:w="458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707"/>
        <w:gridCol w:w="707"/>
        <w:gridCol w:w="100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 A. Messina</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Glen A. Messina, President</w:t>
              <w:br/>
              <w:t>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Sean B. O'Neil,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Ocwen Financial Corporation;</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646"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598"/>
        <w:gridCol w:w="1598"/>
        <w:gridCol w:w="227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Sean O'Neil, 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Glen A. Messina, state and attest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am the principal executive officer of Ocwen Financial Corporation (the Registrant).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(2)I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Quarterly Report on Form 10-Q of the Registrant for the quarter ended June 30, 2023 (the periodic report) containing financial statements fully complies with the requirements of Section 13(a) or 15(d), as applicable,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information contained in the periodic report fairly represents, in all material respects, the financial condition and results of operations of the Registrant for the periods presented.</w:t>
      </w:r>
    </w:p>
    <w:p>
      <w:pPr>
        <w:pStyle w:val="TextBody"/>
        <w:bidi w:val="0"/>
        <w:spacing w:before="0" w:after="0"/>
        <w:jc w:val="left"/>
        <w:rPr/>
      </w:pPr>
      <w:r>
        <w:rPr/>
      </w:r>
    </w:p>
    <w:tbl>
      <w:tblPr>
        <w:tblW w:w="3854" w:type="dxa"/>
        <w:jc w:val="left"/>
        <w:tblInd w:w="0" w:type="dxa"/>
        <w:tblLayout w:type="fixed"/>
        <w:tblCellMar>
          <w:top w:w="28" w:type="dxa"/>
          <w:left w:w="28" w:type="dxa"/>
          <w:bottom w:w="28" w:type="dxa"/>
          <w:right w:w="28" w:type="dxa"/>
        </w:tblCellMar>
      </w:tblPr>
      <w:tblGrid>
        <w:gridCol w:w="233"/>
        <w:gridCol w:w="205"/>
        <w:gridCol w:w="207"/>
        <w:gridCol w:w="940"/>
        <w:gridCol w:w="940"/>
        <w:gridCol w:w="1329"/>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Glen A. Messina</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Sean B. O'Neil, state and attest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am the principal financial officer of Ocwen Financial Corporation (the Registrant).</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(2)I hereby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Quarterly Report on Form 10-Q of the Registrant for the quarter ended June 30, 2023 (the periodic report) containing financial statements fully complies with the requirements of Section 13(a) or 15(d), as applicable, of the Securities Exchange Act of 1934 (15 U.S.C. 78m or 78o(d));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information contained in the periodic report fairly represents, in all material respects, the financial condition and results of operations of the Registrant for the periods presented.</w:t>
      </w:r>
    </w:p>
    <w:p>
      <w:pPr>
        <w:pStyle w:val="TextBody"/>
        <w:bidi w:val="0"/>
        <w:spacing w:before="0" w:after="0"/>
        <w:jc w:val="left"/>
        <w:rPr/>
      </w:pPr>
      <w:r>
        <w:rPr/>
      </w:r>
    </w:p>
    <w:tbl>
      <w:tblPr>
        <w:tblW w:w="5085" w:type="dxa"/>
        <w:jc w:val="left"/>
        <w:tblInd w:w="0" w:type="dxa"/>
        <w:tblLayout w:type="fixed"/>
        <w:tblCellMar>
          <w:top w:w="28" w:type="dxa"/>
          <w:left w:w="28" w:type="dxa"/>
          <w:bottom w:w="28" w:type="dxa"/>
          <w:right w:w="28" w:type="dxa"/>
        </w:tblCellMar>
      </w:tblPr>
      <w:tblGrid>
        <w:gridCol w:w="233"/>
        <w:gridCol w:w="205"/>
        <w:gridCol w:w="207"/>
        <w:gridCol w:w="1296"/>
        <w:gridCol w:w="1296"/>
        <w:gridCol w:w="184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Sean B. O'Neil</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3, 2023</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73860/000162828020015371/a20200930ex31.htm" TargetMode="External"/><Relationship Id="rId3" Type="http://schemas.openxmlformats.org/officeDocument/2006/relationships/hyperlink" Target="http://www.sec.gov/Archives/edgar/data/873860/000162828020015371/a20200930ex31.htm" TargetMode="External"/><Relationship Id="rId4" Type="http://schemas.openxmlformats.org/officeDocument/2006/relationships/hyperlink" Target="http://www.sec.gov/Archives/edgar/data/873860/000149315219002478/ex3-1.htm" TargetMode="External"/><Relationship Id="rId5" Type="http://schemas.openxmlformats.org/officeDocument/2006/relationships/hyperlink" Target="http://www.sec.gov/Archives/edgar/data/873860/000149315219002478/ex3-1.htm" TargetMode="External"/><Relationship Id="rId6" Type="http://schemas.openxmlformats.org/officeDocument/2006/relationships/hyperlink" Target="https://www.sec.gov/Archives/edgar/data/873860/000149315223018726/ex10-1.htm" TargetMode="External"/><Relationship Id="rId7" Type="http://schemas.openxmlformats.org/officeDocument/2006/relationships/hyperlink" Target="https://www.sec.gov/Archives/edgar/data/873860/000149315223018726/ex10-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52651</Words>
  <Characters>281842</Characters>
  <CharactersWithSpaces>329829</CharactersWithSpaces>
  <Paragraphs>8662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