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693420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March 31, 2016</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4" w:right="239" w:bottom="1440" w:gutter="0" w:footer="0" w:header="0"/>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1224"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1224" w:right="239" w:bottom="1440" w:gutter="0" w:footer="0" w:header="0"/>
          <w:type w:val="continuous"/>
        </w:sectPr>
      </w:pPr>
    </w:p>
    <w:p>
      <w:pPr>
        <w:ind w:right="32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Number of shares of common stock outstanding as of April 25, 2016: 123,853,683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4"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March 31, 2016 and December 31, 2015</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Months Ended March 31, 2016 and 2015</w:t>
            </w:r>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Comprehensive Income for the Three Months Ended March 31, 2016 and 2015</w:t>
            </w:r>
          </w:p>
        </w:tc>
        <w:tc>
          <w:tcPr>
            <w:tcW w:w="80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Changes in Stockholders’ Equity for the Three Months Ended March 31, 2016 and 2015</w:t>
            </w:r>
          </w:p>
        </w:tc>
        <w:tc>
          <w:tcPr>
            <w:tcW w:w="8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Three Months Ended March 31, 2016 and 2015</w:t>
            </w:r>
          </w:p>
        </w:tc>
        <w:tc>
          <w:tcPr>
            <w:tcW w:w="80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2.</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4.</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FF"/>
              </w:rPr>
              <w:t>Item 2.</w:t>
            </w:r>
          </w:p>
        </w:tc>
        <w:tc>
          <w:tcPr>
            <w:tcW w:w="968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in “Risk Factors” in our Annual Report on Form 10-K for the year ended December 31, 2015 and the following:</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settlements;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right="14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claims, litigation and investigations brought by government agencies and private parties regarding our servicing, foreclosure, modification, origination and other practices, including uncertainty related to past, present or future investigations and settlements with state regulators, the Consumer Financial Protection Bureau (CFPB), State Attorneys General, the Securities and Exchange Commission (SEC),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recent or future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actions of loan owners and guarantors, including mortgage-backed securities investors, the Government National Mortgage Association, trustees and government sponsored entities (GSEs), regarding loan put-backs, penalties and legal actions;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GSEs substantially curtailing or ceasing to purchase our conforming loan originations or the Federal Housing Authority of the Department of Housing and Urban Development or Department of Veterans Affairs ceasing to provide insurance;</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46"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the systems, procedures and personnel of acquired assets and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2015 and our Current Reports on Form 8-K since such date. Forward-looking statements speak only as of the date they were made and we disclaim any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280,513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257,272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($732,174 and $761,190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1,078,213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1,138,569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317,348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advances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1,720,897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Loans held for sale ($321,739 and $309,054 carried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408,809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414,046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2,771,242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237,583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Premises and equipment,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72,323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 ($22,501 and $14,352 carried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520,182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586,495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7,407,110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2"/>
        </w:trPr>
        <w:tc>
          <w:tcPr>
            <w:tcW w:w="8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1,537,096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Financing liabilities ($3,171,602 and $2,933,066 carried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3,319,646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3,089,255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718,830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unsecured notes,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345,847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345,511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747,223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6,668,642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29"/>
        </w:trPr>
        <w:tc>
          <w:tcPr>
            <w:tcW w:w="83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(Notes 18 and 19)</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35"/>
        </w:trPr>
        <w:tc>
          <w:tcPr>
            <w:tcW w:w="83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Ocwen Financial Corporation (Ocwen) stockholders’ equity</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0"/>
              </w:rPr>
              <w:t>Common stock, $.01 par value; 200,000,000 shares authorized; 123,853,683 and 124,774,516 shares issued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660"/>
              <w:spacing w:after="0"/>
              <w:rPr>
                <w:sz w:val="20"/>
                <w:szCs w:val="20"/>
                <w:color w:val="auto"/>
              </w:rPr>
            </w:pPr>
            <w:r>
              <w:rPr>
                <w:rFonts w:ascii="Arial" w:cs="Arial" w:eastAsia="Arial" w:hAnsi="Arial"/>
                <w:sz w:val="18"/>
                <w:szCs w:val="18"/>
                <w:color w:val="auto"/>
              </w:rPr>
              <w:t>and outstanding at March 31, 2016 and December 31, 2015, respectively</w:t>
            </w: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522,222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526,148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214,598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325,929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Accumulated other comprehensive loss, net of income taxes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(1,763)</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Total Ocwen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736,401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851,562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Non-controlling interest in subsidiaries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7,407,110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297,496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446,541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15,572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44,504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19,399</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510,444</w:t>
            </w:r>
          </w:p>
        </w:tc>
      </w:tr>
      <w:tr>
        <w:trPr>
          <w:trHeight w:val="210"/>
        </w:trPr>
        <w:tc>
          <w:tcPr>
            <w:tcW w:w="8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105,144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38,494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95,692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101,802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26,869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39,351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70,907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56,931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24,745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10,922</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328,657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378,358</w:t>
            </w:r>
          </w:p>
        </w:tc>
      </w:tr>
      <w:tr>
        <w:trPr>
          <w:trHeight w:val="210"/>
        </w:trPr>
        <w:tc>
          <w:tcPr>
            <w:tcW w:w="8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5,575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(106,089)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(119,396)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26,406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(1,842)</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(89,257)</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42,829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8,440</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34,389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34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(111,331)</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34,355</w:t>
            </w:r>
          </w:p>
        </w:tc>
      </w:tr>
      <w:tr>
        <w:trPr>
          <w:trHeight w:val="203"/>
        </w:trPr>
        <w:tc>
          <w:tcPr>
            <w:tcW w:w="834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 attributable to Ocwen stockholders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2"/>
        </w:trPr>
        <w:tc>
          <w:tcPr>
            <w:tcW w:w="834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124,093,339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125,272,228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124,093,339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126,999,662</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22860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7"/>
        </w:trPr>
        <w:tc>
          <w:tcPr>
            <w:tcW w:w="82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r>
      <w:tr>
        <w:trPr>
          <w:trHeight w:val="244"/>
        </w:trPr>
        <w:tc>
          <w:tcPr>
            <w:tcW w:w="8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(111,201)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34,389</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Reclassification adjustment for losses on cash flow hedges included in net income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EAF9E8"/>
            </w:tcBorders>
            <w:shd w:val="clear" w:color="auto" w:fill="EAF9E8"/>
          </w:tcPr>
          <w:p>
            <w:pPr>
              <w:spacing w:after="0"/>
              <w:rPr>
                <w:sz w:val="23"/>
                <w:szCs w:val="23"/>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34,807</w:t>
            </w: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AF9E8"/>
            </w:tcBorders>
            <w:shd w:val="clear" w:color="auto" w:fill="EAF9E8"/>
          </w:tcPr>
          <w:p>
            <w:pPr>
              <w:spacing w:after="0"/>
              <w:rPr>
                <w:sz w:val="23"/>
                <w:szCs w:val="23"/>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Ocwen stockholders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34,773</w:t>
            </w:r>
          </w:p>
        </w:tc>
        <w:tc>
          <w:tcPr>
            <w:tcW w:w="1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THREE MONTHS ENDED MARCH 31, 2016 AND 2015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40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740" w:type="dxa"/>
            <w:vAlign w:val="bottom"/>
          </w:tcPr>
          <w:p>
            <w:pPr>
              <w:spacing w:after="0"/>
              <w:rPr>
                <w:sz w:val="6"/>
                <w:szCs w:val="6"/>
                <w:color w:val="auto"/>
              </w:rPr>
            </w:pPr>
          </w:p>
        </w:tc>
        <w:tc>
          <w:tcPr>
            <w:tcW w:w="24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124,774,516</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526,148</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325,929</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854,638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(111,331)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(111,201)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Repurchase of common stock</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(991,985)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(5,890)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69,805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1,513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Capital distribution to non-controlling</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EAF9E8"/>
            </w:tcBorders>
          </w:tcPr>
          <w:p>
            <w:pPr>
              <w:ind w:left="40"/>
              <w:spacing w:after="0"/>
              <w:rPr>
                <w:sz w:val="20"/>
                <w:szCs w:val="20"/>
                <w:color w:val="auto"/>
              </w:rPr>
            </w:pPr>
            <w:r>
              <w:rPr>
                <w:rFonts w:ascii="Arial" w:cs="Arial" w:eastAsia="Arial" w:hAnsi="Arial"/>
                <w:sz w:val="16"/>
                <w:szCs w:val="16"/>
                <w:b w:val="1"/>
                <w:bCs w:val="1"/>
                <w:color w:val="auto"/>
              </w:rPr>
              <w:t>Balance at March 31, 2016</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123,853,683</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522,222</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214,598</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738,468</w:t>
            </w:r>
          </w:p>
        </w:tc>
        <w:tc>
          <w:tcPr>
            <w:tcW w:w="0" w:type="dxa"/>
            <w:vAlign w:val="bottom"/>
          </w:tcPr>
          <w:p>
            <w:pPr>
              <w:spacing w:after="0"/>
              <w:rPr>
                <w:sz w:val="1"/>
                <w:szCs w:val="1"/>
                <w:color w:val="auto"/>
              </w:rPr>
            </w:pPr>
          </w:p>
        </w:tc>
      </w:tr>
      <w:tr>
        <w:trPr>
          <w:trHeight w:val="271"/>
        </w:trPr>
        <w:tc>
          <w:tcPr>
            <w:tcW w:w="274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9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88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125,215,615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1,252</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515,194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530,361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(8,413)</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2,771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1,041,165</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34,355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34,389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3"/>
              </w:rPr>
              <w:t>Cumulative effect of fair value election</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rPr>
              <w:t>- Mortgage servicing rights, net of</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42,846</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42,846</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85,173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2,213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March 31, 2015</w:t>
            </w:r>
          </w:p>
        </w:tc>
        <w:tc>
          <w:tcPr>
            <w:tcW w:w="118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rPr>
              <w:t>125,302,788</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1,253</w:t>
            </w:r>
          </w:p>
        </w:tc>
        <w:tc>
          <w:tcPr>
            <w:tcW w:w="340" w:type="dxa"/>
            <w:vAlign w:val="bottom"/>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517,915</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607,562</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(7,995)</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1,121,540</w:t>
            </w:r>
          </w:p>
        </w:tc>
        <w:tc>
          <w:tcPr>
            <w:tcW w:w="0" w:type="dxa"/>
            <w:vAlign w:val="bottom"/>
          </w:tcPr>
          <w:p>
            <w:pPr>
              <w:spacing w:after="0"/>
              <w:rPr>
                <w:sz w:val="1"/>
                <w:szCs w:val="1"/>
                <w:color w:val="auto"/>
              </w:rPr>
            </w:pPr>
          </w:p>
        </w:tc>
      </w:tr>
      <w:tr>
        <w:trPr>
          <w:trHeight w:val="20"/>
        </w:trPr>
        <w:tc>
          <w:tcPr>
            <w:tcW w:w="274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(111,201)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38,494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valuation of mortgage servicing rights,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33,175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Impairment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17,769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4,344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3,755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Increase in 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(44,504)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(1,036,150)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1,165,503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1,142,282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109,076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104,258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15,605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140,888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325,018</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(235,271)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87,237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26,170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(182,952)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(164,755)</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 of match funded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1,902,472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1,858,258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other secured borrowings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(2,014,474)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(2,042,969)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loans accounted for as a financing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238,615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advances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exercise of common stock options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65,305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(47,404)</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increase in cash</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112,859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257,272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129,473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period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280,513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242,332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37" w:right="239" w:bottom="576"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9019"/>
          </w:cols>
          <w:pgMar w:left="1440" w:top="368"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368"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operations in India and the Philippines. Ocwen is a Florida corporation organized in February 1988.</w:t>
      </w:r>
    </w:p>
    <w:p>
      <w:pPr>
        <w:spacing w:after="0" w:line="166"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52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2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primarily originate, purchase, sell and securitize conventional (conforming to the underwriting standards of Fannie Mae or Freddie Mac; collectively referred to as Agency loans) and government-insured (Federal Housing Authority (FHA) or Department of Veterans Affairs (VA)) forward and reverse mortgages. The GSEs or Ginnie Mae guarantee these mortgage securitizations.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Liquidity, Financing Activities and Management’s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facing certain challenges and uncertainties that could have significant adverse effects on our business, liquidity and financing activities.</w:t>
      </w:r>
    </w:p>
    <w:p>
      <w:pPr>
        <w:spacing w:after="0" w:line="1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faced, and expect to continue to face, increased regulatory and public scrutiny as well as stricter and more comprehensive regulation of our business. We have entered into a number of regulatory settlements, which subject us to ongoing monitoring or reporting and which have significantly impacted our ability to grow our servicing portfolio. See Note 17 – Regulatory Requirements and Note 19 – Contingencies for further information regarding regulatory requirements, regulatory settlements and regulatory-related contingencies.</w:t>
      </w:r>
    </w:p>
    <w:p>
      <w:pPr>
        <w:spacing w:after="0" w:line="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are taken in the future against us of a similar or different nature,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9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Given the intense regulatory scrutiny and the subsequent investments Ocwen has made in its risk and compliance infrastructure, we believe the underlying economics of our Servicing business have likely been changed for the foreseeable future. We believe it is unlikely Ocwen will achieve meaningful profitability in its Servicing business in the near term unless there is a significant, structural change in the business model. While we believe such structural change is probably unlikely in the current regulatory environment, we are nonetheless intensely focused on improving our operations to enhance borrower experiences and improve efficiencies, both of which we believe will drive stronger financial performance through lower overall costs.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88" w:right="259" w:bottom="1440" w:gutter="0" w:footer="0" w:header="0"/>
        </w:sectPr>
      </w:pPr>
    </w:p>
    <w:bookmarkStart w:id="11" w:name="page12"/>
    <w:bookmarkEnd w:id="11"/>
    <w:p>
      <w:pPr>
        <w:ind w:right="40" w:firstLine="324"/>
        <w:spacing w:after="0" w:line="287" w:lineRule="auto"/>
        <w:rPr>
          <w:sz w:val="20"/>
          <w:szCs w:val="20"/>
          <w:color w:val="auto"/>
        </w:rPr>
      </w:pPr>
      <w:r>
        <w:rPr>
          <w:rFonts w:ascii="Arial" w:cs="Arial" w:eastAsia="Arial" w:hAnsi="Arial"/>
          <w:sz w:val="16"/>
          <w:szCs w:val="16"/>
          <w:color w:val="auto"/>
        </w:rPr>
        <w:t>We are also investing in our forward and reverse lending businesses and will continue to evaluate new adjacent market opportunities that are consistent with our strategic goals, such as providing secured floor plan lending to used car dealerships through our Automotive Capital Services (ACS) venture and providing financing to investors to purchase single family homes and apartments for lease through our Liberty Rental Finance venture. Our new ventures involve risks and uncertainties, including potential difficulties integrating new lines of business into our current infrastructure, the inability to achieve the expected financial results in a reasonable time frame, implementing and maintaining consistent standards, controls, policies and information systems, and diversion of management’s attention from other business matters. Further, our strategic initiatives could be impacted by factors beyond our control, such as general economic conditions and increased competition. The diversion of management’s attention and any delays or difficulties encountered in implementing our new strategic initiatives could negatively impact our business and results of operations. Further, the economic benefits that we anticipate from these strategic initiatives may not develop. There can be no assurance that we will be successful in returning to profitability. Our success will depend on market conditions and other factors outside of our control as well as successful operational execution. If we continue to experience losses, our share price, business, reputation, financial condition and results of operations could be materially and adversely affected.</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New Residential Investment Corp. (NRZ) is an important business partner to which we have sold rights to receive servicing fees, excluding ancillary income (other than net income on custodial and escrow accounts), with respect to certain non-Agency mortgage servicing rights (MSRs), which we refer to as Rights to MSRs. As of March 31, 2016, these Rights to MSRs relate to approximately $132.7 billion in unpaid principal balance (UPB) of our non-Agency MSRs. A level of future uncertainty exists regarding our relationship with NRZ, including with respect to the impact of our Standard &amp; Poor’s Ratings Services (S&amp;P) servicer rating under our agreements with NRZ beginning April 7, 2017. Under the Master Servicing Rights Purchase Agreement and Sale Supplements with NRZ, if a termination event related to our servicer rating exists with respect to any servicing agreement, NRZ will have the right to direct the transfer of servicing with respect to any affected servicing agreement to a licensed replacement servicer that obtains all required third-party consents. As of March 31, 2016, a termination event exists because our servicer rating from S&amp;P is below Average. If our servicer rating from S&amp;P is not upgraded to Average or better prior to April 7, 2017, NRZ will have the right to direct the transfer of any affected servicing agreements to a successor licensed servicer that obtains all required third-party consents. Following any such transfer, we would no longer be entitled to receive future servicing fee revenue with respect to any transferred servicing agreement. See Note 4 — Sales of Advances and MSRs for further information regarding our relationship with NRZ.</w:t>
      </w:r>
    </w:p>
    <w:p>
      <w:pPr>
        <w:spacing w:after="0" w:line="173"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 Effective March 28, 2016 we entered into an amendment to our Senior Secured Term Loan (SSTL) which, among other things, removes in their entirety (including the consolidated total debt to consolidated tangible net worth ratio) or amends for the remaining term of the SSTL certain financial covenants and requires prepayments of $6.3 million on each of May 31, 2016, July 29, 2016 and September 30, 2016. As a result of this amendment, we project we will maintain compliance with our financial covenants during 2016. In order to avoid an event of default arising from a covenant breach, we could repay or refinance debt, among other actions. See Note 11 – Borrowings for further information regarding our debt agreements.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2016 are not necessarily indicative of the results that may be expected for any other interim period or for the year ending December 31, 2016. The unaudited consolidated financial statements presented herein should be read in conjunction with the audited consolidated financial statements and related notes thereto included in our Annual Report on Form 10-K for the year ended December 31, 2015.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As a result of our retrospective adoption on January 1, 2016 of FASB Accounting Standards Update (ASU)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and ASU 2015-15,</w:t>
      </w:r>
      <w:r>
        <w:rPr>
          <w:rFonts w:ascii="Arial" w:cs="Arial" w:eastAsia="Arial" w:hAnsi="Arial"/>
          <w:sz w:val="18"/>
          <w:szCs w:val="18"/>
          <w:i w:val="1"/>
          <w:iCs w:val="1"/>
          <w:color w:val="auto"/>
        </w:rPr>
        <w:t xml:space="preserve"> Interest—Imputation of Interest: Presentation and Subsequent Measurement of Debt Issuance Costs Associated with Line-of-Credit Arrangements—Amendments to SEC Paragraphs Pursuant to Staff Announcement at June 18, 2015 EITF Meeting</w:t>
      </w:r>
      <w:r>
        <w:rPr>
          <w:rFonts w:ascii="Arial" w:cs="Arial" w:eastAsia="Arial" w:hAnsi="Arial"/>
          <w:sz w:val="18"/>
          <w:szCs w:val="18"/>
          <w:color w:val="auto"/>
        </w:rPr>
        <w:t>, unamortized debt issuance costs that are not related to revolving line-of-credit arrangements have been reclassified from other assets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92" w:right="27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borrowings and senior unsecured notes on the consolidated balance sheets, resulting in a reduction to the Company’s assets and liabilities of $23.5 million and $24.5 million at March 31, 2016 and December 31, 2015,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and representation and warranty and other indemnification obligations. In developing estimates and assumptions, management uses all available information; however, actual results could materially differ from those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In February 2016, the FASB issued ASU 2016-02 to increase transparency and comparability among organizations by recognizing lease assets and lease liabilities on the balance sheet and disclosing key qualitative and quantitative information about leasing arrangements. A lessee will be required to recognize assets and liabilities for leases with lease terms of more than 12 months, regardless of whether the lease is classified as a finance or operating lease.</w:t>
      </w:r>
    </w:p>
    <w:p>
      <w:pPr>
        <w:jc w:val="both"/>
        <w:ind w:right="440"/>
        <w:spacing w:after="0" w:line="255" w:lineRule="auto"/>
        <w:rPr>
          <w:sz w:val="20"/>
          <w:szCs w:val="20"/>
          <w:color w:val="auto"/>
        </w:rPr>
      </w:pPr>
      <w:r>
        <w:rPr>
          <w:rFonts w:ascii="Arial" w:cs="Arial" w:eastAsia="Arial" w:hAnsi="Arial"/>
          <w:sz w:val="18"/>
          <w:szCs w:val="18"/>
          <w:color w:val="auto"/>
        </w:rPr>
        <w:t>Additional disclosures will help investors and financial statement users better understand the amount, timing and uncertainty of cash flows arising from leases. ASU 2016-02 will be effective for us on January 1, 2019, with early application permitted. We are currently evaluating the effect of adopting this standard.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Effect of Derivative Contract Novations on Existing Hedge Accounting Relationships (ASU 2016-05)</w:t>
      </w:r>
    </w:p>
    <w:p>
      <w:pPr>
        <w:spacing w:after="0" w:line="22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 xml:space="preserve">In March 2016, the FASB issued ASU 2016-05 to clarify that a change in the counterparty to a derivative instrument that has been designated as a hedging instrument under FASB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does not, in and of itself, require dedesignation of that hedging relationship provided that all other hedge accounting criteria continue to be met. ASU 2016-05 will be effective for us on January 1, 2017, with early adoption permitted, including adoption in an interim period. We do not anticipate that our adoption of this standard will have a material impact on our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Contingent Put and Call Options in Debt Instruments (ASU 2016-06)</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March 2016, the FASB issued ASU 2016-06 to clarify that in assessing whether embedded contingent put or call options that can accelerate the payment of principal on debt instruments are clearly and closely related to their debt hosts, an entity is required to apply only the four-step decision sequence in FASB ASC 815-15-25-42 (as amended by this ASU). An entity does not have to separately assess whether the event that triggers its ability to exercise the contingent option is itself indexed only to interest rates or credit risk. ASU 2016-06 will be effective for us on January 1, 2017, with early adoption permitted, including adoption in an interim period. We are currently evaluating the effect of adopting this standard.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 Equity Method and Joint Ventures: Simplifying the Transition to the Equity Method of Accounting (ASU 2016-07)</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March 2016, the FASB issued ASU 2016-07 to simplify the transition to the equity method of accounting as part of its simplification initiative to reduce cost and complexity in accounting standards while maintaining or improving the usefulness of the information provided to the users of financial statements. This standard requires that an equity method investor add the cost of acquiring the additional interest in the investee to the current basis of the investor’s previously held interest and adopt the equity method of accounting as of the date the investment qualifies for equity method accounting, rather than adjusting the investment retroactively. This standard also requires that an entity that has an available-for-sale equity security that qualifies for the equity method of accounting recognize through earnings the unrealized holding gain or loss in accumulated other comprehensive income at the date the investment qualifies for use of the equity method. ASU 2016-07 will be effective for us on January 1, 2017, with early application permitted. We are currently evaluating the effect of adopting this standard.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Principal versus Agent Considerations (ASU 2016-08)</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In March 2016, the FASB issued ASU 2016-08 to clarify the implementation guidance included in FASB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related to principal versus agent considerations and add illustrative examples to assist in the application of the guidance. When another party is</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providing goods or services to a customer, an entity is required to determine whether the nature of its promise is that of a principal -- providing the specified good or service itself, or that of an agent -- arranging for that good or service to be provided by the other party. An entity is a principal if it controls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3" w:name="page14"/>
    <w:bookmarkEnd w:id="13"/>
    <w:p>
      <w:pPr>
        <w:ind w:right="640"/>
        <w:spacing w:after="0" w:line="277" w:lineRule="auto"/>
        <w:rPr>
          <w:sz w:val="20"/>
          <w:szCs w:val="20"/>
          <w:color w:val="auto"/>
        </w:rPr>
      </w:pPr>
      <w:r>
        <w:rPr>
          <w:rFonts w:ascii="Arial" w:cs="Arial" w:eastAsia="Arial" w:hAnsi="Arial"/>
          <w:sz w:val="18"/>
          <w:szCs w:val="18"/>
          <w:color w:val="auto"/>
        </w:rPr>
        <w:t>specified good or service before that good or service is transferred to a customer. ASU 2016-08 will be effective for us on January 1, 2018, with early application permitted. We are currently evaluating the effect of adopting this standard.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 Stock Compensation: Improvements to Employee Shared-Based Payment Accounting (ASU 2016-09)</w:t>
      </w:r>
    </w:p>
    <w:p>
      <w:pPr>
        <w:spacing w:after="0" w:line="22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In March 2016, the FASB issued ASU 2016-09 to improve the accounting for employee share-based payments. This standard simplifies several aspects of the accounting for share-based payment award transactions, including the income tax consequences, classification of awards as either equity or liabilities, and classification on the statement of cash flows, as part of FASB’s simplification initiative to reduce cost and complexity in accounting standards while maintaining or improving the usefulness of the information provided to the users of financial statements. ASU 2016-09 will be effective for us on January 1, 2017, with early adoption permitted. We are currently evaluating the effect of adopting this standard.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Unaudited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 We include all changes in loans held for sale and related derivative balances in operating activities in the Unaudited Consolidated Statements of Cash Flows.</w:t>
      </w:r>
    </w:p>
    <w:p>
      <w:pPr>
        <w:spacing w:after="0" w:line="5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three months ended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1,009,264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1,070,772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1,012,375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1,071,619</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 connection with these transfers, we retained MSRs of $7.2 million and $8.5 million during the three months ended March 31, 2016 and 2015, respectively.</w:t>
      </w:r>
    </w:p>
    <w:p>
      <w:pPr>
        <w:spacing w:after="0" w:line="6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ind w:right="360" w:firstLine="324"/>
        <w:spacing w:after="0" w:line="342" w:lineRule="auto"/>
        <w:rPr>
          <w:sz w:val="20"/>
          <w:szCs w:val="20"/>
          <w:color w:val="auto"/>
        </w:rPr>
      </w:pPr>
      <w:r>
        <w:rPr>
          <w:rFonts w:ascii="Arial" w:cs="Arial" w:eastAsia="Arial" w:hAnsi="Arial"/>
          <w:sz w:val="16"/>
          <w:szCs w:val="16"/>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57,553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54,729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26,968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8,101,276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7,471,025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8,185,818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7,552,958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2016 and December 31, 2015, 7.4% and 8.2%, respectively, of the transferred residential loans that we service were 60 days or more past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are an approved issuer of Ginnie Mae Home Equity Conversion Mortgage-Backed Securities (HMBS) that are guaranteed by Ginnie Mae. We originate Home Equity Conversion Mortgages (HECM,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with respect to standard representations and warranties and our contractual obligation to service the HECM loans and the HMBS.</w:t>
      </w:r>
    </w:p>
    <w:p>
      <w:pPr>
        <w:spacing w:after="0" w:line="5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elected to measure the HECM loans and HMBS-related borrowings at fair value. The changes in fair value of the HECM loans and HMBS-related borrowings are included in Other revenues in our Unaudited Consolidated Statements of Operations. Included in net fair value gains on the HECM loans and related HMBS borrowings are the interest income that we expect to be collected on the HECM loans and the interest expense that we expect to be paid on the HMBS-related borrowings. We report originations and collections of HECM loans in investing activities in the Unaudited Consolidated Statements of Cash Flows. We report net fair value gains on HECM loans and the related HMBS borrowings as an adjustment to the net cash provided by or used in operating activities in the Unaudited Consolidated Statements of Cash Flows. Proceeds from securitizations of HECM loans and payments on HMBS-related borrowings are included in financing activities in the Unaudited Consolidated Statements of Cash Flows.</w:t>
      </w:r>
    </w:p>
    <w:p>
      <w:pPr>
        <w:spacing w:after="0" w:line="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At March 31, 2016 and December 31, 2015, we had HMBS-related borrowings of $2.6 billion and $2.4 billion, respectively. HECM loans pledged as collateral to the pools were $2.8 billion and $2.5 billion at March 31, 2016 and December 31, 2015,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make the transfers to these SPEs under the terms of our advance financing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2016</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321,739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321,739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87,070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87,070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104,992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408,809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408,809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w w:val="97"/>
              </w:rPr>
              <w:t>Loans held for investment - Reverse mortgages,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2,771,242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2,771,242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2,488,253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2,038,245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2,038,245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237,583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286,981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8,386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1,537,096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1,537,611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1,581,786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2,648,100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2,648,100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2,391,362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523,503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523,503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541,704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106,857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131,940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3,319,646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3,278,460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3,065,006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term loan (c)(d)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359,428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382,508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377,091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397,956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359,402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359,402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385,320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385,320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718,830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741,910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762,411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783,276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(c)(d)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345,847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294,350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c>
          <w:tcPr>
            <w:tcW w:w="0" w:type="dxa"/>
            <w:vAlign w:val="bottom"/>
          </w:tcPr>
          <w:p>
            <w:pPr>
              <w:spacing w:after="0"/>
              <w:rPr>
                <w:sz w:val="1"/>
                <w:szCs w:val="1"/>
                <w:color w:val="auto"/>
              </w:rPr>
            </w:pPr>
          </w:p>
        </w:tc>
      </w:tr>
      <w:tr>
        <w:trPr>
          <w:trHeight w:val="783"/>
        </w:trPr>
        <w:tc>
          <w:tcPr>
            <w:tcW w:w="51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2016</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6,080</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mortgage-backed securities trades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732,174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732,174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 (c)(e)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346,039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390,970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461,555</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Mortgage servicing rights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1,078,213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1,123,144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1,222,745</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but not carried, at fair value.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values are net of unamortized debt issuance costs and discount. See Note 11 – Borrowings for additional information</w:t>
      </w:r>
      <w:r>
        <w:rPr>
          <w:rFonts w:ascii="Arial" w:cs="Arial" w:eastAsia="Arial" w:hAnsi="Arial"/>
          <w:sz w:val="18"/>
          <w:szCs w:val="18"/>
          <w:b w:val="1"/>
          <w:bCs w:val="1"/>
          <w:color w:val="auto"/>
        </w:rPr>
        <w:t>.</w:t>
      </w:r>
    </w:p>
    <w:p>
      <w:pPr>
        <w:spacing w:after="0" w:line="9" w:lineRule="exact"/>
        <w:rPr>
          <w:rFonts w:ascii="Arial" w:cs="Arial" w:eastAsia="Arial" w:hAnsi="Arial"/>
          <w:sz w:val="18"/>
          <w:szCs w:val="18"/>
          <w:color w:val="auto"/>
        </w:rPr>
      </w:pPr>
    </w:p>
    <w:p>
      <w:pPr>
        <w:ind w:left="500" w:right="60" w:hanging="492"/>
        <w:spacing w:after="0" w:line="25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carrying value at March 31, 2016 and December 31, 2015 is net of the valuation allowance on the impaired government-insured stratum of our amortization method MSRs, which is measured at fair value on a non-recurring basis. Before applying the valuation allowance of $47.3 million, the carrying value of this stratum at March 31, 2016 was $146.7 million. At December 31, 2015, the carrying value of this stratum was $146.5 million before applying the valuation allowance of $17.3 million.</w:t>
      </w:r>
    </w:p>
    <w:p>
      <w:pPr>
        <w:spacing w:after="0" w:line="8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80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252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w w:val="92"/>
              </w:rPr>
              <w:t>Three months ended March 31,</w:t>
            </w:r>
          </w:p>
        </w:tc>
        <w:tc>
          <w:tcPr>
            <w:tcW w:w="1300" w:type="dxa"/>
            <w:vAlign w:val="bottom"/>
            <w:tcBorders>
              <w:top w:val="single" w:sz="8" w:color="auto"/>
            </w:tcBorders>
            <w:gridSpan w:val="3"/>
          </w:tcPr>
          <w:p>
            <w:pPr>
              <w:jc w:val="right"/>
              <w:ind w:right="890"/>
              <w:spacing w:after="0" w:line="182" w:lineRule="exact"/>
              <w:rPr>
                <w:sz w:val="20"/>
                <w:szCs w:val="20"/>
                <w:color w:val="auto"/>
              </w:rPr>
            </w:pPr>
            <w:r>
              <w:rPr>
                <w:rFonts w:ascii="Arial" w:cs="Arial" w:eastAsia="Arial" w:hAnsi="Arial"/>
                <w:sz w:val="18"/>
                <w:szCs w:val="18"/>
                <w:b w:val="1"/>
                <w:bCs w:val="1"/>
                <w:color w:val="auto"/>
                <w:w w:val="74"/>
              </w:rPr>
              <w:t>2016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326,404</w:t>
            </w: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304,058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70,884</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Arial" w:cs="Arial" w:eastAsia="Arial" w:hAnsi="Arial"/>
                <w:sz w:val="18"/>
                <w:szCs w:val="18"/>
                <w:color w:val="auto"/>
                <w:w w:val="91"/>
              </w:rPr>
              <w:t>Transfer from MSRs carried at</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(87,237)</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39,654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(29,463)</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216,821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41,698</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66,168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(27,333)</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66,168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(27,333)</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2,771,242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(2,648,100)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(523,503)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732,174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340,769</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80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252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w w:val="92"/>
              </w:rPr>
              <w:t>Three months ended March 31,</w:t>
            </w:r>
          </w:p>
        </w:tc>
        <w:tc>
          <w:tcPr>
            <w:tcW w:w="1300" w:type="dxa"/>
            <w:vAlign w:val="bottom"/>
            <w:tcBorders>
              <w:top w:val="single" w:sz="8" w:color="auto"/>
            </w:tcBorders>
            <w:gridSpan w:val="3"/>
          </w:tcPr>
          <w:p>
            <w:pPr>
              <w:jc w:val="right"/>
              <w:ind w:right="890"/>
              <w:spacing w:after="0" w:line="182" w:lineRule="exact"/>
              <w:rPr>
                <w:sz w:val="20"/>
                <w:szCs w:val="20"/>
                <w:color w:val="auto"/>
              </w:rPr>
            </w:pPr>
            <w:r>
              <w:rPr>
                <w:rFonts w:ascii="Arial" w:cs="Arial" w:eastAsia="Arial" w:hAnsi="Arial"/>
                <w:sz w:val="18"/>
                <w:szCs w:val="18"/>
                <w:b w:val="1"/>
                <w:bCs w:val="1"/>
                <w:color w:val="auto"/>
                <w:w w:val="74"/>
              </w:rPr>
              <w:t>2015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(406,749)</w:t>
            </w: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235,271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(4,513)</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Arial" w:cs="Arial" w:eastAsia="Arial" w:hAnsi="Arial"/>
                <w:sz w:val="18"/>
                <w:szCs w:val="18"/>
                <w:color w:val="auto"/>
                <w:w w:val="91"/>
              </w:rPr>
              <w:t>Transfer from MSRs carried at</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839,157</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(26,233)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25,985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19,946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19,698</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209,038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837,071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853,425</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48,962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(29,726)</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48,962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(29,726)</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1,808,141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(1,702,397)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(594,495)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897,797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416,950</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00" w:right="40" w:hanging="492"/>
        <w:spacing w:after="0" w:line="256"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a transfer to another party of servicing related to Rights to MSRs, we are required to reimburse NRZ at predetermined contractual rates for the loss of servicing revenues. Settlements for Financing liability - MSRs pledged for the three months ended March 31, 2015 includes $2.2 million of such reimbursements.</w:t>
      </w:r>
    </w:p>
    <w:p>
      <w:pPr>
        <w:ind w:left="500" w:right="120" w:hanging="492"/>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losses attributable to derivative financial instruments still held at March 31, 2016 and March 31, 2015 were $1.5 million and $0.4 million for the three months ended March 31, 2016 and 2015, respectively. Total losses attributable to MSRs still held at March 31, 2016 and March 31, 2015 were $29.1 million and $31.7 million for the three months ended March 31, 2016 and 2015, respectively.</w:t>
      </w:r>
    </w:p>
    <w:p>
      <w:pPr>
        <w:spacing w:after="0" w:line="82"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8" w:name="page19"/>
    <w:bookmarkEnd w:id="18"/>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March 31, 2016 valuation include:</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Life in years ranging from 5.96 to 9.46 (weighted average of 6.52);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Conditional repayment rate ranging from 4.92% to 53.75% (weighted average of 19.70%);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Discount rate of 2.74%.</w:t>
      </w:r>
    </w:p>
    <w:p>
      <w:pPr>
        <w:spacing w:after="0" w:line="10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Mortgage prepayment speeds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servicing advances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Cost of servicing</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Delinquency rates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Collection rate of other ancillary fees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30"/>
        </w:trPr>
        <w:tc>
          <w:tcPr>
            <w:tcW w:w="7860" w:type="dxa"/>
            <w:vAlign w:val="bottom"/>
          </w:tcPr>
          <w:p>
            <w:pPr>
              <w:ind w:left="280"/>
              <w:spacing w:after="0"/>
              <w:rPr>
                <w:sz w:val="20"/>
                <w:szCs w:val="20"/>
                <w:color w:val="auto"/>
              </w:rPr>
            </w:pPr>
            <w:r>
              <w:rPr>
                <w:rFonts w:ascii="Arial" w:cs="Arial" w:eastAsia="Arial" w:hAnsi="Arial"/>
                <w:sz w:val="18"/>
                <w:szCs w:val="18"/>
                <w:color w:val="auto"/>
              </w:rPr>
              <w:t>The more significant assumptions used in the March 31, 2016 valuation include:</w:t>
            </w:r>
          </w:p>
        </w:tc>
        <w:tc>
          <w:tcPr>
            <w:tcW w:w="2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1"/>
        </w:trPr>
        <w:tc>
          <w:tcPr>
            <w:tcW w:w="7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78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2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2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7"/>
        </w:trPr>
        <w:tc>
          <w:tcPr>
            <w:tcW w:w="7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2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5-year swap</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21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5-year swap</w:t>
            </w:r>
          </w:p>
        </w:tc>
      </w:tr>
      <w:tr>
        <w:trPr>
          <w:trHeight w:val="27"/>
        </w:trPr>
        <w:tc>
          <w:tcPr>
            <w:tcW w:w="7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2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2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111</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4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for Non-Agency MSRs via a market rate indexed cost of advance funding. Other key assumptions used in the valuation of these MSRs include delinquency rates and discount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assumptions used in the March 31, 2016 valuation include: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240" w:type="dxa"/>
            <w:vAlign w:val="bottom"/>
          </w:tcPr>
          <w:p>
            <w:pPr>
              <w:spacing w:after="0"/>
              <w:rPr>
                <w:sz w:val="20"/>
                <w:szCs w:val="20"/>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Non Agency</w:t>
            </w:r>
          </w:p>
        </w:tc>
      </w:tr>
      <w:tr>
        <w:trPr>
          <w:trHeight w:val="27"/>
        </w:trPr>
        <w:tc>
          <w:tcPr>
            <w:tcW w:w="79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27.42%</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ind w:left="260"/>
              <w:spacing w:after="0"/>
              <w:rPr>
                <w:sz w:val="20"/>
                <w:szCs w:val="20"/>
                <w:color w:val="auto"/>
              </w:rPr>
            </w:pPr>
            <w:r>
              <w:rPr>
                <w:rFonts w:ascii="Arial" w:cs="Arial" w:eastAsia="Arial" w:hAnsi="Arial"/>
                <w:sz w:val="18"/>
                <w:szCs w:val="18"/>
                <w:color w:val="auto"/>
              </w:rPr>
              <w:t>5-year swap</w:t>
            </w: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1ML plus 3.5%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40" w:type="dxa"/>
            <w:vAlign w:val="bottom"/>
          </w:tcPr>
          <w:p>
            <w:pPr>
              <w:spacing w:after="0"/>
              <w:rPr>
                <w:sz w:val="21"/>
                <w:szCs w:val="21"/>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5-year swap</w:t>
            </w:r>
          </w:p>
        </w:tc>
        <w:tc>
          <w:tcPr>
            <w:tcW w:w="2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313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Unaudited Consolidated Statements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20" w:name="page21"/>
    <w:bookmarkEnd w:id="20"/>
    <w:p>
      <w:pPr>
        <w:ind w:right="6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March 31, 2016 valuation include:</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Life in years ranging from 4.74 to 9.46 (weighted average of 5.40);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Conditional repayment rate ranging from 4.92% to 53.75% (weighted average of 19.70%);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 rate of 2.17%.</w:t>
      </w:r>
    </w:p>
    <w:p>
      <w:pPr>
        <w:spacing w:after="0" w:line="103" w:lineRule="exact"/>
        <w:rPr>
          <w:sz w:val="20"/>
          <w:szCs w:val="20"/>
          <w:color w:val="auto"/>
        </w:rPr>
      </w:pPr>
    </w:p>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periodically sell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non-Agency MSRs, future fair value changes in the Financing Liability - MSRs Pledged will be largely offset by changes in the fair value of the related MSRs.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determination of the price of the underlying MSRs at March 31, 2016 include: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260" w:type="dxa"/>
            <w:vAlign w:val="bottom"/>
            <w:shd w:val="clear" w:color="auto" w:fill="EAF9E8"/>
          </w:tcPr>
          <w:p>
            <w:pPr>
              <w:spacing w:after="0"/>
              <w:rPr>
                <w:sz w:val="23"/>
                <w:szCs w:val="23"/>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17.35%</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29.21%</w:t>
            </w:r>
          </w:p>
        </w:tc>
      </w:tr>
      <w:tr>
        <w:trPr>
          <w:trHeight w:val="27"/>
        </w:trPr>
        <w:tc>
          <w:tcPr>
            <w:tcW w:w="9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2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8"/>
              </w:rPr>
              <w:t>1 ML plus 3.5%</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26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9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14.54%</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318</w:t>
            </w:r>
          </w:p>
        </w:tc>
      </w:tr>
      <w:tr>
        <w:trPr>
          <w:trHeight w:val="351"/>
        </w:trPr>
        <w:tc>
          <w:tcPr>
            <w:tcW w:w="9320" w:type="dxa"/>
            <w:vAlign w:val="bottom"/>
          </w:tcPr>
          <w:p>
            <w:pPr>
              <w:ind w:left="340"/>
              <w:spacing w:after="0"/>
              <w:rPr>
                <w:sz w:val="20"/>
                <w:szCs w:val="20"/>
                <w:color w:val="auto"/>
              </w:rPr>
            </w:pPr>
            <w:r>
              <w:rPr>
                <w:rFonts w:ascii="Arial" w:cs="Arial" w:eastAsia="Arial" w:hAnsi="Arial"/>
                <w:sz w:val="18"/>
                <w:szCs w:val="18"/>
                <w:color w:val="auto"/>
                <w:w w:val="92"/>
              </w:rPr>
              <w:t>Significant increases or decreases in these assumptions in isolation would result in a significantly higher or lower fair value</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92" w:right="25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the future principal and interest repayments at a market rate commensurate with the risk of the estimated cash flows. For the SSTL, we based the fair value on quoted prices in a market with limited trading activity.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 During the three months ended March 31, 2016 and 2015, we sold MSRs relating to loans with a UPB of $34.5 million (non-Agency) and $9.1 billion (Agency),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the MSRs and advances sold during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2015</w:t>
            </w:r>
          </w:p>
        </w:tc>
      </w:tr>
      <w:tr>
        <w:trPr>
          <w:trHeight w:val="27"/>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Advances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Advances and</w:t>
            </w:r>
          </w:p>
        </w:tc>
      </w:t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Match Funded</w:t>
            </w:r>
          </w:p>
        </w:tc>
      </w:tr>
      <w:tr>
        <w:trPr>
          <w:trHeight w:val="234"/>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MSRs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Advances</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MSRs</w:t>
            </w:r>
          </w:p>
        </w:tc>
        <w:tc>
          <w:tcPr>
            <w:tcW w:w="12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Advances</w:t>
            </w:r>
          </w:p>
        </w:tc>
      </w:tr>
      <w:tr>
        <w:trPr>
          <w:trHeight w:val="27"/>
        </w:trPr>
        <w:tc>
          <w:tcPr>
            <w:tcW w:w="53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of assets sold and adjustments:</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Accounted for as a sale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97,530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1,765</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Amount due from purchaser at March 31 (1)</w:t>
            </w: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(48,065)</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auto"/>
                <w:w w:val="94"/>
              </w:rPr>
              <w:t>Amounts received from purchaser for items outstanding at the end of</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60" w:type="dxa"/>
            <w:vAlign w:val="bottom"/>
          </w:tcPr>
          <w:p>
            <w:pPr>
              <w:ind w:left="340"/>
              <w:spacing w:after="0"/>
              <w:rPr>
                <w:sz w:val="20"/>
                <w:szCs w:val="20"/>
                <w:color w:val="auto"/>
              </w:rPr>
            </w:pPr>
            <w:r>
              <w:rPr>
                <w:rFonts w:ascii="Arial" w:cs="Arial" w:eastAsia="Arial" w:hAnsi="Arial"/>
                <w:sz w:val="18"/>
                <w:szCs w:val="18"/>
                <w:color w:val="auto"/>
              </w:rPr>
              <w:t>the previous year</w:t>
            </w: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40,742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net cash received</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15,305</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41,003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49,465</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1,765</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40" w:hanging="49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were no amounts due from purchaser at March 31, 2016 related to assets sold during the three months ended March 31, 2016. The total amount due at March 31, 2016 on sales of MSRs and advances, which consists only of amounts due on sales completed in 2015, is $39.7 million.</w:t>
      </w:r>
    </w:p>
    <w:p>
      <w:pPr>
        <w:spacing w:after="0" w:line="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2012 and 2013, we sold Rights to MSRs and the related servicing advances to Home Loan Servicing Solutions, Ltd. (HLSS). On April 6, 2015, HLSS closed on the sale of substantially all of its assets to NRZ. References to NRZ in these unaudited consolidated financial statements include HLSS for periods prior to April 6, 2015 because, following HLSS’ sale of substantially all of its assets on April 6, 2015, NRZ, through its subsidiaries, is the owner of the Rights to MSRs and has assumed all rights and obligations under the associated agreements. We refer to the sale of Rights to MSRs and the related servicing advances as the NRZ/HLSS Transactions.</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our agreements with NRZ, NRZ has assumed the obligation to fund new servicing advances with respect to the Rights to MSRs. We continue to service the loans for which the Rights to MSRs have been sold to NRZ. Accordingly, in the event NRZ were unable to fulfill its advance funding obligations, as the servicer under our servicing agreements with the residential mortgage backed securitization trusts, we would be contractually obligated to fund such advances under those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servicing agreements. At March 31, 2016, NRZ had outstanding advances of approximately $4.9 billion in connection with the Rights to MSRs.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After the earlier of April 30, 2020 or eight years after the closing date of the sale of each tranche of Rights to MSRs to NRZ, the apportionment of these fees with respect to such tranche is subject to re-negotiation.</w:t>
      </w:r>
    </w:p>
    <w:p>
      <w:pPr>
        <w:spacing w:after="0" w:line="8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Beginning April 7, 2017, we are obligated to transfer legal ownership of the MSRs to NRZ if and when NRZ obtains all required third-party consents and licenses. If and when such transfer of legal ownership occurs, OLS will subservice the loans pursuant to a subservicing agreement, as amended, with NRZ. NRZ has agreed not to direct our replacement as servicer before April 6, 2017 except under certain limited circumstances.</w:t>
      </w:r>
    </w:p>
    <w:p>
      <w:pPr>
        <w:spacing w:after="0" w:line="166"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Beginning April 7, 2017, under the Master Servicing Rights Purchase Agreement and Sale Supplements with NRZ, if a termination event related to a servicer rating downgrade exists with respect to any servicing agreement, NRZ will have the right to direct the transfer of servicing with respect to any affected servicing agreement to a replacement servicer that obtains all required third-party consents and licenses. As of March 31, 2016, a termination event relating to a servicer rating downgrade exists because our servicer rating from S&amp;P is below “Average.” If our servicer rating from S&amp;P is not upgraded to “Average” or better prior to April 7, 2017, NRZ will have the right to direct the transfer of any affected servicing agreements to a successor servicer that obtains all required third-party consents and licenses. Following any such transfer of an affected servicing agreement, we would no longer be entitled to receive future servicing fee revenue with respect to the transferred servicing agreement.</w:t>
      </w:r>
    </w:p>
    <w:p>
      <w:pPr>
        <w:spacing w:after="0" w:line="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To the extent servicing agreements underlying Rights to MSRs are terminated as a result of a termination event, NRZ is entitled to payment of an amount equal to an amortized percentage of NRZ’s purchase price for the related Rights to MSRs. We paid NRZ $2.2 million during the three months ended March 31, 2015 in connection with the termination of four servicing agreements underlying the Rights to MSRs.</w:t>
      </w:r>
    </w:p>
    <w:p>
      <w:pPr>
        <w:spacing w:after="0" w:line="7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agreements with NRZ provide that, if S&amp;P downgrades our servicer rating to below “Average” (which it has), we will compensate NRZ for certain increased costs associated with its servicing advance financing facilities, including increased costs of funding, to the extent such costs are the direct result of such downgrade. Any such compensation will continue for a maximum of 12 months and will not exceed $3.0 million for any calendar month or $36.0 million in the aggregate. In such circumstances, NRZ must use commercially reasonable efforts to assist us in curing any potential cost increases by obtaining amendments to the relevant financing agreements. We incurred $6.2 million during the three months ended March 31, 2016 in connection with this agreement, and will continue to incur costs through June 2016. Actual future payments in connection with this agreement will vary based on NRZ's outstanding borrowings and movements in applicable floating interest rates.</w:t>
      </w:r>
    </w:p>
    <w:p>
      <w:pPr>
        <w:spacing w:after="0" w:line="178"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NRZ/HLSS Transactions are accounted for as financings. If and when transfer of legal ownership of the underlying MSRs occurs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sales of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the time of the sale.</w:t>
      </w:r>
    </w:p>
    <w:p>
      <w:pPr>
        <w:spacing w:after="0" w:line="7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NRZ. These advance sales did not qualify for sales treatment and were accounted for as financings (Financing liability - Advances pledged).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2"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three months ended March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789,180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922,254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(783,187)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(990,634)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321,739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339,508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8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includes the increase (decrease) in fair value of $1.8 million and $(6.9) million for the three months ended March 31, 2016 and 2015, respectively.</w:t>
      </w:r>
    </w:p>
    <w:p>
      <w:pPr>
        <w:spacing w:after="0" w:line="6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At March 31, 2016, loans held for sale, at fair value with a UPB of $285.1 million were pledged to secure warehouse lines of credit in our Lending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net balance during the three months ended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421,896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113,896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(372,583)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(140,948)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Ending balance </w:t>
            </w:r>
            <w:r>
              <w:rPr>
                <w:rFonts w:ascii="Arial" w:cs="Arial" w:eastAsia="Arial" w:hAnsi="Arial"/>
                <w:sz w:val="18"/>
                <w:szCs w:val="18"/>
                <w:color w:val="auto"/>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87,070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68,489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March 31, 2016 and March 31, 2015, the balances include $55.5 million and $43.9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The change in the valuation allowance during the three months ended March 31 is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from liability for indemnification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29,948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March 31, 2016, Loans held for sale, at lower of cost or fair value with a UPB of $37.1 million were pledged to secure a warehouse line of credit in our Servicing segment.</w:t>
      </w:r>
    </w:p>
    <w:p>
      <w:pPr>
        <w:sectPr>
          <w:pgSz w:w="11900" w:h="16838" w:orient="portrait"/>
          <w:cols w:equalWidth="0" w:num="1">
            <w:col w:w="11420"/>
          </w:cols>
          <w:pgMar w:left="240" w:top="79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96" w:right="239" w:bottom="1440" w:gutter="0" w:footer="0" w:header="0"/>
          <w:type w:val="continuous"/>
        </w:sectPr>
      </w:pPr>
    </w:p>
    <w:bookmarkStart w:id="24" w:name="page25"/>
    <w:bookmarkEnd w:id="24"/>
    <w:p>
      <w:pPr>
        <w:ind w:right="40" w:firstLine="324"/>
        <w:spacing w:after="0" w:line="308" w:lineRule="auto"/>
        <w:rPr>
          <w:sz w:val="20"/>
          <w:szCs w:val="20"/>
          <w:color w:val="auto"/>
        </w:rPr>
      </w:pPr>
      <w:r>
        <w:rPr>
          <w:rFonts w:ascii="Arial" w:cs="Arial" w:eastAsia="Arial" w:hAnsi="Arial"/>
          <w:sz w:val="17"/>
          <w:szCs w:val="17"/>
          <w:color w:val="auto"/>
        </w:rPr>
        <w:t>In March 2015, we recognized a gain of $12.9 million on sales of loans with a total UPB of $42.7 million to an unrelated third party. We had repurchased these loans under the representation and warranty provisions of our contractual obligations to the GSEs as primary servicer of the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Gain on sales of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17,939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51,400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Loss on economic hedge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15,572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44,504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Gain on loans held for sale, net include $6.5 million and $8.5 million for the three months ended March 31, 2016 and 2015, respectively, representing the value assigned to MSRs retained on transfers of forward loans.</w:t>
      </w:r>
    </w:p>
    <w:p>
      <w:pPr>
        <w:spacing w:after="0" w:line="6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$5.0 million and $4.3 million recorded during the three months ended March 31, 2016 and 2015, respectively, on sales of repurchased Ginnie Mae loans, which are carried at the lower of cost or fair value.</w:t>
      </w:r>
    </w:p>
    <w:p>
      <w:pPr>
        <w:spacing w:after="0" w:line="6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Fair value gains recognized in connection with transfers of reverse mortgages into Ginnie Mae guaranteed securitizations are also included in Gains on loans held for sale, net and amounted to $8.0 million and $25.6 million for the three months ended March 31, 2016 and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net, which represent payments made on behalf of borrowers or on foreclosed properties, consisted of the following at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Principal and interest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58,290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81,681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Taxes and insurance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233,202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278,487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Foreclosures, bankruptcy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68,379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126,031</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359,871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486,199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(42,523)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(41,901)</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317,348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Advances at March 31, 2016 include $79.6 million of previously sold advances that did not qualify for sales accounting.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net advances for the three months ended March 31:</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EAF9E8"/>
            </w:tcBorders>
          </w:tcPr>
          <w:p>
            <w:pPr>
              <w:spacing w:after="0"/>
              <w:rPr>
                <w:sz w:val="2"/>
                <w:szCs w:val="2"/>
                <w:color w:val="auto"/>
              </w:rPr>
            </w:pPr>
          </w:p>
        </w:tc>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4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893,914</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Arial" w:cs="Arial" w:eastAsia="Arial" w:hAnsi="Arial"/>
                <w:sz w:val="18"/>
                <w:szCs w:val="18"/>
                <w:color w:val="auto"/>
              </w:rPr>
              <w:t>Sales of advances</w:t>
            </w:r>
          </w:p>
        </w:tc>
        <w:tc>
          <w:tcPr>
            <w:tcW w:w="3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New advances (collections of advances), net</w:t>
            </w:r>
          </w:p>
        </w:tc>
        <w:tc>
          <w:tcPr>
            <w:tcW w:w="38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(126,067)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52,217</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Arial" w:cs="Arial" w:eastAsia="Arial" w:hAnsi="Arial"/>
                <w:sz w:val="18"/>
                <w:szCs w:val="18"/>
                <w:color w:val="auto"/>
              </w:rPr>
              <w:t>Increase in allowance for losses</w:t>
            </w:r>
          </w:p>
        </w:tc>
        <w:tc>
          <w:tcPr>
            <w:tcW w:w="3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EAF9E8"/>
            </w:tcBorders>
          </w:tcPr>
          <w:p>
            <w:pPr>
              <w:spacing w:after="0"/>
              <w:rPr>
                <w:sz w:val="2"/>
                <w:szCs w:val="2"/>
                <w:color w:val="auto"/>
              </w:rPr>
            </w:pPr>
          </w:p>
        </w:tc>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41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317,348</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942,538</w:t>
            </w:r>
          </w:p>
        </w:tc>
        <w:tc>
          <w:tcPr>
            <w:tcW w:w="0" w:type="dxa"/>
            <w:vAlign w:val="bottom"/>
          </w:tcPr>
          <w:p>
            <w:pPr>
              <w:spacing w:after="0"/>
              <w:rPr>
                <w:sz w:val="1"/>
                <w:szCs w:val="1"/>
                <w:color w:val="auto"/>
              </w:rPr>
            </w:pPr>
          </w:p>
        </w:tc>
      </w:tr>
      <w:tr>
        <w:trPr>
          <w:trHeight w:val="20"/>
        </w:trPr>
        <w:tc>
          <w:tcPr>
            <w:tcW w:w="4480" w:type="dxa"/>
            <w:vAlign w:val="bottom"/>
            <w:tcBorders>
              <w:top w:val="single" w:sz="8" w:color="EAF9E8"/>
            </w:tcBorders>
          </w:tcPr>
          <w:p>
            <w:pPr>
              <w:spacing w:after="0" w:line="20" w:lineRule="exact"/>
              <w:rPr>
                <w:sz w:val="1"/>
                <w:szCs w:val="1"/>
                <w:color w:val="auto"/>
              </w:rPr>
            </w:pPr>
          </w:p>
        </w:tc>
        <w:tc>
          <w:tcPr>
            <w:tcW w:w="3860" w:type="dxa"/>
            <w:vAlign w:val="bottom"/>
            <w:tcBorders>
              <w:top w:val="single" w:sz="8" w:color="EAF9E8"/>
              <w:bottom w:val="single" w:sz="8" w:color="EAF9E8"/>
            </w:tcBorders>
            <w:vMerge w:val="restart"/>
          </w:tcPr>
          <w:p>
            <w:pPr>
              <w:jc w:val="right"/>
              <w:ind w:right="2470"/>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The change in the allowance for losses during the three months ended March 31 is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41,901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70,034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Charge-offs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(3,132)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42,523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71,862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879,242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948,376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620,795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608,404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220,860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149,988</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1,720,897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40"/>
              <w:spacing w:after="0"/>
              <w:rPr>
                <w:sz w:val="20"/>
                <w:szCs w:val="20"/>
                <w:color w:val="auto"/>
              </w:rPr>
            </w:pPr>
            <w:r>
              <w:rPr>
                <w:rFonts w:ascii="Arial" w:cs="Arial" w:eastAsia="Arial" w:hAnsi="Arial"/>
                <w:sz w:val="18"/>
                <w:szCs w:val="18"/>
                <w:color w:val="auto"/>
                <w:w w:val="92"/>
              </w:rPr>
              <w:t>The following table summarizes the activity in match funded advances for the three months ended March 31:</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New advances (collections of pledged advances),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(156,475)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1,720,897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2,252,967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The following table summarizes the activity in the carrying value of amortization method servicing assets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Amortization of mortgage servicing rights is reported net of the amortization of any servicing liabilities and includes the amount of charges we recognized to increase servicing liability obligations, if any.</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2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1,820,091</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Fair value election - transfer of MSRs carried at fair value (1)</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(787,142)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Additions recognized in connection with asset acquisitions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3,267</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Additions recognized on the sale of mortgage loans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8,528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(65,627)</w:t>
            </w:r>
          </w:p>
        </w:tc>
      </w:tr>
      <w:tr>
        <w:trPr>
          <w:trHeight w:val="237"/>
        </w:trPr>
        <w:tc>
          <w:tcPr>
            <w:tcW w:w="8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388,798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979,117</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(38,494)</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Increase in impairment valuation allowance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(17,769)</w:t>
            </w:r>
          </w:p>
        </w:tc>
      </w:tr>
      <w:tr>
        <w:trPr>
          <w:trHeight w:val="27"/>
        </w:trPr>
        <w:tc>
          <w:tcPr>
            <w:tcW w:w="82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346,039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922,854</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Estimated fair value at end of period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390,970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1,064,134</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6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Effective January 1, 2015, we elected fair value accounting for a newly-created class of non-Agency MSRs, which were previously accounted for using the amortization method, based on a different strategy for managing the risks of the underlying portfolio compared to our other MSR classes.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loans related to the non-Agency MSRs for which the fair value election was made was $195.3 billion.</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MSRs is recognized in Servicing and origination expense in the Unaudited Consolidated Statements of Operations.</w:t>
      </w:r>
    </w:p>
    <w:p>
      <w:pPr>
        <w:sectPr>
          <w:pgSz w:w="11900" w:h="16838" w:orient="portrait"/>
          <w:cols w:equalWidth="0" w:num="1">
            <w:col w:w="11420"/>
          </w:cols>
          <w:pgMar w:left="240" w:top="692"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92" w:right="239" w:bottom="1440" w:gutter="0" w:footer="0" w:header="0"/>
          <w:type w:val="continuous"/>
        </w:sectPr>
      </w:pPr>
    </w:p>
    <w:bookmarkStart w:id="26" w:name="page27"/>
    <w:bookmarkEnd w:id="26"/>
    <w:p>
      <w:pPr>
        <w:ind w:left="340"/>
        <w:spacing w:after="0"/>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if any, are included in Other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Fair Value Measurement Method</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This portfolio comprises servicing rights for which we elected the fair value option and includes Agency residential mortgage loans for which we previously hedged the related market risks and a new class of non-Agency residential mortgage loans for which we elected fair value as of January 1, 2015.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15,071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746,119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Fair value election - transfer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w w:val="90"/>
              </w:rPr>
              <w:t>MSRs carried at amortized cost</w:t>
            </w:r>
          </w:p>
        </w:tc>
        <w:tc>
          <w:tcPr>
            <w:tcW w:w="2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787,142</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election</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transfers and</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6"/>
              </w:rPr>
              <w:t>Changes in valuation inputs or</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other assumptions</w:t>
            </w:r>
          </w:p>
        </w:tc>
        <w:tc>
          <w:tcPr>
            <w:tcW w:w="2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(6,110)</w:t>
            </w: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w w:val="98"/>
              </w:rPr>
              <w:t>Realization of expected future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440"/>
              <w:spacing w:after="0"/>
              <w:rPr>
                <w:sz w:val="20"/>
                <w:szCs w:val="20"/>
                <w:color w:val="auto"/>
              </w:rPr>
            </w:pPr>
            <w:r>
              <w:rPr>
                <w:rFonts w:ascii="Arial" w:cs="Arial" w:eastAsia="Arial" w:hAnsi="Arial"/>
                <w:sz w:val="18"/>
                <w:szCs w:val="18"/>
                <w:color w:val="auto"/>
                <w:w w:val="91"/>
              </w:rPr>
              <w:t>cash flows and other changes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(27,065)</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12,011</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720,163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732,174</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84,515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813,282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897,797</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Unaudited Consolidated Statements of Operations.</w:t>
      </w:r>
    </w:p>
    <w:p>
      <w:pPr>
        <w:spacing w:after="0" w:line="11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March 31, 2016 given hypothetical shifts in lifetime prepayments and yield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(77,665)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(150,075)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(34,728)</w:t>
            </w:r>
          </w:p>
        </w:tc>
      </w:tr>
    </w:tbl>
    <w:p>
      <w:pPr>
        <w:spacing w:after="0" w:line="33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March 31, 2016 are increased prepayment speeds and a decrease in the yield assumption.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2016</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223,731,371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223,731,371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13,349,665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13,486,138</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237,081,036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136,473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237,217,509</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2015</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230,132,729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230,132,729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20,833,383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20,938,651</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251,071,380</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2015</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337,125,187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337,125,187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45,088,815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161,887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45,250,702</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382,214,002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161,887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382,375,889</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260" w:firstLine="324"/>
        <w:spacing w:after="0" w:line="277" w:lineRule="auto"/>
        <w:rPr>
          <w:sz w:val="20"/>
          <w:szCs w:val="20"/>
          <w:color w:val="auto"/>
        </w:rPr>
      </w:pPr>
      <w:r>
        <w:rPr>
          <w:rFonts w:ascii="Arial" w:cs="Arial" w:eastAsia="Arial" w:hAnsi="Arial"/>
          <w:sz w:val="18"/>
          <w:szCs w:val="18"/>
          <w:color w:val="auto"/>
        </w:rPr>
        <w:t>UPB serviced at March 31, 2016, December 31, 2015 and March 31, 2015 includes $132.7 billion, $137.1 billion and $156.3 billion, respectively, for which the Rights to MSRs have been sold to NRZ.</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$1.7 billion, $1.8 billion and $2.1 billion at March 31, 2016, December 31, 2015 and March 31, 2015, respectively. Commercial assets consist of large-balance foreclosed real estate.</w:t>
      </w:r>
    </w:p>
    <w:p>
      <w:pPr>
        <w:spacing w:after="0" w:line="7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of recent years,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Certain of our servicing agreements require that we maintain specified servicer ratings from rating agencies such as Moody’s Investors Service, Inc. (Moody’s) and S&amp;P. Out of approximately 3,908 non-Agency servicing agreements, approximately 735 with approximately $38.1 billion of UPB as of March 31, 2016 have minimum servicer ratings criteria. As a result of downgrades in our servicer ratings, termination rights have been triggered in 651 of these non-Agency servicing agreements. This represents approximately $32.4 billion in UPB as of March 31, 2016, or approximately 18% of our total non-Agency servicing portfolio. Under 272 of the 651 triggered agreements, trustees and master servicers have sent notices to investors indicating that they did not currently intend to take action relating to the termination rights. In addition, in connection with 69 of the triggered agreements, the trustee or master servicer sent solicitation notices to investors asking whether or not the investor wanted to direct the trustee or master servicer to terminate Ocwen as servicer. The trustee or master servicer has announced results for 47 of the solicitations: 43 resulted in no direction to terminate and four resulted in the termination of Ocwen as servicer in early 2015 due to rating downgrades. The 272 notices regarding no action at this time and the 43 solicitations resulting in no direction to terminate Ocwen as servicer represent approximately $19.3 billion in UPB as of March 31, 2016, or approximately 59.6% of the UPB of the non-Agency servicing agreements with triggered termination rights. As noted above, in early 2015, we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was immaterial to our overall financial condition, as it represented only 0.17% of our overall servicing portfolio as of the time of transfer of servicing, we could be subject to further terminations either as a result of recent servicer ratings downgrades or future adverse actions by ratings agencies, which could have an adverse effect on our business, financing activities, financial condition and results of operations.</w:t>
      </w:r>
    </w:p>
    <w:p>
      <w:pPr>
        <w:spacing w:after="0" w:line="19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requirements and what actions it deems appropriate under the circumstances in the event that we fall below their desired servicer ratings.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Loan servicing and subservicing fees: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238,638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332,201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245,877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350,542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22,618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35,176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27,138</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297,496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446,541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$2.3 billion and $4.0 billion at March 31, 2016 and March 31, 2015,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net consisted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Amount due on sales of mortgage servicing rights and advances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39,744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94,629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 claims (1)</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71,405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Due from custodial accounts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servicing receivables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32,879</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205,087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242,569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53,519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20,882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29,818</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276,353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325,906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(38,770)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(38,925)</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237,583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March 31, 2016 and December 31, 2015, the total allowance for losses related to receivables of our Servicing business. Allowance for losses related to defaulted FHA or VA insured loans repurchased from Ginnie Mae guaranteed securitizations (government-insured loan claims) at March 31, 2016 and December 31, 2015 were $21.5 million and $20.6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316,002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(2)</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69,805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 (3)</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87,328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20,489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19,496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10,910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21,321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16,292</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520,182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586,495</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52"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Ginnie Mae early buy-out (EBO)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re-recognized mortgage loans in Other assets and a corresponding liability in Other liabilities.</w:t>
      </w:r>
    </w:p>
    <w:p>
      <w:pPr>
        <w:spacing w:after="0" w:line="4" w:lineRule="exact"/>
        <w:rPr>
          <w:rFonts w:ascii="Arial" w:cs="Arial" w:eastAsia="Arial" w:hAnsi="Arial"/>
          <w:sz w:val="18"/>
          <w:szCs w:val="18"/>
          <w:color w:val="auto"/>
        </w:rPr>
      </w:pPr>
    </w:p>
    <w:p>
      <w:pPr>
        <w:ind w:left="500" w:right="46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sale of Agency MSRs in 2015, we placed $52.9 million in escrow for the payment of representation, warranty and indemnification claims associated with the underlying loans. Prepaid expenses at March 31, 2016 and December 31, 2015 includes the remaining balance of $39.3 million and $41.3 million, respectively.</w:t>
      </w:r>
    </w:p>
    <w:p>
      <w:pPr>
        <w:spacing w:after="0" w:line="1" w:lineRule="exact"/>
        <w:rPr>
          <w:rFonts w:ascii="Arial" w:cs="Arial" w:eastAsia="Arial" w:hAnsi="Arial"/>
          <w:sz w:val="18"/>
          <w:szCs w:val="18"/>
          <w:color w:val="auto"/>
        </w:rPr>
      </w:pPr>
    </w:p>
    <w:p>
      <w:pPr>
        <w:ind w:left="500" w:right="20" w:hanging="492"/>
        <w:spacing w:after="0" w:line="252"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our advance funding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26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1-Month</w:t>
            </w: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LIBOR (1ML)</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(3) + 235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47,741</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113,944</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2014-VF3,</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6,009</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Amortization</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Borrowing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640" w:type="dxa"/>
            <w:vAlign w:val="bottom"/>
          </w:tcPr>
          <w:p>
            <w:pPr>
              <w:ind w:left="700"/>
              <w:spacing w:after="0"/>
              <w:rPr>
                <w:sz w:val="20"/>
                <w:szCs w:val="20"/>
                <w:color w:val="auto"/>
              </w:rPr>
            </w:pPr>
            <w:r>
              <w:rPr>
                <w:rFonts w:ascii="Arial" w:cs="Arial" w:eastAsia="Arial" w:hAnsi="Arial"/>
                <w:sz w:val="18"/>
                <w:szCs w:val="18"/>
                <w:b w:val="1"/>
                <w:bCs w:val="1"/>
                <w:color w:val="auto"/>
              </w:rPr>
              <w:t>Borrowing Type</w:t>
            </w:r>
          </w:p>
        </w:tc>
        <w:tc>
          <w:tcPr>
            <w:tcW w:w="1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Date (1)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Capacity (2)</w:t>
            </w: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2016</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2014-VF3,</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D</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6,404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2014-VF4,</w:t>
            </w: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+ 235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47,741</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113,944</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2014-VF4,</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B</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2014-VF4,</w:t>
            </w: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2,426</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6,009</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2014-VF4,</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D</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6,404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+ 235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47,742</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113,943</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132,652</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B</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2,426</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6,009</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2015-VF5,</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D</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6,404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2.5365%</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244,809</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244,809</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B (5)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3.0307%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10,930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3.5240%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12,011</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12,011</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D (5)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4.1000%</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32,250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32,250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0"/>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38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2.5320%</w:t>
            </w:r>
          </w:p>
        </w:tc>
        <w:tc>
          <w:tcPr>
            <w:tcW w:w="1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161,973</w:t>
            </w:r>
          </w:p>
        </w:tc>
        <w:tc>
          <w:tcPr>
            <w:tcW w:w="100" w:type="dxa"/>
            <w:vAlign w:val="bottom"/>
            <w:shd w:val="clear" w:color="auto" w:fill="EAF9E8"/>
          </w:tcPr>
          <w:p>
            <w:pPr>
              <w:spacing w:after="0"/>
              <w:rPr>
                <w:sz w:val="20"/>
                <w:szCs w:val="20"/>
                <w:color w:val="auto"/>
              </w:rPr>
            </w:pPr>
          </w:p>
        </w:tc>
        <w:tc>
          <w:tcPr>
            <w:tcW w:w="14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161,973</w:t>
            </w:r>
          </w:p>
        </w:tc>
      </w:tr>
      <w:tr>
        <w:trPr>
          <w:trHeight w:val="256"/>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4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460" w:type="dxa"/>
            <w:vAlign w:val="bottom"/>
            <w:shd w:val="clear" w:color="auto" w:fill="EAF9E8"/>
          </w:tcPr>
          <w:p>
            <w:pPr>
              <w:spacing w:after="0"/>
              <w:rPr>
                <w:sz w:val="22"/>
                <w:szCs w:val="22"/>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B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3.3720%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7,098</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7,098</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C (5)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3.7660%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8,113</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6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D (5)</w:t>
            </w:r>
          </w:p>
        </w:tc>
        <w:tc>
          <w:tcPr>
            <w:tcW w:w="138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2"/>
              </w:rPr>
              <w:t>4.2580%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22,816</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22,816</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Notes - Series 2015-T3,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Class A (5)</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3.2110%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310,195</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310,195</w:t>
            </w: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42"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580" w:type="dxa"/>
            <w:vAlign w:val="bottom"/>
          </w:tcPr>
          <w:p>
            <w:pPr>
              <w:ind w:left="660"/>
              <w:spacing w:after="0"/>
              <w:rPr>
                <w:sz w:val="20"/>
                <w:szCs w:val="20"/>
                <w:color w:val="auto"/>
              </w:rPr>
            </w:pPr>
            <w:r>
              <w:rPr>
                <w:rFonts w:ascii="Arial" w:cs="Arial" w:eastAsia="Arial" w:hAnsi="Arial"/>
                <w:sz w:val="18"/>
                <w:szCs w:val="18"/>
                <w:b w:val="1"/>
                <w:bCs w:val="1"/>
                <w:color w:val="auto"/>
              </w:rPr>
              <w:t>Borrowing Type</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2015-T3,</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B (5)</w:t>
            </w:r>
          </w:p>
        </w:tc>
        <w:tc>
          <w:tcPr>
            <w:tcW w:w="134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90"/>
              </w:rPr>
              <w:t>3.7040%</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Nov. 2047</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17,695</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17,695</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 Series 2015-T3,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C (5)</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4.1960%</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2047</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Nov. 2017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19,262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19,262</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 Series 2015-T3,</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5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D (5)</w:t>
            </w:r>
          </w:p>
        </w:tc>
        <w:tc>
          <w:tcPr>
            <w:tcW w:w="134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90"/>
              </w:rPr>
              <w:t>4.6870%</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Nov. 2047</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52,848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52,848</w:t>
            </w:r>
          </w:p>
        </w:tc>
      </w:tr>
      <w:tr>
        <w:trPr>
          <w:trHeight w:val="205"/>
        </w:trPr>
        <w:tc>
          <w:tcPr>
            <w:tcW w:w="2580" w:type="dxa"/>
            <w:vAlign w:val="bottom"/>
          </w:tcPr>
          <w:p>
            <w:pPr>
              <w:ind w:left="180"/>
              <w:spacing w:after="0" w:line="205" w:lineRule="exact"/>
              <w:rPr>
                <w:sz w:val="20"/>
                <w:szCs w:val="20"/>
                <w:color w:val="auto"/>
              </w:rPr>
            </w:pPr>
            <w:r>
              <w:rPr>
                <w:rFonts w:ascii="Arial" w:cs="Arial" w:eastAsia="Arial" w:hAnsi="Arial"/>
                <w:sz w:val="18"/>
                <w:szCs w:val="18"/>
                <w:b w:val="1"/>
                <w:bCs w:val="1"/>
                <w:color w:val="auto"/>
                <w:w w:val="95"/>
              </w:rPr>
              <w:t>Total Ocwen Master Advance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4"/>
        </w:trPr>
        <w:tc>
          <w:tcPr>
            <w:tcW w:w="2580" w:type="dxa"/>
            <w:vAlign w:val="bottom"/>
          </w:tcPr>
          <w:p>
            <w:pPr>
              <w:ind w:left="340"/>
              <w:spacing w:after="0"/>
              <w:rPr>
                <w:sz w:val="20"/>
                <w:szCs w:val="20"/>
                <w:color w:val="auto"/>
              </w:rPr>
            </w:pPr>
            <w:r>
              <w:rPr>
                <w:rFonts w:ascii="Arial" w:cs="Arial" w:eastAsia="Arial" w:hAnsi="Arial"/>
                <w:sz w:val="18"/>
                <w:szCs w:val="18"/>
                <w:b w:val="1"/>
                <w:bCs w:val="1"/>
                <w:color w:val="auto"/>
                <w:w w:val="93"/>
              </w:rPr>
              <w:t>Receivables Trust (OMART)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176,230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1,323,770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1,393,156</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270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0"/>
              </w:rPr>
              <w:t>Dec. 2016</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58,221</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31,343</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425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Dec. 2016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4,157</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470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0"/>
              </w:rPr>
              <w:t>Dec. 2016</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6,783</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4,564</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2014-VF1,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D</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520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Dec. 2016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18,952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11,351</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2580" w:type="dxa"/>
            <w:vAlign w:val="bottom"/>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w w:val="90"/>
              </w:rPr>
              <w:t>Total Ocwen Servicer Advance</w:t>
            </w:r>
          </w:p>
        </w:tc>
        <w:tc>
          <w:tcPr>
            <w:tcW w:w="10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16"/>
        </w:trPr>
        <w:tc>
          <w:tcPr>
            <w:tcW w:w="2580" w:type="dxa"/>
            <w:vAlign w:val="bottom"/>
            <w:shd w:val="clear" w:color="auto" w:fill="EAF9E8"/>
          </w:tcPr>
          <w:p>
            <w:pPr>
              <w:ind w:left="340"/>
              <w:spacing w:after="0"/>
              <w:rPr>
                <w:sz w:val="20"/>
                <w:szCs w:val="20"/>
                <w:color w:val="auto"/>
              </w:rPr>
            </w:pPr>
            <w:r>
              <w:rPr>
                <w:rFonts w:ascii="Arial" w:cs="Arial" w:eastAsia="Arial" w:hAnsi="Arial"/>
                <w:sz w:val="18"/>
                <w:szCs w:val="18"/>
                <w:b w:val="1"/>
                <w:bCs w:val="1"/>
                <w:color w:val="auto"/>
              </w:rPr>
              <w:t>Receivables Trust III</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61"/>
        </w:trPr>
        <w:tc>
          <w:tcPr>
            <w:tcW w:w="25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b w:val="1"/>
                <w:bCs w:val="1"/>
                <w:color w:val="auto"/>
              </w:rPr>
              <w:t>(OSART III) (6)</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51,415</w:t>
            </w:r>
          </w:p>
        </w:tc>
      </w:tr>
      <w:tr>
        <w:trPr>
          <w:trHeight w:val="20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1ML + 212.5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A</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Jun. 2016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100,323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112,882</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B</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8"/>
              </w:rPr>
              <w:t>Jun. 2016</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10,637</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12,268</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Class C</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+ 350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Jun. 2016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5,951</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5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5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Notes, Series 2015-VF1,</w:t>
            </w: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62"/>
        </w:trPr>
        <w:tc>
          <w:tcPr>
            <w:tcW w:w="25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Class D</w:t>
            </w:r>
          </w:p>
        </w:tc>
        <w:tc>
          <w:tcPr>
            <w:tcW w:w="10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+ 425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8"/>
              </w:rPr>
              <w:t>Jun. 2016</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7,232</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8,377</w:t>
            </w:r>
          </w:p>
        </w:tc>
      </w:tr>
      <w:tr>
        <w:trPr>
          <w:trHeight w:val="205"/>
        </w:trPr>
        <w:tc>
          <w:tcPr>
            <w:tcW w:w="2580" w:type="dxa"/>
            <w:vAlign w:val="bottom"/>
            <w:tcBorders>
              <w:top w:val="single" w:sz="8" w:color="EAF9E8"/>
            </w:tcBorders>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w w:val="92"/>
              </w:rPr>
              <w:t>Total Ocwen Freddie Advance</w:t>
            </w:r>
          </w:p>
        </w:tc>
        <w:tc>
          <w:tcPr>
            <w:tcW w:w="100" w:type="dxa"/>
            <w:vAlign w:val="bottom"/>
            <w:tcBorders>
              <w:top w:val="single" w:sz="8" w:color="EAF9E8"/>
            </w:tcBorders>
            <w:shd w:val="clear" w:color="auto" w:fill="EAF9E8"/>
          </w:tcPr>
          <w:p>
            <w:pPr>
              <w:spacing w:after="0"/>
              <w:rPr>
                <w:sz w:val="17"/>
                <w:szCs w:val="17"/>
                <w:color w:val="auto"/>
              </w:rPr>
            </w:pPr>
          </w:p>
        </w:tc>
        <w:tc>
          <w:tcPr>
            <w:tcW w:w="1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1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48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12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40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380" w:type="dxa"/>
            <w:vAlign w:val="bottom"/>
            <w:tcBorders>
              <w:top w:val="single" w:sz="8" w:color="auto"/>
            </w:tcBorders>
            <w:shd w:val="clear" w:color="auto" w:fill="EAF9E8"/>
          </w:tcPr>
          <w:p>
            <w:pPr>
              <w:spacing w:after="0"/>
              <w:rPr>
                <w:sz w:val="17"/>
                <w:szCs w:val="17"/>
                <w:color w:val="auto"/>
              </w:rPr>
            </w:pPr>
          </w:p>
        </w:tc>
        <w:tc>
          <w:tcPr>
            <w:tcW w:w="1180" w:type="dxa"/>
            <w:vAlign w:val="bottom"/>
            <w:tcBorders>
              <w:top w:val="single" w:sz="8" w:color="auto"/>
            </w:tcBorders>
            <w:shd w:val="clear" w:color="auto" w:fill="EAF9E8"/>
          </w:tcPr>
          <w:p>
            <w:pPr>
              <w:spacing w:after="0"/>
              <w:rPr>
                <w:sz w:val="17"/>
                <w:szCs w:val="17"/>
                <w:color w:val="auto"/>
              </w:rPr>
            </w:pPr>
          </w:p>
        </w:tc>
      </w:tr>
      <w:tr>
        <w:trPr>
          <w:trHeight w:val="261"/>
        </w:trPr>
        <w:tc>
          <w:tcPr>
            <w:tcW w:w="25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b w:val="1"/>
                <w:bCs w:val="1"/>
                <w:color w:val="auto"/>
                <w:w w:val="96"/>
              </w:rPr>
              <w:t>Funding Facility (OFAF) (7)</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36,674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123,326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139,478</w:t>
            </w:r>
          </w:p>
        </w:tc>
      </w:tr>
      <w:tr>
        <w:trPr>
          <w:trHeight w:val="31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75"/>
        </w:trPr>
        <w:tc>
          <w:tcPr>
            <w:tcW w:w="25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72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212,904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1,537,096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1,584,049</w:t>
            </w:r>
          </w:p>
        </w:tc>
      </w:tr>
      <w:tr>
        <w:trPr>
          <w:trHeight w:val="20"/>
        </w:trPr>
        <w:tc>
          <w:tcPr>
            <w:tcW w:w="2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2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spacing w:after="0"/>
              <w:rPr>
                <w:sz w:val="22"/>
                <w:szCs w:val="22"/>
                <w:color w:val="auto"/>
              </w:rPr>
            </w:pP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30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ectPr>
          <w:pgSz w:w="11900" w:h="16838" w:orient="portrait"/>
          <w:cols w:equalWidth="0" w:num="1">
            <w:col w:w="11420"/>
          </w:cols>
          <w:pgMar w:left="240" w:top="74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42" w:right="239" w:bottom="1440" w:gutter="0" w:footer="0" w:header="0"/>
          <w:type w:val="continuous"/>
        </w:sectPr>
      </w:pPr>
    </w:p>
    <w:bookmarkStart w:id="32" w:name="page33"/>
    <w:bookmarkEnd w:id="32"/>
    <w:p>
      <w:pPr>
        <w:ind w:left="500" w:right="180" w:hanging="492"/>
        <w:spacing w:after="0" w:line="291"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March 31, 2016, none of the available borrowing capacity could be used based on the amount of eligible collateral that had been pledged.</w:t>
      </w: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1-Month LIBOR was 0.44% and 0.43% at March 31, 2016 and December 31, 2015, respectively.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a ceiling of 75 bps for 1 ML in determining the interest rate for these variable rate notes.</w:t>
      </w:r>
    </w:p>
    <w:p>
      <w:pPr>
        <w:spacing w:after="0" w:line="9" w:lineRule="exact"/>
        <w:rPr>
          <w:rFonts w:ascii="Arial" w:cs="Arial" w:eastAsia="Arial" w:hAnsi="Arial"/>
          <w:sz w:val="18"/>
          <w:szCs w:val="18"/>
          <w:color w:val="auto"/>
        </w:rPr>
      </w:pPr>
    </w:p>
    <w:p>
      <w:pPr>
        <w:jc w:val="both"/>
        <w:ind w:left="500" w:right="18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terms of the agreement, we must continue to borrow the full amount of the Series 2015-T1, T2 and T3 Notes until the amortization date. If there is insufficient collateral to support the level of borrowing, the excess cash proceeds are not distributed to Ocwen but are held by the trustee, and interest expense continues to be based on the full amount of the term notes.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31, 2016, the maximum borrowing under the OSART III facility was increased to $90.0 million.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31, 2016, the combined borrowing capacity of the Series 2015-VF1 Notes was increased to $160.0 million.</w:t>
      </w:r>
    </w:p>
    <w:p>
      <w:pPr>
        <w:spacing w:after="0" w:line="10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Pursuant to our agreements with NRZ, NRZ has assumed the obligation to fund new servicing advances with respect to the Rights to MSRs. We are dependent upon NRZ for financing of the servicing advance obligations for Rights to MSRs where we are the servicer. NRZ currently uses advance financing facilities in order to fund a substantial portion of the servicing advances that they are contractually obligated to make pursuant to our agreements with them. As of March 31, 2016, we were the servicer on Rights to MSRs sold to NRZ pertaining to approximately $132.7 billion in UPB and the associated outstanding servicing advances as of such date were approximately $4.9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7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580" w:type="dxa"/>
            <w:vAlign w:val="bottom"/>
            <w:gridSpan w:val="2"/>
          </w:tcPr>
          <w:p>
            <w:pPr>
              <w:ind w:left="178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523,503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541,704</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5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Secured Notes, Ocwen Asset Servicing Income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458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Series 2014-1 (2)</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88"/>
              </w:rPr>
              <w:t>Feb. 2028</w:t>
            </w: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93,217</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96,546</w:t>
            </w: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54,826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59,643</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671,546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697,893</w:t>
            </w:r>
          </w:p>
        </w:tc>
      </w:tr>
      <w:tr>
        <w:trPr>
          <w:trHeight w:val="291"/>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1ML + 248</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2,648,100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2,391,362</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3,319,646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3,089,255</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256"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financing liability arose in connection with the NRZ/HLSS Transactions and has no contractual maturity or repayment schedule. The balance of the liability is adjusted each reporting period to its fair value based on the present value of the estimated future cash flows underlying the related MSRs.</w:t>
      </w:r>
    </w:p>
    <w:p>
      <w:pPr>
        <w:ind w:left="500" w:right="60" w:hanging="492"/>
        <w:spacing w:after="0" w:line="265"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sales of advances in 2014 did not qualify for sales accounting treatment and were accounted for as a financing.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ind w:left="500" w:right="2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amounts due to the holders of beneficial interests in Ginnie Mae guaranteed HMBS. The beneficial interests have no maturity dates, and the borrowings mature as the related loans are repaid.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secured borrowings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Borrowings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Capacity</w:t>
            </w: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rate + 425 bps with 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SSTL (1)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125 bps (1)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379,895</w:t>
            </w:r>
          </w:p>
        </w:tc>
        <w:tc>
          <w:tcPr>
            <w:tcW w:w="1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398,454</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+ 200 - 345</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5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Repurchase agreement (2)</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sale (LHFS)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2"/>
              </w:rPr>
              <w:t>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15,549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34,451</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42,973</w:t>
            </w:r>
          </w:p>
        </w:tc>
      </w:tr>
      <w:tr>
        <w:trPr>
          <w:trHeight w:val="237"/>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414,346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441,427</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26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5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4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46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Lending:</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(3)</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+ 200 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2016</w:t>
            </w: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70,238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129,762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156,226</w:t>
            </w:r>
          </w:p>
        </w:tc>
      </w:tr>
      <w:tr>
        <w:trPr>
          <w:trHeight w:val="243"/>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 (4)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 2016 (4)</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28,824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49,897</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Participation agreement (5)</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Apr. 2016 (5)</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115,107</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73,049</w:t>
            </w:r>
          </w:p>
        </w:tc>
      </w:tr>
      <w:tr>
        <w:trPr>
          <w:trHeight w:val="229"/>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9"/>
              </w:rPr>
              <w:t>Mortgage warehouse agreement</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floor of 350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2016</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63,175</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5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(7)</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25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Jan. 2017</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48,742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51,258</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118,980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324,951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342,347</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26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5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4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46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r>
      <w:tr>
        <w:trPr>
          <w:trHeight w:val="243"/>
        </w:trPr>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134,529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739,297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783,774</w:t>
            </w:r>
          </w:p>
        </w:tc>
      </w:tr>
      <w:tr>
        <w:trPr>
          <w:trHeight w:val="27"/>
        </w:trPr>
        <w:tc>
          <w:tcPr>
            <w:tcW w:w="26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Unamortized debt issuance costs - SSTL</w:t>
            </w: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(19,321)</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(20,012)</w:t>
            </w: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Discount - SSTL</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(1,351)</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134,529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718,830</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762,411</w:t>
            </w:r>
          </w:p>
        </w:tc>
      </w:tr>
      <w:tr>
        <w:trPr>
          <w:trHeight w:val="20"/>
        </w:trPr>
        <w:tc>
          <w:tcPr>
            <w:tcW w:w="26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6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spacing w:after="0"/>
              <w:rPr>
                <w:sz w:val="22"/>
                <w:szCs w:val="22"/>
                <w:color w:val="auto"/>
              </w:rPr>
            </w:pP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88"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3.25% and subject to a base rate floor of 2.25% or</w:t>
      </w:r>
    </w:p>
    <w:p>
      <w:pPr>
        <w:ind w:left="500" w:right="80"/>
        <w:spacing w:after="0" w:line="261" w:lineRule="auto"/>
        <w:rPr>
          <w:rFonts w:ascii="Arial" w:cs="Arial" w:eastAsia="Arial" w:hAnsi="Arial"/>
          <w:sz w:val="16"/>
          <w:szCs w:val="16"/>
          <w:color w:val="auto"/>
        </w:rPr>
      </w:pPr>
      <w:r>
        <w:rPr>
          <w:rFonts w:ascii="Arial" w:cs="Arial" w:eastAsia="Arial" w:hAnsi="Arial"/>
          <w:sz w:val="18"/>
          <w:szCs w:val="18"/>
          <w:color w:val="auto"/>
        </w:rPr>
        <w:t>(b) the one month Eurodollar rate, plus a margin of 4.25% and subject to a one month Eurodollar floor of 1.25%. To date we have elected option (b) to determine the interest rate.</w:t>
      </w:r>
    </w:p>
    <w:p>
      <w:pPr>
        <w:spacing w:after="0" w:line="76" w:lineRule="exact"/>
        <w:rPr>
          <w:sz w:val="20"/>
          <w:szCs w:val="20"/>
          <w:color w:val="auto"/>
        </w:rPr>
      </w:pPr>
    </w:p>
    <w:p>
      <w:pPr>
        <w:ind w:left="500" w:right="860"/>
        <w:spacing w:after="0" w:line="277" w:lineRule="auto"/>
        <w:rPr>
          <w:sz w:val="20"/>
          <w:szCs w:val="20"/>
          <w:color w:val="auto"/>
        </w:rPr>
      </w:pPr>
      <w:r>
        <w:rPr>
          <w:rFonts w:ascii="Arial" w:cs="Arial" w:eastAsia="Arial" w:hAnsi="Arial"/>
          <w:sz w:val="18"/>
          <w:szCs w:val="18"/>
          <w:color w:val="auto"/>
        </w:rPr>
        <w:t>We entered into Amendment No. 5 to Senior Secured Term Loan Facility Agreement (the Amendment) effective as of March 28, 2016. The Amendment, among other things:</w:t>
      </w:r>
    </w:p>
    <w:p>
      <w:pPr>
        <w:spacing w:after="0" w:line="8" w:lineRule="exact"/>
        <w:rPr>
          <w:sz w:val="20"/>
          <w:szCs w:val="20"/>
          <w:color w:val="auto"/>
        </w:rPr>
      </w:pPr>
    </w:p>
    <w:p>
      <w:pPr>
        <w:ind w:left="820" w:right="500" w:hanging="326"/>
        <w:spacing w:after="0" w:line="258"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permanently removes the consolidated total debt to consolidated tangible net worth ratio, corporate leverage ratio and interest coverage ratio financial covenants;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maintains the loan-to-value ratio covenant at its current 40% level throughout the remaining term of the SSTL;</w:t>
      </w:r>
    </w:p>
    <w:p>
      <w:pPr>
        <w:spacing w:after="0" w:line="9" w:lineRule="exact"/>
        <w:rPr>
          <w:rFonts w:ascii="Arial" w:cs="Arial" w:eastAsia="Arial" w:hAnsi="Arial"/>
          <w:sz w:val="18"/>
          <w:szCs w:val="18"/>
          <w:color w:val="auto"/>
        </w:rPr>
      </w:pPr>
    </w:p>
    <w:p>
      <w:pPr>
        <w:ind w:left="820" w:right="180" w:hanging="326"/>
        <w:spacing w:after="0" w:line="290"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limits the repurchase of Ocwen’s common stock or options to an amount not to exceed the sum of (i) $20 million plus (ii) an amount equal to (x) $20 million times (y) the aggregate amount of prepayments on the SSTL made after March 28, 2016 divided by $50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ind w:left="820" w:right="440" w:hanging="326"/>
        <w:spacing w:after="0" w:line="256"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limits the repurchase of Ocwen’s 6.625% Senior Notes (the Senior Unsecured Notes) due 2019 to an amount not to exceed the sum of (i) $30 million plus (ii) an amount equal to (x) $30 million times (y) the aggregate amount of prepayments on the SSTL made after March 28, 2016 divided by $50 million;</w:t>
      </w:r>
    </w:p>
    <w:p>
      <w:pPr>
        <w:ind w:left="820" w:right="200" w:hanging="326"/>
        <w:spacing w:after="0" w:line="250"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requires that we make a prepayment on the SSTL in an amount equal to $6.3 million (for a total of $19.0 million) on each of May 31, 2016, July 29, 2016 and September 30, 2016; and</w:t>
      </w:r>
    </w:p>
    <w:p>
      <w:pPr>
        <w:ind w:left="820" w:hanging="326"/>
        <w:spacing w:after="0"/>
        <w:tabs>
          <w:tab w:leader="none" w:pos="8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provides for a fee payable to the consenting lenders equal to 1.0% of the aggregate amount of such consenting lenders’ SSTL loans outstanding.</w:t>
      </w:r>
    </w:p>
    <w:p>
      <w:pPr>
        <w:spacing w:after="0" w:line="32"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maximum borrowing under this facility is limited to the lesser of $100.0 million or $550.0 million less the lender’s current lending to Ocwen under advance funding facilities. Fifty percent of the maximum borrowing is available on a committed basis and fifty percent is available at the discretion of the lender.</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$200.0 million.</w:t>
      </w:r>
    </w:p>
    <w:p>
      <w:pPr>
        <w:spacing w:after="0" w:line="9"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11, 2016, we negotiated an extension of this agreement to May 15, 2016 and reduced the maximum borrowing to $75.0 million.</w:t>
      </w:r>
    </w:p>
    <w:p>
      <w:pPr>
        <w:spacing w:after="0" w:line="2"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for $150.0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11, 2016, we negotiated an extension of this agreement to May 15, 2016 and increased the maximum borrowing to $175.0 million.</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Borrowing capacity of $100.0 million under this facility is available at the discretion of the lender.</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entered into this agreement on January 5, 2016. The lender provides financing on a committed basis for $100.0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May 12, 2014, Ocwen completed the issuance and sale of $350.0 million of its Senior Unsecured Notes in a private offering. The Senior Unsecured Notes are general senior unsecured obligations of Ocwen and will mature on May 15, 2019. Interest is payable semi-annually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and November 15</w:t>
      </w:r>
      <w:r>
        <w:rPr>
          <w:rFonts w:ascii="Arial" w:cs="Arial" w:eastAsia="Arial" w:hAnsi="Arial"/>
          <w:sz w:val="18"/>
          <w:szCs w:val="18"/>
          <w:color w:val="auto"/>
          <w:vertAlign w:val="superscript"/>
        </w:rPr>
        <w:t>th</w:t>
      </w:r>
      <w:r>
        <w:rPr>
          <w:rFonts w:ascii="Arial" w:cs="Arial" w:eastAsia="Arial" w:hAnsi="Arial"/>
          <w:sz w:val="18"/>
          <w:szCs w:val="18"/>
          <w:color w:val="auto"/>
        </w:rPr>
        <w:t>. The Senior Unsecured Notes are not guaranteed by any of Ocwen’s subsidiaries.</w:t>
      </w:r>
    </w:p>
    <w:p>
      <w:pPr>
        <w:spacing w:after="0" w:line="1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In connection with our issuance of the Senior Unsecured Notes, we incurred certain costs that we capitalized and are amortizing over the period from the date of issuance to May 15, 2019. The balances of Senior Unsecured Notes as reported on our Unaudited Consolidated Balance Sheets are net of unamortized debt issuance costs of $4.2 million and $4.5 million at March 31, 2016 and December 31, 2015,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specified loan to collateral value ratio, as defined under our SSTL;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and OLS levels.</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of the Amendment of our SSTL in March 2016, the interest coverage ratio, corporate leverage ratio and consolidated total debt to consolidated tangible net worth financial covenants have been removed.</w:t>
      </w:r>
    </w:p>
    <w:p>
      <w:pPr>
        <w:spacing w:after="0" w:line="62"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As of March 31, 2016, the most restrictive consolidated tangible net worth requirements were for a minimum of $1.1 billion at OLS under our match funded debt agreements and a repurchase agreement (Servicing) and $600.0 million at Ocwen under a master repurchase agreement (Lending).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316,002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178,046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188,856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48,328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36,615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26,290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14,301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Accrued interest payable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9,496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116,310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93,329</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747,223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744,444</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72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the Ginnie Mae EBO Transactions, we have re-recognized certain loans on our consolidated balance sheets and establish a corresponding repurchase liability regardless of our intention to repurchase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three months ended March 31,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Forward MBS</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Trades</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Caps</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278,317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1,460,093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1,100,531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(400,000)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(1,017,006)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(241,099)</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(514,460)</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(50,000)</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480,305</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826,393</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1,685,000</w:t>
            </w:r>
          </w:p>
        </w:tc>
      </w:tr>
      <w:tr>
        <w:trPr>
          <w:trHeight w:val="28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March 31, 2016</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13,545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December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229"/>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Apr. 2016 - Jun.</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1"/>
              </w:rPr>
              <w:t>Nov. 2016 - Dec.</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Maturity</w:t>
            </w: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2016</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r>
    </w:tbl>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operations in India and the Philippines expose us to foreign currency exchange rate risk, but we currently consider this risk to be insignificant.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that is used in determining the interest rate on the debt. We currently do not hedge our fixed rate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7" w:name="page38"/>
    <w:bookmarkEnd w:id="37"/>
    <w:p>
      <w:pPr>
        <w:ind w:right="20" w:firstLine="324"/>
        <w:spacing w:after="0" w:line="308" w:lineRule="auto"/>
        <w:rPr>
          <w:sz w:val="20"/>
          <w:szCs w:val="20"/>
          <w:color w:val="auto"/>
        </w:rPr>
      </w:pPr>
      <w:r>
        <w:rPr>
          <w:rFonts w:ascii="Arial" w:cs="Arial" w:eastAsia="Arial" w:hAnsi="Arial"/>
          <w:sz w:val="17"/>
          <w:szCs w:val="17"/>
          <w:color w:val="auto"/>
        </w:rPr>
        <w:t>The following summarizes our open derivative positions at March 31, 2016 and the gains (losses) on all derivatives used in each of the identified hedging programs for the period then ended. None of the derivatives was designated as a hedge for accounting purposes at March 31, 2016:</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16"/>
        </w:trPr>
        <w:tc>
          <w:tcPr>
            <w:tcW w:w="38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3880" w:type="dxa"/>
            <w:vAlign w:val="bottom"/>
          </w:tcPr>
          <w:p>
            <w:pPr>
              <w:ind w:left="1640"/>
              <w:spacing w:after="0"/>
              <w:rPr>
                <w:sz w:val="20"/>
                <w:szCs w:val="20"/>
                <w:color w:val="auto"/>
              </w:rPr>
            </w:pPr>
            <w:r>
              <w:rPr>
                <w:rFonts w:ascii="Arial" w:cs="Arial" w:eastAsia="Arial" w:hAnsi="Arial"/>
                <w:sz w:val="18"/>
                <w:szCs w:val="18"/>
                <w:b w:val="1"/>
                <w:bCs w:val="1"/>
                <w:color w:val="auto"/>
              </w:rPr>
              <w:t>Purpose</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Notional 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(1)</w:t>
            </w:r>
          </w:p>
        </w:tc>
        <w:tc>
          <w:tcPr>
            <w:tcW w:w="1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Gains / (Losses)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3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Interest rate risk of borrowings</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388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Nov. 2016 -</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Interest rate caps (2)</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1,685,000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Other, net</w:t>
            </w:r>
          </w:p>
        </w:tc>
      </w:tr>
      <w:tr>
        <w:trPr>
          <w:trHeight w:val="27"/>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2"/>
              </w:rPr>
              <w:t>Interest rate risk of mortgage loans held for sale</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and of IRLCs</w:t>
            </w: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29"/>
        </w:trPr>
        <w:tc>
          <w:tcPr>
            <w:tcW w:w="3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Forward MBS trades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2016</w:t>
            </w:r>
          </w:p>
        </w:tc>
        <w:tc>
          <w:tcPr>
            <w:tcW w:w="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826,393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for sale, net</w:t>
            </w:r>
          </w:p>
        </w:tc>
      </w:tr>
      <w:tr>
        <w:trPr>
          <w:trHeight w:val="27"/>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388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Apr. 2016 -</w:t>
            </w: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57"/>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2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2016</w:t>
            </w:r>
          </w:p>
        </w:tc>
        <w:tc>
          <w:tcPr>
            <w:tcW w:w="40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480,305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13,545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for sale, net</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 derivatives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Derivatives are reported at fair value in Other assets or in Other liabilities on our Unaudited Consolidated Balance Sheets.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hedge the effect of changes in 1ML on advance funding facilities.</w:t>
      </w:r>
    </w:p>
    <w:p>
      <w:pPr>
        <w:spacing w:after="0" w:line="103" w:lineRule="exact"/>
        <w:rPr>
          <w:sz w:val="20"/>
          <w:szCs w:val="20"/>
          <w:color w:val="auto"/>
        </w:rPr>
      </w:pPr>
    </w:p>
    <w:p>
      <w:pPr>
        <w:ind w:left="60" w:right="220" w:firstLine="324"/>
        <w:spacing w:after="0" w:line="264" w:lineRule="auto"/>
        <w:rPr>
          <w:sz w:val="20"/>
          <w:szCs w:val="20"/>
          <w:color w:val="auto"/>
        </w:rPr>
      </w:pPr>
      <w:r>
        <w:rPr>
          <w:rFonts w:ascii="Arial" w:cs="Arial" w:eastAsia="Arial" w:hAnsi="Arial"/>
          <w:sz w:val="18"/>
          <w:szCs w:val="18"/>
          <w:color w:val="auto"/>
        </w:rPr>
        <w:t>Included in Accumulated other comprehensive loss (AOCL) at March 31, 2016 and 2015, respectively, were $1.6 million and $8.3 million of deferred unrealized losses, before taxes of $0.1 million and $0.5 million, respectively, on interest rate swaps that we designated as cash flow hedges. Changes in AOCL during the three months ended March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1,763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r>
      <w:tr>
        <w:trPr>
          <w:trHeight w:val="183"/>
        </w:trPr>
        <w:tc>
          <w:tcPr>
            <w:tcW w:w="83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 earnings</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9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accumulated losses on cash flow hedges, net of taxes</w:t>
            </w:r>
          </w:p>
        </w:tc>
        <w:tc>
          <w:tcPr>
            <w:tcW w:w="96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(418)</w:t>
            </w:r>
          </w:p>
        </w:tc>
      </w:tr>
      <w:tr>
        <w:trPr>
          <w:trHeight w:val="183"/>
        </w:trPr>
        <w:tc>
          <w:tcPr>
            <w:tcW w:w="83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960" w:type="dxa"/>
            <w:vAlign w:val="bottom"/>
            <w:tcBorders>
              <w:bottom w:val="single" w:sz="8" w:color="auto"/>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1,658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7,995</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As of March 31, 2016, amortization of accumulated losses on cash flow hedges from AOCL to Other income (expense), net is projected to be $0.3 million during the next twelve months. To the extent we sell the MSRs to which the accumulated losses on cash flow hedges applied, a proportionate amount of the remaining unamortized accumulated losses associated with the MSRs sold is recognized in earnings at that time.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Losses on economic hedges</w:t>
            </w:r>
          </w:p>
        </w:tc>
        <w:tc>
          <w:tcPr>
            <w:tcW w:w="3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8"/>
              </w:rPr>
              <w:t>Write-off of losses in AOCL for a discontinued hedge relationship</w:t>
            </w:r>
          </w:p>
        </w:tc>
        <w:tc>
          <w:tcPr>
            <w:tcW w:w="30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vMerge w:val="restart"/>
          </w:tcPr>
          <w:p>
            <w:pPr>
              <w:jc w:val="right"/>
              <w:ind w:right="2450"/>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14 – Interest Expense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w w:val="97"/>
              </w:rPr>
              <w:t>The following table presents the components of interest expense for the three months ended March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67,707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73,824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6.625% Senior unsecured notes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106,089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119,396</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interest expense related to financing liabilities recorded in connection with the NRZ/HLSS Transactions as indicated in the table below.</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7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Servicing fees collected on behalf of NRZ/HLSS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162,129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180,297</w:t>
            </w:r>
          </w:p>
        </w:tc>
      </w:tr>
      <w:tr>
        <w:trPr>
          <w:trHeight w:val="27"/>
        </w:trPr>
        <w:tc>
          <w:tcPr>
            <w:tcW w:w="7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84,370</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91,214</w:t>
            </w:r>
          </w:p>
        </w:tc>
      </w:tr>
      <w:tr>
        <w:trPr>
          <w:trHeight w:val="237"/>
        </w:trPr>
        <w:tc>
          <w:tcPr>
            <w:tcW w:w="7340" w:type="dxa"/>
            <w:vAlign w:val="bottom"/>
          </w:tcPr>
          <w:p>
            <w:pPr>
              <w:ind w:left="260"/>
              <w:spacing w:after="0"/>
              <w:rPr>
                <w:sz w:val="20"/>
                <w:szCs w:val="20"/>
                <w:color w:val="auto"/>
              </w:rPr>
            </w:pPr>
            <w:r>
              <w:rPr>
                <w:rFonts w:ascii="Arial" w:cs="Arial" w:eastAsia="Arial" w:hAnsi="Arial"/>
                <w:sz w:val="18"/>
                <w:szCs w:val="18"/>
                <w:color w:val="auto"/>
              </w:rPr>
              <w:t>Net servicing fees remitted to NRZ/HLSS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77,759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89,083</w:t>
            </w:r>
          </w:p>
        </w:tc>
      </w:tr>
      <w:tr>
        <w:trPr>
          <w:trHeight w:val="27"/>
        </w:trPr>
        <w:tc>
          <w:tcPr>
            <w:tcW w:w="7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Less: Reduction in financing liability</w:t>
            </w: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18,201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17,723</w:t>
            </w:r>
          </w:p>
        </w:tc>
      </w:tr>
      <w:tr>
        <w:trPr>
          <w:trHeight w:val="257"/>
        </w:trPr>
        <w:tc>
          <w:tcPr>
            <w:tcW w:w="7340" w:type="dxa"/>
            <w:vAlign w:val="bottom"/>
          </w:tcPr>
          <w:p>
            <w:pPr>
              <w:ind w:left="260"/>
              <w:spacing w:after="0"/>
              <w:rPr>
                <w:sz w:val="20"/>
                <w:szCs w:val="20"/>
                <w:color w:val="auto"/>
              </w:rPr>
            </w:pPr>
            <w:r>
              <w:rPr>
                <w:rFonts w:ascii="Arial" w:cs="Arial" w:eastAsia="Arial" w:hAnsi="Arial"/>
                <w:sz w:val="18"/>
                <w:szCs w:val="18"/>
                <w:color w:val="auto"/>
              </w:rPr>
              <w:t>Interest expense on NRZ/HLSS financing liability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59,558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71,360</w:t>
            </w:r>
          </w:p>
        </w:tc>
      </w:tr>
      <w:tr>
        <w:trPr>
          <w:trHeight w:val="20"/>
        </w:trPr>
        <w:tc>
          <w:tcPr>
            <w:tcW w:w="7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The reduction in the financing liability does not include reimbursements to NRZ/HLSS for the loss of servicing revenues when we were terminated as servicer and where the related Rights to MSRs had been sold to HLSS.</w:t>
      </w:r>
    </w:p>
    <w:p>
      <w:pPr>
        <w:spacing w:after="0" w:line="170" w:lineRule="exact"/>
        <w:rPr>
          <w:sz w:val="20"/>
          <w:szCs w:val="20"/>
          <w:color w:val="auto"/>
        </w:rPr>
      </w:pPr>
    </w:p>
    <w:p>
      <w:pPr>
        <w:ind w:left="500" w:right="100" w:hanging="492"/>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$6.2 million of fees incurred during the three months ended March 31, 2016 in connection with our agreement to compensate NRZ/HLSS for certain increased costs associated with its servicing advance financing facilities that are the direct result of a downgrade of our S&amp;P servicer rating.</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15 – Basic and Diluted Earnings per Share</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Basic earnings per share excludes common stock equivalents and is calculated by dividing net income attributable to Ocwen common stockholders by the weighted average number of common shares outstanding during the year. We calculate diluted earnings per share by dividing net income attributable to Ocwen by the weighted average number of common shares outstanding, including the potential dilutive common shares related to outstanding stock options and restricted stock awards. The following is a reconciliation of the calculation of basic earnings per share to diluted earnings per share for the three months ended March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gridSpan w:val="4"/>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4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5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Net income (loss) attributable to Ocwen common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(111,331)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124,093,339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125,272,228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Basic earnings (loss) per share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4"/>
            <w:shd w:val="clear" w:color="auto" w:fill="EAF9E8"/>
          </w:tcPr>
          <w:p>
            <w:pPr>
              <w:ind w:left="40"/>
              <w:spacing w:after="0" w:line="202" w:lineRule="exact"/>
              <w:rPr>
                <w:sz w:val="20"/>
                <w:szCs w:val="20"/>
                <w:color w:val="auto"/>
              </w:rPr>
            </w:pPr>
            <w:r>
              <w:rPr>
                <w:rFonts w:ascii="Arial" w:cs="Arial" w:eastAsia="Arial" w:hAnsi="Arial"/>
                <w:sz w:val="18"/>
                <w:szCs w:val="18"/>
                <w:color w:val="auto"/>
              </w:rPr>
              <w:t>Diluted earnings (loss) per share (1):</w:t>
            </w: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800" w:type="dxa"/>
            <w:vAlign w:val="bottom"/>
            <w:tcBorders>
              <w:top w:val="single" w:sz="8" w:color="auto"/>
            </w:tcBorders>
            <w:shd w:val="clear" w:color="auto" w:fill="EAF9E8"/>
          </w:tcPr>
          <w:p>
            <w:pPr>
              <w:spacing w:after="0"/>
              <w:rPr>
                <w:sz w:val="4"/>
                <w:szCs w:val="4"/>
                <w:color w:val="auto"/>
              </w:rPr>
            </w:pPr>
          </w:p>
        </w:tc>
        <w:tc>
          <w:tcPr>
            <w:tcW w:w="840" w:type="dxa"/>
            <w:vAlign w:val="bottom"/>
            <w:tcBorders>
              <w:top w:val="single" w:sz="8" w:color="auto"/>
            </w:tcBorders>
            <w:shd w:val="clear" w:color="auto" w:fill="EAF9E8"/>
          </w:tcPr>
          <w:p>
            <w:pPr>
              <w:spacing w:after="0"/>
              <w:rPr>
                <w:sz w:val="4"/>
                <w:szCs w:val="4"/>
                <w:color w:val="auto"/>
              </w:rPr>
            </w:pPr>
          </w:p>
        </w:tc>
        <w:tc>
          <w:tcPr>
            <w:tcW w:w="566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830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Net income (loss) attributable to Ocwen common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(111,331)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56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124,093,339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125,272,228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Effect of dilutive elements (1):</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83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97"/>
        </w:trPr>
        <w:tc>
          <w:tcPr>
            <w:tcW w:w="40" w:type="dxa"/>
            <w:vAlign w:val="bottom"/>
            <w:tcBorders>
              <w:bottom w:val="single" w:sz="8" w:color="EAF9E8"/>
            </w:tcBorders>
          </w:tcPr>
          <w:p>
            <w:pPr>
              <w:spacing w:after="0"/>
              <w:rPr>
                <w:sz w:val="24"/>
                <w:szCs w:val="24"/>
                <w:color w:val="auto"/>
              </w:rPr>
            </w:pPr>
          </w:p>
        </w:tc>
        <w:tc>
          <w:tcPr>
            <w:tcW w:w="830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124,093,339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126,999,662</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56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830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56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Stock options and common stock awards excluded from the computation of diluted earnings per share: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(2)</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6,985,914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2,010,902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Market-based (3)</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2,080,938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851,263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00" w:right="180" w:hanging="492"/>
        <w:spacing w:after="0" w:line="258"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three months ended March 31, 2016, we have excluded the effect of stock options and common stock awards from the computation of diluted earnings per share because of the anti-dilutive effect of our reported net loss.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40" w:name="page41"/>
    <w:bookmarkEnd w:id="40"/>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that are not directly related to other reportable segments,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that are individually insignificant, interest income on short-term investments of cash, interest expense on corporate debt and certain corporate expenses. New business activities that are currently insignificant include providing secured floor plan lending to used car dealerships and providing financing to investors to purchase single-family homes and apartments for lease. Business activities not currently considered to be of continuing significance include residential subprime non-Agency loans held for sale (at lower of cost or fair value), investments in residential mortgage-backed securities and affordable housing investment activities.</w:t>
      </w:r>
    </w:p>
    <w:p>
      <w:pPr>
        <w:spacing w:after="0" w:line="8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March 31, 2016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307,427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23,285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276,896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29,962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328,657</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4,190</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(96,474)</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(106,089)</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(3,501)</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(104,225)</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70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(68,258)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(35,867)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(102,125)</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2800" w:type="dxa"/>
            <w:vAlign w:val="bottom"/>
            <w:tcBorders>
              <w:top w:val="single" w:sz="8" w:color="EAF9E8"/>
            </w:tcBorders>
            <w:shd w:val="clear" w:color="auto" w:fill="EAF9E8"/>
          </w:tcPr>
          <w:p>
            <w:pPr>
              <w:spacing w:after="0"/>
              <w:rPr>
                <w:sz w:val="14"/>
                <w:szCs w:val="14"/>
                <w:color w:val="auto"/>
              </w:rPr>
            </w:pPr>
          </w:p>
        </w:tc>
        <w:tc>
          <w:tcPr>
            <w:tcW w:w="70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March 31,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471,125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37,746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510,444</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337,911</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23,785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16,697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378,358</w:t>
            </w:r>
          </w:p>
        </w:tc>
      </w:tr>
      <w:tr>
        <w:trPr>
          <w:trHeight w:val="264"/>
        </w:trPr>
        <w:tc>
          <w:tcPr>
            <w:tcW w:w="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5,575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(110,629)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(119,396)</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26,406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26,406</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(1,842)</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(89,257)</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70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46,722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(19,876)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42,829</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March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3,807,685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3,116,531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482,894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7,407,110</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December 31,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4,089,064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2,811,154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7,380,308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March 31,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5,706,301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2,165,742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481,919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8,353,962</w:t>
            </w:r>
          </w:p>
        </w:tc>
      </w:tr>
    </w:tbl>
    <w:p>
      <w:pPr>
        <w:spacing w:after="0" w:line="121" w:lineRule="exact"/>
        <w:rPr>
          <w:sz w:val="20"/>
          <w:szCs w:val="20"/>
          <w:color w:val="auto"/>
        </w:rPr>
      </w:pPr>
    </w:p>
    <w:p>
      <w:pPr>
        <w:ind w:left="500" w:right="8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24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March 31, 2016</w:t>
            </w:r>
          </w:p>
        </w:tc>
        <w:tc>
          <w:tcPr>
            <w:tcW w:w="2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5,039</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12,725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12,806</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3,277</w:t>
            </w:r>
          </w:p>
        </w:tc>
      </w:tr>
      <w:tr>
        <w:trPr>
          <w:trHeight w:val="297"/>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March 31, 2015</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4,344</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38,405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38,494</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24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3,755</w:t>
            </w:r>
          </w:p>
        </w:tc>
      </w:tr>
      <w:tr>
        <w:trPr>
          <w:trHeight w:val="27"/>
        </w:trPr>
        <w:tc>
          <w:tcPr>
            <w:tcW w:w="42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Regulatory Requirements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Consumer Financial Protection Bureau (CFPB), the Department of Housing and Urban Development (HUD), the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current regulatory environment, we have faced and expect to continue to face increased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(viii) inability to execute on our business strategy.</w:t>
      </w:r>
    </w:p>
    <w:p>
      <w:pPr>
        <w:spacing w:after="0" w:line="7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the Dodd-Frank Wall Street Reform and Consumer Protection Act and state foreclosure laws. These statutes apply to many facets of our</w:t>
      </w:r>
    </w:p>
    <w:p>
      <w:pPr>
        <w:sectPr>
          <w:pgSz w:w="11900" w:h="16838" w:orient="portrait"/>
          <w:cols w:equalWidth="0" w:num="1">
            <w:col w:w="11420"/>
          </w:cols>
          <w:pgMar w:left="240" w:top="85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850" w:right="239" w:bottom="1440" w:gutter="0" w:footer="0" w:header="0"/>
          <w:type w:val="continuous"/>
        </w:sectPr>
      </w:pPr>
    </w:p>
    <w:bookmarkStart w:id="42" w:name="page43"/>
    <w:bookmarkEnd w:id="42"/>
    <w:p>
      <w:pPr>
        <w:ind w:right="260"/>
        <w:spacing w:after="0" w:line="276" w:lineRule="auto"/>
        <w:rPr>
          <w:sz w:val="20"/>
          <w:szCs w:val="20"/>
          <w:color w:val="auto"/>
        </w:rPr>
      </w:pPr>
      <w:r>
        <w:rPr>
          <w:rFonts w:ascii="Arial" w:cs="Arial" w:eastAsia="Arial" w:hAnsi="Arial"/>
          <w:sz w:val="17"/>
          <w:szCs w:val="17"/>
          <w:color w:val="auto"/>
        </w:rPr>
        <w:t>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6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CFPB directly affects the regulation of residential mortgage servicing in a number of ways. First, the CFPB has rule making authority with respect to many of the federal consumer protection laws applicable to mortgage servicers,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 Ocwen is currently in receipt of several Civil Investigative Demands or investigative subpoenas from the CFPB seeking information about our servicing practices. If the CFPB were to bring an enforcement action against us, the resolutions of such action could have a material adverse impact on our business, reputation, financial condition and results of operations.</w:t>
      </w:r>
    </w:p>
    <w:p>
      <w:pPr>
        <w:spacing w:after="0" w:line="166"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OLS, Homeward and Liberty subsidiaries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Our licensed entities are also subject to minimum net worth requirements in connection with these licenses. These minimum net worth requirements are unique to each state and type of license. Failure to meet these minimum net worth requirements or to satisfy any of the other requirements to which our licensed subsidiaries are subject could result in a variety of regulatory actions ranging from a fine, a directive requiring a certain step to be taken, a suspension or ultimately a revocation of a license, any of which could have an adverse impact on our results of operations and financial condition. The most restrictive of these net worth requirements is based on the outstanding UPB of the owned and subserviced portfolio of OLS and was $513.1 million at March 31, 2016. We believe our licensed subsidiaries are currently in compliance with all of their capital requirements.</w:t>
      </w:r>
    </w:p>
    <w:p>
      <w:pPr>
        <w:spacing w:after="0" w:line="5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March 31, 2016. Our non-Agency servicing agreements also contain requirements regarding servicing practices and other matters, and a failure to comply with these requirements could have an adverse impact on our business.</w:t>
      </w:r>
    </w:p>
    <w:p>
      <w:pPr>
        <w:spacing w:after="0" w:line="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will be required to devote time and resources to ensuring compliance and engaging with such regulators in connection with any future transfers of mortgage servicing, including in connection with our announced asset sales.</w:t>
      </w:r>
    </w:p>
    <w:p>
      <w:pPr>
        <w:spacing w:after="0" w:line="18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92"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18 —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originated floating-rate reverse mortgage loans under which the borrowers have additional borrowing capacity of $986.5 million at March 31, 2016. This additional borrowing capacity is available on a scheduled or unscheduled payment basis. We also had short-term commitments to lend $471.2 million and $9.2 million in connection with our forward and reverse mortgage loan interest rate lock commitments, respectively, outstanding at March 31, 2016.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is currently dependent on many of the services and products provided by Altisource Portfolio Solutions, S.A.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5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 A Data Access and Services Agreement under which we agreed to make available to Altisource certain data from Ocwen’s servicing portfolio in exchange for a per asset fee was terminated on March 31, 2015.</w:t>
      </w:r>
    </w:p>
    <w:p>
      <w:pPr>
        <w:spacing w:after="0" w:line="7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 Beginning April 1, 2015, the only services that are regularly provided under these Support Services Agreements are corporate services such as vendor procurement for technology and facilities management services. As of January 2016, Altisource no longer provides facility management services to Ocwen. We anticipate that we will cease all corporate services by the end of 2016.</w:t>
      </w:r>
    </w:p>
    <w:p>
      <w:pPr>
        <w:spacing w:after="0" w:line="81" w:lineRule="exact"/>
        <w:rPr>
          <w:sz w:val="20"/>
          <w:szCs w:val="20"/>
          <w:color w:val="auto"/>
        </w:rPr>
      </w:pPr>
    </w:p>
    <w:p>
      <w:pPr>
        <w:ind w:right="720" w:firstLine="324"/>
        <w:spacing w:after="0" w:line="264" w:lineRule="auto"/>
        <w:rPr>
          <w:sz w:val="20"/>
          <w:szCs w:val="20"/>
          <w:color w:val="auto"/>
        </w:rPr>
      </w:pPr>
      <w:r>
        <w:rPr>
          <w:rFonts w:ascii="Arial" w:cs="Arial" w:eastAsia="Arial" w:hAnsi="Arial"/>
          <w:sz w:val="18"/>
          <w:szCs w:val="18"/>
          <w:color w:val="auto"/>
        </w:rPr>
        <w:t>On December 21, 2012, we entered into a 15-year servicing agreement with Altisource Residential, L.P., the operating partnership of Altisource Residential Corporation (Residential), pursuant to which Ocwen will service residential mortgage loans acquired by Residential and provide loan modification, assisted deed-in-lieu, assisted deed-for-lease and other loss mitigation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Contingencies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7" w:right="239" w:bottom="1440" w:gutter="0" w:footer="0" w:header="0"/>
        </w:sectPr>
      </w:pPr>
    </w:p>
    <w:bookmarkStart w:id="44" w:name="page45"/>
    <w:bookmarkEnd w:id="44"/>
    <w:p>
      <w:pPr>
        <w:ind w:right="140"/>
        <w:spacing w:after="0" w:line="277" w:lineRule="auto"/>
        <w:rPr>
          <w:sz w:val="20"/>
          <w:szCs w:val="20"/>
          <w:color w:val="auto"/>
        </w:rPr>
      </w:pPr>
      <w:r>
        <w:rPr>
          <w:rFonts w:ascii="Arial" w:cs="Arial" w:eastAsia="Arial" w:hAnsi="Arial"/>
          <w:sz w:val="18"/>
          <w:szCs w:val="18"/>
          <w:color w:val="auto"/>
        </w:rPr>
        <w:t>inherently uncertain. The actual outcome could differ materially. Where we have retained external legal counsel or other professional advisers, such advisers assist us in making such assessments.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In the ordinary course of business, we are routinely a defendant in, or a party or potential party to, many threatened and pending legal proceedings, including proceedings brought on behalf of various classes of claimants, those brought derivatively on behalf of Ocwen against certain current or former officers and directors, and those brought under the False Claims Act by private citizens on behalf of the United States of America.</w:t>
      </w:r>
    </w:p>
    <w:p>
      <w:pPr>
        <w:spacing w:after="0" w:line="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claims related to our payment and other processing operations, and claims regarding certifications of our legal compliance related to our participation in certain government programs. In some of these proceedings, claims for substantial monetary damages are asserted against us. To address the claims in the small number of proceedings brought derivatively by purported shareholders, the independent directors of the Board have established a Special Litigation Committee to investigate the shareholders’ allegations.</w:t>
      </w:r>
    </w:p>
    <w:p>
      <w:pPr>
        <w:spacing w:after="0" w:line="8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Where we determine that a loss contingency is probable in connection with a pending or threatened legal proceeding and the amount of our losses can be reasonably estimated, we record an accrual for the losses. Excluding expenses of internal or external legal counsel, we have accrued $39.5 million as of March 31, 2016 for losses relating to threatened and pending litigation pertaining to our mortgage servicing practices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pertaining to our mortgage servicing practices that materially exceed the amount accrued. We cannot currently estimate the amount, if any, of reasonably possible losses above amounts that have been recorded at March 31, 2016.</w:t>
      </w:r>
    </w:p>
    <w:p>
      <w:pPr>
        <w:spacing w:after="0" w:line="89"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Following our announcement in August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were filed against Ocwen and certain of its officers and directors regarding such restatements and amendments. Those lawsuits have been consolidated and are pending in federal court in Florida. After Ocwen signed a Consent Order with the NYDFS in December 2014, the consolidated securities fraud class action complaint was amended to include allegations relating to that Consent Order and other matters. In January 2015, Ocwen was named as a defendant in a separate consolidated securities fraud class action that has been brought on behalf of a putative class of shareholders of Altisource Portfolio Solutions, S.A. (Altisource). In September 2015, the presiding federal court dismissed both of the above-referenced consolidated securities fraud class actions. Both of those actions have since been re-filed in federal court. On December 22, 2015, the presiding federal court dismissed the claims against Ocwen with prejudice in the above-referenced matter brought by the putative class of Altisource shareholders. On that same day, the presiding federal court dismissed in part the above-referenced matter brought by the putative class of Ocwen shareholders. In January 2016, Ocwen was named as a defendant in a separate securities action brought on behalf of certain putative shareholders of Ocwen.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and results of operations could be adversely affected.</w:t>
      </w:r>
    </w:p>
    <w:p>
      <w:pPr>
        <w:spacing w:after="0" w:line="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OFC, OLS, and Homeward are defendants in two qui tam actions pending in the United States District Court for the Eastern District of Texas, brought by private citizens on behalf of the United States under the False Claims Act (FCA): </w:t>
      </w:r>
      <w:r>
        <w:rPr>
          <w:rFonts w:ascii="Arial" w:cs="Arial" w:eastAsia="Arial" w:hAnsi="Arial"/>
          <w:sz w:val="17"/>
          <w:szCs w:val="17"/>
          <w:i w:val="1"/>
          <w:iCs w:val="1"/>
          <w:color w:val="auto"/>
        </w:rPr>
        <w:t>U.S. Ex rel. Fisher v. Homeward Residential, Inc.,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U.S. Ex rel.</w:t>
      </w:r>
      <w:r>
        <w:rPr>
          <w:rFonts w:ascii="Arial" w:cs="Arial" w:eastAsia="Arial" w:hAnsi="Arial"/>
          <w:sz w:val="17"/>
          <w:szCs w:val="17"/>
          <w:color w:val="auto"/>
        </w:rPr>
        <w:t xml:space="preserve"> </w:t>
      </w:r>
      <w:r>
        <w:rPr>
          <w:rFonts w:ascii="Arial" w:cs="Arial" w:eastAsia="Arial" w:hAnsi="Arial"/>
          <w:sz w:val="17"/>
          <w:szCs w:val="17"/>
          <w:i w:val="1"/>
          <w:iCs w:val="1"/>
          <w:color w:val="auto"/>
        </w:rPr>
        <w:t>Fisher v. Ocwen Loan Servicing, LLC, et al</w:t>
      </w:r>
      <w:r>
        <w:rPr>
          <w:rFonts w:ascii="Arial" w:cs="Arial" w:eastAsia="Arial" w:hAnsi="Arial"/>
          <w:sz w:val="17"/>
          <w:szCs w:val="17"/>
          <w:color w:val="auto"/>
        </w:rPr>
        <w:t>. On April 2, 2014, the United States declined to intervene in these actions, and the complaints were unsealed</w:t>
      </w:r>
      <w:r>
        <w:rPr>
          <w:rFonts w:ascii="Arial" w:cs="Arial" w:eastAsia="Arial" w:hAnsi="Arial"/>
          <w:sz w:val="17"/>
          <w:szCs w:val="17"/>
          <w:i w:val="1"/>
          <w:iCs w:val="1"/>
          <w:color w:val="auto"/>
        </w:rPr>
        <w:t xml:space="preserve"> </w:t>
      </w:r>
      <w:r>
        <w:rPr>
          <w:rFonts w:ascii="Arial" w:cs="Arial" w:eastAsia="Arial" w:hAnsi="Arial"/>
          <w:sz w:val="17"/>
          <w:szCs w:val="17"/>
          <w:color w:val="auto"/>
        </w:rPr>
        <w:t>shortly thereafter. The complaints allege in substance that Homeward and OLS violated the FCA by falsely certifying their compliance with applicable laws and regulations in connection with their respective participation in the United States Treasury’s HAMP and FHA insurance programs, thus rendering all HAMP incentive and FHA insurance payments on OLS- or Homeward-serviced loans false claims.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5" w:name="page46"/>
    <w:bookmarkEnd w:id="45"/>
    <w:p>
      <w:pPr>
        <w:ind w:right="20"/>
        <w:spacing w:after="0" w:line="255" w:lineRule="auto"/>
        <w:rPr>
          <w:sz w:val="20"/>
          <w:szCs w:val="20"/>
          <w:color w:val="auto"/>
        </w:rPr>
      </w:pPr>
      <w:r>
        <w:rPr>
          <w:rFonts w:ascii="Arial" w:cs="Arial" w:eastAsia="Arial" w:hAnsi="Arial"/>
          <w:sz w:val="18"/>
          <w:szCs w:val="18"/>
          <w:color w:val="auto"/>
        </w:rPr>
        <w:t>The complaints seek damages including (i) an award equal to three times the total HAMP incentive and FHA insurance payments made by the United States on OLS- or Homeward-serviced loans and (ii) statutory penalties of between $5,500 and $11,000 per alleged false claim. Discovery is ongoing, and the parties have each filed motions for summary judgment. Trial in the OLS action is scheduled for June 27, 2016 and trial in the Homeward action is scheduled for November 14, 2016. At this time, we are unable to predict the outcome of these lawsuits, the possible loss or range of loss, if any, associated with resolving these lawsuits or any potential impact they may have on us or our operations. OFC, OLS and Homeward intend to vigorously defend against these lawsuits. If our efforts to defend these lawsuits are not successful, our business, financial condition, liquidity and results of operations could be materially and adversely affected.</w:t>
      </w:r>
    </w:p>
    <w:p>
      <w:pPr>
        <w:spacing w:after="0" w:line="8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6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Ocwen is a third-party defendant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7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a number of ongoing federal and state regulatory examinations, consent orders, inquiries, requests for information and other 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December 2012, we entered into a consent order with the New York Department of Financial Services (NY DFS) in which we agreed to the appointment of a Monitor to oversee our compliance with an Agreement on Servicing Practices that we had entered into with the NY DFS in September 2011. After the Monitor began its work in 2013, the NY DFS began an investigation into Ocwen’s compliance with the servicing requirements specified in the Agreement on Servicing Practices as well as New York State laws and regulations relating to the servicing of residential mortgages.</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December 2014, Ocwen reached a settlement with the NY DFS related to this investigation and entered into a consent order (the NY Consent Order) with the NY DFS to reflect such settlement. The settlement contained monetary and non-monetary provisions including the payment of a civil monetary penalty of $100.0 million and restitution in the amount of $50.0 million to certain New York borrowers and the appointment of an independent Operations Monitor. We must pay all reasonable and necessary costs of the Operations Monitor.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92" w:right="259" w:bottom="1440" w:gutter="0" w:footer="0" w:header="0"/>
        </w:sectPr>
      </w:pPr>
    </w:p>
    <w:bookmarkStart w:id="46" w:name="page47"/>
    <w:bookmarkEnd w:id="46"/>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January 2015, OLS reached an agreement with the California Department of Business Oversight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6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Under the terms of the CA Consent Order, OLS paid the CA DBO a penalty of $2.5 million plus costs associated with the examination.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7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addition, the CA DBO has selected an independent third-party auditor (the CA Auditor) to assess OLS’ compliance with laws and regulations impacting California borrowers for an initial term of two years, extendable for one year at the discretion of the CA DBO. OLS must pay all reasonable and necessary costs of the CA Auditor. The CA Auditor will report periodically on its findings and progress and OLS must submit to the CA DBO a written plan to address and implement corrective measures and address any deficiencies identified by the CA Auditor.</w:t>
      </w:r>
    </w:p>
    <w:p>
      <w:pPr>
        <w:spacing w:after="0" w:line="6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continue to work cooperatively with the CA Auditor. As part of the CA Auditor’s work, from time to time the CA Auditor and the CA DBO have made observations regarding our compliance with various regulations and legal requirements, including the Consent Order. At this time, we believe that we will be able to resolve all matters related to such observations in a constructive manner with the CA DBO, and we are not aware of any issue that we believe will have a material impact on our financial condition. As part of these observations, the CA DBO has informed us of its position that certain onboarding activities relating to new California originations in 2015 were prohibited by the Consent Order and represent a material breach of the agreement. We disagree with this position. Given that we have already made adjustments to our processes for California originations, the CA DBO has not asked us to make any additional changes to such processes at this time. The CA DBO has also raised similar concerns related to our on-boarding of loans subject to subservicing agreements. The CA DBO is still evaluating this activity as it relates to the Consent Order. The CA DBO has not asked us to cease any subservicing activities, and these activities are not material to our overall operations. However, it is possible that the CA DBO could determine to take action against us, which could subject us to financial penalties or other regulatory action, and it is possible that the CA Auditor or the CA DBO could allege that other activities do not comply with California laws or regulations, which could also result in regulatory action against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February 2014, the Ocwen National Mortgage Settlement involving the CFPB and various state attorneys general and other state agencies that regulate the mortgage servicing industry (NMS Regulators), relating to various allegations regarding deficient mortgage servicing practices, including those with respect to foreclosures, was memorialized by a consent order entered by the United States District Court for the District of Columbia (District Court).</w:t>
      </w:r>
    </w:p>
    <w:p>
      <w:pPr>
        <w:spacing w:after="0" w:line="3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8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7" w:name="page48"/>
    <w:bookmarkEnd w:id="47"/>
    <w:p>
      <w:pPr>
        <w:ind w:right="60" w:firstLine="324"/>
        <w:spacing w:after="0" w:line="290" w:lineRule="auto"/>
        <w:rPr>
          <w:sz w:val="20"/>
          <w:szCs w:val="20"/>
          <w:color w:val="auto"/>
        </w:rPr>
      </w:pPr>
      <w:r>
        <w:rPr>
          <w:rFonts w:ascii="Arial" w:cs="Arial" w:eastAsia="Arial" w:hAnsi="Arial"/>
          <w:sz w:val="16"/>
          <w:szCs w:val="16"/>
          <w:color w:val="auto"/>
        </w:rPr>
        <w:t>To date, OMSO’s reports have found six metrics where our testing has exceeded the applicable error rate threshold. Each of those metrics has been the subject of an agreed-upon CAP, and one of those potential fails have been deemed “cured” by OMSO as subsequent testing has not exceeded the metric error rate threshold. The remainder of the metrics are either still under CAPs or the post-cure testing has yet to be validated by OMSO. Moreover, we agreed with OMSO to deem an additional five metrics as having failed due to the letter-dating issues that were raised by the NY DFS in 2014, as the testing of those metrics could have been affected by that issue. Those metrics are subject to a “global CAP” that covers all letter-dating issues under the Ocwen National Mortgage Settlement, in addition to any metric-specific CAP plan. It is also possible that if we are found to have caused borrower harm, we would be subject to costs to remediate that harm. In addition, in the event that there were widespread metric failures, it is possible that OMSO or the District Court could determine that we were generally violating the settlement and seek to impose a broader range of financial, injunctive or other penalties on us.</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December 2014, OMSO identified two issues involving our compliance with the Ocwen National Mortgage Settlement. The first concerned the adequacy and independence of our IRG, which is responsible for reporting on our compliance with the settlement. The second concerned the letter dating issues discussed above. OMSO’s reports since then have identified the steps we have taken to remediate these issues and acknowledged Ocwen’s cooperation. OMSO has recently reported that Ocwen’s IRG appears to be operating in conformity with the National Mortgage Settlement, and noted that the letter-dating issues are subject to the global CAP discussed above.</w:t>
      </w:r>
    </w:p>
    <w:p>
      <w:pPr>
        <w:spacing w:after="0" w:line="80"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In April 2014, we received a letter from the staff of the New York Regional Office of the SEC (the Staff) informing us that it was conducting an investigation relating to Ocwen and making a request for voluntary production of documents and information relating to the April 2014 surrender of certain options to purchase our common stock by Mr. Erbey, our former Executive Chairman. In June 2014, we received a subpoena from the SEC requesting production of various documents relating to our business dealings with Altisource, HLSS, AAMC and Residential and the interests of our directors and executive officers in these companies. Following our announcement in August 2014 that we intended to amend our Annual Report on Form 10-K for the fiscal year ended December 31, 2013 and our Quarterly Report on Form 10-Q for the quarter ended March 31, 2014, we received an additional subpoena in September 2014 in relation to such amendments. In addition, we received a further subpoena in November 2014 requesting certain documents related to Ocwen’s agreement with Southwest Business Corporation, and related to Mr. Erbey’s approvals for specifically enumerated board actions. We cooperated with the SEC in its investigation.</w:t>
      </w:r>
    </w:p>
    <w:p>
      <w:pPr>
        <w:spacing w:after="0" w:line="74"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On January 20, 2016, the SEC entered an administrative order resolving its investigation, which required Ocwen to pay, without admitting or denying liability, a $2.0 million civil money penalty and consent to the entry of an administrative order requiring that we cease and desist from any violations of Sections 13(a), 13(b)(2)(A), and 13(b)(2)(B) of the Exchange Act and certain related SEC rules promulgated thereunder. We had previously disclosed in our Form 10-Q for the quarter ended September 30, 2015 that we had reached this resolution in principle with the SEC staff and that we accrued $2.0 million as of September 30, 2015 as we believed this loss was probable and reasonably estimable based on current information.</w:t>
      </w:r>
    </w:p>
    <w:p>
      <w:pPr>
        <w:spacing w:after="0" w:line="5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Separately, in February 2015, we received a letter from the Staff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On February 11,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are cooperating with the Staff on these matters.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to the above matters, our loan origination and servicing businesses require one or more licenses in the various jurisdictions in which we operate. Our licensed entities are required to renew their licenses, typically on an annual basis, and to do so they must satisfy the license renewal requirements of each jurisdiction, which in some cases include the requirement to provide audited financial statements.</w:t>
      </w:r>
    </w:p>
    <w:p>
      <w:pPr>
        <w:spacing w:after="0" w:line="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same agencies that issue licenses to us engage in regular supervisory examinations of the licensable activities. We are also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The GSEs (and their conservator, FHFA), HUD, FHA, VA, Ginnie Mae, the United States Treasury Department, and others also subject us to periodic reviews and audits. We also receive information requests and other inquiries, both formal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and informal in nature, from these agencies as part of their general regulatory or other oversight of our origination and servicing businesses.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On occasion, we also engage with U.S. attorneys. Many of these matters are brought to our attention as a complaint that the entity is investigating, although some are formal investigations or proceedings. Ocwen is currently in receipt of several Civil Investigative Demands from the CFPB, one Civil Investigative Demand from the Massachusetts Attorney’s General Office and two subpoenas from the Office of the United States Attorney for the District of Massachusetts seeking information about our servicing practices.</w:t>
      </w:r>
    </w:p>
    <w:p>
      <w:pPr>
        <w:spacing w:after="0" w:line="8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and (viii)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At March 31, 2016 and March 31, 2015, we had outstanding representation and warranty repurchase demands of $81.9 million UPB (408 loans) and $134.6 million (696 loans), respectively. We review each demand and monitor through resolution, primarily through rescission, loan repurchase or make-whole payment.</w:t>
      </w:r>
    </w:p>
    <w:p>
      <w:pPr>
        <w:spacing w:after="0" w:line="7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similar indemnification obligations for the three months ended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representation and warranty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production reserves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Charge-offs and other (1)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32,329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119,182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2016</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169"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9" w:name="page50"/>
    <w:bookmarkEnd w:id="49"/>
    <w:p>
      <w:pPr>
        <w:ind w:firstLine="324"/>
        <w:spacing w:after="0" w:line="28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You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 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our Annual Report on Form 10-K for the year ended December 31, 2015 and our Current Reports on Form 8-K since such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financial services company that services and originates loans.</w:t>
      </w:r>
    </w:p>
    <w:p>
      <w:pPr>
        <w:spacing w:after="0" w:line="11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are a leader in the servicing industry in foreclosure prevention and loss mitigation, which helps families stay in their homes and improves financial outcomes for loan investors. Our leadership in the industry is evidenced by our high cure rate for delinquent loans and above average rate of continuing performance by homeowners whose loans we have modified. Ocwen has provided more loan modifications under the Federal Government’s Home Affordable Modification Program (HAMP) than any other mortgage servicer and 47% more than the next highest servicer, according to data published in the U.S. Treasury’s Making Home Affordable Fourth Quarter 2015 Program Performance Report. Overall, Ocwen completed over 660,000 loan modifications from January 1, 2008 through March 31, 2016, including over 55,000 modifications under Ocwen’s own Shared Appreciation Modification (SAM) program.</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primarily originate, purchase, sell and securitize conventional and government-insured forward mortgage loans and reverse mortgages.</w:t>
      </w:r>
    </w:p>
    <w:p>
      <w:pPr>
        <w:spacing w:after="0" w:line="117"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As discussed in further detail under “Operations Summary” and “Segment Results of Operations” below, the key driver of our operating results for the three months ended March 31, 2016, as compared to the three months ended March 31, 2015, was lower servicing revenue, resulting from a decrease in the total UPB of our residential servicing portfolio from $382.2 billion as of March 31, 2015 to $237.1 billion as of March 31, 2016, driven largely by the execution of our strategy to sell certain of our Agency MSRs and portfolio runoff, that was not accompanied by a corresponding decrease in expenses.</w:t>
      </w:r>
    </w:p>
    <w:p>
      <w:pPr>
        <w:spacing w:after="0" w:line="15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order to be profitable, we will need to decrease our expenses so that they are more appropriately aligned with our reduced revenue profile. Pursuant to the cost improvement initiative that we announced in 2015, we are focused on reducing our servicing costs in line with our reduced residential servicing portfolio through productivity improvements and other expense reductions. Initiatives include further rationalization of our U.S. based headcount, where we expect further reductions as we shift activities to our lower cost off-shore locations, continuing reductions in servicing advance and receivable charge-offs as we simplify our operations and implement process improvements, reducing our reliance on third-party facilities, technology infrastructure and support services providers and optimizing our purchased services spend. We anticipate that rightsizing our servicing operations will lag the reductions in our servicing portfolio as workforce and servicing operations adjustments require time to implement properly, and we have certain post-sale support obligations in connection with our Agency MSR sales. In addition, we take our commitments to enhancing the borrower experience, strengthening our risk and compliance infrastructure and delivering strong loss mitigation results very seriously and, accordingly, we will continue to make appropriate investments in those important areas at the same time we enhance our cost structure through productivity improvements and other initiatives.</w:t>
      </w:r>
    </w:p>
    <w:p>
      <w:pPr>
        <w:spacing w:after="0" w:line="6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will seek to increase our revenue through growing our lending business by reinvesting cash flows generated by our servicing business in asset generation businesses - namely businesses where we can not only originate new loans profitably but also potentially retain the servicing rights as well as the customer relationship. We are investing in our forward lending business to build competitive advantages around processes and technology, and we believe the reverse mortgage business is a substantially under-developed market relative to its potential. We will continue to evaluate new adjacent market opportunities that are consistent with our strategic goals where we believe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(e.g., advantages related to operating efficiencies, our cost of capital or our tax structure).</w:t>
      </w:r>
    </w:p>
    <w:p>
      <w:pPr>
        <w:spacing w:after="0" w:line="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With respect to our servicing business, our recent regulatory settlements have significantly limited our ability to grow our servicing portfolio, which naturally decreases over time through portfolio runoff. In order to grow our servicing portfolio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8"/>
          <w:szCs w:val="18"/>
          <w:color w:val="auto"/>
        </w:rPr>
        <w:t>through acquisitions, we will need to satisfy the conditions set forth in our consent orders with the NY DFS and CA DBO. At this time, it is not clear that there is a significant market for non-Agency MSR acquisitions, even if we were to be given the requisite approvals from the NY DFS and CA DBO to resume those types of transactions. Nonetheless, we believe our significant investments in our servicing operations, risk and compliance infrastructure over recent years will position us favorably relative to our peers should such transactions become available.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business continues to be impacted by our recent regulatory settlements and the current regulatory environment. We have faced, and expect to continue to face, regulatory and public scrutiny as an organization as well as stricter and more comprehensive regulation of the entire mortgage sector.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w:t>
      </w:r>
    </w:p>
    <w:p>
      <w:pPr>
        <w:spacing w:after="0" w:line="18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 for the fiscal year ended December 31, 2015.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operating results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297,496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446,541</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44,504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17,689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19,399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330,757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510,444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000" w:type="dxa"/>
            <w:vAlign w:val="bottom"/>
            <w:shd w:val="clear" w:color="auto" w:fill="EAF9E8"/>
          </w:tcPr>
          <w:p>
            <w:pPr>
              <w:spacing w:after="0"/>
              <w:rPr>
                <w:sz w:val="24"/>
                <w:szCs w:val="24"/>
                <w:color w:val="auto"/>
              </w:rPr>
            </w:pPr>
          </w:p>
        </w:tc>
        <w:tc>
          <w:tcPr>
            <w:tcW w:w="320" w:type="dxa"/>
            <w:vAlign w:val="bottom"/>
            <w:tcBorders>
              <w:bottom w:val="single" w:sz="8" w:color="auto"/>
            </w:tcBorders>
            <w:shd w:val="clear" w:color="auto" w:fill="EAF9E8"/>
          </w:tcPr>
          <w:p>
            <w:pPr>
              <w:spacing w:after="0"/>
              <w:rPr>
                <w:sz w:val="24"/>
                <w:szCs w:val="24"/>
                <w:color w:val="auto"/>
              </w:rPr>
            </w:pPr>
          </w:p>
        </w:tc>
        <w:tc>
          <w:tcPr>
            <w:tcW w:w="1140" w:type="dxa"/>
            <w:vAlign w:val="bottom"/>
            <w:tcBorders>
              <w:bottom w:val="single" w:sz="8" w:color="auto"/>
            </w:tcBorders>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tcBorders>
              <w:bottom w:val="single" w:sz="8" w:color="auto"/>
            </w:tcBorders>
            <w:shd w:val="clear" w:color="auto" w:fill="EAF9E8"/>
          </w:tcPr>
          <w:p>
            <w:pPr>
              <w:spacing w:after="0"/>
              <w:rPr>
                <w:sz w:val="24"/>
                <w:szCs w:val="24"/>
                <w:color w:val="auto"/>
              </w:rPr>
            </w:pPr>
          </w:p>
        </w:tc>
        <w:tc>
          <w:tcPr>
            <w:tcW w:w="1140" w:type="dxa"/>
            <w:vAlign w:val="bottom"/>
            <w:tcBorders>
              <w:bottom w:val="single" w:sz="8" w:color="auto"/>
            </w:tcBorders>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328,657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378,358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(106,089)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(119,396)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26,406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3,733</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(89,257)</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42,829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9,076</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8,440</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00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34,389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97"/>
        </w:trPr>
        <w:tc>
          <w:tcPr>
            <w:tcW w:w="700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(111,331)</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34,355</w:t>
            </w:r>
          </w:p>
        </w:tc>
        <w:tc>
          <w:tcPr>
            <w:tcW w:w="138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84"/>
        </w:trPr>
        <w:tc>
          <w:tcPr>
            <w:tcW w:w="70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Segment income (loss) before income taxes: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(68,258)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46,722</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15,983</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(35,867)</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(19,876)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70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42,829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versus 2015</w:t>
      </w:r>
    </w:p>
    <w:p>
      <w:pPr>
        <w:spacing w:after="0" w:line="11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Servicing and subservicing fees for the first quarter of 2016 were $149.0 million or 33% lower than the first quarter of 2015, primarily as a result of executing on our strategy in 2015 to sell certain of our Agency MSRs, portfolio runoff and a decline in modifications. During the first quarter of 2015, we recognized $26.4 million in net gains on the sale of MSRs relating to loans with a UPB of $9.1 billion. For the full year ended December 31, 2015, we sold MSRs relating to loans with a combined UPB of $87.6 billion.</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84" w:right="239" w:bottom="1440" w:gutter="0" w:footer="0" w:header="0"/>
          <w:type w:val="continuous"/>
        </w:sectPr>
      </w:pPr>
    </w:p>
    <w:bookmarkStart w:id="51" w:name="page52"/>
    <w:bookmarkEnd w:id="51"/>
    <w:p>
      <w:pPr>
        <w:ind w:right="20" w:firstLine="324"/>
        <w:spacing w:after="0" w:line="257" w:lineRule="auto"/>
        <w:rPr>
          <w:sz w:val="20"/>
          <w:szCs w:val="20"/>
          <w:color w:val="auto"/>
        </w:rPr>
      </w:pPr>
      <w:r>
        <w:rPr>
          <w:rFonts w:ascii="Arial" w:cs="Arial" w:eastAsia="Arial" w:hAnsi="Arial"/>
          <w:sz w:val="18"/>
          <w:szCs w:val="18"/>
          <w:color w:val="auto"/>
        </w:rPr>
        <w:t>Gain on loans held for sale for the first quarter of 2016 was $28.9 million or 65% lower than the first quarter of 2015. Gains from our lending operations decreased $12.9 million primarily due to a decline in forward lending origination volume, in part due to the sale of our Agency MSRs, and lower margins in both the forward and reverse lending operations. In our servicing business, gains on sales of loans declined by $15.7 million. We recognized a gain of $12.9 million in the first quarter of 2015 in connection with the sale of $42.7 million UPB of loans repurchased in connection with representation and warranty obligations.</w:t>
      </w:r>
    </w:p>
    <w:p>
      <w:pPr>
        <w:spacing w:after="0" w:line="8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Expenses, excluding MSR amortization and valuation adjustments and monitor expenses, were $53.3 million or 19% lower in the first quarter of 2016 as compared to the first quarter of 2015. This decline reflects the progress to date in implementing our cost improvement initiatives. Average headcount in our Servicing business declined by 16%, including a 29% reduction in U.S. based headcount.</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MSR amortization and valuation adjustments and monitor expenses increased $3.6 million. MSR amortization and valuation adjustments, including both fair value adjustments and impairment charges, decreased $17.4 million primarily due to the effects of portfolio runoff and MSR sales which were partially offset by an increase in impairment charges related to our government insured MSRs driven by lower mortgage rates. Monitor expenses increased $21.0 million primarily as a result of costs related to the CA Auditor.</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Interest expense for the first quarter of 2016 decreased $13.3 million or 11% as compared to the first quarter of 2015 primarily as a result of changes in the value of the NRZ financing liability and lower SSTL borrowings as a result of principal prepayments, including voluntary prepayments and required prepayments from proceeds of sales of MSR during 2015.</w:t>
      </w:r>
    </w:p>
    <w:p>
      <w:pPr>
        <w:spacing w:after="0" w:line="73"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recognized income tax expense of $9.1 million for the three months ended March 31, 2016 primarily as a result of pre-tax earnings in higher tax rate jurisdictions and losses in lower tax rate jurisdictions. In addition, we recognized income tax expense related to uncertain tax positions.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692"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7000" w:type="dxa"/>
            <w:vAlign w:val="bottom"/>
          </w:tcPr>
          <w:p>
            <w:pPr>
              <w:ind w:left="340"/>
              <w:spacing w:after="0"/>
              <w:rPr>
                <w:sz w:val="20"/>
                <w:szCs w:val="20"/>
                <w:color w:val="auto"/>
              </w:rPr>
            </w:pPr>
            <w:r>
              <w:rPr>
                <w:rFonts w:ascii="Arial" w:cs="Arial" w:eastAsia="Arial" w:hAnsi="Arial"/>
                <w:sz w:val="18"/>
                <w:szCs w:val="18"/>
                <w:color w:val="auto"/>
                <w:w w:val="95"/>
              </w:rPr>
              <w:t>The following table summarizes our consolidated balance sheets at the dates indicated.</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0"/>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280,513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Mortgage servicing rights ($732,174 and $761,190 carried at fair value)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1,078,213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2,038,245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Loans held for sale ($321,739 and $309,054 carried at fair value)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408,809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414,046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2,771,242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($22,501 and $14,352 carried at fair value)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830,088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931,102</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7,407,110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1"/>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3,807,685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4,089,064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3,116,531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2,811,154</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482,894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7,407,110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1"/>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1,537,096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Financing liabilities ($3,171,602 and $2,933,066 carried at fair value)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3,319,646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3,089,255</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718,830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345,847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345,511</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747,223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c>
          <w:tcPr>
            <w:tcW w:w="1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7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6,668,642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318"/>
        </w:trPr>
        <w:tc>
          <w:tcPr>
            <w:tcW w:w="7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Total Ocwen stockholders’ equity</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736,401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851,562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r>
      <w:tr>
        <w:trPr>
          <w:trHeight w:val="237"/>
        </w:trPr>
        <w:tc>
          <w:tcPr>
            <w:tcW w:w="70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7,407,110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1"/>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by Segment: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3,158,402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3,417,727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2,995,639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2,751,667</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514,601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356,276</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44</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6,668,642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6,525,670</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Changes in the composition and balance of our assets and liabilities during the three months ended March 31, 2016 are primarily attributable to Loans held for investment and Financing liabilities which increased as a result of our reverse mortgage securitizations accounted for as secured financings.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Lending, and a Corporate Items and Other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Freddie Mac and Ginnie Mae, and non-Agency residential mortgage-backed securities (RMBS) trusts.</w:t>
      </w:r>
    </w:p>
    <w:p>
      <w:pPr>
        <w:sectPr>
          <w:pgSz w:w="11900" w:h="16838" w:orient="portrait"/>
          <w:cols w:equalWidth="0" w:num="1">
            <w:col w:w="11420"/>
          </w:cols>
          <w:pgMar w:left="240" w:top="68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688" w:right="239" w:bottom="1440" w:gutter="0" w:footer="0" w:header="0"/>
          <w:type w:val="continuous"/>
        </w:sectPr>
      </w:pPr>
    </w:p>
    <w:bookmarkStart w:id="53" w:name="page54"/>
    <w:bookmarkEnd w:id="53"/>
    <w:p>
      <w:pPr>
        <w:ind w:right="120" w:firstLine="324"/>
        <w:spacing w:after="0" w:line="272" w:lineRule="auto"/>
        <w:rPr>
          <w:sz w:val="20"/>
          <w:szCs w:val="20"/>
          <w:color w:val="auto"/>
        </w:rPr>
      </w:pPr>
      <w:r>
        <w:rPr>
          <w:rFonts w:ascii="Arial" w:cs="Arial" w:eastAsia="Arial" w:hAnsi="Arial"/>
          <w:sz w:val="17"/>
          <w:szCs w:val="17"/>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which includes making servicing advances, evaluating loans for modification and other loss mitigation activities and, if necessary, foreclosure referrals and the sale of the underlying property following foreclosure (real estate owned or REO) on behalf of investors or other servicers. Master servicing involves primary servicing oversight, the collection of payments from servicers and the distribution of funds to investors in mortgage and asset-backed securities (or to their respective trustee or administrator) and, in some cases, making servicing advances. We earn contractual monthly servicing fees (which are typically calculated as a percentage of UPB) as well as other ancillary fees in connection with our servicing activities.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where Ocwen does not own the MSRs, we may be engaged to perform all of the servicing functions previously described or it could be a limited engagement (e.g., subservicing only non-defaulted mortgage loans). As a subservicer, we may be obligated to make servicing advances, though most subservicing agreements provide for more rapid reimbursement of any advances from the owner of the servicing rights than if we were the servicer. Special servicing engagements typically involve portfolios of delinquent or defaulted mortgage loans, which require more specialized work than better-performing mortgage loans and may involve one or more loss mitigation strategies or taking properties through the foreclosure process. We typically earn subservicing and special servicing fees either as a percentage of UPB or on a per loan basis.</w:t>
      </w:r>
    </w:p>
    <w:p>
      <w:pPr>
        <w:spacing w:after="0" w:line="18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Servicing advances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and are “top of the waterfall” so that we are entitled to repayment from respective loan or REO liquidation proceeds before most other claims on these proceeds, and in the majority of cases, advances in excess of respective loan or REO liquidation proceeds may be recovered from pool level proceeds. The costs incurred in meeting these obligations consist principally of the interest expense incurred in financing the servicing advances and the costs of arranging such financing.</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are thus generally less costly to service. While increasing borrower participation in loan modification programs is a critical component of our ability to reduce delinquencies, assisting those borrowers in remaining current is also an important factor.</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recognize servicing fees as revenue when the fees are earned, which is generally when the borrower makes a payment or when a delinquent loan is resolved through modification, repayment plan, payoff or, if there are no allowable solutions that would permit the borrower to stay in their home, through the sale of the underlying mortgaged property following foreclosure. Therefore, our revenue recognition is generally a function of UPB, the number of payments received and delinquent or defaulted loans that resolve.</w:t>
      </w:r>
    </w:p>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Similar to other servicers, we are the subject of mortgage servicer ratings or rankings (collectively,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Morningstar</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Subprime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RSS3-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Alt A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8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SQ3</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RMS3-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Ratings Outlook</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Negative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4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Date of last action</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8, 2015</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6, 2015</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29, 2015</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9, 2016</w:t>
            </w:r>
          </w:p>
        </w:tc>
      </w:tr>
    </w:tbl>
    <w:p>
      <w:pPr>
        <w:spacing w:after="0" w:line="12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Removed from review for downgrade in June 2015.</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servicer ratings, each of the rating agencies will from time to time assign an outlook (or a ratings watch such as Moody’s review status) to a mortgage servicer’s rating status. A negative outlook is generally used to indicate that a rating “may be lowered,” while a positive outlook is generally used to indicate a rating “may be raised.”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Failure to maintain minimum servicer ratings could adversely affect our ability to sell or fund servicing advances going forward, could affect the terms or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5" w:name="page56"/>
    <w:bookmarkEnd w:id="55"/>
    <w:p>
      <w:pPr>
        <w:ind w:right="30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three months ended March 31.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2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295,858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443,903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Commercial</w:t>
            </w:r>
          </w:p>
        </w:tc>
        <w:tc>
          <w:tcPr>
            <w:tcW w:w="246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297,641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446,474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loans held for sale, net</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14,878</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9,773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revenue</w:t>
            </w:r>
          </w:p>
        </w:tc>
        <w:tc>
          <w:tcPr>
            <w:tcW w:w="246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307,427</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471,125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61,526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12,725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38,405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99,567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15,336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23,844</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33,392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28,643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20,178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18,939</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66,987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246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276,896</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337,911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1,371</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(96,474)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(110,629)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26,406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46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(3,640)</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2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(86,492)</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shd w:val="clear" w:color="auto" w:fill="EAF9E8"/>
          </w:tcPr>
          <w:p>
            <w:pPr>
              <w:spacing w:after="0"/>
              <w:rPr>
                <w:sz w:val="22"/>
                <w:szCs w:val="22"/>
                <w:color w:val="auto"/>
              </w:rPr>
            </w:pPr>
          </w:p>
        </w:tc>
        <w:tc>
          <w:tcPr>
            <w:tcW w:w="246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(68,258)</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60" w:type="dxa"/>
            <w:vAlign w:val="bottom"/>
            <w:vMerge w:val="restart"/>
          </w:tcPr>
          <w:p>
            <w:pPr>
              <w:jc w:val="right"/>
              <w:ind w:right="1110"/>
              <w:spacing w:after="0"/>
              <w:rPr>
                <w:sz w:val="20"/>
                <w:szCs w:val="20"/>
                <w:color w:val="auto"/>
              </w:rPr>
            </w:pPr>
            <w:r>
              <w:rPr>
                <w:rFonts w:ascii="Arial" w:cs="Arial" w:eastAsia="Arial" w:hAnsi="Arial"/>
                <w:sz w:val="18"/>
                <w:szCs w:val="18"/>
                <w:color w:val="auto"/>
              </w:rPr>
              <w:t>54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The following tables provide selected operating statistics at or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8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Unpaid principal balance (UPB):</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206,279,041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334,299,912</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25,600,505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41,034,550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5,201,490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6,879,540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(2)</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237,081,036</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382,214,002</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4"/>
        </w:trPr>
        <w:tc>
          <w:tcPr>
            <w:tcW w:w="68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72,791,181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182,671,729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loans</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24,944,465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37,111,359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139,345,390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162,430,914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8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237,081,036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382,214,002</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assets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Count:</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1,397,702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2,151,658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126,165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202,813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27,100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36,303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(2)</w:t>
            </w:r>
          </w:p>
        </w:tc>
        <w:tc>
          <w:tcPr>
            <w:tcW w:w="3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1,550,967</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2,390,774</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4"/>
        </w:trPr>
        <w:tc>
          <w:tcPr>
            <w:tcW w:w="68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413,455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1,044,149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loans</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181,030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253,818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956,482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1,092,807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8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1,550,967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2,390,774</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count:</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assets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5"/>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Average UPB:</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227,010,430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354,022,804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16,987,840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38,294,670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243,998,270</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392,317,474</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1"/>
        </w:trPr>
        <w:tc>
          <w:tcPr>
            <w:tcW w:w="68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Prepayment speed (average CPR)</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 Voluntary</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 Involuntary</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 CPR due to principal modification</w:t>
            </w:r>
          </w:p>
        </w:tc>
        <w:tc>
          <w:tcPr>
            <w:tcW w:w="30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AF9E8"/>
          </w:tcPr>
          <w:p>
            <w:pPr>
              <w:spacing w:after="0"/>
              <w:rPr>
                <w:sz w:val="21"/>
                <w:szCs w:val="21"/>
                <w:color w:val="auto"/>
              </w:rPr>
            </w:pPr>
          </w:p>
        </w:tc>
        <w:tc>
          <w:tcPr>
            <w:tcW w:w="12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4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692"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4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Average count:</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1,491,119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2,223,916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196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97,711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228,076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r>
      <w:tr>
        <w:trPr>
          <w:trHeight w:val="297"/>
        </w:trPr>
        <w:tc>
          <w:tcPr>
            <w:tcW w:w="4900" w:type="dxa"/>
            <w:vAlign w:val="bottom"/>
            <w:tcBorders>
              <w:bottom w:val="single" w:sz="8" w:color="EAF9E8"/>
            </w:tcBorders>
          </w:tcPr>
          <w:p>
            <w:pPr>
              <w:spacing w:after="0"/>
              <w:rPr>
                <w:sz w:val="24"/>
                <w:szCs w:val="24"/>
                <w:color w:val="auto"/>
              </w:rPr>
            </w:pPr>
          </w:p>
        </w:tc>
        <w:tc>
          <w:tcPr>
            <w:tcW w:w="19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1,588,830</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2,451,992</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(35)%</w:t>
            </w:r>
          </w:p>
        </w:tc>
      </w:tr>
      <w:tr>
        <w:trPr>
          <w:trHeight w:val="311"/>
        </w:trPr>
        <w:tc>
          <w:tcPr>
            <w:tcW w:w="4900" w:type="dxa"/>
            <w:vAlign w:val="bottom"/>
            <w:shd w:val="clear" w:color="auto" w:fill="EAF9E8"/>
          </w:tcPr>
          <w:p>
            <w:pPr>
              <w:spacing w:after="0"/>
              <w:rPr>
                <w:sz w:val="24"/>
                <w:szCs w:val="24"/>
                <w:color w:val="auto"/>
              </w:rPr>
            </w:pPr>
          </w:p>
        </w:tc>
        <w:tc>
          <w:tcPr>
            <w:tcW w:w="1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Residential Servicing and Subservicing Fees</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servicing and subservicing fees: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237,599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330,449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196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7,239</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18,341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r>
      <w:tr>
        <w:trPr>
          <w:trHeight w:val="237"/>
        </w:trPr>
        <w:tc>
          <w:tcPr>
            <w:tcW w:w="49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244,838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348,790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22,622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35,176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18,525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24,015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7,119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9,551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26,371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(90)</w:t>
            </w:r>
          </w:p>
        </w:tc>
      </w:tr>
      <w:tr>
        <w:trPr>
          <w:trHeight w:val="27"/>
        </w:trPr>
        <w:tc>
          <w:tcPr>
            <w:tcW w:w="4900" w:type="dxa"/>
            <w:vAlign w:val="bottom"/>
            <w:tcBorders>
              <w:bottom w:val="single" w:sz="8" w:color="EAF9E8"/>
            </w:tcBorders>
          </w:tcPr>
          <w:p>
            <w:pPr>
              <w:spacing w:after="0"/>
              <w:rPr>
                <w:sz w:val="2"/>
                <w:szCs w:val="2"/>
                <w:color w:val="auto"/>
              </w:rPr>
            </w:pPr>
          </w:p>
        </w:tc>
        <w:tc>
          <w:tcPr>
            <w:tcW w:w="19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4900" w:type="dxa"/>
            <w:vAlign w:val="bottom"/>
            <w:shd w:val="clear" w:color="auto" w:fill="EAF9E8"/>
          </w:tcPr>
          <w:p>
            <w:pPr>
              <w:spacing w:after="0"/>
              <w:rPr>
                <w:sz w:val="22"/>
                <w:szCs w:val="22"/>
                <w:color w:val="auto"/>
              </w:rPr>
            </w:pPr>
          </w:p>
        </w:tc>
        <w:tc>
          <w:tcPr>
            <w:tcW w:w="2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295,858</w:t>
            </w:r>
          </w:p>
        </w:tc>
        <w:tc>
          <w:tcPr>
            <w:tcW w:w="12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443,903</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900" w:type="dxa"/>
            <w:vAlign w:val="bottom"/>
            <w:tcBorders>
              <w:top w:val="single" w:sz="8" w:color="EAF9E8"/>
            </w:tcBorders>
          </w:tcPr>
          <w:p>
            <w:pPr>
              <w:spacing w:after="0" w:line="20" w:lineRule="exact"/>
              <w:rPr>
                <w:sz w:val="1"/>
                <w:szCs w:val="1"/>
                <w:color w:val="auto"/>
              </w:rPr>
            </w:pPr>
          </w:p>
        </w:tc>
        <w:tc>
          <w:tcPr>
            <w:tcW w:w="196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60" w:type="dxa"/>
            <w:vAlign w:val="bottom"/>
            <w:tcBorders>
              <w:top w:val="single" w:sz="8" w:color="EAF9E8"/>
            </w:tcBorders>
          </w:tcPr>
          <w:p>
            <w:pPr>
              <w:spacing w:after="0" w:line="20" w:lineRule="exact"/>
              <w:rPr>
                <w:sz w:val="1"/>
                <w:szCs w:val="1"/>
                <w:color w:val="auto"/>
              </w:rPr>
            </w:pPr>
          </w:p>
        </w:tc>
      </w:tr>
      <w:tr>
        <w:trPr>
          <w:trHeight w:val="284"/>
        </w:trPr>
        <w:tc>
          <w:tcPr>
            <w:tcW w:w="4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HAMP</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11,952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Non-HAMP</w:t>
            </w:r>
          </w:p>
        </w:tc>
        <w:tc>
          <w:tcPr>
            <w:tcW w:w="196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8,905</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13,058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r>
      <w:tr>
        <w:trPr>
          <w:trHeight w:val="297"/>
        </w:trPr>
        <w:tc>
          <w:tcPr>
            <w:tcW w:w="49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16,604</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25,010</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4900" w:type="dxa"/>
            <w:vAlign w:val="bottom"/>
            <w:shd w:val="clear" w:color="auto" w:fill="EAF9E8"/>
          </w:tcPr>
          <w:p>
            <w:pPr>
              <w:spacing w:after="0"/>
              <w:rPr>
                <w:sz w:val="24"/>
                <w:szCs w:val="24"/>
                <w:color w:val="auto"/>
              </w:rPr>
            </w:pPr>
          </w:p>
        </w:tc>
        <w:tc>
          <w:tcPr>
            <w:tcW w:w="1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Average balance of advances and match funded advances</w:t>
            </w:r>
          </w:p>
        </w:tc>
        <w:tc>
          <w:tcPr>
            <w:tcW w:w="2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2,103,995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3,159,226</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Average borrowings</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1,570,931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1,981,016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685,364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808,039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422,829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1,322,051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(68)</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Interest expense on borrowings</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18,174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14,280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27</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67,707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73,886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9,333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20,277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(54)</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Effective average interest rate (4)</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2.88%</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61</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Financing liabilities (5)</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36.58%</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43</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Facility costs included in interest expense</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6,214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40</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amortization included in interest expense</w:t>
            </w:r>
          </w:p>
        </w:tc>
        <w:tc>
          <w:tcPr>
            <w:tcW w:w="196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Average 1-month LIBOR</w:t>
            </w:r>
          </w:p>
        </w:tc>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0.17%</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153</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900" w:type="dxa"/>
            <w:vAlign w:val="bottom"/>
            <w:shd w:val="clear" w:color="auto" w:fill="EAF9E8"/>
          </w:tcPr>
          <w:p>
            <w:pPr>
              <w:spacing w:after="0"/>
              <w:rPr>
                <w:sz w:val="24"/>
                <w:szCs w:val="24"/>
                <w:color w:val="auto"/>
              </w:rPr>
            </w:pPr>
          </w:p>
        </w:tc>
        <w:tc>
          <w:tcPr>
            <w:tcW w:w="1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459"/>
        </w:trPr>
        <w:tc>
          <w:tcPr>
            <w:tcW w:w="4900" w:type="dxa"/>
            <w:vAlign w:val="bottom"/>
          </w:tcPr>
          <w:p>
            <w:pPr>
              <w:spacing w:after="0"/>
              <w:rPr>
                <w:sz w:val="24"/>
                <w:szCs w:val="24"/>
                <w:color w:val="auto"/>
              </w:rPr>
            </w:pP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6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India and other</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6,167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6,972</w:t>
            </w:r>
          </w:p>
        </w:tc>
        <w:tc>
          <w:tcPr>
            <w:tcW w:w="1380" w:type="dxa"/>
            <w:vAlign w:val="bottom"/>
            <w:tcBorders>
              <w:bottom w:val="single" w:sz="8" w:color="EAF9E8"/>
            </w:tcBorders>
            <w:gridSpan w:val="2"/>
            <w:shd w:val="clear" w:color="auto" w:fill="EAF9E8"/>
          </w:tcPr>
          <w:p>
            <w:pPr>
              <w:ind w:left="90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 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2,174</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7,707</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9,146</w:t>
            </w:r>
          </w:p>
        </w:tc>
        <w:tc>
          <w:tcPr>
            <w:tcW w:w="1380" w:type="dxa"/>
            <w:vAlign w:val="bottom"/>
            <w:tcBorders>
              <w:bottom w:val="single" w:sz="8" w:color="EAF9E8"/>
            </w:tcBorders>
            <w:gridSpan w:val="2"/>
            <w:shd w:val="clear" w:color="auto" w:fill="EAF9E8"/>
          </w:tcPr>
          <w:p>
            <w:pPr>
              <w:ind w:left="9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9,653,475</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18,563,992</w:t>
            </w:r>
          </w:p>
        </w:tc>
        <w:tc>
          <w:tcPr>
            <w:tcW w:w="1380" w:type="dxa"/>
            <w:vAlign w:val="bottom"/>
            <w:tcBorders>
              <w:bottom w:val="single" w:sz="8" w:color="EAF9E8"/>
            </w:tcBorders>
            <w:gridSpan w:val="2"/>
            <w:shd w:val="clear" w:color="auto" w:fill="EAF9E8"/>
          </w:tcPr>
          <w:p>
            <w:pPr>
              <w:ind w:left="900"/>
              <w:spacing w:after="0"/>
              <w:rPr>
                <w:sz w:val="20"/>
                <w:szCs w:val="20"/>
                <w:color w:val="auto"/>
              </w:rPr>
            </w:pPr>
            <w:r>
              <w:rPr>
                <w:rFonts w:ascii="Arial" w:cs="Arial" w:eastAsia="Arial" w:hAnsi="Arial"/>
                <w:sz w:val="18"/>
                <w:szCs w:val="18"/>
                <w:color w:val="auto"/>
                <w:w w:val="95"/>
              </w:rPr>
              <w:t>(48)%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629,566 and 702,948 subprime loans with a UPB of $101.8 billion and $117.1 billion at March 31, 2016 and March 31, 2015, respectively.</w:t>
      </w:r>
    </w:p>
    <w:p>
      <w:pPr>
        <w:spacing w:after="0" w:line="32" w:lineRule="exact"/>
        <w:rPr>
          <w:rFonts w:ascii="Arial" w:cs="Arial" w:eastAsia="Arial" w:hAnsi="Arial"/>
          <w:sz w:val="16"/>
          <w:szCs w:val="16"/>
          <w:color w:val="auto"/>
        </w:rPr>
      </w:pPr>
    </w:p>
    <w:p>
      <w:pPr>
        <w:ind w:left="500" w:right="12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191,455 and 228,799 prime loans with a UPB of $36.9 billion and $46.6 billion at March 31, 2016 and March 31, 2015, respectively, that we service or subservice.</w:t>
      </w: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 average interest rates include the amortization of facility costs.</w:t>
      </w:r>
    </w:p>
    <w:p>
      <w:pPr>
        <w:spacing w:after="0" w:line="9" w:lineRule="exact"/>
        <w:rPr>
          <w:rFonts w:ascii="Arial" w:cs="Arial" w:eastAsia="Arial" w:hAnsi="Arial"/>
          <w:sz w:val="18"/>
          <w:szCs w:val="18"/>
          <w:color w:val="auto"/>
        </w:rPr>
      </w:pPr>
    </w:p>
    <w:p>
      <w:pPr>
        <w:ind w:left="500" w:right="140" w:hanging="492"/>
        <w:spacing w:after="0" w:line="273"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effective average interest rate on the financing liability that we recognized in connection with the sales of Rights to MSRs to NRZ is 49.31% and 46.95% for the three months ended March 31, 2016 and 2015, respectively. Interest expense on financing liabilities for the three months ended March 31, 2016 includes $6.2 million of fees incurred in connection with our agreement to compensate NRZ for certain increased costs associated with its servicing advance financing facilities that are the direct result of a downgrade of our S&amp;P servicer rating.</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660"/>
              <w:spacing w:after="0"/>
              <w:rPr>
                <w:sz w:val="20"/>
                <w:szCs w:val="20"/>
                <w:color w:val="auto"/>
              </w:rPr>
            </w:pPr>
            <w:r>
              <w:rPr>
                <w:rFonts w:ascii="Arial" w:cs="Arial" w:eastAsia="Arial" w:hAnsi="Arial"/>
                <w:sz w:val="18"/>
                <w:szCs w:val="18"/>
                <w:b w:val="1"/>
                <w:bCs w:val="1"/>
                <w:color w:val="auto"/>
              </w:rPr>
              <w:t>Amount of UPB</w:t>
            </w:r>
          </w:p>
        </w:tc>
        <w:tc>
          <w:tcPr>
            <w:tcW w:w="1960" w:type="dxa"/>
            <w:vAlign w:val="bottom"/>
            <w:gridSpan w:val="3"/>
          </w:tcPr>
          <w:p>
            <w:pPr>
              <w:ind w:left="1300"/>
              <w:spacing w:after="0"/>
              <w:rPr>
                <w:sz w:val="20"/>
                <w:szCs w:val="20"/>
                <w:color w:val="auto"/>
              </w:rPr>
            </w:pPr>
            <w:r>
              <w:rPr>
                <w:rFonts w:ascii="Arial" w:cs="Arial" w:eastAsia="Arial" w:hAnsi="Arial"/>
                <w:sz w:val="18"/>
                <w:szCs w:val="18"/>
                <w:b w:val="1"/>
                <w:bCs w:val="1"/>
                <w:color w:val="auto"/>
              </w:rPr>
              <w:t>Count</w:t>
            </w:r>
          </w:p>
        </w:tc>
        <w:tc>
          <w:tcPr>
            <w:tcW w:w="10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398,727,727</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1,531,715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2,246,103</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10,864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(34,643)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(6,745,819)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(3,267,861)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(27,980)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(8,636,329)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(15,491,967)</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(47,132)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(78,148)</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237,081,036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382,214,002</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1,550,967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2,390,774</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March 31, 2015, we completed the sale of Agency MSRs on a portfolio consisting of 76,000 loans with a UPB of $9.1 billion. We continued to subservice these loans until the servicing transfer was completed on April 16, 2015. See Note 4 — Sales of Advances and MSRs and Note 8 – Mortgage Servicing to the Unaudited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versus 2015</w:t>
      </w:r>
    </w:p>
    <w:p>
      <w:pPr>
        <w:spacing w:after="0" w:line="117"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The key driver of our servicing segment operating results, as compared to the first quarter of 2015, was a $163.7 million decrease in total Servicing revenue, resulting from a 38% decline in the average UPB and a 35% decline in the average number of assets in our residential servicing and subservicing portfolio due to MSR sales and portfolio runoff that was not accompanied by an equally significant decline in operating expenses. In order to return to profitability, we will need to decrease our expenses to a level more appropriately aligned with our reduced revenue profile.</w:t>
      </w:r>
    </w:p>
    <w:p>
      <w:pPr>
        <w:spacing w:after="0" w:line="63"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Revenue associated with delinquent loan resolution strategies declined in line with the 34% decline in completed modifications. The portion of modifications completed under HAMP as a percentage of total modifications decreased to 46% for the first quarter of 2016 as compared to 48% in the first quarter of 2015. The HAMP program expires on December 31, 2016, with borrowers who have requested assistance or to whom an offer of assistance has been extended as of that date having until September 30, 2017 to finalize their modification. We recognized revenue of $42.0 million and $64.4 million during the first quarter of 2016 and 2015, respectively, in connection with loan modifications.</w:t>
      </w:r>
    </w:p>
    <w:p>
      <w:pPr>
        <w:spacing w:after="0" w:line="6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estimate the balance of deferred servicing fees related to delinquent borrower payments was $442.2 million at March 31, 2016 compared to $511.4 million at March 31, 2015. We are contractually obligated to remit to NRZ all deferred servicing fees collected in connection with MSRs underlying Rights to MSRs. However, in addition to base servicing fees, we are entitled to performance fees that increase to the extent we collect deferred servicing fees. As such, the majority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2" w:right="23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color w:val="auto"/>
        </w:rPr>
        <w:t>deferred servicing fees collected are recognized by us as additional revenue without a corresponding increase in interest expense related to the NRZ financing liability.</w:t>
      </w:r>
    </w:p>
    <w:p>
      <w:pPr>
        <w:spacing w:after="0" w:line="6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recognized a gain on loans held for sale in the first quarter of 2015 of $12.9 million in connection with the sale of $42.7 million UPB of loans repurchased under representation and warranty obligations.</w:t>
      </w:r>
    </w:p>
    <w:p>
      <w:pPr>
        <w:spacing w:after="0" w:line="6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Expenses, excluding MSR amortization and valuation adjustments, decreased by $43.6 million, or 18%. This decline reflects the progress to date in implementing our cost improvement initiatives. A 29% reduction in average U.S. based headcount and the migration of certain operations offshore, where we believe we realize cost efficiencies while maintaining operational effectiveness, enabled reductions in compensation and benefits of $14.4 million and servicing-related outsourcing expenses of $1.2 million. We continue to review the efficiency of our servicing operations to take advantage of additional cost improvement strategies aimed at restoring the Servicing business to profitability and improving the borrower experience. Excluding MSR valuation adjustments, we were able to reduce Servicing and origination expense by $14.9 million in the first quarter of 2016 through the execution of process improvements and simplification of our operations in connection with the sale of Agency MSRs. Costs charged through corporate overhead allocations declined $14.6 million (excluding a $7.4 million increase in technology allocations that was offset by the $8.5 million decline in Technology and communication costs). Corporate overhead allocations in the first quarter of 2015 reflected investments made to expand our risk and compliance functions. Professional services increased by $4.7 million compared to the first quarter of 2015 due primarily to the costs of defending ourselves in proceedings alleging violations of federal, state and local laws and regulations governing our servicing activities, including proceedings relating to our lender placed insurance arrangements and proceedings brought under the False Claims Act by private citizens.</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decreased $17.4 million due to the effects of portfolio runoff and MSR sales offset by an increase in impairment charges related to our government insured MSRs driven by lower mortgage rates. Declining interest rates typically result in increased prepayment activity for MSRs, which generally reduces the value of our MSRs as the underlying loans prepay faster. The fair value of our government-insured MSRs fell below their carrying value by $30.0 million as of March 31, 2016, resulting in the recognition of an impairment charge in the first quarter of 2016. In the first quarter of 2015, we recognized an impairment charge of $17.8 million on our government-insured MSRs.</w:t>
      </w:r>
    </w:p>
    <w:p>
      <w:pPr>
        <w:spacing w:after="0" w:line="8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Interest expense declined by $14.2 million, or 13%, in the first quarter of 2016 compared to the first quarter of 2015 due principally to an $11.8 million decrease in interest on the NRZ financing liabilities (net of an increase of $6.2 million due to additional payments to NRZ in connection with downgrades to our S&amp;P servicer rating). In addition, interest expense on the SSTL decreased $11.2 million as a result of prepayments totaling $18.6 million during the three months ended March 31, 2016 and $865.8 million during the year ended December 31, 2015. The effect of the decreases in average borrowings on interest expense was partially offset by an increase in 1-Month LIBOR, an increase in the margins on the interest rate indexes of our borrowings, higher rates on the match funded term notes as compared to the adjustable rates on the variable funding notes and an increase in facility costs included in interest expense.</w:t>
      </w:r>
    </w:p>
    <w:p>
      <w:pPr>
        <w:spacing w:after="0" w:line="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Under the agreements associated with the NRZ/HLSS Transactions, we remit servicing fees collected on the underlying MSRs, except for the ancillary fees (other than float earnings). The servicing fees that we remit, net of the subservicing and performance fees that we receive, are accounted for as a reduction of the NRZ financing liability and as interest expense. Changes in the fair value of the MSRs underlying the financing liability are also included in the amount reported as interest expense.</w:t>
      </w:r>
    </w:p>
    <w:p>
      <w:pPr>
        <w:spacing w:after="0" w:line="7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During the first quarter of 2016, we recognized net gains of $1.2 million in Other income on the sale of non-Agency MSRs relating to loans with a UPB of $34.5 million. Other income for the first quarter of 2015 includes net gains of $26.4 million recognized on the sale of Agency MSRs relating to loans with a UPB of $9.1 billion.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originate and purchase conventional (conforming to the underwriting standards of the GSEs, collectively Agency loans) and government-insured (insured by the FHA or VA) forward mortgage loans through our forward lending operations. Loans are acquired through three primary channels: correspondent lender relationships, broker relationships (wholesale) and directly with mortgage customers (retail). Per-loan margins vary by channel, with correspondent typically being the lowest margin and retail the highest margin. After origination, we generally package and sell the loans in the secondary mortgage market, through GSE securitizations and whole loan transactions. We typically retain the associated MSRs as we view this as a low cost means to acquire MSRs with solid return profiles.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6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Reverse mortgages are originated and purchased through our reverse lending operations under the guidelines of the HECM reverse mortgage insurance program of HUD. Loans originated under this program are guaranteed by the FHA, which provides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0" w:name="page61"/>
    <w:bookmarkEnd w:id="60"/>
    <w:p>
      <w:pPr>
        <w:ind w:right="40"/>
        <w:spacing w:after="0" w:line="271" w:lineRule="auto"/>
        <w:rPr>
          <w:sz w:val="20"/>
          <w:szCs w:val="20"/>
          <w:color w:val="auto"/>
        </w:rPr>
      </w:pPr>
      <w:r>
        <w:rPr>
          <w:rFonts w:ascii="Arial" w:cs="Arial" w:eastAsia="Arial" w:hAnsi="Arial"/>
          <w:sz w:val="17"/>
          <w:szCs w:val="17"/>
          <w:color w:val="auto"/>
        </w:rPr>
        <w:t>investors with protection against risk of borrower default. We retain the servicing rights to reverse loans securitized through the Ginnie Mae HMBS program. The reverse channel provides both current period and future period gain on sale revenue from new originations as a result of subsequent tail draws taken by the borrower. We have originated variable rate HECM loans under which the borrowers have additional borrowing capacity of $986.5 million at March 31, 2016.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 March 31, 2016, unrecognized Future Value is estimated to be $73.7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working to increase the scale and breadth of our Lending business. Although the slowing of the Home Affordable Refinance Program (HARP) and the sale of Agency MSRs (which decreases loans available to re-finance) present challenges, we are focused on increasing conversion rates (i.e., recapture) on our existing servicing portfolio and expanding our correspondent channel through growing our third-party origination businesses. Additionally we are exploring offering different products we believe we can originate profitably and with acceptable levels of risk. We believe our experience in servicing difficult loans will also allow us to help borrowers obtain loans that are more challenging to originate. Building the sales and operations capacity to meet this need is a goal for the business, as well as investment in the development of our LOS (Loan Operating System) and the continued use of process improvements to drive productivity.</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UPB of our loan production, by channel,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Wholesale</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Retail</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March 31, 2016</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352,473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355,880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79,779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788,132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91,784</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67,701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31,671</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191,156</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444,257</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423,581</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111,450</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979,288</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2015</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373,783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305,068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241,634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920,485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191,817</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424,178</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403,418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284,706</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1,112,302</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1" w:name="page62"/>
    <w:bookmarkEnd w:id="61"/>
    <w:p>
      <w:pPr>
        <w:ind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13,059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3,444</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9,152</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29,410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8,336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37,746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14,613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13,246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498</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5,969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23,785</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0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(2,639)</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15,983</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Three Months Ended March 31, 2016 versus 2015</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Lending pre-tax income declined by $14.0 million, or 87%, in first quarter of 2016 as compared to the first quarter of 2015 due to a $9.4 million decrease in pre-tax income of the forward lending operations and a $4.6 million decrease in pre-tax income of the reverse mortgage operations. Our forward lending operations generated $5.3 million of pre-tax income for the three months ended March 31, 2016 while our reverse lending operations incurred a pre-tax loss of $3.3 million. Total funding decreased by $133.0 million, or 12%, due to a $132.4 million decrease in forward lending origination volume. Gains on loans held for sale, net decreased $12.9 million, or 44%, primarily due to the decline in forward lending origination volume and lower margins in both the forward and reverse lending operations.</w:t>
      </w:r>
    </w:p>
    <w:p>
      <w:pPr>
        <w:spacing w:after="0" w:line="8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Expenses related to the lending platforms are driven largely by production volume, with direct acquisition costs offset by origination fee income that is included in Other revenue.</w:t>
      </w:r>
    </w:p>
    <w:p>
      <w:pPr>
        <w:spacing w:after="0" w:line="170"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Forward lending revenues decreased by $10.1 million, or 42%, from first quarter of 2015 levels to a total of $14.3 million. The decrease in revenue was driven by a $161.9 million decline in origination volume in the higher yielding retail channel. Total forward mortgage originations decreased to $788.1 million, which was $132.4 million, or 14%, lower than originations in the first quarter of 2015. Forward lending Other revenue declined by $2.9 million principally as a result of the decline in origination volume. Forward lending expenses of $9.2 million represented a decrease of $2.2 million, or 18%, from the first quarter of 2015, principally because of a reduction in indemnification expense, partially offset by an increase in compensation and benefits due primarily to increased staffing for retail channel expansion, systems development and the migration of certain functions in-house to reduce costs previously paid to third parties.</w:t>
      </w:r>
    </w:p>
    <w:p>
      <w:pPr>
        <w:sectPr>
          <w:pgSz w:w="11900" w:h="16838" w:orient="portrait"/>
          <w:cols w:equalWidth="0" w:num="1">
            <w:col w:w="11420"/>
          </w:cols>
          <w:pgMar w:left="240" w:top="69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692" w:right="239" w:bottom="1440" w:gutter="0" w:footer="0" w:header="0"/>
          <w:type w:val="continuous"/>
        </w:sectPr>
      </w:pPr>
    </w:p>
    <w:bookmarkStart w:id="62" w:name="page63"/>
    <w:bookmarkEnd w:id="62"/>
    <w:p>
      <w:pPr>
        <w:ind w:right="40" w:firstLine="324"/>
        <w:spacing w:after="0" w:line="259" w:lineRule="auto"/>
        <w:rPr>
          <w:sz w:val="20"/>
          <w:szCs w:val="20"/>
          <w:color w:val="auto"/>
        </w:rPr>
      </w:pPr>
      <w:r>
        <w:rPr>
          <w:rFonts w:ascii="Arial" w:cs="Arial" w:eastAsia="Arial" w:hAnsi="Arial"/>
          <w:sz w:val="18"/>
          <w:szCs w:val="18"/>
          <w:color w:val="auto"/>
        </w:rPr>
        <w:t>Reverse lending revenues of $9.0 million decreased by $4.3 million, or 32%. Total expenses declined slightly in the first quarter of 2016. The decrease in revenue was primarily due to lower margin driven by $11.4 million lower volume in the higher yielding retail channel and margin compression across all three reverse channels due to lower market gain rates and increased price competition in the wholesale and correspondent channel. Total funded reverse mortgage volume of $191.2 million declined $0.7 million from the first quarter of 2015.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New business activities that are currently insignificant include providing short-term inventory-secured loans to independent used car dealerships through our Automotive Capital Services (ACS) venture and providing mortgage loans to investors to purchase foreclosed properties or refinance existing rental properties through our Liberty Rental Finance venture. Business activities that are not considered to be of continuing significance include residential subprime non-Agency loans held for sale (at lower of cost or fair value), investments in residential mortgage-backed securities and affordable housing investment activities.</w:t>
      </w:r>
    </w:p>
    <w:p>
      <w:pPr>
        <w:spacing w:after="0" w:line="188"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30,372</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14,977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37,346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27,790</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5,715</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4,833</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Total expenses before corporate overhead allocations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84,313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Servicing segment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(65,783)</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Lending segment</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(1,833)</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16,697</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608</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Three Months Ended March 31, 2016 versus 2015</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Total expenses increased by $13.3 million in the first quarter of 2016 as compared to the first quarter of 2015. Professional services increased by $9.6 million primarily due to a $21.0 million increase in regulatory monitoring costs, offset in part by $8.4 million of strategic advisor costs incurred in the first quarter of 2015 and lower audit and accounting fees of $2.1 million. The expenses we incurred for the three monitoring firms under our NY DFS, CA DBO and Ocwen National Mortgage</w:t>
      </w:r>
    </w:p>
    <w:p>
      <w:pPr>
        <w:sectPr>
          <w:pgSz w:w="11900" w:h="16838" w:orient="portrait"/>
          <w:cols w:equalWidth="0" w:num="1">
            <w:col w:w="11420"/>
          </w:cols>
          <w:pgMar w:left="240" w:top="69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692" w:right="239" w:bottom="1440" w:gutter="0" w:footer="0" w:header="0"/>
          <w:type w:val="continuous"/>
        </w:sectPr>
      </w:pPr>
    </w:p>
    <w:bookmarkStart w:id="63" w:name="page64"/>
    <w:bookmarkEnd w:id="63"/>
    <w:p>
      <w:pPr>
        <w:ind w:right="80"/>
        <w:spacing w:after="0" w:line="259" w:lineRule="auto"/>
        <w:rPr>
          <w:sz w:val="20"/>
          <w:szCs w:val="20"/>
          <w:color w:val="auto"/>
        </w:rPr>
      </w:pPr>
      <w:r>
        <w:rPr>
          <w:rFonts w:ascii="Arial" w:cs="Arial" w:eastAsia="Arial" w:hAnsi="Arial"/>
          <w:sz w:val="18"/>
          <w:szCs w:val="18"/>
          <w:color w:val="auto"/>
        </w:rPr>
        <w:t>settlements increased from $9.0 million in first quarter of 2015 to $30.0 million in first quarter of 2016. Compensation and benefits increased by $4.1 million due to increases in headcount driven by the ongoing in-sourcing of our technology infrastructure and facilities functions, as well as the continued investment in our ACS and Liberty Rental Finance ventures. Technology and communications decreased by $4.1 million due largely to exiting the legacy ResCap servicing platform during 2015.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At March 31, 2016, our cash position was $280.5 million compared to $257.3 million at December 31, 2015. We invest cash that is in excess of our immediate operating needs primarily in money market deposit accounts. Our priorities for deployment of excess cash are: (1) supporting our core servicing and lending businesses and investing in these core assets, (2) reducing corporate leverage, (3) reducing revolving lines of credit in order to reduce interest expense, (4) expanding into similar or complementary businesses that meet our return on capital requirements and (5) repurchasing shares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sales of MSRs and related servicing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financing facilities is integral to our servicing advance financing strategy. The revolving notes issued by our advance funding facilities generally have a 364-day revolving period, although we issue term notes with one- and two-year maturities. The revolving periods for variable funding notes with a total borrowing capacity of $850.0 million as well as the terms of $500.0 million of our one-year term notes end in 2016.</w:t>
      </w:r>
    </w:p>
    <w:p>
      <w:pPr>
        <w:spacing w:after="0" w:line="7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in connection with the Rights to MSRs, we make certain representations, warranties and covenants primarily focused on the nature of the transferred advance receivables and on our servicing practices.</w:t>
      </w:r>
    </w:p>
    <w:p>
      <w:pPr>
        <w:spacing w:after="0" w:line="5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Advances and match funded advances comprised 28% of total assets at March 31, 2016. Our borrowings under our advance funding facilities are secured by pledges of servicing advances that are sold to the related SPE and by cash held in debt service accounts. Since December 31, 2015, we have increased the maximum borrowing capacity of our advance funding facilities by $25.0 million to $1.8 billion. This increase was the result of:</w:t>
      </w:r>
    </w:p>
    <w:p>
      <w:pPr>
        <w:spacing w:after="0" w:line="5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the borrowing capacity of our OFAF advance financing facility from $150.0 million to $160.0 million;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the borrowing capacity of our OSART III advance financing facility from $75.0 million to $90.0 million.</w:t>
      </w:r>
    </w:p>
    <w:p>
      <w:pPr>
        <w:spacing w:after="0" w:line="103"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During 2015, our investment in advances and match funded advances declined by $1.2 billion, principally as a result of sales of MSRs, which allowed us to negotiate reductions in the maximum borrowing capacity of our advance funding facilities of $700.0 million from $2.4 billion at December 31, 2014.</w:t>
      </w:r>
    </w:p>
    <w:p>
      <w:pPr>
        <w:spacing w:after="0" w:line="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unused advance borrowing capacity increased by $72.0 million to $212.9 million at March 31, 2016 as compared to December 31, 2015, principally because of a decrease in borrowing, as total advances and match funded advances declined by $112.2 million (before allowance for losses) during the same period. Our ability to continue to pledge collateral under each advance financing facility depends on the performance of the collateral, among other factors. At March 31, 2016, none of the available borrowing capacity could be used based on the amount of available collateral.</w:t>
      </w:r>
    </w:p>
    <w:p>
      <w:pPr>
        <w:spacing w:after="0" w:line="6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use mortgage loan warehouse facilities to fund newly originated loans on a short-term basis until they are sold to secondary market investors, including GSEs or other third-party investors. These warehouse facilities are structured as repurchase agreements or participation agreements under which ownership of the loans is temporarily transferred to a lender. The loans are transferred at a discount or “haircut” which serves as the primary credit enhancement for the lender. Currently, all of our master repurchase and participation agreements for financing new loan originations have 364-day terms. The funds are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repaid using the proceeds from the sale of the loans to the secondary market investors, usually within 30 days. At March 31, 2016, we had total borrowing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capacity under our warehouse facilities of $650.0 million. Of the borrowing capacity extended on a committed basis, $119.0 million was available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2016, including our warehouse facilities for reverse mortgages. Of the borrowing capacity extended on an uncommitted basis or at the discretion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lender, $206.1 million remained available at March 31, 2016. See Note 11 – Borrowings to the Unaudited Consolidated Financial Statements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w:t>
      </w:r>
    </w:p>
    <w:p>
      <w:pPr>
        <w:spacing w:after="0" w:line="21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4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litigation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Under the terms of our SSTL facility agreement, we are required to prepay the SSTL with 100% of the net sales proceeds from certain permitted asset sales, which generally include our announced Agency MSR sales. During the year ended December 31, 2015, we prepaid $865.8 million of the SSTL facility, including $585.8 million of prepayments from the net proceeds from the sales of MSRs and $280.0 million of voluntary prepayments. During the three months ended March 31, 2016, we prepaid an additional $15.3 million of the SSTL facility, all of which were from the net proceeds from the sales of MSRs.</w:t>
      </w:r>
    </w:p>
    <w:p>
      <w:pPr>
        <w:spacing w:after="0" w:line="46"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On October 31, 2013, we announced that our board of directors had authorized a share repurchase program for an aggregate of up to $500.0 million of our issued and outstanding shares of common stock. The purpose of this program is to provide a tax efficient way to return cash to shareholders when management believes the shares are attractively priced. During the three months ended March 31, 2016, we completed the repurchase of 991,985 shares of common stock under this program for a total purchase price of $5.9 million. As of March 31, 2016, the approximate remaining value of shares that may be repurchased under the program was $119.7 million. The share repurchase program expires on the earlier of the repurchase of the $500.0 million amount or July 31, 2016.</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Projected future sales of MSRs and servicing advances;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92" w:right="259" w:bottom="1440" w:gutter="0" w:footer="0" w:header="0"/>
        </w:sectPr>
      </w:pPr>
    </w:p>
    <w:bookmarkStart w:id="65" w:name="page66"/>
    <w:bookmarkEnd w:id="65"/>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considered the impact of financial projections on our liquidity analysis and have evaluated the appropriateness of the key assumptions in our forecast such as revenues, overhead expenses, costs and sales of MSRs and other assets. We have analyzed our cash requirements and financial obligations. Based upon these evaluations and analyses, we believe that we have ample liquidity to meet our obligations and fund our operations for the next twelve months.</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Generally, the notes issued by our advance funding facilities have a 364-day revolving period. The revolving periods end in 2016 for variable funding notes with a total borrowing capacity of $850.0 million and $637.1 million of outstanding borrowings at March 31, 2016. In the event we are unable to renew, replace or extend the revolving period of one or more of these advance funding facilities, monthly amortization of the outstanding balance must generally begin at the end of the respective 364-day revolving period. In addition, we would be required to begin repaying $500.0 million of our one-year term notes if we do not renew, replace or extend these notes in 2016.</w:t>
      </w:r>
    </w:p>
    <w:p>
      <w:pPr>
        <w:spacing w:after="0" w:line="80"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Similarly, all of our master repurchase and participation agreements for financing new loan originations have 364-day terms. At March 31, 2016, we had $325.0 million outstanding under these financing arrangements, of which $273.7 million is outstanding under agreements maturing in 2016. We currently expect that we will be able to renew, replace or extend our debt agreements as they become due, consistent with our historical experience.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include the following:</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January 5, 2016, we entered into a new one-year $100.0 million mortgage loan warehouse facility to fund the origination of reverse mortgages.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March 31, 2016, we increased the borrowing capacity of our OFAF advance financing facility from $150.0 million to $160.0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March 31, 2016, we increased the borrowing capacity of our OSART III advance financing facility from $75.0 million to $90.0 million.</w:t>
      </w:r>
    </w:p>
    <w:p>
      <w:pPr>
        <w:spacing w:after="0" w:line="11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actual results could differ materially from our estimates. If we were to default under any of our debt agreements, it could become very difficult for us to renew, replace or extend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B2</w:t>
            </w:r>
          </w:p>
        </w:tc>
        <w:tc>
          <w:tcPr>
            <w:tcW w:w="25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Under Review</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Mar. 16, 2016</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Dec. 23, 2015</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Jun. 24, 2015</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Kroll Bond Rating Agency</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Pr>
          <w:p>
            <w:pPr>
              <w:jc w:val="center"/>
              <w:spacing w:after="0"/>
              <w:rPr>
                <w:sz w:val="20"/>
                <w:szCs w:val="20"/>
                <w:color w:val="auto"/>
              </w:rPr>
            </w:pPr>
            <w:r>
              <w:rPr>
                <w:rFonts w:ascii="Arial" w:cs="Arial" w:eastAsia="Arial" w:hAnsi="Arial"/>
                <w:sz w:val="18"/>
                <w:szCs w:val="18"/>
                <w:color w:val="auto"/>
                <w:w w:val="86"/>
              </w:rPr>
              <w:t>Jan. 4, 2016</w:t>
            </w:r>
          </w:p>
        </w:tc>
      </w:tr>
    </w:tbl>
    <w:p>
      <w:pPr>
        <w:spacing w:after="0" w:line="12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Moody’s placed our corporate ratings on review on March 16, 2016. On December 23, 2015, S&amp;P changed its outlook from negative to stable. On June 24, 2015, Fitch affirmed our corporate rating and changed its outlook from negative to stable. On January 4, 2016, Kroll Bond Ratings initiated its corporate bond rating at B+ with a stable outlook. It is possible that additional actions by credit rating agencies could have a material adverse impact on our liquidity and funding position, including materially changing the terms on which we may be able to borrow money.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operating cash flow is primarily impacted by the receipt of servicing fees, changes in our servicing advance balances, operating losses, the level of new loan production and the timing of sales and securitizations of forward mortgage loans. To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84" w:right="259" w:bottom="1440" w:gutter="0" w:footer="0" w:header="0"/>
        </w:sectPr>
      </w:pPr>
    </w:p>
    <w:bookmarkStart w:id="66" w:name="page67"/>
    <w:bookmarkEnd w:id="66"/>
    <w:p>
      <w:pPr>
        <w:jc w:val="both"/>
        <w:ind w:right="140"/>
        <w:spacing w:after="0" w:line="264" w:lineRule="auto"/>
        <w:rPr>
          <w:sz w:val="20"/>
          <w:szCs w:val="20"/>
          <w:color w:val="auto"/>
        </w:rPr>
      </w:pPr>
      <w:r>
        <w:rPr>
          <w:rFonts w:ascii="Arial" w:cs="Arial" w:eastAsia="Arial" w:hAnsi="Arial"/>
          <w:sz w:val="18"/>
          <w:szCs w:val="18"/>
          <w:color w:val="auto"/>
        </w:rPr>
        <w:t>extent we sell MSRs related to delinquent loans, we accelerate the recovery of the related advances. We also receive any outstanding deferred servicing fees upon termination of a servicing agreement. We classify proceeds from the sale of servicing advances, including advances sold in connection with the sale of MSRs, as investing activity in the statement of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2016</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operating activities provided $140.9 million of cash largely due to $109.1 million of net collections of servicing advances. Net cash paid on loans held for sale was $45.6 million for the three months ended March 31, 2016.</w:t>
      </w:r>
    </w:p>
    <w:p>
      <w:pPr>
        <w:spacing w:after="0" w:line="62"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Our investing activities used $183.0 million of cash. Investing activities include cash outflows in connection with our reverse mortgage originations of $304.1 million and additions to premises and equipment of $19.8 million. Cash inflows include the receipt of $15.3 million of net proceeds from the sale of Agency MSRs, $41.0 million of proceeds from the sale of advances and $87.2 million of collections on reverse mortgages.</w:t>
      </w:r>
    </w:p>
    <w:p>
      <w:pPr>
        <w:spacing w:after="0" w:line="5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financing activities provided $65.3 million of cash. Cash inflows include $233.2 million received in connection with our reverse mortgage securitizations, which are accounted for as secured financings. Cash outflows were primarily comprised of $47.0 million of net repayments on match funded liabilities from net advance recoveries, $18.6 million of repayments on the SSTL, including $15.3 million of prepayments in connection with MSR sales, and a $17.4 million net reduction in borrowings under mortgage warehouse facilities used to fund originated forward loans. Cash outflows for the three months ended March 31, 2016 also include the repurchase of 991,985 shares of common stock under our stock repurchase program for $5.9 million and the payment of $2.2 million of costs incurred in connection with amendments to the SSTL.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2015</w:t>
      </w:r>
    </w:p>
    <w:p>
      <w:pPr>
        <w:spacing w:after="0" w:line="11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operating activities provided $325.0 million of cash largely due to net income, adjusted for MSR amortization and valuation-related losses and other non-cash items, $104.3 million of net collections of servicing advances and $106.1 million of net proceeds from sales and collections of loans held for sale.</w:t>
      </w:r>
    </w:p>
    <w:p>
      <w:pPr>
        <w:spacing w:after="0" w:line="16"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Our investing activities used $164.8 million of cash. Investing activities include cash outflows in connection with our reverse mortgage originations of $235.3 million. Cash inflows for the three months ended March 31, 2015 include the receipt of $49.5 million of the $95.6 million proceeds from the sale of Agency MSRs on March 31, 2015, and $26.2 million of collections on reverse mortgages.</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financing activities used $47.4 million of cash. Cash outflows were primarily comprised of $89.6 million of net repayments on match funded liabilities from net advance recoveries, $77.1 million of repayments on the SSTL (including a $73.8 million prepayment in connection with MSR sales) and a $55.5 million net reduction in borrowings under mortgage warehouse facilities used to fund loan originations. Cash outflows for the first quarter of 2015 also include $12.6 million of costs incurred in connection with amendments to the SSTL. These cash outflows were offset by $238.6 million received in connection with our reverse mortgage securitizations, which are accounted for as secured financings.</w:t>
      </w:r>
    </w:p>
    <w:p>
      <w:pPr>
        <w:spacing w:after="0" w:line="60" w:lineRule="exact"/>
        <w:rPr>
          <w:sz w:val="20"/>
          <w:szCs w:val="20"/>
          <w:color w:val="auto"/>
        </w:rPr>
      </w:pPr>
    </w:p>
    <w:p>
      <w:pPr>
        <w:ind w:right="464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firstLine="324"/>
        <w:spacing w:after="0" w:line="31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At March 31, 2016, such contractual obligations were primarily comprised of secured and unsecured borrowings, interest payments, operating leases and commitments to originate or purchase loans. There were no significant changes to our contractual obligations during the three months ended March 31,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We have also entered into non-cancelable operating leases principally for our office facilities.</w:t>
      </w:r>
    </w:p>
    <w:p>
      <w:pPr>
        <w:spacing w:after="0" w:line="5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13 – Derivative Financial Instruments and Hedging Activities to the Unaudited Consolidated Financial Statements for additional information.</w:t>
      </w:r>
    </w:p>
    <w:p>
      <w:pPr>
        <w:spacing w:after="0" w:line="7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692" w:right="279" w:bottom="1440" w:gutter="0" w:footer="0" w:header="0"/>
        </w:sectPr>
      </w:pPr>
    </w:p>
    <w:bookmarkStart w:id="67" w:name="page68"/>
    <w:bookmarkEnd w:id="67"/>
    <w:p>
      <w:pPr>
        <w:ind w:right="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variable interest entity (VIE). Holders of the debt issued by the SPEs have recourse only to the assets of the SPEs for satisfaction of the debt.</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Unaudited Consolidated Financial Statements for additional information.</w:t>
      </w:r>
    </w:p>
    <w:p>
      <w:pPr>
        <w:spacing w:after="0" w:line="8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12 – Other Liabilities and Note 19 – Contingencies to the Unaudited Consolidated Financial Statements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with the Audit Committee of the Board of Directors. Our significant accounting policies and critical accounting estimates are disclosed in our Annual Report on Form 10-K for the year ended December 31, 2015 in Note 1 to the Consolidated Financial Statements and in Management’s Discussion and Analysis of Financial Condition and Results of Operations under “Critical Accounting Policies and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3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in order to prioritize the inputs utilized to measure fair value. We review and modify, as necessary, our fair value hierarchy classifications on a quarterly basis. As such, there may be reclassifications between hierarchy levels.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8" w:name="page69"/>
    <w:bookmarkEnd w:id="68"/>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8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408,809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414,046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2,771,242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2,488,253</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732,174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761,190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MSRs - nonrecurring basis, net (1)</w:t>
            </w:r>
          </w:p>
        </w:tc>
        <w:tc>
          <w:tcPr>
            <w:tcW w:w="16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99,388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129,120</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14,115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8,417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7,985</w:t>
            </w:r>
          </w:p>
        </w:tc>
      </w:tr>
      <w:tr>
        <w:trPr>
          <w:trHeight w:val="27"/>
        </w:trPr>
        <w:tc>
          <w:tcPr>
            <w:tcW w:w="8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4,034,114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3,809,011</w:t>
            </w: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3,171,603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3,176,894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3,698,830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3,493,582</w:t>
            </w: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3,176,894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ind w:left="500" w:right="80" w:hanging="492"/>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balance represents our impaired government-insured stratum of amortization method MSRs, which is measured at fair value on a nonrecurring basis. The carrying value of this stratum is net of a valuation allowance of $47.3 million and $17.3 million at March 31, 2016 and December 31, 2015, respectively.</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Assets at fair value using Level 3 inputs increased during the three months ended March 31, 2016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8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numerous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MSRs accounted for using the amortization measurement method, we assess servicing assets or liabilities for impairment or increased obligation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fair value on a quarterly basis. We group our MSRs by stratum for impairment testing based on the predominant risk characteristics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underlying mortgage loans. During the first quarter of 2016, we recognized a $30.0 million impairment charge on our government-insured MSRs, as the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for this stratum was less than its carrying value. This impairment was primarily due to lower interest rates. The carrying value of this stratum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2016 was $99.4 million, net of the valuation allowance of $47.3 million. The impairment charge is recognized in Servicing and origination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Unaudited Consolidated Statements of Operations.</w:t>
      </w:r>
    </w:p>
    <w:p>
      <w:pPr>
        <w:spacing w:after="0" w:line="10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related loans and the carrying value of the non-Agency MSRs for which the fair value election was made was $195.3 billion and $787.1 million,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2" w:right="239" w:bottom="1440" w:gutter="0" w:footer="0" w:header="0"/>
        </w:sectPr>
      </w:pPr>
    </w:p>
    <w:bookmarkStart w:id="69" w:name="page70"/>
    <w:bookmarkEnd w:id="69"/>
    <w:p>
      <w:pPr>
        <w:ind w:right="12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by using a process that is based on the use of independent third-party valuation experts, and supported by commercially available discounted cash flow models and analysis of current market data to arrive at an estimate of fair value. The key assumptions used in the valuation of these MSRs include prepayment speeds, loan delinquency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1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a result of these evaluations, as of December 31, 2015, we recorded a full valuation allowance for the $84.5 million of U.S. net deferred tax assets and for the $17.4 million of USVI net deferred tax assets as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adopted each recent Accounting Standards Update (ASU) listed below on January 1, 2016. Our adoption of these standards did not have a material impact on our Unaudited Consolidated Financial Statements.</w:t>
      </w:r>
    </w:p>
    <w:p>
      <w:pPr>
        <w:spacing w:after="0" w:line="6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Consolidation: Measuring the Financial Assets and the Financial Liabilities of a Consolidated Collateralized Financing Entity (ASU 2014-13)</w:t>
      </w:r>
    </w:p>
    <w:p>
      <w:pPr>
        <w:spacing w:after="0" w:line="128"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Income Statement—Extraordinary and Unusual Items: Simplifying Income Statement Presentation by Eliminating the Concept of Extraordinary Items (ASU 2015-01)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Consolidation—Amendments to the Consolidation Analysis (ASU 2015-02)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Interest—Imputation of Interest: Simplifying the Presentation of Debt Issuance Costs (ASU 2015-03)</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692" w:right="259" w:bottom="1440" w:gutter="0" w:footer="0" w:header="0"/>
        </w:sectPr>
      </w:pPr>
    </w:p>
    <w:bookmarkStart w:id="70" w:name="page71"/>
    <w:bookmarkEnd w:id="70"/>
    <w:p>
      <w:pPr>
        <w:ind w:left="660" w:right="1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Intangibles—Goodwill and Other—Internal-Use Software: Customer’s Accounting for Fees Paid in a Cloud Computing Arrangement (ASU 2015-05)</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Interest—Imputation of Interest: Presentation and Subsequent Measurement of Debt Issuance Costs Associated with Line-of-Credit Arrangements— Amendments to SEC Paragraphs Pursuant to Staff Announcement at June 18, 2015 EITF Meeting (ASU 2015-15)</w:t>
      </w:r>
    </w:p>
    <w:p>
      <w:pPr>
        <w:spacing w:after="0" w:line="6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are also evaluating the impact of recently issued ASUs not yet adopted that are not effective for us until on or after January 1, 2017. We do not anticipate that our adoption of these ASUs will have a material impact on our consolidated financial statements.</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3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13 – Derivative Financial Instruments and Hedging Activities to the Unaudited Consolidated Financial Statements for additional information regarding our use of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IRLCs and Loans Held for Sale</w:t>
      </w:r>
    </w:p>
    <w:p>
      <w:pPr>
        <w:spacing w:after="0" w:line="12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elected to account for two classes of MSRs at fair value. The first is a class of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at fair value was designated on January 1,</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692" w:right="279" w:bottom="1440" w:gutter="0" w:footer="0" w:header="0"/>
        </w:sectPr>
      </w:pPr>
    </w:p>
    <w:bookmarkStart w:id="71" w:name="page72"/>
    <w:bookmarkEnd w:id="71"/>
    <w:p>
      <w:pPr>
        <w:ind w:right="60"/>
        <w:spacing w:after="0" w:line="375" w:lineRule="auto"/>
        <w:rPr>
          <w:sz w:val="20"/>
          <w:szCs w:val="20"/>
          <w:color w:val="auto"/>
        </w:rPr>
      </w:pPr>
      <w:r>
        <w:rPr>
          <w:rFonts w:ascii="Arial" w:cs="Arial" w:eastAsia="Arial" w:hAnsi="Arial"/>
          <w:sz w:val="18"/>
          <w:szCs w:val="18"/>
          <w:color w:val="auto"/>
        </w:rPr>
        <w:t xml:space="preserve">2015, when we elected fair value accounting for a newly created class of non-Agency MSRs that we previously accounted for using the amortization method. </w:t>
      </w:r>
      <w:r>
        <w:rPr>
          <w:rFonts w:ascii="Arial" w:cs="Arial" w:eastAsia="Arial" w:hAnsi="Arial"/>
          <w:sz w:val="18"/>
          <w:szCs w:val="18"/>
          <w:b w:val="1"/>
          <w:bCs w:val="1"/>
          <w:color w:val="auto"/>
        </w:rPr>
        <w:t>Interest Rate Sensitive Financial Instruments</w:t>
      </w:r>
    </w:p>
    <w:p>
      <w:pPr>
        <w:spacing w:after="0" w:line="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820"/>
              <w:spacing w:after="0"/>
              <w:rPr>
                <w:sz w:val="20"/>
                <w:szCs w:val="20"/>
                <w:color w:val="auto"/>
              </w:rPr>
            </w:pPr>
            <w:r>
              <w:rPr>
                <w:rFonts w:ascii="Arial" w:cs="Arial" w:eastAsia="Arial" w:hAnsi="Arial"/>
                <w:sz w:val="18"/>
                <w:szCs w:val="18"/>
                <w:b w:val="1"/>
                <w:bCs w:val="1"/>
                <w:color w:val="auto"/>
              </w:rPr>
              <w:t>March 31, 2016</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64,283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64,283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67,001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321,739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321,739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87,070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104,992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2,771,242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2,771,242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collateral and debt service accounts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56,946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87,328</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3,301,280</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3,301,280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3,056,628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3,056,628</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1,537,096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1,537,611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1,581,786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2,648,100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2,648,100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secured borrowings (2)</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718,830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741,910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762,411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783,276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(2)</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345,847</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294,350</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5,249,873</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5,221,971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5,083,333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5,074,487</w:t>
            </w:r>
          </w:p>
        </w:tc>
      </w:tr>
      <w:tr>
        <w:trPr>
          <w:trHeight w:val="122"/>
        </w:trPr>
        <w:tc>
          <w:tcPr>
            <w:tcW w:w="5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March 31, 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caps</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1,685,000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w:t>
            </w:r>
          </w:p>
        </w:tc>
        <w:tc>
          <w:tcPr>
            <w:tcW w:w="36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IRLCs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480,305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6,080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826,393</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8,417</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unamortized debt issuance costs and discount.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March 31, 2016, given hypothetical instantaneous parallel shifts in the yield curve. We used March 31, 2016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3,939</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w:t>
            </w:r>
          </w:p>
        </w:tc>
      </w:tr>
      <w:tr>
        <w:trPr>
          <w:trHeight w:val="291"/>
        </w:trPr>
        <w:tc>
          <w:tcPr>
            <w:tcW w:w="834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1,565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120" w:hanging="492"/>
        <w:spacing w:after="0" w:line="276"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change in fair value reflects the impact of market rate changes on projected prepayments on the Agency MSR portfolio carried at fair value. Additionally, non-Agency MSRs carried at fair value can exhibit cash flow sensitivity for advance financing costs and / or float earnings indexed to a market rate. However, we believe the pricing levels on aged non-Agency MSRs should remain stable despite the recent rise in LIBOR rates, given the lack of market transactions supporting any pricing change, and the general industry approach to conservatively valuing such assets. As such, we have assumed zero sensitivity to a 25 bps change in market rates for the non-Agency MSR portfolio.</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March 31, 2016 balances, if interest rates were to increase by 1% on our variable rate debt and interest earning cash and float balances, we estimate a net positive impact of approximately $20.7 million resulting from an increase of $25.5 million in annual interest income and an increase of $4.8 million in annual interest expense. The increase in interest expense reflects the effect of our hedging activities, which would offset $6.4 million of the increase in interest on our variable rate debt.</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March 31, 2016.</w:t>
      </w:r>
    </w:p>
    <w:p>
      <w:pPr>
        <w:spacing w:after="0" w:line="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Based on such evaluation, our Chief Executive Officer and Chief Financial Officer have concluded that, as of March 31, 2016,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required disclosure.</w:t>
      </w:r>
    </w:p>
    <w:p>
      <w:pPr>
        <w:spacing w:after="0" w:line="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fiscal quarter ended March 31, 2016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88" w:right="239" w:bottom="1440" w:gutter="0" w:footer="0" w:header="0"/>
        </w:sectPr>
      </w:pPr>
    </w:p>
    <w:bookmarkStart w:id="73" w:name="page74"/>
    <w:bookmarkEnd w:id="73"/>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19 – Contingencies to the Unaudited Consolidated Financial Statements. That information is incorporated into this item by reference.</w:t>
      </w:r>
    </w:p>
    <w:p>
      <w:pPr>
        <w:spacing w:after="0" w:line="1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An investment in our common stock involves significant risk. We describe the most significant risks that management believes affect or could affect us under Part I to our Annual Report on Form 10-K for the year ended December 31, 2015. Understanding these risks is important to understanding any statement in such Annual Report and in this Form 10-Q and to evaluating an investment in our common stock. You should carefully read and consider the risks and uncertainties described therein together with all of the other information included or incorporated by reference in such Annual Report and our subsequent SEC filings before you make any decision regarding an investment in our common stock. You should also consider the information set forth under “Forward-Looking Statements.”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29"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As of March 31, 2016, the approximate remaining value of shares that may be repurchased under the program was $119.7 million. Unless we amend the share repurchase program or repurchase the full $500.0 million amount by an earlier date, the share repurchase program will continue through July 31, 2016. We may use SEC Rule 10b5-1 plans in connection with our share repurchase program. No assurances can be given as to the amount of shares, if any, that we may repurchase in any given period.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first quarter of 2016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Approximate dollar value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w:t>
            </w:r>
          </w:p>
        </w:tc>
        <w:tc>
          <w:tcPr>
            <w:tcW w:w="10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shares that may yet be purchased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Period</w:t>
            </w:r>
          </w:p>
        </w:tc>
        <w:tc>
          <w:tcPr>
            <w:tcW w:w="1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per share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repurchase program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under the repurchase program</w:t>
            </w:r>
          </w:p>
        </w:tc>
        <w:tc>
          <w:tcPr>
            <w:tcW w:w="0" w:type="dxa"/>
            <w:vAlign w:val="bottom"/>
          </w:tcPr>
          <w:p>
            <w:pPr>
              <w:spacing w:after="0"/>
              <w:rPr>
                <w:sz w:val="1"/>
                <w:szCs w:val="1"/>
                <w:color w:val="auto"/>
              </w:rPr>
            </w:pPr>
          </w:p>
        </w:tc>
      </w:tr>
      <w:tr>
        <w:trPr>
          <w:trHeight w:val="27"/>
        </w:trPr>
        <w:tc>
          <w:tcPr>
            <w:tcW w:w="19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January 1 - January 31</w:t>
            </w:r>
          </w:p>
        </w:tc>
        <w:tc>
          <w:tcPr>
            <w:tcW w:w="282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665,317</w:t>
            </w:r>
          </w:p>
        </w:tc>
        <w:tc>
          <w:tcPr>
            <w:tcW w:w="26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6.2501</w:t>
            </w:r>
          </w:p>
        </w:tc>
        <w:tc>
          <w:tcPr>
            <w:tcW w:w="120" w:type="dxa"/>
            <w:vAlign w:val="bottom"/>
            <w:tcBorders>
              <w:bottom w:val="single" w:sz="8" w:color="EAF9E8"/>
            </w:tcBorders>
            <w:shd w:val="clear" w:color="auto" w:fill="EAF9E8"/>
          </w:tcPr>
          <w:p>
            <w:pPr>
              <w:spacing w:after="0"/>
              <w:rPr>
                <w:sz w:val="21"/>
                <w:szCs w:val="21"/>
                <w:color w:val="auto"/>
              </w:rPr>
            </w:pPr>
          </w:p>
        </w:tc>
        <w:tc>
          <w:tcPr>
            <w:tcW w:w="2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665,317</w:t>
            </w:r>
          </w:p>
        </w:tc>
        <w:tc>
          <w:tcPr>
            <w:tcW w:w="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EAF9E8"/>
            </w:tcBorders>
            <w:shd w:val="clear" w:color="auto" w:fill="EAF9E8"/>
          </w:tcPr>
          <w:p>
            <w:pPr>
              <w:ind w:left="1540"/>
              <w:spacing w:after="0"/>
              <w:rPr>
                <w:sz w:val="20"/>
                <w:szCs w:val="20"/>
                <w:color w:val="auto"/>
              </w:rPr>
            </w:pPr>
            <w:r>
              <w:rPr>
                <w:rFonts w:ascii="Arial" w:cs="Arial" w:eastAsia="Arial" w:hAnsi="Arial"/>
                <w:sz w:val="18"/>
                <w:szCs w:val="18"/>
                <w:color w:val="auto"/>
                <w:w w:val="96"/>
              </w:rPr>
              <w:t>121.4 million</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w w:val="94"/>
              </w:rPr>
              <w:t>February 1 - February 29</w:t>
            </w:r>
          </w:p>
        </w:tc>
        <w:tc>
          <w:tcPr>
            <w:tcW w:w="2820" w:type="dxa"/>
            <w:vAlign w:val="bottom"/>
            <w:gridSpan w:val="2"/>
          </w:tcPr>
          <w:p>
            <w:pPr>
              <w:jc w:val="right"/>
              <w:ind w:right="10"/>
              <w:spacing w:after="0"/>
              <w:rPr>
                <w:sz w:val="20"/>
                <w:szCs w:val="20"/>
                <w:color w:val="auto"/>
              </w:rPr>
            </w:pPr>
            <w:r>
              <w:rPr>
                <w:rFonts w:ascii="Arial" w:cs="Arial" w:eastAsia="Arial" w:hAnsi="Arial"/>
                <w:sz w:val="18"/>
                <w:szCs w:val="18"/>
                <w:color w:val="auto"/>
              </w:rPr>
              <w:t>326,668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5.3015</w:t>
            </w:r>
          </w:p>
        </w:tc>
        <w:tc>
          <w:tcPr>
            <w:tcW w:w="12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326,668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40" w:type="dxa"/>
            <w:vAlign w:val="bottom"/>
          </w:tcPr>
          <w:p>
            <w:pPr>
              <w:ind w:left="1540"/>
              <w:spacing w:after="0"/>
              <w:rPr>
                <w:sz w:val="20"/>
                <w:szCs w:val="20"/>
                <w:color w:val="auto"/>
              </w:rPr>
            </w:pPr>
            <w:r>
              <w:rPr>
                <w:rFonts w:ascii="Arial" w:cs="Arial" w:eastAsia="Arial" w:hAnsi="Arial"/>
                <w:sz w:val="18"/>
                <w:szCs w:val="18"/>
                <w:color w:val="auto"/>
                <w:w w:val="96"/>
              </w:rPr>
              <w:t>119.7 million</w:t>
            </w:r>
          </w:p>
        </w:tc>
        <w:tc>
          <w:tcPr>
            <w:tcW w:w="0" w:type="dxa"/>
            <w:vAlign w:val="bottom"/>
          </w:tcPr>
          <w:p>
            <w:pPr>
              <w:spacing w:after="0"/>
              <w:rPr>
                <w:sz w:val="1"/>
                <w:szCs w:val="1"/>
                <w:color w:val="auto"/>
              </w:rPr>
            </w:pPr>
          </w:p>
        </w:tc>
      </w:tr>
      <w:tr>
        <w:trPr>
          <w:trHeight w:val="27"/>
        </w:trPr>
        <w:tc>
          <w:tcPr>
            <w:tcW w:w="19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March 1 - March 31</w:t>
            </w:r>
          </w:p>
        </w:tc>
        <w:tc>
          <w:tcPr>
            <w:tcW w:w="13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EAF9E8"/>
            </w:tcBorders>
            <w:shd w:val="clear" w:color="auto" w:fill="EAF9E8"/>
          </w:tcPr>
          <w:p>
            <w:pPr>
              <w:ind w:left="1540"/>
              <w:spacing w:after="0"/>
              <w:rPr>
                <w:sz w:val="20"/>
                <w:szCs w:val="20"/>
                <w:color w:val="auto"/>
              </w:rPr>
            </w:pPr>
            <w:r>
              <w:rPr>
                <w:rFonts w:ascii="Arial" w:cs="Arial" w:eastAsia="Arial" w:hAnsi="Arial"/>
                <w:sz w:val="18"/>
                <w:szCs w:val="18"/>
                <w:color w:val="auto"/>
                <w:w w:val="96"/>
              </w:rPr>
              <w:t>119.7 million</w:t>
            </w:r>
          </w:p>
        </w:tc>
        <w:tc>
          <w:tcPr>
            <w:tcW w:w="0" w:type="dxa"/>
            <w:vAlign w:val="bottom"/>
          </w:tcPr>
          <w:p>
            <w:pPr>
              <w:spacing w:after="0"/>
              <w:rPr>
                <w:sz w:val="1"/>
                <w:szCs w:val="1"/>
                <w:color w:val="auto"/>
              </w:rPr>
            </w:pPr>
          </w:p>
        </w:tc>
      </w:tr>
      <w:tr>
        <w:trPr>
          <w:trHeight w:val="257"/>
        </w:trPr>
        <w:tc>
          <w:tcPr>
            <w:tcW w:w="800" w:type="dxa"/>
            <w:vAlign w:val="bottom"/>
          </w:tcPr>
          <w:p>
            <w:pPr>
              <w:ind w:left="28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991,985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5.9377</w:t>
            </w:r>
          </w:p>
        </w:tc>
        <w:tc>
          <w:tcPr>
            <w:tcW w:w="120" w:type="dxa"/>
            <w:vAlign w:val="bottom"/>
          </w:tcPr>
          <w:p>
            <w:pPr>
              <w:spacing w:after="0"/>
              <w:rPr>
                <w:sz w:val="22"/>
                <w:szCs w:val="22"/>
                <w:color w:val="auto"/>
              </w:rPr>
            </w:pP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991,985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EXHIBITS</w:t>
            </w:r>
          </w:p>
        </w:tc>
        <w:tc>
          <w:tcPr>
            <w:tcW w:w="1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3.1</w:t>
            </w:r>
          </w:p>
        </w:tc>
        <w:tc>
          <w:tcPr>
            <w:tcW w:w="4480" w:type="dxa"/>
            <w:vAlign w:val="bottom"/>
            <w:gridSpan w:val="6"/>
          </w:tcPr>
          <w:p>
            <w:pPr>
              <w:ind w:left="20"/>
              <w:spacing w:after="0"/>
              <w:rPr>
                <w:sz w:val="20"/>
                <w:szCs w:val="20"/>
                <w:color w:val="auto"/>
              </w:rPr>
            </w:pPr>
            <w:r>
              <w:rPr>
                <w:rFonts w:ascii="Arial" w:cs="Arial" w:eastAsia="Arial" w:hAnsi="Arial"/>
                <w:sz w:val="18"/>
                <w:szCs w:val="18"/>
                <w:color w:val="auto"/>
              </w:rPr>
              <w:t>Amended and Restated Articles of Incorporation (1)</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3.2</w:t>
            </w:r>
          </w:p>
        </w:tc>
        <w:tc>
          <w:tcPr>
            <w:tcW w:w="4480" w:type="dxa"/>
            <w:vAlign w:val="bottom"/>
            <w:gridSpan w:val="6"/>
          </w:tcPr>
          <w:p>
            <w:pPr>
              <w:ind w:left="20"/>
              <w:spacing w:after="0"/>
              <w:rPr>
                <w:sz w:val="20"/>
                <w:szCs w:val="20"/>
                <w:color w:val="auto"/>
              </w:rPr>
            </w:pPr>
            <w:r>
              <w:rPr>
                <w:rFonts w:ascii="Arial" w:cs="Arial" w:eastAsia="Arial" w:hAnsi="Arial"/>
                <w:sz w:val="18"/>
                <w:szCs w:val="18"/>
                <w:color w:val="auto"/>
              </w:rPr>
              <w:t>Articles of Amendment to Articles of Incorporation (2)</w:t>
            </w: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3.3</w:t>
            </w:r>
          </w:p>
        </w:tc>
        <w:tc>
          <w:tcPr>
            <w:tcW w:w="4480" w:type="dxa"/>
            <w:vAlign w:val="bottom"/>
            <w:gridSpan w:val="6"/>
          </w:tcPr>
          <w:p>
            <w:pPr>
              <w:ind w:left="20"/>
              <w:spacing w:after="0"/>
              <w:rPr>
                <w:sz w:val="20"/>
                <w:szCs w:val="20"/>
                <w:color w:val="auto"/>
              </w:rPr>
            </w:pPr>
            <w:r>
              <w:rPr>
                <w:rFonts w:ascii="Arial" w:cs="Arial" w:eastAsia="Arial" w:hAnsi="Arial"/>
                <w:sz w:val="18"/>
                <w:szCs w:val="18"/>
                <w:color w:val="auto"/>
              </w:rPr>
              <w:t>Articles of Amendment to Articles of Incorporation (2)</w:t>
            </w: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4480" w:type="dxa"/>
            <w:vAlign w:val="bottom"/>
            <w:gridSpan w:val="6"/>
          </w:tcPr>
          <w:p>
            <w:pPr>
              <w:ind w:left="20"/>
              <w:spacing w:after="0"/>
              <w:rPr>
                <w:sz w:val="20"/>
                <w:szCs w:val="20"/>
                <w:color w:val="auto"/>
              </w:rPr>
            </w:pPr>
            <w:r>
              <w:rPr>
                <w:rFonts w:ascii="Arial" w:cs="Arial" w:eastAsia="Arial" w:hAnsi="Arial"/>
                <w:sz w:val="18"/>
                <w:szCs w:val="18"/>
                <w:color w:val="auto"/>
              </w:rPr>
              <w:t>Articles of Amendment to Articles of Incorporation (3)</w:t>
            </w: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3.5</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Articles of Correction (3)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3.6</w:t>
            </w: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w w:val="98"/>
              </w:rPr>
              <w:t>Articles of Amendment to Articles of Incorporation, Articles of Designation, Preferences and Rights of Series A Perpetual</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 (4)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3.7</w:t>
            </w:r>
          </w:p>
        </w:tc>
        <w:tc>
          <w:tcPr>
            <w:tcW w:w="6680" w:type="dxa"/>
            <w:vAlign w:val="bottom"/>
            <w:gridSpan w:val="7"/>
          </w:tcPr>
          <w:p>
            <w:pPr>
              <w:ind w:left="20"/>
              <w:spacing w:after="0"/>
              <w:rPr>
                <w:sz w:val="20"/>
                <w:szCs w:val="20"/>
                <w:color w:val="auto"/>
              </w:rPr>
            </w:pPr>
            <w:r>
              <w:rPr>
                <w:rFonts w:ascii="Arial" w:cs="Arial" w:eastAsia="Arial" w:hAnsi="Arial"/>
                <w:sz w:val="18"/>
                <w:szCs w:val="18"/>
                <w:color w:val="auto"/>
              </w:rPr>
              <w:t>Amended and Restated Bylaws of Ocwen Financial Corporation (5)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10.1</w:t>
            </w: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w w:val="94"/>
              </w:rPr>
              <w:t>Amendment No. 5 to Senior Secured Term Loan Facility Agreement, dated as of March 24, 2016, by and among Ocwen Loan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w w:val="93"/>
              </w:rPr>
              <w:t>Servicing, LLC, as Borrower, Ocwen Financial Corporation, as Parent, Certain Subsidiaries of Ocwen Financial Corporation, as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w w:val="95"/>
              </w:rPr>
              <w:t>Subsidiary Guarantors, the Lender Parties thereto, and Barclays Bank PLC, as Administrative Agent and Collateral Agent (6)</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6680" w:type="dxa"/>
            <w:vAlign w:val="bottom"/>
            <w:gridSpan w:val="7"/>
          </w:tcPr>
          <w:p>
            <w:pPr>
              <w:ind w:left="20"/>
              <w:spacing w:after="0"/>
              <w:rPr>
                <w:sz w:val="20"/>
                <w:szCs w:val="20"/>
                <w:color w:val="auto"/>
              </w:rPr>
            </w:pPr>
            <w:r>
              <w:rPr>
                <w:rFonts w:ascii="Arial" w:cs="Arial" w:eastAsia="Arial" w:hAnsi="Arial"/>
                <w:sz w:val="18"/>
                <w:szCs w:val="18"/>
                <w:color w:val="auto"/>
                <w:w w:val="96"/>
              </w:rPr>
              <w:t>Ocwen Financial Corporation 1998 Annual Incentive Plan, as amended (filed herewith)</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11.1</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w w:val="91"/>
              </w:rPr>
              <w:t>Computation of earnings per share (7)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31.1</w:t>
            </w: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31.2</w:t>
            </w: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920"/>
              <w:spacing w:after="0"/>
              <w:rPr>
                <w:sz w:val="20"/>
                <w:szCs w:val="20"/>
                <w:color w:val="auto"/>
              </w:rPr>
            </w:pPr>
            <w:r>
              <w:rPr>
                <w:rFonts w:ascii="Arial" w:cs="Arial" w:eastAsia="Arial" w:hAnsi="Arial"/>
                <w:sz w:val="18"/>
                <w:szCs w:val="18"/>
                <w:color w:val="auto"/>
              </w:rPr>
              <w:t>32.1</w:t>
            </w:r>
          </w:p>
        </w:tc>
        <w:tc>
          <w:tcPr>
            <w:tcW w:w="9660" w:type="dxa"/>
            <w:vAlign w:val="bottom"/>
          </w:tcPr>
          <w:p>
            <w:pPr>
              <w:ind w:left="22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1760" w:type="dxa"/>
            <w:vAlign w:val="bottom"/>
          </w:tcPr>
          <w:p>
            <w:pPr>
              <w:ind w:left="920"/>
              <w:spacing w:after="0"/>
              <w:rPr>
                <w:sz w:val="20"/>
                <w:szCs w:val="20"/>
                <w:color w:val="auto"/>
              </w:rPr>
            </w:pPr>
            <w:r>
              <w:rPr>
                <w:rFonts w:ascii="Arial" w:cs="Arial" w:eastAsia="Arial" w:hAnsi="Arial"/>
                <w:sz w:val="18"/>
                <w:szCs w:val="18"/>
                <w:color w:val="auto"/>
              </w:rPr>
              <w:t>32.2</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101.INS</w:t>
            </w:r>
          </w:p>
        </w:tc>
        <w:tc>
          <w:tcPr>
            <w:tcW w:w="96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101.SCH</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101.CAL</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101.DEF</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101.LAB</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101.PRE</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500" w:right="180" w:hanging="492"/>
        <w:spacing w:after="0" w:line="258"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8"/>
          <w:szCs w:val="18"/>
          <w:color w:val="auto"/>
        </w:rPr>
      </w:pPr>
    </w:p>
    <w:p>
      <w:pPr>
        <w:ind w:left="500" w:right="7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500" w:right="7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included with the Registrant’s Form 8-K filed with the SEC on February 19, 2016.</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25, 2016.</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“Note 15 – Basic and Diluted Earnings per Share” to the Unaudited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47" w:right="23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27,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240" w:top="688" w:right="3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ANNUAL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through and effective as of March 29,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ARTICLE 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GENERAL PROVISIONS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Purpose</w:t>
      </w:r>
    </w:p>
    <w:p>
      <w:pPr>
        <w:spacing w:after="0" w:line="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purpose of the Ocwen Financial Corporation 1998 Annual Incentive Plan (the “Plan”) is to advance the success of Ocwen Financial Corporation and to thereby increase shareholder value by promoting the attainment of significant business objectives by the Company or a business unit and basing a portion of the annual compensation of selected officers and key employees on the attainment of such objectives. The Plan is designed to: (i) further align the interests of Participants with the interests of the Company's shareholders, (ii) reward Participants for creating shareholder value as measured by performance goals, and (iii) assist in the attraction and retention of employees vital to the Company's long-term success.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Definitions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the Plan, the following terms shall have the meanings indicated:</w:t>
      </w:r>
    </w:p>
    <w:p>
      <w:pPr>
        <w:spacing w:after="0" w:line="21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 means: (i) conduct, activities or performance by a Participant which, in the judgment of the Company, based upon the information then in its possession, is detrimental to its interests, business, goodwill or reputation; or (ii) such definition of Cause as is contained in a Participant’s employment agreement, if any, with the Company.</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including any successor law thereto.</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means Ocwen Financial Corporation and, solely for purposes of determining (i) eligibility for participation in the Plan, (ii) employment, and (iii) the calculation of any performance goal, shall include any corporation, partnership, or other organization of which the Company owns or controls, directly or indirectly, not less than 50 percent of the total combined voting power of all classes of stock or other equity interests. For purposes of this Plan, the term “Company” shall include any successor to Ocwen Financial Corporation.</w:t>
      </w:r>
    </w:p>
    <w:p>
      <w:pPr>
        <w:spacing w:after="0" w:line="1" w:lineRule="exact"/>
        <w:rPr>
          <w:rFonts w:ascii="Arial" w:cs="Arial" w:eastAsia="Arial" w:hAnsi="Arial"/>
          <w:sz w:val="18"/>
          <w:szCs w:val="18"/>
          <w:color w:val="auto"/>
        </w:rPr>
      </w:pPr>
    </w:p>
    <w:p>
      <w:pPr>
        <w:jc w:val="both"/>
        <w:ind w:left="660" w:hanging="652"/>
        <w:spacing w:after="0" w:line="265"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“Committee” means the Compensation Committee of the Board (or any successor committee of the Board performing a similar function or the whole Board if the Board performs such functions) or, with respect to any particular function under the Plan identified by the Committee or the Board, any subcommittee of the whole Committee established by the whole Committee or the Board in order to comply with the definition of Non-Employee Director under Rule 16b-3 of the Exchange Act and the definition of outside director under Section 162(m) of the Code.</w:t>
      </w: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“Common Stock” means the Company's Common Stock, par value $.01 per share.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“Participant” means any person who has satisfied the eligibility requirements set forth in Section 1.4 and to whom an award has been made under the Plan.</w:t>
      </w:r>
    </w:p>
    <w:p>
      <w:pPr>
        <w:jc w:val="both"/>
        <w:ind w:left="660" w:hanging="652"/>
        <w:spacing w:after="0" w:line="285"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“Performance Measures” means the criteria upon which awards will be based, which shall be any one or more of the following measures: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market penetration or other performance measures with respect to specific designated products or product groups and/or specific geographic areas, return on equity, average equity used, value of assets, return or net return on assets, net assets or capital (including invested capital), growth in assets or net assets, asset intensity, earnings (including net earnings, EBITDA and EBIT), cash flow (including operating and net cash flow), adjusted cash flow from operations, operating cash flow as a percent of capital employed, economic value added, gross margin, total shareholder return, reduction of losses, reduction of expenses, loss ratios or expense ratios, costs (including cost of capital, cost per loan, cost per hire and training costs), debt reduction, workforce diversity, number of accounts, workers’ compensation claims, budgeted amounts, turnover rate, mortgage loan delinquencies, pre-foreclosure delinquency resolutions, dispositions of REO properties, servicing advances, loans (including forward and reverse mortgage loans), call center metrics, complaint resolution rates, customer satisfaction based on specified objective goals, reduced excess facilities and/or reduced facility costs, delivery of objectively determinable key projects on time</w:t>
      </w:r>
    </w:p>
    <w:p>
      <w:pPr>
        <w:spacing w:after="0" w:line="199" w:lineRule="exact"/>
        <w:rPr>
          <w:rFonts w:ascii="Arial" w:cs="Arial" w:eastAsia="Arial" w:hAnsi="Arial"/>
          <w:sz w:val="16"/>
          <w:szCs w:val="16"/>
          <w:color w:val="auto"/>
        </w:rPr>
      </w:pPr>
    </w:p>
    <w:p>
      <w:pPr>
        <w:ind w:left="5660" w:hanging="96"/>
        <w:spacing w:after="0"/>
        <w:tabs>
          <w:tab w:leader="none" w:pos="5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580" w:right="239" w:bottom="1440" w:gutter="0" w:footer="0" w:header="0"/>
        </w:sectPr>
      </w:pPr>
    </w:p>
    <w:bookmarkStart w:id="77" w:name="page78"/>
    <w:bookmarkEnd w:id="77"/>
    <w:p>
      <w:pPr>
        <w:jc w:val="both"/>
        <w:ind w:left="660"/>
        <w:spacing w:after="0" w:line="311" w:lineRule="auto"/>
        <w:rPr>
          <w:sz w:val="20"/>
          <w:szCs w:val="20"/>
          <w:color w:val="auto"/>
        </w:rPr>
      </w:pPr>
      <w:r>
        <w:rPr>
          <w:rFonts w:ascii="Arial" w:cs="Arial" w:eastAsia="Arial" w:hAnsi="Arial"/>
          <w:sz w:val="17"/>
          <w:szCs w:val="17"/>
          <w:color w:val="auto"/>
        </w:rPr>
        <w:t>and per specified objectives, objective process and vendor management measures, including turn-times, error rates and objective quality control measures, and objective management development measures, including delivery, participation rates and success in programs aimed at building organizational capabilities and talent. Performance Measures may be based (a) on the performance of the Company, a subsidiary or subsidiaries, any branch, department, business unit or other portion or combination thereof under such measure for the Performance Period, (b) upon a comparison of such performance with the performance of a peer group of corporations, prior Performance Periods or other measure selected or defined by the Committee at the time of making an award and/or (c) in the case of earnings-based measures, on comparisons to capital, stockholders’ equity, shares outstanding or such other measures selected or defined by the Committee at the time of making an award. In addition, the Committee may elect to base awards on criteria other than those enumerated above.</w:t>
      </w:r>
    </w:p>
    <w:p>
      <w:pPr>
        <w:ind w:left="660" w:hanging="652"/>
        <w:spacing w:after="0" w:line="273"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“Performance Period” means, in relation to any award, the calendar year (or remaining portion of the calendar year if the award is made after March 31 of any year) for which performance is being calculated, with each such period constituting a separate Performance Period.</w:t>
      </w:r>
    </w:p>
    <w:p>
      <w:pPr>
        <w:ind w:left="660" w:hanging="652"/>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Threshold” means, in relation to any Performance Period, the minimum level of performance that must be achieved with respect to the Performance Measure in order for an award to become payable pursuant to Section 2.5 hereof.</w:t>
      </w:r>
    </w:p>
    <w:p>
      <w:pPr>
        <w:jc w:val="both"/>
        <w:ind w:left="660" w:hanging="652"/>
        <w:spacing w:after="0" w:line="28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“Target Award” means that percentage of a Participant's annual base salary for the Performance Period which the Plan Administrator set as the maximum amount to be awarded under the Plan for such Performance Period. New participant Target Award amounts will be prorated based on the date of eligibility, unless the Committee decides otherwise with respect to any Participant. If a Participant has a different Target Award upon position change, the Participant’s Target Award amount will be prorated based on the Target Award percentages for the amount of time spent in each position during the Performance Period, unless the Committee decides otherwise with respect to any Participant. Target Awards are prorated to reflect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levels of compensation during the Performance Period, unless the Committee decides otherwise with respect to any Participant..</w:t>
      </w:r>
    </w:p>
    <w:p>
      <w:pPr>
        <w:spacing w:after="0" w:line="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Administration</w:t>
      </w:r>
    </w:p>
    <w:p>
      <w:pPr>
        <w:spacing w:after="0" w:line="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Plan shall be administered by the Committee. Subject to the terms of the Plan, the Committee shall, among other things, determine eligibility for participation in the Plan, make awards under the Plan, establish the terms and conditions of such awards (including the Performance Measure(s) to be utilized) and determine whether the Performance Measures and Performance Thresholds for any award have been achieved. A majority of the Committee shall constitute a quorum, and the acts of a majority of the members present at any meeting at which a quorum is present, or acts approved in writing by all members of the Committee, shall be deemed the acts of the Committee. Subject to the provisions of the Plan and to directions by the Board, the Committee is authorized to interpret the Plan, to adopt administrative rules, regulations, and guidelines for the Plan, and to impose such terms, conditions, and restrictions on awards as it deems appropriate. The Committee may, with respect to Participants who are not subject to Section 16 of the Exchange Act and Section 162(m) of the Code, delegate such of its powers and authority under the Plan to the Company's President and Chief Executive Officer as it deems appropriate. In the event of such delegation, all references to the Committee in this Plan shall be deemed references to the President and Chief Executive Officer as it relates to those aspects of the Plan that have been delegated.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Eligibility and Participation</w:t>
      </w:r>
    </w:p>
    <w:p>
      <w:pPr>
        <w:spacing w:after="0" w:line="2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Participation in the Plan shall be limited to officers, who may also be members of the Board, and other employees of the Company who are determined by the Committee to be eligible for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AWARD TERMS</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Granting of Awards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may, in its discretion, from time to time make awards to persons eligible for participation in the Plan pursuant to which the Participant will earn compensation in the event that the Company achieves the Performance Thresholds established by the Committee.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Establishment of Performance Thresholds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award shall be conditioned upon the Company's achievement of one or more Performance Thresholds with respect to Performance Measure(s), which Performance Thresholds shall, if they are intended to qualify as performance-based compensation within the meaning of Section 162(m) of the Code, be established by the Committee prior to March 31 of the applicable Performance Period or within 10 business days after the start of the Performance Period in the case of Performance Periods that begin after March 31. The Committee, in its discretion, may establish Performance Thresholds for the Company, a subsidiary or subsidiaries, any branch, department, business unit or other portion or combination thereof. In addition to establishing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611" w:right="239" w:bottom="1440" w:gutter="0" w:footer="0" w:header="0"/>
        </w:sectPr>
      </w:pPr>
    </w:p>
    <w:bookmarkStart w:id="78" w:name="page79"/>
    <w:bookmarkEnd w:id="78"/>
    <w:p>
      <w:pPr>
        <w:jc w:val="both"/>
        <w:spacing w:after="0" w:line="218" w:lineRule="exact"/>
        <w:rPr>
          <w:sz w:val="20"/>
          <w:szCs w:val="20"/>
          <w:color w:val="auto"/>
        </w:rPr>
      </w:pPr>
      <w:r>
        <w:rPr>
          <w:rFonts w:ascii="Arial" w:cs="Arial" w:eastAsia="Arial" w:hAnsi="Arial"/>
          <w:sz w:val="16"/>
          <w:szCs w:val="16"/>
          <w:color w:val="auto"/>
        </w:rPr>
        <w:t>a minimum performance level below which no compensation shall be payable pursuant to an award, the Committee, in its discretion, may create a performance schedule under which an amount less than the Target Award may be paid so long as the Performance Threshold has been exceeded. Performance Thresholds that are intended to qualify as performance-based compensation within the meaning of Section 162(m) of the Code shall be based on the Performance Measures enumerated in Section 1.2(i) and shall be objective targets based on such Performance Measures. The Committee may adjust the Performance Thresholds and measurements to reflect significant unforeseen events; provided, however, that the Committee may not make any such adjustment with respect to any award to an individual who is then or is anticipated to become a “covered employee” as such term is defined in Regulation 1.162</w:t>
      </w:r>
      <w:r>
        <w:rPr>
          <w:rFonts w:ascii="MS PGothic" w:cs="MS PGothic" w:eastAsia="MS PGothic" w:hAnsi="MS PGothic"/>
          <w:sz w:val="16"/>
          <w:szCs w:val="16"/>
          <w:color w:val="auto"/>
        </w:rPr>
        <w:t>‑</w:t>
      </w:r>
      <w:r>
        <w:rPr>
          <w:rFonts w:ascii="Arial" w:cs="Arial" w:eastAsia="Arial" w:hAnsi="Arial"/>
          <w:sz w:val="16"/>
          <w:szCs w:val="16"/>
          <w:color w:val="auto"/>
        </w:rPr>
        <w:t>27(c)(2) promulgated under Section 162(m) of the Code, or any successor provision (“Section 162(m)”), if such adjustment would cause compensation pursuant to such award that otherwise would qualify as performance-based compensation under Section 162(m) to cease to so qualify.</w:t>
      </w:r>
    </w:p>
    <w:p>
      <w:pPr>
        <w:spacing w:after="0" w:line="1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Other Award Terms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may, in its sole discretion, establish certain additional performance-based conditions that must be satisfied by the Company, a subsidiary or subsidiaries, any branch, department, business unit or other portion or combination thereof or the Participant as a condition precedent to the payment of all or a portion of any awards. Such conditions precedent may include, among other things, the receipt by a Participant of a specified annual performance rating and the achievement of specified performance goals by the Company, a subsidiary or subsidiaries, any branch, department, business unit or other portion or combination thereof or the Participant.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Certification of Achievement of Performance Thresholds; Authority to Reduce Payment</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Committee shall, prior to any payment under the Plan, certify in writing the extent, if any, that the Performance Threshold has been achieved. For purposes of this provision, and for so long as the Code permits, the approved minutes of the Committee meeting in which the certification is made shall be treated as written certification.</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has the authority to reduce (but not increase) the amount of any award otherwise payable under the Plan based on such facts and circumstances it may consider appropriate.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Distribution of Awards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Awards under the Plan shall be paid in cash as soon as practicable after audited financial statements for the Performance Period have been prepared and the Committee has certified that the Performance Threshold has been achieved.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the Committee may, in its sole discretion, elect to pay all or a portion of the total award value in the form of fully-vested shares of Common Stock granted under the Company’s 2007 Equity Incentive Plan or any successor equity incentive plan of the Company (“Equity Plan”). The Committee may also, in its sole discretion, provide at the time of granting an award under the Plan that all or a portion of any total award value with respect to such award will be paid in the form of an award granted under the Equity Plan, in lieu of paying such portion of the award under the Plan in cash. The Committee shall specify the terms, including any deferred vesting and the methodology for converting the cash otherwise payable into the number of shares covered by the Equity Plan award, of any such Equity Plan award.</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Participant must be actively employed by the Company and not under notice of resignation on the date his or her award is to be paid (“the Payment Date”) in order to be entitled to payment of any award. In the event active employment of a Participant shall be terminated before the Payment Date for any reason other than discharge for “Cause”, such Participant shall not be entitled to receive any award unless otherwise determined by the Committee. A Participant discharged for Cause shall not be entitled to receive any award for the year.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Maximum Amount Available for Awards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maximum amount payable to any one Participant under the Plan for any Performance Period shall be $3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584" w:right="239" w:bottom="1440" w:gutter="0" w:footer="0" w:header="0"/>
        </w:sectPr>
      </w:pPr>
    </w:p>
    <w:bookmarkStart w:id="79" w:name="page80"/>
    <w:bookmarkEnd w:id="79"/>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ARTICLE III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PROVISIONS</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Whenever payments under the Plan are to be made, the Company will withhold therefrom an amount sufficient to satisfy any applicable governmental withholding tax requirements related thereto.</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Adjustment in Number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Awards may be adjusted by the Committee in the manner and to the extent it determines to be appropriate in the event of changes in the outstanding shares of Common Stock by reason of stock dividends, stock splits, recapitalizations, reorganizations, mergers, consolidations, combinations, exchanges, reclassifications or other relevant changes in capitalization occurring after the date of the award.</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contained in the Plan or in any award agreement shall confer upon any Participant any right with respect to continued employment with the Company or its subsidiaries, nor interfere in any way with the right of the Company or its subsidiaries to at any time reassign the Participant to a different job, change the compensation of the Participant or terminate the Participant's employment for any reason.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Participant's rights under the Plan, including the right to any shares or amounts payable may not be assigned, pledged, or otherwise transferred without the written consent of the Committee except, in the event of a Participant's death, to the Participant's designated beneficiary or, in the absence of such a designation, by will or by the laws of descent and distribution.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Deferral of Payment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discretion of the Committee, a Participant may be required to defer the receipt of up to 80% of any award otherwise payable to such Participant. Such deferral shall be accomplished by the execution of a written deferral agreement approved by the Committee by the Participant prior to the expiration of the Performance Period.</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Unfunded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determined by the Committee, the Plan shall be unfunded and shall not create (or be construed to create) a trust or separate funds. With respect to any payment not yet made to a Participant, nothing contained herein shall give any Participant any rights that are greater than those of a general creditor of the Company.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Foreign Jurisdictions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shall have the authority to adopt, amend, or terminate such arrangements, not inconsistent with the intent of the Plan, as it may deem necessary or desirable to comply with the tax or other laws of foreign countries or jurisdictions in order to promote achievement of the purposes of the Plan with respect to Participants residing or working in such jurisdictions.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Other Compensation Plans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contained in this Plan shall prevent the Company from adopting other or additional compensation arrangements for employees of the Company.</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Plan shall be construed to satisfy, to the maximum extent possible, the requirements of Section 409A of the Code to avoid any tax, penalty or interest thereunder. However, each Participant or other person entitled to a payment with respect to the Plan shall be solely responsible for any and all tax liability that may arise with respect to such payment, subject to the withholding right of Section 3.1.</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1013" w:right="239" w:bottom="1440" w:gutter="0" w:footer="0" w:header="0"/>
        </w:sectPr>
      </w:pPr>
    </w:p>
    <w:bookmarkStart w:id="80" w:name="page81"/>
    <w:bookmarkEnd w:id="80"/>
    <w:p>
      <w:pPr>
        <w:spacing w:after="0"/>
        <w:tabs>
          <w:tab w:leader="none" w:pos="48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awards granted under the Plan are subject to the terms of any recoupment, clawback or similar policy that the Company may adopt and as any such policy may be in effect from time to time, as well as any similar provisions of applicable law, any of which could in certain circumstances require repayment or forfeiture of awards or any cash, Equity Plan awards, or property received with respect to the awards.</w:t>
      </w:r>
    </w:p>
    <w:p>
      <w:pPr>
        <w:spacing w:after="0" w:line="200" w:lineRule="exact"/>
        <w:rPr>
          <w:sz w:val="20"/>
          <w:szCs w:val="20"/>
          <w:color w:val="auto"/>
        </w:rPr>
      </w:pPr>
    </w:p>
    <w:p>
      <w:pPr>
        <w:spacing w:after="0" w:line="39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ARTICLE IV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AMENDMENT AND TERMINATION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Board of Directors may modify, amend, or terminate the Plan at any time except that, no modification, amendment, or termination of the Plan shall adversely affect the rights of a Participant under an award previously made to such Participant without the consent of such Participant.</w:t>
      </w:r>
    </w:p>
    <w:p>
      <w:pPr>
        <w:spacing w:after="0" w:line="200" w:lineRule="exact"/>
        <w:rPr>
          <w:sz w:val="20"/>
          <w:szCs w:val="20"/>
          <w:color w:val="auto"/>
        </w:rPr>
      </w:pPr>
    </w:p>
    <w:p>
      <w:pPr>
        <w:spacing w:after="0" w:line="37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ARTICLE V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EFFECTIVE DATE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to and restatement of the Plan is effective as of the date first indicated above. The Plan was last approved by the shareholders of the Company on May 14, 2014.</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required pursuant to Section 162(m) of the Code and the regulations promulgated thereunder, the authority to grant new awards under the Plan shall terminate upon the first meeting of the Company’s shareholders that occurs in the fifth year following the year in which the Company’s shareholders approved the Plan for such purpose, subject to any subsequent extension that may be approved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April 27, 2016</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April 27, 2016</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April 27, 2016</w:t>
            </w:r>
          </w:p>
        </w:tc>
      </w:tr>
    </w:tbl>
    <w:p>
      <w:pPr>
        <w:sectPr>
          <w:pgSz w:w="11900" w:h="16838" w:orient="portrait"/>
          <w:cols w:equalWidth="0" w:num="1">
            <w:col w:w="11420"/>
          </w:cols>
          <w:pgMar w:left="240" w:top="8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April 27, 2016</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2"/>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4"/>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lvl w:ilvl="1">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2"/>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lowerLetter"/>
      <w:start w:val="1"/>
    </w:lvl>
    <w:lvl w:ilvl="1">
      <w:lvlJc w:val="left"/>
      <w:lvlText w:val="-"/>
      <w:numFmt w:val="bullet"/>
      <w:start w:val="1"/>
    </w:lvl>
  </w:abstractNum>
  <w:abstractNum w:abstractNumId="49">
    <w:nsid w:val="75C6C33A"/>
    <w:multiLevelType w:val="hybridMultilevel"/>
    <w:lvl w:ilvl="0">
      <w:lvlJc w:val="left"/>
      <w:lvlText w:val="(%1)"/>
      <w:numFmt w:val="lowerLetter"/>
      <w:start w:val="10"/>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
      <w:numFmt w:val="bullet"/>
      <w:start w:val="1"/>
    </w:lvl>
  </w:abstractNum>
  <w:abstractNum w:abstractNumId="53">
    <w:nsid w:val="374A3FE6"/>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2019-12-29T12:34:59Z</dcterms:created>
  <dcterms:modified xsi:type="dcterms:W3CDTF">2019-12-29T12:34:59Z</dcterms:modified>
</cp:coreProperties>
</file>