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spacing w:lineRule="auto" w:line="288" w:before="0" w:after="0"/>
        <w:jc w:val="center"/>
        <w:rPr/>
      </w:pPr>
      <w:r>
        <w:rPr>
          <w:rFonts w:ascii="Times New Roman;sans-serif" w:hAnsi="Times New Roman;sans-serif"/>
          <w:b/>
          <w:color w:val="000000"/>
          <w:sz w:val="36"/>
        </w:rPr>
        <w:t>FORM 10-Q</w:t>
      </w: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QUARTERLY REPORT PURSUANT TO SECTION 13 OR 15(d) OF THE SECURITIES EXCHANGE ACT OF 1934</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 to ____________________</w:t>
            </w:r>
          </w:p>
        </w:tc>
      </w:tr>
    </w:tbl>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1-13219 </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OCWEN FINANCIAL CORPORATION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18" w:type="dxa"/>
        <w:jc w:val="left"/>
        <w:tblInd w:w="0" w:type="dxa"/>
        <w:tblCellMar>
          <w:top w:w="28" w:type="dxa"/>
          <w:left w:w="28" w:type="dxa"/>
          <w:bottom w:w="28" w:type="dxa"/>
          <w:right w:w="28" w:type="dxa"/>
        </w:tblCellMar>
      </w:tblPr>
      <w:tblGrid>
        <w:gridCol w:w="911"/>
        <w:gridCol w:w="802"/>
        <w:gridCol w:w="802"/>
        <w:gridCol w:w="802"/>
        <w:gridCol w:w="802"/>
        <w:gridCol w:w="843"/>
        <w:gridCol w:w="109"/>
        <w:gridCol w:w="109"/>
        <w:gridCol w:w="109"/>
        <w:gridCol w:w="884"/>
        <w:gridCol w:w="884"/>
        <w:gridCol w:w="1261"/>
      </w:tblGrid>
      <w:tr>
        <w:trPr/>
        <w:tc>
          <w:tcPr>
            <w:tcW w:w="91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2"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65-0039856</w:t>
            </w:r>
          </w:p>
        </w:tc>
      </w:tr>
      <w:tr>
        <w:trPr/>
        <w:tc>
          <w:tcPr>
            <w:tcW w:w="496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1661 Worthington Road, Suite 100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33409</w:t>
            </w:r>
          </w:p>
        </w:tc>
      </w:tr>
      <w:tr>
        <w:trPr/>
        <w:tc>
          <w:tcPr>
            <w:tcW w:w="2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West Palm Beach, </w:t>
            </w:r>
          </w:p>
        </w:tc>
        <w:tc>
          <w:tcPr>
            <w:tcW w:w="24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96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(561) 682-8000 </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80" w:after="6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8" w:type="dxa"/>
        <w:jc w:val="center"/>
        <w:tblInd w:w="0" w:type="dxa"/>
        <w:tblCellMar>
          <w:top w:w="28" w:type="dxa"/>
          <w:left w:w="28" w:type="dxa"/>
          <w:bottom w:w="28" w:type="dxa"/>
          <w:right w:w="28" w:type="dxa"/>
        </w:tblCellMar>
      </w:tblPr>
      <w:tblGrid>
        <w:gridCol w:w="997"/>
        <w:gridCol w:w="876"/>
        <w:gridCol w:w="886"/>
        <w:gridCol w:w="564"/>
        <w:gridCol w:w="564"/>
        <w:gridCol w:w="566"/>
        <w:gridCol w:w="1118"/>
        <w:gridCol w:w="1118"/>
        <w:gridCol w:w="1589"/>
      </w:tblGrid>
      <w:tr>
        <w:trPr/>
        <w:tc>
          <w:tcPr>
            <w:tcW w:w="997"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OCN</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120" w:after="1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20" w:after="1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73" w:type="dxa"/>
        <w:jc w:val="left"/>
        <w:tblInd w:w="0" w:type="dxa"/>
        <w:tblCellMar>
          <w:top w:w="28" w:type="dxa"/>
          <w:left w:w="28" w:type="dxa"/>
          <w:bottom w:w="28" w:type="dxa"/>
          <w:right w:w="28" w:type="dxa"/>
        </w:tblCellMar>
      </w:tblPr>
      <w:tblGrid>
        <w:gridCol w:w="124"/>
        <w:gridCol w:w="634"/>
        <w:gridCol w:w="634"/>
        <w:gridCol w:w="636"/>
        <w:gridCol w:w="109"/>
        <w:gridCol w:w="109"/>
        <w:gridCol w:w="109"/>
        <w:gridCol w:w="109"/>
        <w:gridCol w:w="109"/>
        <w:gridCol w:w="109"/>
        <w:gridCol w:w="109"/>
        <w:gridCol w:w="769"/>
        <w:gridCol w:w="769"/>
        <w:gridCol w:w="7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20" w:after="1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20" w:after="120"/>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outstanding as of May 1, 2023: 7,640,333 shares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8"/>
        <w:gridCol w:w="233"/>
        <w:gridCol w:w="233"/>
        <w:gridCol w:w="212"/>
        <w:gridCol w:w="212"/>
        <w:gridCol w:w="212"/>
        <w:gridCol w:w="2515"/>
        <w:gridCol w:w="2513"/>
        <w:gridCol w:w="2518"/>
        <w:gridCol w:w="369"/>
        <w:gridCol w:w="369"/>
        <w:gridCol w:w="531"/>
      </w:tblGrid>
      <w:tr>
        <w:trPr/>
        <w:tc>
          <w:tcPr>
            <w:tcW w:w="28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515" w:type="dxa"/>
            <w:tcBorders/>
            <w:shd w:fill="auto" w:val="clear"/>
            <w:vAlign w:val="center"/>
          </w:tcPr>
          <w:p>
            <w:pPr>
              <w:pStyle w:val="TableContents"/>
              <w:spacing w:before="0" w:after="283"/>
              <w:rPr>
                <w:sz w:val="4"/>
                <w:szCs w:val="4"/>
              </w:rPr>
            </w:pPr>
            <w:r>
              <w:rPr>
                <w:sz w:val="4"/>
                <w:szCs w:val="4"/>
              </w:rPr>
            </w:r>
          </w:p>
        </w:tc>
        <w:tc>
          <w:tcPr>
            <w:tcW w:w="2513" w:type="dxa"/>
            <w:tcBorders/>
            <w:shd w:fill="auto" w:val="clear"/>
            <w:vAlign w:val="center"/>
          </w:tcPr>
          <w:p>
            <w:pPr>
              <w:pStyle w:val="TableContents"/>
              <w:spacing w:before="0" w:after="283"/>
              <w:rPr>
                <w:sz w:val="4"/>
                <w:szCs w:val="4"/>
              </w:rPr>
            </w:pPr>
            <w:r>
              <w:rPr>
                <w:sz w:val="4"/>
                <w:szCs w:val="4"/>
              </w:rPr>
            </w:r>
          </w:p>
        </w:tc>
        <w:tc>
          <w:tcPr>
            <w:tcW w:w="251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3">
              <w:r>
                <w:rPr>
                  <w:rStyle w:val="InternetLink"/>
                  <w:rFonts w:ascii="Times New Roman;sans-serif" w:hAnsi="Times New Roman;sans-serif"/>
                  <w:b/>
                  <w:strike w:val="false"/>
                  <w:dstrike w:val="false"/>
                  <w:color w:val="000000"/>
                  <w:sz w:val="20"/>
                  <w:u w:val="none"/>
                  <w:effect w:val="none"/>
                </w:rPr>
                <w:t>PART I - FINANCIAL INFORMATION</w:t>
              </w:r>
            </w:hyperlink>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9">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9">
              <w:r>
                <w:rPr>
                  <w:rStyle w:val="InternetLink"/>
                  <w:rFonts w:ascii="Times New Roman;sans-serif" w:hAnsi="Times New Roman;sans-serif"/>
                  <w:b w:val="false"/>
                  <w:strike w:val="false"/>
                  <w:dstrike w:val="false"/>
                  <w:color w:val="000000"/>
                  <w:sz w:val="20"/>
                  <w:u w:val="none"/>
                  <w:effect w:val="none"/>
                </w:rPr>
                <w:t>Unaudited Consolidated Financial Statements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9">
              <w:r>
                <w:rPr>
                  <w:rStyle w:val="InternetLink"/>
                  <w:rFonts w:ascii="Times New Roman;sans-serif" w:hAnsi="Times New Roman;sans-serif"/>
                  <w:b w:val="false"/>
                  <w:strike w:val="false"/>
                  <w:dstrike w:val="false"/>
                  <w:color w:val="000000"/>
                  <w:sz w:val="20"/>
                  <w:u w:val="none"/>
                  <w:effect w:val="none"/>
                </w:rPr>
                <w:t>5</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4c903de0f83401c8863a702bf59483a_19">
              <w:r>
                <w:rPr>
                  <w:rStyle w:val="InternetLink"/>
                  <w:rFonts w:ascii="Times New Roman;sans-serif" w:hAnsi="Times New Roman;sans-serif"/>
                  <w:b w:val="false"/>
                  <w:strike w:val="false"/>
                  <w:dstrike w:val="false"/>
                  <w:color w:val="000000"/>
                  <w:sz w:val="20"/>
                  <w:u w:val="none"/>
                  <w:effect w:val="none"/>
                </w:rPr>
                <w:t xml:space="preserve">Consolidated Balance Sheets at </w:t>
              </w:r>
            </w:hyperlink>
            <w:r>
              <w:rPr>
                <w:rFonts w:ascii="Times New Roman;sans-serif" w:hAnsi="Times New Roman;sans-serif"/>
                <w:b w:val="false"/>
                <w:color w:val="000000"/>
                <w:sz w:val="20"/>
              </w:rPr>
              <w:t>March 31, 2023</w:t>
            </w:r>
            <w:hyperlink w:anchor="i14c903de0f83401c8863a702bf59483a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2022</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9">
              <w:r>
                <w:rPr>
                  <w:rStyle w:val="InternetLink"/>
                  <w:rFonts w:ascii="Times New Roman;sans-serif" w:hAnsi="Times New Roman;sans-serif"/>
                  <w:b w:val="false"/>
                  <w:strike w:val="false"/>
                  <w:dstrike w:val="false"/>
                  <w:color w:val="000000"/>
                  <w:sz w:val="20"/>
                  <w:u w:val="none"/>
                  <w:effect w:val="none"/>
                </w:rPr>
                <w:t>5</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4c903de0f83401c8863a702bf59483a_22">
              <w:r>
                <w:rPr>
                  <w:rStyle w:val="InternetLink"/>
                  <w:rFonts w:ascii="Times New Roman;sans-serif" w:hAnsi="Times New Roman;sans-serif"/>
                  <w:b w:val="false"/>
                  <w:strike w:val="false"/>
                  <w:dstrike w:val="false"/>
                  <w:color w:val="000000"/>
                  <w:sz w:val="20"/>
                  <w:u w:val="none"/>
                  <w:effect w:val="none"/>
                </w:rPr>
                <w:t xml:space="preserve">Consolidated Statements of Operations for the </w:t>
              </w:r>
            </w:hyperlink>
            <w:r>
              <w:rPr>
                <w:rFonts w:ascii="Times New Roman;sans-serif" w:hAnsi="Times New Roman;sans-serif"/>
                <w:b w:val="false"/>
                <w:color w:val="000000"/>
                <w:sz w:val="20"/>
              </w:rPr>
              <w:t>Three Months Ended March 31, 2023</w:t>
            </w:r>
            <w:hyperlink w:anchor="i14c903de0f83401c8863a702bf59483a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14c903de0f83401c8863a702bf59483a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22">
              <w:r>
                <w:rPr>
                  <w:rStyle w:val="InternetLink"/>
                  <w:rFonts w:ascii="Times New Roman;sans-serif" w:hAnsi="Times New Roman;sans-serif"/>
                  <w:b w:val="false"/>
                  <w:strike w:val="false"/>
                  <w:dstrike w:val="false"/>
                  <w:color w:val="000000"/>
                  <w:sz w:val="20"/>
                  <w:u w:val="none"/>
                  <w:effect w:val="none"/>
                </w:rPr>
                <w:t>6</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14c903de0f83401c8863a702bf59483a_25">
              <w:r>
                <w:rPr>
                  <w:rStyle w:val="InternetLink"/>
                  <w:rFonts w:ascii="Times New Roman;sans-serif" w:hAnsi="Times New Roman;sans-serif"/>
                  <w:b w:val="false"/>
                  <w:strike w:val="false"/>
                  <w:dstrike w:val="false"/>
                  <w:color w:val="000000"/>
                  <w:sz w:val="20"/>
                  <w:u w:val="none"/>
                  <w:effect w:val="none"/>
                </w:rPr>
                <w:t xml:space="preserve">Consolidated Statements of Comprehensive Income for the </w:t>
              </w:r>
            </w:hyperlink>
            <w:r>
              <w:rPr>
                <w:rFonts w:ascii="Times New Roman;sans-serif" w:hAnsi="Times New Roman;sans-serif"/>
                <w:b w:val="false"/>
                <w:color w:val="000000"/>
                <w:sz w:val="20"/>
              </w:rPr>
              <w:t>Three Months Ended March 31, 2023</w:t>
            </w:r>
            <w:hyperlink w:anchor="i14c903de0f83401c8863a702bf59483a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25">
              <w:r>
                <w:rPr>
                  <w:rStyle w:val="InternetLink"/>
                  <w:rFonts w:ascii="Times New Roman;sans-serif" w:hAnsi="Times New Roman;sans-serif"/>
                  <w:b w:val="false"/>
                  <w:strike w:val="false"/>
                  <w:dstrike w:val="false"/>
                  <w:color w:val="000000"/>
                  <w:sz w:val="20"/>
                  <w:u w:val="none"/>
                  <w:effect w:val="none"/>
                </w:rPr>
                <w:t>7</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14c903de0f83401c8863a702bf59483a_28">
              <w:r>
                <w:rPr>
                  <w:rStyle w:val="InternetLink"/>
                  <w:rFonts w:ascii="Times New Roman;sans-serif" w:hAnsi="Times New Roman;sans-serif"/>
                  <w:b w:val="false"/>
                  <w:strike w:val="false"/>
                  <w:dstrike w:val="false"/>
                  <w:color w:val="000000"/>
                  <w:sz w:val="20"/>
                  <w:u w:val="none"/>
                  <w:effect w:val="none"/>
                </w:rPr>
                <w:t xml:space="preserve">Consolidated Statements of Changes in Equity for the </w:t>
              </w:r>
            </w:hyperlink>
            <w:r>
              <w:rPr>
                <w:rFonts w:ascii="Times New Roman;sans-serif" w:hAnsi="Times New Roman;sans-serif"/>
                <w:b w:val="false"/>
                <w:color w:val="000000"/>
                <w:sz w:val="20"/>
              </w:rPr>
              <w:t>Three Months Ended March 31, 2023</w:t>
            </w:r>
            <w:hyperlink w:anchor="i14c903de0f83401c8863a702bf59483a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28">
              <w:r>
                <w:rPr>
                  <w:rStyle w:val="InternetLink"/>
                  <w:rFonts w:ascii="Times New Roman;sans-serif" w:hAnsi="Times New Roman;sans-serif"/>
                  <w:b w:val="false"/>
                  <w:strike w:val="false"/>
                  <w:dstrike w:val="false"/>
                  <w:color w:val="000000"/>
                  <w:sz w:val="20"/>
                  <w:u w:val="none"/>
                  <w:effect w:val="none"/>
                </w:rPr>
                <w:t>8</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14c903de0f83401c8863a702bf59483a_31">
              <w:r>
                <w:rPr>
                  <w:rStyle w:val="InternetLink"/>
                  <w:rFonts w:ascii="Times New Roman;sans-serif" w:hAnsi="Times New Roman;sans-serif"/>
                  <w:b w:val="false"/>
                  <w:strike w:val="false"/>
                  <w:dstrike w:val="false"/>
                  <w:color w:val="000000"/>
                  <w:sz w:val="20"/>
                  <w:u w:val="none"/>
                  <w:effect w:val="none"/>
                </w:rPr>
                <w:t xml:space="preserve">Consolidated Statements of Cash Flows for the </w:t>
              </w:r>
            </w:hyperlink>
            <w:r>
              <w:rPr>
                <w:rFonts w:ascii="Times New Roman;sans-serif" w:hAnsi="Times New Roman;sans-serif"/>
                <w:b w:val="false"/>
                <w:color w:val="000000"/>
                <w:sz w:val="20"/>
              </w:rPr>
              <w:t xml:space="preserve">Three Months Ended March 31, 2023 </w:t>
            </w:r>
            <w:hyperlink w:anchor="i14c903de0f83401c8863a702bf59483a_31">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2022</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31">
              <w:r>
                <w:rPr>
                  <w:rStyle w:val="InternetLink"/>
                  <w:rFonts w:ascii="Times New Roman;sans-serif" w:hAnsi="Times New Roman;sans-serif"/>
                  <w:b w:val="false"/>
                  <w:strike w:val="false"/>
                  <w:dstrike w:val="false"/>
                  <w:color w:val="000000"/>
                  <w:sz w:val="20"/>
                  <w:u w:val="none"/>
                  <w:effect w:val="none"/>
                </w:rPr>
                <w:t>9</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34">
              <w:r>
                <w:rPr>
                  <w:rStyle w:val="InternetLink"/>
                  <w:rFonts w:ascii="Times New Roman;sans-serif" w:hAnsi="Times New Roman;sans-serif"/>
                  <w:b w:val="false"/>
                  <w:strike w:val="false"/>
                  <w:dstrike w:val="false"/>
                  <w:color w:val="000000"/>
                  <w:sz w:val="20"/>
                  <w:u w:val="none"/>
                  <w:effect w:val="none"/>
                </w:rPr>
                <w:t>Notes to Unaudited Consolidated Financial Statements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34">
              <w:r>
                <w:rPr>
                  <w:rStyle w:val="InternetLink"/>
                  <w:rFonts w:ascii="Times New Roman;sans-serif" w:hAnsi="Times New Roman;sans-serif"/>
                  <w:b w:val="false"/>
                  <w:strike w:val="false"/>
                  <w:dstrike w:val="false"/>
                  <w:color w:val="000000"/>
                  <w:sz w:val="20"/>
                  <w:u w:val="none"/>
                  <w:effect w:val="none"/>
                </w:rPr>
                <w:t>10</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09">
              <w:r>
                <w:rPr>
                  <w:rStyle w:val="InternetLink"/>
                  <w:rFonts w:ascii="Times New Roman;sans-serif" w:hAnsi="Times New Roman;sans-serif"/>
                  <w:b w:val="false"/>
                  <w:strike w:val="false"/>
                  <w:dstrike w:val="false"/>
                  <w:color w:val="000000"/>
                  <w:sz w:val="20"/>
                  <w:u w:val="none"/>
                  <w:effect w:val="none"/>
                </w:rPr>
                <w:t>Item 2.</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14c903de0f83401c8863a702bf59483a_109">
              <w:r>
                <w:rPr>
                  <w:rStyle w:val="InternetLink"/>
                  <w:rFonts w:ascii="Times New Roman;sans-serif" w:hAnsi="Times New Roman;sans-serif"/>
                  <w:b w:val="false"/>
                  <w:strike w:val="false"/>
                  <w:dstrike w:val="false"/>
                  <w:color w:val="000000"/>
                  <w:sz w:val="20"/>
                  <w:u w:val="none"/>
                  <w:effect w:val="none"/>
                </w:rPr>
                <w:t xml:space="preserve">Management’s Discussion and Analysis of Financial Condition and Results of Operations </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09">
              <w:r>
                <w:rPr>
                  <w:rStyle w:val="InternetLink"/>
                  <w:rFonts w:ascii="Times New Roman;sans-serif" w:hAnsi="Times New Roman;sans-serif"/>
                  <w:b w:val="false"/>
                  <w:strike w:val="false"/>
                  <w:dstrike w:val="false"/>
                  <w:color w:val="000000"/>
                  <w:sz w:val="20"/>
                  <w:u w:val="none"/>
                  <w:effect w:val="none"/>
                </w:rPr>
                <w:t>44</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45">
              <w:r>
                <w:rPr>
                  <w:rStyle w:val="InternetLink"/>
                  <w:rFonts w:ascii="Times New Roman;sans-serif" w:hAnsi="Times New Roman;sans-serif"/>
                  <w:b w:val="false"/>
                  <w:strike w:val="false"/>
                  <w:dstrike w:val="false"/>
                  <w:color w:val="000000"/>
                  <w:sz w:val="20"/>
                  <w:u w:val="none"/>
                  <w:effect w:val="none"/>
                </w:rPr>
                <w:t>Item 3.</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45">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45">
              <w:r>
                <w:rPr>
                  <w:rStyle w:val="InternetLink"/>
                  <w:rFonts w:ascii="Times New Roman;sans-serif" w:hAnsi="Times New Roman;sans-serif"/>
                  <w:b w:val="false"/>
                  <w:strike w:val="false"/>
                  <w:dstrike w:val="false"/>
                  <w:color w:val="000000"/>
                  <w:sz w:val="20"/>
                  <w:u w:val="none"/>
                  <w:effect w:val="none"/>
                </w:rPr>
                <w:t>82</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48">
              <w:r>
                <w:rPr>
                  <w:rStyle w:val="InternetLink"/>
                  <w:rFonts w:ascii="Times New Roman;sans-serif" w:hAnsi="Times New Roman;sans-serif"/>
                  <w:b w:val="false"/>
                  <w:strike w:val="false"/>
                  <w:dstrike w:val="false"/>
                  <w:color w:val="000000"/>
                  <w:sz w:val="20"/>
                  <w:u w:val="none"/>
                  <w:effect w:val="none"/>
                </w:rPr>
                <w:t>Item 4.</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48">
              <w:r>
                <w:rPr>
                  <w:rStyle w:val="InternetLink"/>
                  <w:rFonts w:ascii="Times New Roman;sans-serif" w:hAnsi="Times New Roman;sans-serif"/>
                  <w:b w:val="false"/>
                  <w:strike w:val="false"/>
                  <w:dstrike w:val="false"/>
                  <w:color w:val="000000"/>
                  <w:sz w:val="20"/>
                  <w:u w:val="none"/>
                  <w:effect w:val="none"/>
                </w:rPr>
                <w:t xml:space="preserve">Controls and Procedures </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48">
              <w:r>
                <w:rPr>
                  <w:rStyle w:val="InternetLink"/>
                  <w:rFonts w:ascii="Times New Roman;sans-serif" w:hAnsi="Times New Roman;sans-serif"/>
                  <w:b w:val="false"/>
                  <w:strike w:val="false"/>
                  <w:dstrike w:val="false"/>
                  <w:color w:val="000000"/>
                  <w:sz w:val="20"/>
                  <w:u w:val="none"/>
                  <w:effect w:val="none"/>
                </w:rPr>
                <w:t>86</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51">
              <w:r>
                <w:rPr>
                  <w:rStyle w:val="InternetLink"/>
                  <w:rFonts w:ascii="Times New Roman;sans-serif" w:hAnsi="Times New Roman;sans-serif"/>
                  <w:b/>
                  <w:strike w:val="false"/>
                  <w:dstrike w:val="false"/>
                  <w:color w:val="000000"/>
                  <w:sz w:val="20"/>
                  <w:u w:val="none"/>
                  <w:effect w:val="none"/>
                </w:rPr>
                <w:t>PART II - OTHER INFORMATION</w:t>
              </w:r>
            </w:hyperlink>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54">
              <w:r>
                <w:rPr>
                  <w:rStyle w:val="InternetLink"/>
                  <w:rFonts w:ascii="Times New Roman;sans-serif" w:hAnsi="Times New Roman;sans-serif"/>
                  <w:b w:val="false"/>
                  <w:strike w:val="false"/>
                  <w:dstrike w:val="false"/>
                  <w:color w:val="000000"/>
                  <w:sz w:val="20"/>
                  <w:u w:val="none"/>
                  <w:effect w:val="none"/>
                </w:rPr>
                <w:t>Item 1.</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54">
              <w:r>
                <w:rPr>
                  <w:rStyle w:val="InternetLink"/>
                  <w:rFonts w:ascii="Times New Roman;sans-serif" w:hAnsi="Times New Roman;sans-serif"/>
                  <w:b w:val="false"/>
                  <w:strike w:val="false"/>
                  <w:dstrike w:val="false"/>
                  <w:color w:val="000000"/>
                  <w:sz w:val="20"/>
                  <w:u w:val="none"/>
                  <w:effect w:val="none"/>
                </w:rPr>
                <w:t>Legal Proceedings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54">
              <w:r>
                <w:rPr>
                  <w:rStyle w:val="InternetLink"/>
                  <w:rFonts w:ascii="Times New Roman;sans-serif" w:hAnsi="Times New Roman;sans-serif"/>
                  <w:b w:val="false"/>
                  <w:strike w:val="false"/>
                  <w:dstrike w:val="false"/>
                  <w:color w:val="000000"/>
                  <w:sz w:val="20"/>
                  <w:u w:val="none"/>
                  <w:effect w:val="none"/>
                </w:rPr>
                <w:t>87</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57">
              <w:r>
                <w:rPr>
                  <w:rStyle w:val="InternetLink"/>
                  <w:rFonts w:ascii="Times New Roman;sans-serif" w:hAnsi="Times New Roman;sans-serif"/>
                  <w:b w:val="false"/>
                  <w:strike w:val="false"/>
                  <w:dstrike w:val="false"/>
                  <w:color w:val="000000"/>
                  <w:sz w:val="20"/>
                  <w:u w:val="none"/>
                  <w:effect w:val="none"/>
                </w:rPr>
                <w:t>Item 1A.</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57">
              <w:r>
                <w:rPr>
                  <w:rStyle w:val="InternetLink"/>
                  <w:rFonts w:ascii="Times New Roman;sans-serif" w:hAnsi="Times New Roman;sans-serif"/>
                  <w:b w:val="false"/>
                  <w:strike w:val="false"/>
                  <w:dstrike w:val="false"/>
                  <w:color w:val="000000"/>
                  <w:sz w:val="20"/>
                  <w:u w:val="none"/>
                  <w:effect w:val="none"/>
                </w:rPr>
                <w:t>Risk Factors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57">
              <w:r>
                <w:rPr>
                  <w:rStyle w:val="InternetLink"/>
                  <w:rFonts w:ascii="Times New Roman;sans-serif" w:hAnsi="Times New Roman;sans-serif"/>
                  <w:b w:val="false"/>
                  <w:strike w:val="false"/>
                  <w:dstrike w:val="false"/>
                  <w:color w:val="000000"/>
                  <w:sz w:val="20"/>
                  <w:u w:val="none"/>
                  <w:effect w:val="none"/>
                </w:rPr>
                <w:t>87</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63">
              <w:r>
                <w:rPr>
                  <w:rStyle w:val="InternetLink"/>
                  <w:rFonts w:ascii="Times New Roman;sans-serif" w:hAnsi="Times New Roman;sans-serif"/>
                  <w:b w:val="false"/>
                  <w:strike w:val="false"/>
                  <w:dstrike w:val="false"/>
                  <w:color w:val="000000"/>
                  <w:sz w:val="20"/>
                  <w:u w:val="none"/>
                  <w:effect w:val="none"/>
                </w:rPr>
                <w:t>Item 6.</w:t>
              </w:r>
            </w:hyperlink>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63">
              <w:r>
                <w:rPr>
                  <w:rStyle w:val="InternetLink"/>
                  <w:rFonts w:ascii="Times New Roman;sans-serif" w:hAnsi="Times New Roman;sans-serif"/>
                  <w:b w:val="false"/>
                  <w:strike w:val="false"/>
                  <w:dstrike w:val="false"/>
                  <w:color w:val="000000"/>
                  <w:sz w:val="20"/>
                  <w:u w:val="none"/>
                  <w:effect w:val="none"/>
                </w:rPr>
                <w:t>Exhibits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63">
              <w:r>
                <w:rPr>
                  <w:rStyle w:val="InternetLink"/>
                  <w:rFonts w:ascii="Times New Roman;sans-serif" w:hAnsi="Times New Roman;sans-serif"/>
                  <w:b w:val="false"/>
                  <w:strike w:val="false"/>
                  <w:dstrike w:val="false"/>
                  <w:color w:val="000000"/>
                  <w:sz w:val="20"/>
                  <w:u w:val="none"/>
                  <w:effect w:val="none"/>
                </w:rPr>
                <w:t>87</w:t>
              </w:r>
            </w:hyperlink>
          </w:p>
        </w:tc>
      </w:tr>
      <w:tr>
        <w:trPr/>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93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c903de0f83401c8863a702bf59483a_166">
              <w:r>
                <w:rPr>
                  <w:rStyle w:val="InternetLink"/>
                  <w:rFonts w:ascii="Times New Roman;sans-serif" w:hAnsi="Times New Roman;sans-serif"/>
                  <w:b w:val="false"/>
                  <w:strike w:val="false"/>
                  <w:dstrike w:val="false"/>
                  <w:color w:val="000000"/>
                  <w:sz w:val="20"/>
                  <w:u w:val="none"/>
                  <w:effect w:val="none"/>
                </w:rPr>
                <w:t>Signatures</w:t>
              </w:r>
            </w:hyperlink>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c903de0f83401c8863a702bf59483a_166">
              <w:r>
                <w:rPr>
                  <w:rStyle w:val="InternetLink"/>
                  <w:rFonts w:ascii="Times New Roman;sans-serif" w:hAnsi="Times New Roman;sans-serif"/>
                  <w:b w:val="false"/>
                  <w:strike w:val="false"/>
                  <w:dstrike w:val="false"/>
                  <w:color w:val="000000"/>
                  <w:sz w:val="20"/>
                  <w:u w:val="none"/>
                  <w:effect w:val="none"/>
                </w:rPr>
                <w:t>88</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2022 and the following:</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impact of the recent failures and re-organization of banking institutions and continued uncertainty in the banking industry;</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the potential for ongoing disruption in the financial markets and in commercial activity generally related to changes in monetary and fiscal policy, international events including the war in Ukraine and other sources of instability;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the impacts of inflation, employment disruption, and other financial difficulties facing our borrowers;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timely reduce operating costs or generate offsetting revenue in proportion to the recent industry-wide decrease in originations activity, and the impact of cost-reduction initiatives on our business, operations, and financial performance;</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amount of common stock that we may repurchase under any future stock repurchase programs, the timing of such repurchases, and the long-term impact, if any, of repurchases on the trading price of our stock;</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proportion of borrowers who enter into forbearance plans, the financial ability of borrowers to resume repayment and their timing for doing so;</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the extent to which our mortgage servicing rights (MSR) joint venture with Oaktree Capital Management L.P. and its affiliates (Oaktree), other transactions and our enterprise sales initiatives will generate additional subservicing volume and result in increased profitability;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and the ability of MSR Asset Vehicle LLC (MAV), to bid competitively for, and close acquisitions of, MSRs on terms that will enable us to achieve our growth objectives and a favorable return on our investment in MAV;</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our ability to identify, enter into and close additional strategic transactions, including the ability to obtain regulatory approvals, enter into definitive financing arrangements, and satisfy closing conditions, and the timing for doing so;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extent to which our ownership stake in MAV’s holding company may be diluted, resulting in a reduced ability for us to participate in certain routine management decisions;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efficiently integrate the operations and assets of acquired businesses and to retain their employees and customers over time;</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increased servicing costs based on rising borrower delinquency levels or other factors, including an increase in severe weather events resulting in property damage and financial hardship to our borrowers;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reduced collection of servicing fees and ancillary income and delayed collection of servicing revenue as a result of forbearance plans and moratoria on evictions and foreclosure proceedings;</w:t>
      </w:r>
    </w:p>
    <w:p>
      <w:pPr>
        <w:pStyle w:val="TextBody"/>
        <w:spacing w:before="20" w:after="20"/>
        <w:rPr/>
      </w:pPr>
      <w:r>
        <w:rPr/>
      </w:r>
    </w:p>
    <w:p>
      <w:pPr>
        <w:pStyle w:val="TextBody"/>
        <w:spacing w:before="20" w:after="20"/>
        <w:rPr/>
      </w:pPr>
      <w:r>
        <w:rPr/>
      </w:r>
    </w:p>
    <w:p>
      <w:pPr>
        <w:pStyle w:val="TextBody"/>
        <w:spacing w:before="20" w:after="2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20" w:after="20"/>
        <w:rPr/>
      </w:pPr>
      <w:r>
        <w:rPr/>
      </w:r>
    </w:p>
    <w:p>
      <w:pPr>
        <w:pStyle w:val="TextBody"/>
        <w:spacing w:before="20" w:after="20"/>
        <w:rPr/>
      </w:pPr>
      <w:r>
        <w:rPr/>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maintain and increase market share in our target markets, including in forward and reverse servicing;</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our long-term relationship with Rithm Capital Corp. (Rithm), formerly New Residential Investment Corp. (NRZ), one of our largest subservicing clients as of March 31, 2023;</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MAV, one our largest subservicing clients as of March 31, 2023, and MAV’s continued ownership of its MSR portfolio following the end of MAV’s investment commitment period, and any impact on our subservicing income as a result of the sale of MAV’s MSRs;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the reactions of key counterparties, including lenders, the GSEs and Ginnie Mae, to our regulatory engagements and litigation matters;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any adverse developments in existing legal proceedings or the initiation of new legal proceedings;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our ability to efficiently manage our regulatory and contractual compliance obligations and fully comply with all applicable requirements, and the costs of doing so;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changes in legislation, regulations, government programs and policies, industry initiatives, best servicing and lending practices, and media scrutiny of our business and industry;</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extent to which changes in the law as well as changes in the interpretation of law may require us to modify our business practices and expose us to increased expense and litigation risk;</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risk-based capital requirements that take effect in late 2024;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our ability to comply with our servicing agreements, including our ability to comply with our agreements with the GSEs and Ginnie Mae and maintain our seller/servicer and other statuses with them;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servicer and credit ratings as well as other actions from various rating agencies, including the impact of prior or future downgrades of our servicer and credit ratings;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failure of our, or our vendors’, information technology or other security systems or breach of our, or our vendors’, privacy protections, including any failure to protect customers’ data;</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recruit and retain senior managers and key employees;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increased compensation and benefits expense as a result of rising inflation and labor market trends;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the actions of loan owners and guarantors, including mortgage-backed securities investors, the GSEs, Ginnie Mae and trustees regarding loan put-backs, penalties and legal actions;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our ability to continue to collect certain expedited payment or convenience fees and potential liability for charging such fees;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our reserves, valuations, provisions and anticipated realization of assets;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the ability of third-party obligors and financing sources to fund servicing advances on a timely basis on loans serviced by us;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the characteristics of our servicing portfolio, including prepayment speeds along with delinquency and advance rates;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successfully modify delinquent loans, manage foreclosures and sell foreclosed properties;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 xml:space="preserve">uncertainty related to the processes for judicial and non-judicial foreclosure proceedings, including potential additional costs or delays or moratoria in the future or claims pertaining to past practices; </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adequately manage and maintain real estate owned (REO) properties and vacant properties collateralizing loans that we service;</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realize anticipated future gains from future draws on existing loans in our reverse mortgage portfolio;</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effectively manage our exposure to interest rate changes and foreign exchange fluctuations;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our ability to effectively transform our operations in response to changing business needs, including our ability to do so without unanticipated adverse tax consequences;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increasingly frequent and costly disruptions to our operations as a result of severe weather events;</w:t>
      </w:r>
    </w:p>
    <w:p>
      <w:pPr>
        <w:pStyle w:val="TextBody"/>
        <w:spacing w:lineRule="auto" w:line="288" w:before="20" w:after="20"/>
        <w:ind w:left="0" w:right="0" w:hanging="360"/>
        <w:rPr/>
      </w:pPr>
      <w:r>
        <w:rPr>
          <w:color w:val="000000"/>
        </w:rPr>
        <w:t>•</w:t>
      </w:r>
      <w:r>
        <w:rPr>
          <w:rFonts w:ascii="Times New Roman;sans-serif" w:hAnsi="Times New Roman;sans-serif"/>
          <w:b w:val="false"/>
          <w:color w:val="000000"/>
          <w:sz w:val="20"/>
        </w:rPr>
        <w:t>uncertainty related to the political or economic stability of the United States (U.S.) and of the foreign countries in which we have operations; and</w:t>
      </w:r>
    </w:p>
    <w:p>
      <w:pPr>
        <w:pStyle w:val="TextBody"/>
        <w:spacing w:lineRule="auto" w:line="288" w:before="20" w:after="120"/>
        <w:ind w:left="0" w:right="0" w:hanging="360"/>
        <w:rPr/>
      </w:pPr>
      <w:r>
        <w:rPr>
          <w:color w:val="000000"/>
        </w:rPr>
        <w:t>•</w:t>
      </w:r>
      <w:r>
        <w:rPr>
          <w:rFonts w:ascii="Times New Roman;sans-serif" w:hAnsi="Times New Roman;sans-serif"/>
          <w:b w:val="false"/>
          <w:color w:val="000000"/>
          <w:sz w:val="20"/>
        </w:rPr>
        <w:t>our ability to maintain positive relationships with our large shareholders and obtain their support for management proposals requiring shareholder approval.</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Further information on the risks specific to our business is detailed within this report and our other reports and filings with the SEC including our Annual Report on Form 10-K for the year ended December 31, 2022,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CellMar>
          <w:top w:w="28" w:type="dxa"/>
          <w:left w:w="28" w:type="dxa"/>
          <w:bottom w:w="28" w:type="dxa"/>
          <w:right w:w="28" w:type="dxa"/>
        </w:tblCellMar>
      </w:tblPr>
      <w:tblGrid>
        <w:gridCol w:w="2758"/>
        <w:gridCol w:w="2166"/>
        <w:gridCol w:w="2185"/>
        <w:gridCol w:w="230"/>
        <w:gridCol w:w="950"/>
        <w:gridCol w:w="118"/>
        <w:gridCol w:w="109"/>
        <w:gridCol w:w="109"/>
        <w:gridCol w:w="109"/>
        <w:gridCol w:w="250"/>
        <w:gridCol w:w="1035"/>
        <w:gridCol w:w="186"/>
      </w:tblGrid>
      <w:tr>
        <w:trPr/>
        <w:tc>
          <w:tcPr>
            <w:tcW w:w="2758"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($17.8 and $17.6 related to variable interest entities (VIEs))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rights (MSRs), at fair value</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($548.8 and $608.4 related to VIEs)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($845.2 and $617.8 carried at fair value) </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($6.2 and $6.7 related to VIEs)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($32.9 and $8.0 carried at fair value) ($2.0 and $3.2 related to VIEs)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right"/>
              <w:rPr>
                <w:color w:val="000000"/>
              </w:rPr>
            </w:pPr>
            <w:r>
              <w:rPr>
                <w:color w:val="000000"/>
              </w:rPr>
              <w:t> </w:t>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Conversion Mortgage-Backed Securities (HMBS) related borrowings, at fair value</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 at fair value ($318.7 and $329.8 due to related party) ($6.2 and $6.7 related to VIEs)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($468.9 and $512.5 related to VIEs)</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($232.5 and $230.2 due to related party)</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($12.4 and $15.8 carried at fair value)</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(Notes 19 and 20)</w:t>
            </w:r>
          </w:p>
        </w:tc>
        <w:tc>
          <w:tcPr>
            <w:tcW w:w="12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13,333,333 shares authorized; 7,638,611 and 7,526,117 shares issued and outstanding at March 31, 2023 and December 31, 2022, respectively</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income taxes</w:t>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CellMar>
          <w:top w:w="28" w:type="dxa"/>
          <w:left w:w="28" w:type="dxa"/>
          <w:bottom w:w="28" w:type="dxa"/>
          <w:right w:w="28" w:type="dxa"/>
        </w:tblCellMar>
      </w:tblPr>
      <w:tblGrid>
        <w:gridCol w:w="2303"/>
        <w:gridCol w:w="2013"/>
        <w:gridCol w:w="2030"/>
        <w:gridCol w:w="331"/>
        <w:gridCol w:w="941"/>
        <w:gridCol w:w="166"/>
        <w:gridCol w:w="166"/>
        <w:gridCol w:w="166"/>
        <w:gridCol w:w="166"/>
        <w:gridCol w:w="331"/>
        <w:gridCol w:w="941"/>
        <w:gridCol w:w="166"/>
        <w:gridCol w:w="109"/>
        <w:gridCol w:w="109"/>
        <w:gridCol w:w="109"/>
        <w:gridCol w:w="158"/>
      </w:tblGrid>
      <w:tr>
        <w:trPr/>
        <w:tc>
          <w:tcPr>
            <w:tcW w:w="2303"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90"/>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($10.8 and $10.4 on amounts due to related party)</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 ($14.2 and $14.3 on amounts due to related party)</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7,533,561 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7,533,561 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9,661,567 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8622" w:type="dxa"/>
        <w:jc w:val="left"/>
        <w:tblInd w:w="0" w:type="dxa"/>
        <w:tblCellMar>
          <w:top w:w="28" w:type="dxa"/>
          <w:left w:w="28" w:type="dxa"/>
          <w:bottom w:w="28" w:type="dxa"/>
          <w:right w:w="28" w:type="dxa"/>
        </w:tblCellMar>
      </w:tblPr>
      <w:tblGrid>
        <w:gridCol w:w="1700"/>
        <w:gridCol w:w="1491"/>
        <w:gridCol w:w="1503"/>
        <w:gridCol w:w="352"/>
        <w:gridCol w:w="979"/>
        <w:gridCol w:w="182"/>
        <w:gridCol w:w="182"/>
        <w:gridCol w:w="182"/>
        <w:gridCol w:w="182"/>
        <w:gridCol w:w="352"/>
        <w:gridCol w:w="854"/>
        <w:gridCol w:w="182"/>
        <w:gridCol w:w="109"/>
        <w:gridCol w:w="109"/>
        <w:gridCol w:w="109"/>
        <w:gridCol w:w="154"/>
      </w:tblGrid>
      <w:tr>
        <w:trPr/>
        <w:tc>
          <w:tcPr>
            <w:tcW w:w="1700"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4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income taxes:</w:t>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unfunded pension plan obligation liability</w:t>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rPr/>
      </w:pPr>
      <w:r>
        <w:rPr/>
      </w:r>
    </w:p>
    <w:p>
      <w:pPr>
        <w:pStyle w:val="TextBody"/>
        <w:spacing w:before="6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840"/>
                <wp:effectExtent l="0" t="0" r="0" b="0"/>
                <wp:wrapNone/>
                <wp:docPr id="8" name="Frame8"/>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690"/>
        <w:gridCol w:w="369"/>
        <w:gridCol w:w="370"/>
        <w:gridCol w:w="435"/>
        <w:gridCol w:w="436"/>
        <w:gridCol w:w="211"/>
        <w:gridCol w:w="109"/>
        <w:gridCol w:w="109"/>
        <w:gridCol w:w="109"/>
        <w:gridCol w:w="216"/>
        <w:gridCol w:w="414"/>
        <w:gridCol w:w="121"/>
        <w:gridCol w:w="109"/>
        <w:gridCol w:w="109"/>
        <w:gridCol w:w="109"/>
        <w:gridCol w:w="238"/>
        <w:gridCol w:w="678"/>
        <w:gridCol w:w="134"/>
        <w:gridCol w:w="109"/>
        <w:gridCol w:w="109"/>
        <w:gridCol w:w="109"/>
        <w:gridCol w:w="311"/>
        <w:gridCol w:w="907"/>
        <w:gridCol w:w="173"/>
        <w:gridCol w:w="109"/>
        <w:gridCol w:w="109"/>
        <w:gridCol w:w="109"/>
        <w:gridCol w:w="488"/>
        <w:gridCol w:w="975"/>
        <w:gridCol w:w="274"/>
        <w:gridCol w:w="109"/>
        <w:gridCol w:w="109"/>
        <w:gridCol w:w="109"/>
        <w:gridCol w:w="109"/>
        <w:gridCol w:w="109"/>
        <w:gridCol w:w="196"/>
        <w:gridCol w:w="556"/>
        <w:gridCol w:w="160"/>
      </w:tblGrid>
      <w:tr>
        <w:trPr/>
        <w:tc>
          <w:tcPr>
            <w:tcW w:w="69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1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 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 Net of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91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7,526,117 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and other</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112,494 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income taxes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7,638,611 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9,208,312 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and other</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income taxes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20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2" w:type="dxa"/>
            <w:gridSpan w:val="2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840"/>
                <wp:effectExtent l="0" t="0" r="0" b="0"/>
                <wp:wrapNone/>
                <wp:docPr id="9" name="Frame9"/>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10205" w:type="dxa"/>
        <w:jc w:val="left"/>
        <w:tblInd w:w="0" w:type="dxa"/>
        <w:tblCellMar>
          <w:top w:w="28" w:type="dxa"/>
          <w:left w:w="28" w:type="dxa"/>
          <w:bottom w:w="28" w:type="dxa"/>
          <w:right w:w="28" w:type="dxa"/>
        </w:tblCellMar>
      </w:tblPr>
      <w:tblGrid>
        <w:gridCol w:w="2722"/>
        <w:gridCol w:w="2262"/>
        <w:gridCol w:w="2278"/>
        <w:gridCol w:w="276"/>
        <w:gridCol w:w="807"/>
        <w:gridCol w:w="142"/>
        <w:gridCol w:w="142"/>
        <w:gridCol w:w="142"/>
        <w:gridCol w:w="142"/>
        <w:gridCol w:w="276"/>
        <w:gridCol w:w="807"/>
        <w:gridCol w:w="209"/>
      </w:tblGrid>
      <w:tr>
        <w:trPr/>
        <w:tc>
          <w:tcPr>
            <w:tcW w:w="2722"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7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MSRs,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debts (advances and receivables)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(reversal of) indemnification obligations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valuation of loans held for investment and HMBS-related borrowings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loans held for sale,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earnings from equity method investee</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and purchase of loans held for sale </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and collections of loans held for sale </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advances,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receivables and other assets, net </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derivatives,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other liabilities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of loans held for investment </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received on loans held for investment </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Acquisition of loans held for investment, net </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MSRs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of MSRs </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advances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premises and equipment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real estate</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premises and equipment</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(investment in) equity method investee,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advance match funded liabilities, net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mortgage loan warehouse facilities, net</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MSR financing facilities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MSR financing facilities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0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other financing liabilities - Sale of MSRs accounted for as secured financing</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0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other financing liabilities - Excess Servicing Spread (ESS) liability </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other financing liabilities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Home Equity Conversion Mortgages (HECM, or reverse mortgages) accounted for as a financing (HMBS-related borrowings)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HMBS-related borrowings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gross right-of-use asset and lease liability:</w:t>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of loans held for sale to real estate owned (REO)</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acquired at fair value</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assumed at fair value</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holdback</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to acquire loans held for investment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r>
        <w:trPr/>
        <w:tc>
          <w:tcPr>
            <w:tcW w:w="7262"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2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unaudited consolidated balance sheets and the unaudited consolidated statements of cash flows:</w:t>
      </w:r>
    </w:p>
    <w:tbl>
      <w:tblPr>
        <w:tblW w:w="10205" w:type="dxa"/>
        <w:jc w:val="center"/>
        <w:tblInd w:w="0" w:type="dxa"/>
        <w:tblCellMar>
          <w:top w:w="28" w:type="dxa"/>
          <w:left w:w="28" w:type="dxa"/>
          <w:bottom w:w="28" w:type="dxa"/>
          <w:right w:w="28" w:type="dxa"/>
        </w:tblCellMar>
      </w:tblPr>
      <w:tblGrid>
        <w:gridCol w:w="2529"/>
        <w:gridCol w:w="2221"/>
        <w:gridCol w:w="2233"/>
        <w:gridCol w:w="320"/>
        <w:gridCol w:w="937"/>
        <w:gridCol w:w="165"/>
        <w:gridCol w:w="109"/>
        <w:gridCol w:w="109"/>
        <w:gridCol w:w="109"/>
        <w:gridCol w:w="315"/>
        <w:gridCol w:w="923"/>
        <w:gridCol w:w="235"/>
      </w:tblGrid>
      <w:tr>
        <w:trPr/>
        <w:tc>
          <w:tcPr>
            <w:tcW w:w="2529"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223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equivalents:</w:t>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restricted cash</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reported in the statements of cash flows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840"/>
                <wp:effectExtent l="0" t="0" r="0" b="0"/>
                <wp:wrapNone/>
                <wp:docPr id="10" name="Frame10"/>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 and unless otherwise indicated)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169" w:type="dxa"/>
        <w:jc w:val="center"/>
        <w:tblInd w:w="0" w:type="dxa"/>
        <w:tblCellMar>
          <w:top w:w="28" w:type="dxa"/>
          <w:left w:w="28" w:type="dxa"/>
          <w:bottom w:w="28" w:type="dxa"/>
          <w:right w:w="28" w:type="dxa"/>
        </w:tblCellMar>
      </w:tblPr>
      <w:tblGrid>
        <w:gridCol w:w="1336"/>
        <w:gridCol w:w="1174"/>
        <w:gridCol w:w="1659"/>
      </w:tblGrid>
      <w:tr>
        <w:trPr/>
        <w:tc>
          <w:tcPr>
            <w:tcW w:w="133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tc>
      </w:tr>
    </w:tbl>
    <w:p>
      <w:pPr>
        <w:pStyle w:val="TextBody"/>
        <w:spacing w:lineRule="auto" w:line="288" w:before="120" w:after="283"/>
        <w:ind w:left="0" w:right="0" w:firstLine="720"/>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servicing activities related to our own MSR portfolio (primary) and on behalf of other servicers (subservicing), the largest being Rithm Capital Corp. (Rithm), formerly known as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total of approximately 4,700 employees at March 31, 2023 of which approximately 3,100 were located in India and approximately 400 were based in the Philippines. Our operations in India and the Philippines provide internal support services to our loan servicing and originations businesses and our corporate functions.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2023 are not necessarily indicative of the results that may be expected for any other interim period or for the year ending December 31, 2023. The unaudited consolidated financial statements presented herein should be read in conjunction with the audited consolidated financial statements and related notes thereto included in our Annual Report on Form 10-K for the year ended December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Change in Presentation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 the fourth quarter of 2022, in our consolidated statements of operations we present all fair value gains and losses of Other financing liabilities, at fair value in MSR valuation adjustments, net (previously reported in Pledged MSR liability expense). In addition, effective December 31, 2022, we changed our accounting policy from the nature of the distribution approach to the cumulative earnings approach for classifying distributions from our equity method investee MAV Canopy between operating and investing cash flows. The consolidated statements of operations and the consolidated statements of cash flows for the three months ended March 31, 2022 have been recast to conform to the current presentation policy. For additional information, including the impact on previously reported periods, see the “Change in Presentation” section of Note 1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to our audited consolidated financial statements included in our Annual Report on Form 10-K for the year ended December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Use of Estimates and Assumptions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Standards </w:t>
      </w:r>
    </w:p>
    <w:p>
      <w:pPr>
        <w:pStyle w:val="TextBody"/>
        <w:spacing w:lineRule="auto" w:line="288" w:before="120" w:after="60"/>
        <w:rPr>
          <w:rFonts w:ascii="Times New Roman;sans-serif" w:hAnsi="Times New Roman;sans-serif"/>
          <w:b/>
          <w:color w:val="000000"/>
          <w:sz w:val="20"/>
        </w:rPr>
      </w:pPr>
      <w:r>
        <w:rPr>
          <w:rFonts w:ascii="Times New Roman;sans-serif" w:hAnsi="Times New Roman;sans-serif"/>
          <w:b/>
          <w:color w:val="000000"/>
          <w:sz w:val="20"/>
        </w:rPr>
        <w:t>Business Combinations (ASC 805) - Accounting for Contract Assets and Contract Liabilities (ASU 2021-08)</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adoption of this ASU on January 1, 2023 did not have a material impact on our consolidated financial statements.</w:t>
      </w:r>
    </w:p>
    <w:p>
      <w:pPr>
        <w:pStyle w:val="TextBody"/>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Financial Instruments—Credit Losses (ASC 326) Troubled Debt Restructurings and Vintage Disclosures (ASU 2022-02)</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are related to 1) troubled debt restructurings (TDRs) and 2) vintage disclosures which affect all entities after they have adopted ASU 2016-13. The amendments eliminate the accounting guidance for TDRs by creditors in Subtopic 310-40 Receivables – Troubled Debt Restructurings by Creditors, while enhancing disclosure requirements for certain loan refinancing and restructurings by creditors when a borrower is experiencing financial difficulty. Specifically, rather than applying the recognition and measurement guidance for TDRs, an entity must apply the loan refinancing and restructuring guidance in ASC 310-20-35-9 through 35-11 to determine whether a modification results in a new loan or a continuation of an existing loan. The amendments in this ASU also requires an entity to disclose current-period gross write-offs by year of origination for financing receivables and net investments in leases with the scope of ASC 326 – Financial Instruments – Credit Losses – Measured at Amortized Cost.</w:t>
      </w:r>
    </w:p>
    <w:p>
      <w:pPr>
        <w:pStyle w:val="TextBody"/>
        <w:spacing w:lineRule="auto" w:line="276"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adoption of this ASU on January 1, 2023 did not have a material impact on our consolidated financial statements.</w:t>
      </w:r>
    </w:p>
    <w:p>
      <w:pPr>
        <w:pStyle w:val="TextBody"/>
        <w:spacing w:lineRule="auto" w:line="288" w:before="60" w:after="60"/>
        <w:rPr>
          <w:rFonts w:ascii="Times New Roman;sans-serif" w:hAnsi="Times New Roman;sans-serif"/>
          <w:b/>
          <w:color w:val="000000"/>
          <w:sz w:val="20"/>
        </w:rPr>
      </w:pPr>
      <w:r>
        <w:rPr>
          <w:rFonts w:ascii="Times New Roman;sans-serif" w:hAnsi="Times New Roman;sans-serif"/>
          <w:b/>
          <w:color w:val="000000"/>
          <w:sz w:val="20"/>
        </w:rPr>
        <w:t xml:space="preserve">Accounting Standards Issued but Not Yet Adopted </w:t>
      </w:r>
    </w:p>
    <w:p>
      <w:pPr>
        <w:pStyle w:val="TextBody"/>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Leases (Topic 842) Common Control Arrangements (ASU 2023-01)</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amendments in this ASU affect 1) all lessees that are a party to a lease between entities under common control in which there are leasehold improvements, and apply to all entities and 2) require leasehold improvements associated with common control leases be a) amortized by the lessee over the useful life of the leasehold improvements to the common group (regardless of lease term) and b) accounted for as a transfer between two entities under common control through an adjustment to equity, if and when the lessee no longer controls the use of the underlying asset. </w:t>
      </w:r>
    </w:p>
    <w:p>
      <w:pPr>
        <w:pStyle w:val="TextBody"/>
        <w:spacing w:lineRule="auto" w:line="276"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are effective for us on January 1, 2024. We do not anticipate that the adoption of this standard will have a material impact on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95" w:type="dxa"/>
        <w:jc w:val="left"/>
        <w:tblInd w:w="0" w:type="dxa"/>
        <w:tblCellMar>
          <w:top w:w="28" w:type="dxa"/>
          <w:left w:w="28" w:type="dxa"/>
          <w:bottom w:w="28" w:type="dxa"/>
          <w:right w:w="28" w:type="dxa"/>
        </w:tblCellMar>
      </w:tblPr>
      <w:tblGrid>
        <w:gridCol w:w="1501"/>
        <w:gridCol w:w="1320"/>
        <w:gridCol w:w="1874"/>
      </w:tblGrid>
      <w:tr>
        <w:trPr/>
        <w:tc>
          <w:tcPr>
            <w:tcW w:w="1501"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2 – Securitizations and Variable Interest Entities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advances and (3) MSR financings. Financing transactions that do not use SPEs or VIEs are disclosed in Note 12 – Borrowings.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pStyle w:val="TextBody"/>
        <w:spacing w:lineRule="auto" w:line="288" w:before="120" w:after="283"/>
        <w:ind w:left="0" w:right="0" w:hanging="720"/>
        <w:rPr>
          <w:rFonts w:ascii="Times New Roman;sans-serif" w:hAnsi="Times New Roman;sans-serif"/>
          <w:b/>
          <w:color w:val="000000"/>
          <w:sz w:val="20"/>
        </w:rPr>
      </w:pPr>
      <w:r>
        <w:rPr>
          <w:rFonts w:ascii="Times New Roman;sans-serif" w:hAnsi="Times New Roman;sans-serif"/>
          <w:b/>
          <w:color w:val="000000"/>
          <w:sz w:val="20"/>
        </w:rPr>
        <w:t>Securitizations of Residential Mortgage Loans</w:t>
      </w:r>
    </w:p>
    <w:p>
      <w:pPr>
        <w:pStyle w:val="TextBody"/>
        <w:spacing w:lineRule="auto" w:line="288" w:before="120" w:after="283"/>
        <w:rPr/>
      </w:pPr>
      <w:r>
        <w:rPr>
          <w:rFonts w:ascii="Times New Roman;sans-serif" w:hAnsi="Times New Roman;sans-serif"/>
          <w:b w:val="false"/>
          <w:i/>
          <w:color w:val="000000"/>
          <w:sz w:val="20"/>
        </w:rPr>
        <w:t>Transfers of Forward Loans</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cash flows received from and paid to securitization trusts related to transfers of loans accounted for as sales that were outstanding: </w:t>
      </w:r>
    </w:p>
    <w:tbl>
      <w:tblPr>
        <w:tblW w:w="8786" w:type="dxa"/>
        <w:jc w:val="left"/>
        <w:tblInd w:w="0" w:type="dxa"/>
        <w:tblCellMar>
          <w:top w:w="28" w:type="dxa"/>
          <w:left w:w="28" w:type="dxa"/>
          <w:bottom w:w="28" w:type="dxa"/>
          <w:right w:w="28" w:type="dxa"/>
        </w:tblCellMar>
      </w:tblPr>
      <w:tblGrid>
        <w:gridCol w:w="1999"/>
        <w:gridCol w:w="1758"/>
        <w:gridCol w:w="1763"/>
        <w:gridCol w:w="235"/>
        <w:gridCol w:w="855"/>
        <w:gridCol w:w="121"/>
        <w:gridCol w:w="121"/>
        <w:gridCol w:w="121"/>
        <w:gridCol w:w="121"/>
        <w:gridCol w:w="235"/>
        <w:gridCol w:w="855"/>
        <w:gridCol w:w="121"/>
        <w:gridCol w:w="109"/>
        <w:gridCol w:w="109"/>
        <w:gridCol w:w="109"/>
        <w:gridCol w:w="154"/>
      </w:tblGrid>
      <w:tr>
        <w:trPr/>
        <w:tc>
          <w:tcPr>
            <w:tcW w:w="1999"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20" w:type="dxa"/>
            <w:gridSpan w:val="3"/>
            <w:vMerge w:val="continue"/>
            <w:tcBorders/>
            <w:shd w:fill="auto" w:val="clear"/>
            <w:tcMar>
              <w:top w:w="0" w:type="dxa"/>
              <w:left w:w="0" w:type="dxa"/>
              <w:bottom w:w="0" w:type="dxa"/>
              <w:right w:w="0" w:type="dxa"/>
            </w:tcMar>
            <w:vAlign w:val="center"/>
          </w:tcPr>
          <w:p>
            <w:pPr>
              <w:pStyle w:val="Normal"/>
              <w:rPr/>
            </w:pPr>
            <w:r>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securitizations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(1)</w:t>
            </w:r>
          </w:p>
        </w:tc>
        <w:tc>
          <w:tcPr>
            <w:tcW w:w="10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transferred assets, net of claims reimbursed</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(1)We receive servicing fees based upon the securitized loan balances and certain ancillary fees, all of which are reported in Servicing and subservicing fees in the unaudited consolidated statements of operations.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these transfers, we retained MSRs of $31.1 million and $45.8 million during the three months ended March 31, 2023 and 2022, respectively.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20 – Contingencies.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tbl>
      <w:tblPr>
        <w:tblW w:w="6116" w:type="dxa"/>
        <w:jc w:val="left"/>
        <w:tblInd w:w="0" w:type="dxa"/>
        <w:tblCellMar>
          <w:top w:w="28" w:type="dxa"/>
          <w:left w:w="28" w:type="dxa"/>
          <w:bottom w:w="28" w:type="dxa"/>
          <w:right w:w="28" w:type="dxa"/>
        </w:tblCellMar>
      </w:tblPr>
      <w:tblGrid>
        <w:gridCol w:w="933"/>
        <w:gridCol w:w="822"/>
        <w:gridCol w:w="825"/>
        <w:gridCol w:w="255"/>
        <w:gridCol w:w="1053"/>
        <w:gridCol w:w="131"/>
        <w:gridCol w:w="109"/>
        <w:gridCol w:w="109"/>
        <w:gridCol w:w="109"/>
        <w:gridCol w:w="302"/>
        <w:gridCol w:w="1248"/>
        <w:gridCol w:w="220"/>
      </w:tblGrid>
      <w:tr>
        <w:trPr/>
        <w:tc>
          <w:tcPr>
            <w:tcW w:w="93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w:t>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 of loans transferred (1)</w:t>
            </w:r>
          </w:p>
        </w:tc>
        <w:tc>
          <w:tcPr>
            <w:tcW w:w="13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39,283.7 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37,571.1 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 (2)</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$7.5 billion and $6.8 billion of loans delivered to Ginnie Mae as of March 31, 2023 and December 31, 2022, respectively, and includes loan modifications repurchased and delivered through the Ginnie Mae Early Buyout Program (EBO).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20 – Contingencies.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2.2% and 2.5%, respectively, of the transferred residential loans that we service were 60 days or more past due, including 60 days or more past due loans under forbearance. This includes 7.2% and 8.3%, respectively, of loans delivered to Ginnie Mae that are 60 days or more past due.</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rPr/>
      </w:pPr>
      <w:r>
        <w:rPr>
          <w:rFonts w:ascii="Times New Roman;sans-serif" w:hAnsi="Times New Roman;sans-serif"/>
          <w:b w:val="false"/>
          <w:i/>
          <w:color w:val="000000"/>
          <w:sz w:val="20"/>
        </w:rPr>
        <w:t>Transfers of Reverse Mortgages</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pool HECM loans into HMBS that we sell into the secondary market with servicing rights retained. As the transfers of the HECM loans do not qualify for sale accounting, we account for these transfers as financings, with the HECM loans classified as Loans held for investment, at fair value, on our unaudited consolidated balance sheets.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Financings of Advances using SPEs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Match funded advances, i.e., advances that are pledged as collateral to our advance facilities, result from our transfers of residential loan servicing advances to SPEs - that we include in our consolidate financial statements - in exchange for cash.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advance financing facilities:</w:t>
      </w:r>
    </w:p>
    <w:tbl>
      <w:tblPr>
        <w:tblW w:w="7449" w:type="dxa"/>
        <w:jc w:val="left"/>
        <w:tblInd w:w="0" w:type="dxa"/>
        <w:tblCellMar>
          <w:top w:w="28" w:type="dxa"/>
          <w:left w:w="28" w:type="dxa"/>
          <w:bottom w:w="28" w:type="dxa"/>
          <w:right w:w="28" w:type="dxa"/>
        </w:tblCellMar>
      </w:tblPr>
      <w:tblGrid>
        <w:gridCol w:w="1418"/>
        <w:gridCol w:w="1246"/>
        <w:gridCol w:w="1250"/>
        <w:gridCol w:w="324"/>
        <w:gridCol w:w="948"/>
        <w:gridCol w:w="167"/>
        <w:gridCol w:w="109"/>
        <w:gridCol w:w="109"/>
        <w:gridCol w:w="109"/>
        <w:gridCol w:w="380"/>
        <w:gridCol w:w="1110"/>
        <w:gridCol w:w="279"/>
      </w:tblGrid>
      <w:tr>
        <w:trPr/>
        <w:tc>
          <w:tcPr>
            <w:tcW w:w="141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Match funded advances (Advances,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(Restricted cash)</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lender fees (Other assets)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interest (Other assets)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MSR Financings using SPEs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two SPEs (PMC ESR Trusts) in connection with a third-party financing facility secured by certain of PMC’s Fannie Mae and Freddie Mac MSRs (Agency MSRs) and one SPE (PMC PLS ESR Issuer LLC) in connection with our PLS MSR financing facility (Ocwen Excess Spread-Collateralized Notes, Series 2022-PLS1 Class 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Agency MSR financing facility and the PLS Notes facility:</w:t>
      </w:r>
    </w:p>
    <w:tbl>
      <w:tblPr>
        <w:tblW w:w="8844" w:type="dxa"/>
        <w:jc w:val="center"/>
        <w:tblInd w:w="0" w:type="dxa"/>
        <w:tblCellMar>
          <w:top w:w="28" w:type="dxa"/>
          <w:left w:w="28" w:type="dxa"/>
          <w:bottom w:w="28" w:type="dxa"/>
          <w:right w:w="28" w:type="dxa"/>
        </w:tblCellMar>
      </w:tblPr>
      <w:tblGrid>
        <w:gridCol w:w="1925"/>
        <w:gridCol w:w="1685"/>
        <w:gridCol w:w="1699"/>
        <w:gridCol w:w="324"/>
        <w:gridCol w:w="948"/>
        <w:gridCol w:w="167"/>
        <w:gridCol w:w="109"/>
        <w:gridCol w:w="109"/>
        <w:gridCol w:w="109"/>
        <w:gridCol w:w="380"/>
        <w:gridCol w:w="1110"/>
        <w:gridCol w:w="279"/>
      </w:tblGrid>
      <w:tr>
        <w:trPr/>
        <w:tc>
          <w:tcPr>
            <w:tcW w:w="192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30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pledged (MSRs, at fair value)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 (Restricted cash)</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lender fees (Other assets)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(MSR financing facilities, net)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(MSR financing facilities, net) </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814" w:type="dxa"/>
        <w:jc w:val="left"/>
        <w:tblInd w:w="0" w:type="dxa"/>
        <w:tblCellMar>
          <w:top w:w="28" w:type="dxa"/>
          <w:left w:w="28" w:type="dxa"/>
          <w:bottom w:w="28" w:type="dxa"/>
          <w:right w:w="28" w:type="dxa"/>
        </w:tblCellMar>
      </w:tblPr>
      <w:tblGrid>
        <w:gridCol w:w="581"/>
        <w:gridCol w:w="511"/>
        <w:gridCol w:w="722"/>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3 – Fair Value</w:t>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estimated fair values of our financial instruments and certain of our nonfinancial assets measured at fair value on a recurring or non-recurring basis or disclosed, but not measured, at fair value are as follows:</w:t>
      </w:r>
    </w:p>
    <w:tbl>
      <w:tblPr>
        <w:tblW w:w="10205" w:type="dxa"/>
        <w:jc w:val="left"/>
        <w:tblInd w:w="0" w:type="dxa"/>
        <w:tblCellMar>
          <w:top w:w="28" w:type="dxa"/>
          <w:left w:w="28" w:type="dxa"/>
          <w:bottom w:w="28" w:type="dxa"/>
          <w:right w:w="28" w:type="dxa"/>
        </w:tblCellMar>
      </w:tblPr>
      <w:tblGrid>
        <w:gridCol w:w="1298"/>
        <w:gridCol w:w="1140"/>
        <w:gridCol w:w="1145"/>
        <w:gridCol w:w="195"/>
        <w:gridCol w:w="195"/>
        <w:gridCol w:w="196"/>
        <w:gridCol w:w="109"/>
        <w:gridCol w:w="109"/>
        <w:gridCol w:w="109"/>
        <w:gridCol w:w="301"/>
        <w:gridCol w:w="881"/>
        <w:gridCol w:w="155"/>
        <w:gridCol w:w="109"/>
        <w:gridCol w:w="109"/>
        <w:gridCol w:w="109"/>
        <w:gridCol w:w="226"/>
        <w:gridCol w:w="659"/>
        <w:gridCol w:w="116"/>
        <w:gridCol w:w="109"/>
        <w:gridCol w:w="109"/>
        <w:gridCol w:w="109"/>
        <w:gridCol w:w="301"/>
        <w:gridCol w:w="881"/>
        <w:gridCol w:w="155"/>
        <w:gridCol w:w="109"/>
        <w:gridCol w:w="109"/>
        <w:gridCol w:w="109"/>
        <w:gridCol w:w="225"/>
        <w:gridCol w:w="658"/>
        <w:gridCol w:w="170"/>
      </w:tblGrid>
      <w:tr>
        <w:trPr/>
        <w:tc>
          <w:tcPr>
            <w:tcW w:w="129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(a) (e)</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lower of cost or fair value (b)</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sale</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44"/>
        <w:gridCol w:w="1061"/>
        <w:gridCol w:w="1068"/>
        <w:gridCol w:w="195"/>
        <w:gridCol w:w="195"/>
        <w:gridCol w:w="196"/>
        <w:gridCol w:w="109"/>
        <w:gridCol w:w="109"/>
        <w:gridCol w:w="109"/>
        <w:gridCol w:w="244"/>
        <w:gridCol w:w="889"/>
        <w:gridCol w:w="126"/>
        <w:gridCol w:w="109"/>
        <w:gridCol w:w="109"/>
        <w:gridCol w:w="109"/>
        <w:gridCol w:w="211"/>
        <w:gridCol w:w="766"/>
        <w:gridCol w:w="109"/>
        <w:gridCol w:w="109"/>
        <w:gridCol w:w="109"/>
        <w:gridCol w:w="109"/>
        <w:gridCol w:w="244"/>
        <w:gridCol w:w="889"/>
        <w:gridCol w:w="126"/>
        <w:gridCol w:w="109"/>
        <w:gridCol w:w="109"/>
        <w:gridCol w:w="109"/>
        <w:gridCol w:w="211"/>
        <w:gridCol w:w="766"/>
        <w:gridCol w:w="157"/>
      </w:tblGrid>
      <w:tr>
        <w:trPr/>
        <w:tc>
          <w:tcPr>
            <w:tcW w:w="1444"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 Reverse mortgages (a) </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Restricted for securitization investors (a)</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fair value</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(c)</w:t>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(c)</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(c)</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liabilities, at fair value</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liability - Pledged MSR liability (a) </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Excess Servicing Spread (ESS) (a)</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Owed to securitization investors (a)</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financing liabilities</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 (c)</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(c) (d)</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 due 2026 (c) (d)</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due 2027 (c) (d)</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notes</w:t>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 assets (liabilities), net</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lock commitments (IRLCs) (a) </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loans (a)</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 Forward mortgage-backed securities (MBS) trades (a)</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 (a)</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pipeline trades (a)</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contracts (a)</w:t>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 </w:t>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3573"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(a)Measured at fair value on a recurring basis.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(b)Measured at fair value on a non-recurring basis.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(c)Disclosed, but not measured, at fair value. </w:t>
      </w:r>
    </w:p>
    <w:p>
      <w:pPr>
        <w:pStyle w:val="TextBody"/>
        <w:spacing w:lineRule="auto" w:line="288" w:before="0" w:after="0"/>
        <w:ind w:left="0" w:right="0" w:hanging="360"/>
        <w:rPr/>
      </w:pPr>
      <w:r>
        <w:rPr>
          <w:rFonts w:ascii="Times New Roman;sans-serif" w:hAnsi="Times New Roman;sans-serif"/>
          <w:b w:val="false"/>
          <w:color w:val="000000"/>
          <w:sz w:val="18"/>
        </w:rPr>
        <w:t>(d)The carrying values are net of unamortized debt issuance costs and discount. See Note 12 – Borrowings for additional information</w:t>
      </w:r>
      <w:r>
        <w:rPr>
          <w:rFonts w:ascii="Times New Roman;sans-serif" w:hAnsi="Times New Roman;sans-serif"/>
          <w:b/>
          <w:color w:val="000000"/>
          <w:sz w:val="18"/>
        </w:rPr>
        <w:t>.</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(e)Loans repurchased from Ginnie Mae securitizations with a fair value of $23.3 million and $32.1 million at March 31, 2023 and December 31, 2022, respectively, are classified as Level 3. The remaining balance of loans held for sale at fair value is classified as Level 2.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the changes in fair value of Level 3 assets and liabilities that we measure at fair value on a recurring basis:</w:t>
      </w:r>
    </w:p>
    <w:tbl>
      <w:tblPr>
        <w:tblW w:w="10205" w:type="dxa"/>
        <w:jc w:val="left"/>
        <w:tblInd w:w="0" w:type="dxa"/>
        <w:tblCellMar>
          <w:top w:w="28" w:type="dxa"/>
          <w:left w:w="28" w:type="dxa"/>
          <w:bottom w:w="28" w:type="dxa"/>
          <w:right w:w="28" w:type="dxa"/>
        </w:tblCellMar>
      </w:tblPr>
      <w:tblGrid>
        <w:gridCol w:w="703"/>
        <w:gridCol w:w="404"/>
        <w:gridCol w:w="407"/>
        <w:gridCol w:w="109"/>
        <w:gridCol w:w="109"/>
        <w:gridCol w:w="109"/>
        <w:gridCol w:w="109"/>
        <w:gridCol w:w="506"/>
        <w:gridCol w:w="974"/>
        <w:gridCol w:w="263"/>
        <w:gridCol w:w="109"/>
        <w:gridCol w:w="109"/>
        <w:gridCol w:w="109"/>
        <w:gridCol w:w="464"/>
        <w:gridCol w:w="928"/>
        <w:gridCol w:w="241"/>
        <w:gridCol w:w="109"/>
        <w:gridCol w:w="109"/>
        <w:gridCol w:w="109"/>
        <w:gridCol w:w="263"/>
        <w:gridCol w:w="638"/>
        <w:gridCol w:w="136"/>
        <w:gridCol w:w="109"/>
        <w:gridCol w:w="109"/>
        <w:gridCol w:w="109"/>
        <w:gridCol w:w="109"/>
        <w:gridCol w:w="109"/>
        <w:gridCol w:w="235"/>
        <w:gridCol w:w="725"/>
        <w:gridCol w:w="121"/>
        <w:gridCol w:w="109"/>
        <w:gridCol w:w="109"/>
        <w:gridCol w:w="109"/>
        <w:gridCol w:w="211"/>
        <w:gridCol w:w="427"/>
        <w:gridCol w:w="109"/>
        <w:gridCol w:w="109"/>
        <w:gridCol w:w="109"/>
        <w:gridCol w:w="109"/>
        <w:gridCol w:w="161"/>
      </w:tblGrid>
      <w:tr>
        <w:trPr/>
        <w:tc>
          <w:tcPr>
            <w:tcW w:w="70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ESS Financing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017" w:type="dxa"/>
            <w:gridSpan w:val="2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2023</w:t>
            </w:r>
          </w:p>
        </w:tc>
        <w:tc>
          <w:tcPr>
            <w:tcW w:w="3188" w:type="dxa"/>
            <w:gridSpan w:val="18"/>
            <w:tcBorders/>
            <w:shd w:fill="auto" w:val="clea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60" w:after="60"/>
        <w:rPr/>
      </w:pPr>
      <w:r>
        <w:rPr/>
      </w:r>
    </w:p>
    <w:tbl>
      <w:tblPr>
        <w:tblW w:w="10205" w:type="dxa"/>
        <w:jc w:val="left"/>
        <w:tblInd w:w="0" w:type="dxa"/>
        <w:tblCellMar>
          <w:top w:w="28" w:type="dxa"/>
          <w:left w:w="28" w:type="dxa"/>
          <w:bottom w:w="28" w:type="dxa"/>
          <w:right w:w="28" w:type="dxa"/>
        </w:tblCellMar>
      </w:tblPr>
      <w:tblGrid>
        <w:gridCol w:w="764"/>
        <w:gridCol w:w="477"/>
        <w:gridCol w:w="480"/>
        <w:gridCol w:w="109"/>
        <w:gridCol w:w="109"/>
        <w:gridCol w:w="109"/>
        <w:gridCol w:w="109"/>
        <w:gridCol w:w="613"/>
        <w:gridCol w:w="1179"/>
        <w:gridCol w:w="318"/>
        <w:gridCol w:w="109"/>
        <w:gridCol w:w="109"/>
        <w:gridCol w:w="109"/>
        <w:gridCol w:w="544"/>
        <w:gridCol w:w="1086"/>
        <w:gridCol w:w="283"/>
        <w:gridCol w:w="109"/>
        <w:gridCol w:w="109"/>
        <w:gridCol w:w="109"/>
        <w:gridCol w:w="290"/>
        <w:gridCol w:w="849"/>
        <w:gridCol w:w="150"/>
        <w:gridCol w:w="109"/>
        <w:gridCol w:w="109"/>
        <w:gridCol w:w="109"/>
        <w:gridCol w:w="109"/>
        <w:gridCol w:w="109"/>
        <w:gridCol w:w="109"/>
        <w:gridCol w:w="109"/>
        <w:gridCol w:w="211"/>
        <w:gridCol w:w="511"/>
        <w:gridCol w:w="109"/>
        <w:gridCol w:w="109"/>
        <w:gridCol w:w="109"/>
        <w:gridCol w:w="109"/>
        <w:gridCol w:w="161"/>
      </w:tblGrid>
      <w:tr>
        <w:trPr/>
        <w:tc>
          <w:tcPr>
            <w:tcW w:w="76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07" w:type="dxa"/>
            <w:gridSpan w:val="1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2022</w:t>
            </w:r>
          </w:p>
        </w:tc>
        <w:tc>
          <w:tcPr>
            <w:tcW w:w="3698" w:type="dxa"/>
            <w:gridSpan w:val="20"/>
            <w:tcBorders/>
            <w:shd w:fill="auto" w:val="clea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tbl>
      <w:tblPr>
        <w:tblW w:w="442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078" w:type="dxa"/>
            <w:gridSpan w:val="37"/>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420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860" w:type="dxa"/>
            <w:gridSpan w:val="35"/>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(1)IRLC activity (issuances and transfers) represent changes in fair value included in earnings. This activity is presented on a gross basis in the table for disclosure purposes. Total net change in fair value included in earnings attributed to IRLCs is a gain (loss) of $5.6 million and $(12.5) million for the three months ended March 31, 2023 and 2022, respectively. See Note 14 – Derivative Financial Instruments and Hedging Activities.</w:t>
      </w:r>
    </w:p>
    <w:p>
      <w:pPr>
        <w:pStyle w:val="TextBody"/>
        <w:spacing w:lineRule="auto" w:line="288" w:before="120" w:after="120"/>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20"/>
        </w:rPr>
        <w:t>reconciliation from the beginning balances to the ending balances of Loans Held for Investment and HMBS-related borrowings, MSRs and Pledged MSR liabilities that we measure at fair value on a recurring basis is disclosed in Note 5 - Reverse Mortgages, Note 7 – Mortgage Servicing and Note 8 — Other Financing Liabilities, at Fair Value, respectively.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assumptions that we make to estimate the fair value of certain assets and liabilities classified as Level 3 and measured at fair value on a recurring basis are provided below.</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spacing w:lineRule="auto" w:line="288" w:before="120" w:after="283"/>
        <w:rPr/>
      </w:pPr>
      <w:r>
        <w:rPr>
          <w:rFonts w:ascii="Times New Roman;sans-serif" w:hAnsi="Times New Roman;sans-serif"/>
          <w:b w:val="false"/>
          <w:color w:val="000000"/>
          <w:sz w:val="20"/>
        </w:rPr>
        <w:t>The fair value of loans we purchased from Ginnie Mae guaranteed securitizations is estimated using both observable and unobservable inputs, including</w:t>
      </w:r>
      <w:r>
        <w:rPr>
          <w:color w:val="000000"/>
        </w:rPr>
        <w:t xml:space="preserve"> </w:t>
      </w:r>
      <w:r>
        <w:rPr>
          <w:rFonts w:ascii="Times New Roman;sans-serif" w:hAnsi="Times New Roman;sans-serif"/>
          <w:b w:val="false"/>
          <w:color w:val="000000"/>
          <w:sz w:val="20"/>
        </w:rPr>
        <w:t>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 </w:t>
      </w:r>
    </w:p>
    <w:tbl>
      <w:tblPr>
        <w:tblW w:w="9804" w:type="dxa"/>
        <w:jc w:val="center"/>
        <w:tblInd w:w="0" w:type="dxa"/>
        <w:tblCellMar>
          <w:top w:w="28" w:type="dxa"/>
          <w:left w:w="28" w:type="dxa"/>
          <w:bottom w:w="28" w:type="dxa"/>
          <w:right w:w="28" w:type="dxa"/>
        </w:tblCellMar>
      </w:tblPr>
      <w:tblGrid>
        <w:gridCol w:w="2398"/>
        <w:gridCol w:w="2103"/>
        <w:gridCol w:w="2113"/>
        <w:gridCol w:w="312"/>
        <w:gridCol w:w="312"/>
        <w:gridCol w:w="785"/>
        <w:gridCol w:w="109"/>
        <w:gridCol w:w="109"/>
        <w:gridCol w:w="109"/>
        <w:gridCol w:w="296"/>
        <w:gridCol w:w="296"/>
        <w:gridCol w:w="862"/>
      </w:tblGrid>
      <w:tr>
        <w:trPr/>
        <w:tc>
          <w:tcPr>
            <w:tcW w:w="2398"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0.9 to 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to 7.6</w:t>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 including voluntary and involuntary prepayments</w:t>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12.3% to 44.0%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45.0%</w:t>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MSRs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We evaluate the reasonableness of our third-party experts’ assumptions using historical experience adjusted for prevailing market conditions and benchmarks of assumptions and value estimates.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tbl>
      <w:tblPr>
        <w:tblW w:w="8714" w:type="dxa"/>
        <w:jc w:val="center"/>
        <w:tblInd w:w="0" w:type="dxa"/>
        <w:tblCellMar>
          <w:top w:w="28" w:type="dxa"/>
          <w:left w:w="28" w:type="dxa"/>
          <w:bottom w:w="28" w:type="dxa"/>
          <w:right w:w="28" w:type="dxa"/>
        </w:tblCellMar>
      </w:tblPr>
      <w:tblGrid>
        <w:gridCol w:w="1349"/>
        <w:gridCol w:w="1182"/>
        <w:gridCol w:w="1189"/>
        <w:gridCol w:w="211"/>
        <w:gridCol w:w="361"/>
        <w:gridCol w:w="271"/>
        <w:gridCol w:w="109"/>
        <w:gridCol w:w="109"/>
        <w:gridCol w:w="109"/>
        <w:gridCol w:w="253"/>
        <w:gridCol w:w="560"/>
        <w:gridCol w:w="328"/>
        <w:gridCol w:w="109"/>
        <w:gridCol w:w="109"/>
        <w:gridCol w:w="109"/>
        <w:gridCol w:w="211"/>
        <w:gridCol w:w="361"/>
        <w:gridCol w:w="271"/>
        <w:gridCol w:w="109"/>
        <w:gridCol w:w="109"/>
        <w:gridCol w:w="109"/>
        <w:gridCol w:w="252"/>
        <w:gridCol w:w="556"/>
        <w:gridCol w:w="378"/>
      </w:tblGrid>
      <w:tr>
        <w:trPr/>
        <w:tc>
          <w:tcPr>
            <w:tcW w:w="134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37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23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20" w:type="dxa"/>
            <w:gridSpan w:val="3"/>
            <w:vMerge w:val="continue"/>
            <w:tcBorders/>
            <w:shd w:fill="auto" w:val="clear"/>
            <w:tcMar>
              <w:top w:w="0" w:type="dxa"/>
              <w:left w:w="0" w:type="dxa"/>
              <w:bottom w:w="0" w:type="dxa"/>
              <w:right w:w="0" w:type="dxa"/>
            </w:tcMar>
            <w:vAlign w:val="center"/>
          </w:tcPr>
          <w:p>
            <w:pPr>
              <w:pStyle w:val="Normal"/>
              <w:rPr/>
            </w:pPr>
            <w:r>
              <w:rPr/>
            </w:r>
          </w:p>
        </w:tc>
        <w:tc>
          <w:tcPr>
            <w:tcW w:w="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lifetime delinquency rate</w:t>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2023 given hypothetical increases in lifetime prepayments and yield assumptions:</w:t>
      </w:r>
    </w:p>
    <w:tbl>
      <w:tblPr>
        <w:tblW w:w="8513" w:type="dxa"/>
        <w:jc w:val="left"/>
        <w:tblInd w:w="0" w:type="dxa"/>
        <w:tblCellMar>
          <w:top w:w="28" w:type="dxa"/>
          <w:left w:w="28" w:type="dxa"/>
          <w:bottom w:w="28" w:type="dxa"/>
          <w:right w:w="28" w:type="dxa"/>
        </w:tblCellMar>
      </w:tblPr>
      <w:tblGrid>
        <w:gridCol w:w="2257"/>
        <w:gridCol w:w="1980"/>
        <w:gridCol w:w="1987"/>
        <w:gridCol w:w="211"/>
        <w:gridCol w:w="586"/>
        <w:gridCol w:w="109"/>
        <w:gridCol w:w="109"/>
        <w:gridCol w:w="109"/>
        <w:gridCol w:w="109"/>
        <w:gridCol w:w="211"/>
        <w:gridCol w:w="691"/>
        <w:gridCol w:w="154"/>
      </w:tblGrid>
      <w:tr>
        <w:trPr/>
        <w:tc>
          <w:tcPr>
            <w:tcW w:w="2257"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Adverse change in fair value</w:t>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w:t>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prepayment speeds (in percentage points)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due to change in weighted average prepayment speeds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discount rate (in percentage points)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due to change in weighted average discount rate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Financing Liabilities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HMBS-Related Borrowings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unobservable assumptions include yield spread and discount rate. The yield spread and discount rate assumption for these liabilities are primarily based on an assessment of current market yields for newly issued HMBS, expected duration and current market interest rates. </w:t>
      </w:r>
    </w:p>
    <w:tbl>
      <w:tblPr>
        <w:tblW w:w="6489" w:type="dxa"/>
        <w:jc w:val="center"/>
        <w:tblInd w:w="0" w:type="dxa"/>
        <w:tblCellMar>
          <w:top w:w="28" w:type="dxa"/>
          <w:left w:w="28" w:type="dxa"/>
          <w:bottom w:w="28" w:type="dxa"/>
          <w:right w:w="28" w:type="dxa"/>
        </w:tblCellMar>
      </w:tblPr>
      <w:tblGrid>
        <w:gridCol w:w="1196"/>
        <w:gridCol w:w="1049"/>
        <w:gridCol w:w="1054"/>
        <w:gridCol w:w="312"/>
        <w:gridCol w:w="312"/>
        <w:gridCol w:w="785"/>
        <w:gridCol w:w="109"/>
        <w:gridCol w:w="109"/>
        <w:gridCol w:w="109"/>
        <w:gridCol w:w="296"/>
        <w:gridCol w:w="296"/>
        <w:gridCol w:w="862"/>
      </w:tblGrid>
      <w:tr>
        <w:trPr/>
        <w:tc>
          <w:tcPr>
            <w:tcW w:w="119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0.9 to 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to 7.6</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12.3% to 44.0%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45.0%</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Pledged MSR Liabilities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liabilities are carried at fair value and classified as Level 3 within the valuation hierarchy. We determine the fair value of the pledged MSR liability consistent with the prices provided by third-party valuation experts for the related MSR, considering retained cash flows.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tbl>
      <w:tblPr>
        <w:tblW w:w="6325" w:type="dxa"/>
        <w:jc w:val="left"/>
        <w:tblInd w:w="0" w:type="dxa"/>
        <w:tblCellMar>
          <w:top w:w="28" w:type="dxa"/>
          <w:left w:w="28" w:type="dxa"/>
          <w:bottom w:w="28" w:type="dxa"/>
          <w:right w:w="28" w:type="dxa"/>
        </w:tblCellMar>
      </w:tblPr>
      <w:tblGrid>
        <w:gridCol w:w="1348"/>
        <w:gridCol w:w="1183"/>
        <w:gridCol w:w="1188"/>
        <w:gridCol w:w="217"/>
        <w:gridCol w:w="479"/>
        <w:gridCol w:w="279"/>
        <w:gridCol w:w="109"/>
        <w:gridCol w:w="109"/>
        <w:gridCol w:w="109"/>
        <w:gridCol w:w="276"/>
        <w:gridCol w:w="612"/>
        <w:gridCol w:w="416"/>
      </w:tblGrid>
      <w:tr>
        <w:trPr/>
        <w:tc>
          <w:tcPr>
            <w:tcW w:w="1348"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delinquency rate</w:t>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Significant increases or decreases in these assumptions in isolation would result in a significantly higher or lower fair value.</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ESS Financing Liability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based on the change in discount rate of the underlying MSR, as provided by third-party valuation expert. At March 31, 2023 and December 31, 2022, the weighted average discount rate of the ESS financing liability was 8.0% and 7.6%, respectively. Refer to MSRs above for a description of other significant unobservable assumptions. Also see Note 8 — Other Financing Liabilities, at Fair Value.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Derivative Financial Instruments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IRLCs are classified as Level 3 assets as fallout rates were determined to be significant unobservable assumptions.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80" w:type="dxa"/>
        <w:jc w:val="left"/>
        <w:tblInd w:w="0" w:type="dxa"/>
        <w:tblCellMar>
          <w:top w:w="28" w:type="dxa"/>
          <w:left w:w="28" w:type="dxa"/>
          <w:bottom w:w="28" w:type="dxa"/>
          <w:right w:w="28" w:type="dxa"/>
        </w:tblCellMar>
      </w:tblPr>
      <w:tblGrid>
        <w:gridCol w:w="825"/>
        <w:gridCol w:w="724"/>
        <w:gridCol w:w="1031"/>
      </w:tblGrid>
      <w:tr>
        <w:trPr/>
        <w:tc>
          <w:tcPr>
            <w:tcW w:w="82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4 – Loans Held for Sale</w:t>
            </w:r>
          </w:p>
        </w:tc>
      </w:tr>
    </w:tbl>
    <w:tbl>
      <w:tblPr>
        <w:tblW w:w="7992" w:type="dxa"/>
        <w:jc w:val="center"/>
        <w:tblInd w:w="0" w:type="dxa"/>
        <w:tblCellMar>
          <w:top w:w="28" w:type="dxa"/>
          <w:left w:w="28" w:type="dxa"/>
          <w:bottom w:w="28" w:type="dxa"/>
          <w:right w:w="28" w:type="dxa"/>
        </w:tblCellMar>
      </w:tblPr>
      <w:tblGrid>
        <w:gridCol w:w="1712"/>
        <w:gridCol w:w="1499"/>
        <w:gridCol w:w="1514"/>
        <w:gridCol w:w="267"/>
        <w:gridCol w:w="781"/>
        <w:gridCol w:w="138"/>
        <w:gridCol w:w="138"/>
        <w:gridCol w:w="138"/>
        <w:gridCol w:w="138"/>
        <w:gridCol w:w="267"/>
        <w:gridCol w:w="781"/>
        <w:gridCol w:w="138"/>
        <w:gridCol w:w="109"/>
        <w:gridCol w:w="109"/>
        <w:gridCol w:w="109"/>
        <w:gridCol w:w="154"/>
      </w:tblGrid>
      <w:tr>
        <w:trPr/>
        <w:tc>
          <w:tcPr>
            <w:tcW w:w="1712"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vMerge w:val="restart"/>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Loans Held for Sale - Fair Value </w:t>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25" w:type="dxa"/>
            <w:gridSpan w:val="3"/>
            <w:vMerge w:val="continue"/>
            <w:tcBorders/>
            <w:shd w:fill="auto" w:val="clear"/>
            <w:tcMar>
              <w:top w:w="0" w:type="dxa"/>
              <w:left w:w="0" w:type="dxa"/>
              <w:bottom w:w="0" w:type="dxa"/>
              <w:right w:w="0" w:type="dxa"/>
            </w:tcMar>
            <w:vAlign w:val="center"/>
          </w:tcPr>
          <w:p>
            <w:pPr>
              <w:pStyle w:val="Normal"/>
              <w:rPr/>
            </w:pPr>
            <w:r>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and purchases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collections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(to):</w:t>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advances on Ginnie Mae modifications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loss on sale of loans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 on loans held for sale</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Ending balance </w:t>
            </w:r>
            <w:r>
              <w:rPr>
                <w:rFonts w:ascii="Times New Roman;sans-serif" w:hAnsi="Times New Roman;sans-serif"/>
                <w:b w:val="false"/>
                <w:color w:val="000000"/>
                <w:sz w:val="20"/>
              </w:rPr>
              <w:t xml:space="preserve">(1)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(discount)</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(1)At March 31, 2023 and 2022, the balances include $23.3 million and $230.4 million, respectively, of loans that we repurchased from Ginnie Mae guaranteed securitizations pursuant to Ginnie Mae servicing guidelines.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tbl>
      <w:tblPr>
        <w:tblW w:w="7602" w:type="dxa"/>
        <w:jc w:val="center"/>
        <w:tblInd w:w="0" w:type="dxa"/>
        <w:tblCellMar>
          <w:top w:w="28" w:type="dxa"/>
          <w:left w:w="28" w:type="dxa"/>
          <w:bottom w:w="28" w:type="dxa"/>
          <w:right w:w="28" w:type="dxa"/>
        </w:tblCellMar>
      </w:tblPr>
      <w:tblGrid>
        <w:gridCol w:w="1571"/>
        <w:gridCol w:w="1376"/>
        <w:gridCol w:w="1387"/>
        <w:gridCol w:w="312"/>
        <w:gridCol w:w="601"/>
        <w:gridCol w:w="161"/>
        <w:gridCol w:w="161"/>
        <w:gridCol w:w="161"/>
        <w:gridCol w:w="161"/>
        <w:gridCol w:w="312"/>
        <w:gridCol w:w="757"/>
        <w:gridCol w:w="161"/>
        <w:gridCol w:w="109"/>
        <w:gridCol w:w="109"/>
        <w:gridCol w:w="109"/>
        <w:gridCol w:w="154"/>
      </w:tblGrid>
      <w:tr>
        <w:trPr/>
        <w:tc>
          <w:tcPr>
            <w:tcW w:w="1571"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vMerge w:val="restart"/>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Sale - Lower of Cost or Fair Value</w:t>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34" w:type="dxa"/>
            <w:gridSpan w:val="3"/>
            <w:vMerge w:val="continue"/>
            <w:tcBorders/>
            <w:shd w:fill="auto" w:val="clear"/>
            <w:tcMar>
              <w:top w:w="0" w:type="dxa"/>
              <w:left w:w="0" w:type="dxa"/>
              <w:bottom w:w="0" w:type="dxa"/>
              <w:right w:w="0" w:type="dxa"/>
            </w:tcMar>
            <w:vAlign w:val="center"/>
          </w:tcPr>
          <w:p>
            <w:pPr>
              <w:pStyle w:val="Normal"/>
              <w:rPr/>
            </w:pPr>
            <w:r>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before valuation allowance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net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3"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7856" w:type="dxa"/>
        <w:jc w:val="left"/>
        <w:tblInd w:w="0" w:type="dxa"/>
        <w:tblCellMar>
          <w:top w:w="28" w:type="dxa"/>
          <w:left w:w="28" w:type="dxa"/>
          <w:bottom w:w="28" w:type="dxa"/>
          <w:right w:w="28" w:type="dxa"/>
        </w:tblCellMar>
      </w:tblPr>
      <w:tblGrid>
        <w:gridCol w:w="1663"/>
        <w:gridCol w:w="1456"/>
        <w:gridCol w:w="1470"/>
        <w:gridCol w:w="296"/>
        <w:gridCol w:w="717"/>
        <w:gridCol w:w="152"/>
        <w:gridCol w:w="152"/>
        <w:gridCol w:w="152"/>
        <w:gridCol w:w="152"/>
        <w:gridCol w:w="296"/>
        <w:gridCol w:w="717"/>
        <w:gridCol w:w="152"/>
        <w:gridCol w:w="109"/>
        <w:gridCol w:w="109"/>
        <w:gridCol w:w="109"/>
        <w:gridCol w:w="154"/>
      </w:tblGrid>
      <w:tr>
        <w:trPr/>
        <w:tc>
          <w:tcPr>
            <w:tcW w:w="1663"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vMerge w:val="restart"/>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Gain (Loss) on Loans Held for Sale, Net </w:t>
            </w:r>
          </w:p>
        </w:tc>
        <w:tc>
          <w:tcPr>
            <w:tcW w:w="278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89" w:type="dxa"/>
            <w:gridSpan w:val="3"/>
            <w:vMerge w:val="continue"/>
            <w:tcBorders/>
            <w:shd w:fill="auto" w:val="clear"/>
            <w:tcMar>
              <w:top w:w="0" w:type="dxa"/>
              <w:left w:w="0" w:type="dxa"/>
              <w:bottom w:w="0" w:type="dxa"/>
              <w:right w:w="0" w:type="dxa"/>
            </w:tcMar>
            <w:vAlign w:val="center"/>
          </w:tcPr>
          <w:p>
            <w:pPr>
              <w:pStyle w:val="Normal"/>
              <w:rPr/>
            </w:pPr>
            <w:r>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sales of loans, net</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MSRs retained on transfers of forward mortgage loans</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sale of forward mortgage loans (1) </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repurchased Ginnie Mae loans (1)</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IRLCs</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loans held for sale</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economic hedge instruments (2)</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(1)Realized gain (loss) on sale of loans, excluding retained MSRs.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(2)Excludes gains of $0 and $13.3 million during the three months ended March 31, 2023 and 2022, respectively, on inter-segment economic hedge derivatives presented within MSR valuation adjustments, net.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and are eliminated in the consolidated financial statements. Refer to Note 17 – Business Segment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488" w:type="dxa"/>
        <w:jc w:val="left"/>
        <w:tblInd w:w="0" w:type="dxa"/>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226"/>
      </w:tblGrid>
      <w:tr>
        <w:trPr/>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48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5 - Reverse Mortgages</w:t>
            </w:r>
          </w:p>
        </w:tc>
      </w:tr>
    </w:tbl>
    <w:tbl>
      <w:tblPr>
        <w:tblW w:w="10205" w:type="dxa"/>
        <w:jc w:val="left"/>
        <w:tblInd w:w="0" w:type="dxa"/>
        <w:tblCellMar>
          <w:top w:w="28" w:type="dxa"/>
          <w:left w:w="28" w:type="dxa"/>
          <w:bottom w:w="28" w:type="dxa"/>
          <w:right w:w="28" w:type="dxa"/>
        </w:tblCellMar>
      </w:tblPr>
      <w:tblGrid>
        <w:gridCol w:w="1200"/>
        <w:gridCol w:w="818"/>
        <w:gridCol w:w="811"/>
        <w:gridCol w:w="340"/>
        <w:gridCol w:w="1237"/>
        <w:gridCol w:w="176"/>
        <w:gridCol w:w="109"/>
        <w:gridCol w:w="109"/>
        <w:gridCol w:w="109"/>
        <w:gridCol w:w="265"/>
        <w:gridCol w:w="1017"/>
        <w:gridCol w:w="136"/>
        <w:gridCol w:w="109"/>
        <w:gridCol w:w="109"/>
        <w:gridCol w:w="109"/>
        <w:gridCol w:w="340"/>
        <w:gridCol w:w="1237"/>
        <w:gridCol w:w="176"/>
        <w:gridCol w:w="109"/>
        <w:gridCol w:w="109"/>
        <w:gridCol w:w="109"/>
        <w:gridCol w:w="262"/>
        <w:gridCol w:w="1009"/>
        <w:gridCol w:w="200"/>
      </w:tblGrid>
      <w:tr>
        <w:trPr/>
        <w:tc>
          <w:tcPr>
            <w:tcW w:w="120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2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Originations </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of HECM loans accounted for as a financing (including realized fair value changes)</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w:t>
            </w:r>
          </w:p>
        </w:tc>
        <w:tc>
          <w:tcPr>
            <w:tcW w:w="20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proceeds from securitization of HECM loans and tails</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(principal payments received)</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w:t>
            </w:r>
          </w:p>
        </w:tc>
        <w:tc>
          <w:tcPr>
            <w:tcW w:w="1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loans (pledged to HMBS-Related Borrowings)</w:t>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7,202.0 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Unsecuritized loans</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(1)See further breakdown in the table below.</w:t>
      </w:r>
    </w:p>
    <w:tbl>
      <w:tblPr>
        <w:tblW w:w="10205" w:type="dxa"/>
        <w:jc w:val="left"/>
        <w:tblInd w:w="0" w:type="dxa"/>
        <w:tblCellMar>
          <w:top w:w="28" w:type="dxa"/>
          <w:left w:w="28" w:type="dxa"/>
          <w:bottom w:w="28" w:type="dxa"/>
          <w:right w:w="28" w:type="dxa"/>
        </w:tblCellMar>
      </w:tblPr>
      <w:tblGrid>
        <w:gridCol w:w="2562"/>
        <w:gridCol w:w="2252"/>
        <w:gridCol w:w="2264"/>
        <w:gridCol w:w="280"/>
        <w:gridCol w:w="680"/>
        <w:gridCol w:w="144"/>
        <w:gridCol w:w="144"/>
        <w:gridCol w:w="144"/>
        <w:gridCol w:w="144"/>
        <w:gridCol w:w="280"/>
        <w:gridCol w:w="680"/>
        <w:gridCol w:w="144"/>
        <w:gridCol w:w="109"/>
        <w:gridCol w:w="109"/>
        <w:gridCol w:w="109"/>
        <w:gridCol w:w="160"/>
      </w:tblGrid>
      <w:tr>
        <w:trPr/>
        <w:tc>
          <w:tcPr>
            <w:tcW w:w="2562"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Gain on Reverse Loans Held for Investment and HMBS-related Borrowings, Net</w:t>
            </w:r>
          </w:p>
        </w:tc>
        <w:tc>
          <w:tcPr>
            <w:tcW w:w="2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new originations (1)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tail securitizations (2)</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 (3)</w:t>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 in fair value of securitized loans held for investment and HMBS-related borrowings, net</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included in earnings (2)</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fees and other</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the changes in fair value of newly originated loans held for investment in the period from interest rate lock commitment date through securitization date.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(2)Includes the cash realized gains upon securitization of tails (previously reported within Other change in fair value of securitized loans held for investment and HMBS-related borrowings, net in the table above).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(3)Includes the interest income on loans held for investment less the interest expense on HMBS-related borrowings (previously reported within Other change in fair value of securitized loans held for investment and HMBS-related borrowings, net in the table above). The net interest income includes the servicing fee Ocwen is contractually entitled to on securitized loans.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755" w:type="dxa"/>
        <w:jc w:val="left"/>
        <w:tblInd w:w="0" w:type="dxa"/>
        <w:tblCellMar>
          <w:top w:w="28" w:type="dxa"/>
          <w:left w:w="28" w:type="dxa"/>
          <w:bottom w:w="28" w:type="dxa"/>
          <w:right w:w="28" w:type="dxa"/>
        </w:tblCellMar>
      </w:tblPr>
      <w:tblGrid>
        <w:gridCol w:w="561"/>
        <w:gridCol w:w="494"/>
        <w:gridCol w:w="700"/>
      </w:tblGrid>
      <w:tr>
        <w:trPr/>
        <w:tc>
          <w:tcPr>
            <w:tcW w:w="56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6 – Advances </w:t>
            </w:r>
          </w:p>
        </w:tc>
      </w:tr>
    </w:tbl>
    <w:tbl>
      <w:tblPr>
        <w:tblW w:w="7029" w:type="dxa"/>
        <w:jc w:val="left"/>
        <w:tblInd w:w="0" w:type="dxa"/>
        <w:tblCellMar>
          <w:top w:w="28" w:type="dxa"/>
          <w:left w:w="28" w:type="dxa"/>
          <w:bottom w:w="28" w:type="dxa"/>
          <w:right w:w="28" w:type="dxa"/>
        </w:tblCellMar>
      </w:tblPr>
      <w:tblGrid>
        <w:gridCol w:w="1266"/>
        <w:gridCol w:w="1110"/>
        <w:gridCol w:w="1118"/>
        <w:gridCol w:w="324"/>
        <w:gridCol w:w="948"/>
        <w:gridCol w:w="167"/>
        <w:gridCol w:w="109"/>
        <w:gridCol w:w="109"/>
        <w:gridCol w:w="109"/>
        <w:gridCol w:w="380"/>
        <w:gridCol w:w="1110"/>
        <w:gridCol w:w="279"/>
      </w:tblGrid>
      <w:tr>
        <w:trPr/>
        <w:tc>
          <w:tcPr>
            <w:tcW w:w="1266"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and interest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and insurance</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Foreclosures, bankruptcy, REO and other </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losses</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in net advances: </w:t>
      </w:r>
    </w:p>
    <w:tbl>
      <w:tblPr>
        <w:tblW w:w="7612" w:type="dxa"/>
        <w:jc w:val="center"/>
        <w:tblInd w:w="0" w:type="dxa"/>
        <w:tblCellMar>
          <w:top w:w="28" w:type="dxa"/>
          <w:left w:w="28" w:type="dxa"/>
          <w:bottom w:w="28" w:type="dxa"/>
          <w:right w:w="28" w:type="dxa"/>
        </w:tblCellMar>
      </w:tblPr>
      <w:tblGrid>
        <w:gridCol w:w="1525"/>
        <w:gridCol w:w="1341"/>
        <w:gridCol w:w="1349"/>
        <w:gridCol w:w="267"/>
        <w:gridCol w:w="781"/>
        <w:gridCol w:w="138"/>
        <w:gridCol w:w="203"/>
        <w:gridCol w:w="203"/>
        <w:gridCol w:w="138"/>
        <w:gridCol w:w="267"/>
        <w:gridCol w:w="781"/>
        <w:gridCol w:w="138"/>
        <w:gridCol w:w="109"/>
        <w:gridCol w:w="109"/>
        <w:gridCol w:w="109"/>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before Allowance for Losses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54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54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54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advances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Receivables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advances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Collections of advances and other </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54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54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before Allowance for Losses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Allowance for Losses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expense</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and other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Allowance for Losses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net</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tbl>
      <w:tblPr>
        <w:tblW w:w="2594" w:type="dxa"/>
        <w:jc w:val="left"/>
        <w:tblInd w:w="0" w:type="dxa"/>
        <w:tblCellMar>
          <w:top w:w="28" w:type="dxa"/>
          <w:left w:w="28" w:type="dxa"/>
          <w:bottom w:w="28" w:type="dxa"/>
          <w:right w:w="28" w:type="dxa"/>
        </w:tblCellMar>
      </w:tblPr>
      <w:tblGrid>
        <w:gridCol w:w="830"/>
        <w:gridCol w:w="729"/>
        <w:gridCol w:w="1035"/>
      </w:tblGrid>
      <w:tr>
        <w:trPr/>
        <w:tc>
          <w:tcPr>
            <w:tcW w:w="83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7 – Mortgage Servicing</w:t>
            </w:r>
          </w:p>
        </w:tc>
      </w:tr>
    </w:tbl>
    <w:tbl>
      <w:tblPr>
        <w:tblW w:w="10205" w:type="dxa"/>
        <w:jc w:val="center"/>
        <w:tblInd w:w="0" w:type="dxa"/>
        <w:tblCellMar>
          <w:top w:w="28" w:type="dxa"/>
          <w:left w:w="28" w:type="dxa"/>
          <w:bottom w:w="28" w:type="dxa"/>
          <w:right w:w="28" w:type="dxa"/>
        </w:tblCellMar>
      </w:tblPr>
      <w:tblGrid>
        <w:gridCol w:w="943"/>
        <w:gridCol w:w="515"/>
        <w:gridCol w:w="440"/>
        <w:gridCol w:w="211"/>
        <w:gridCol w:w="766"/>
        <w:gridCol w:w="109"/>
        <w:gridCol w:w="109"/>
        <w:gridCol w:w="109"/>
        <w:gridCol w:w="109"/>
        <w:gridCol w:w="257"/>
        <w:gridCol w:w="750"/>
        <w:gridCol w:w="134"/>
        <w:gridCol w:w="109"/>
        <w:gridCol w:w="109"/>
        <w:gridCol w:w="109"/>
        <w:gridCol w:w="211"/>
        <w:gridCol w:w="766"/>
        <w:gridCol w:w="109"/>
        <w:gridCol w:w="109"/>
        <w:gridCol w:w="109"/>
        <w:gridCol w:w="109"/>
        <w:gridCol w:w="211"/>
        <w:gridCol w:w="766"/>
        <w:gridCol w:w="109"/>
        <w:gridCol w:w="109"/>
        <w:gridCol w:w="109"/>
        <w:gridCol w:w="109"/>
        <w:gridCol w:w="257"/>
        <w:gridCol w:w="750"/>
        <w:gridCol w:w="134"/>
        <w:gridCol w:w="109"/>
        <w:gridCol w:w="109"/>
        <w:gridCol w:w="109"/>
        <w:gridCol w:w="211"/>
        <w:gridCol w:w="766"/>
        <w:gridCol w:w="155"/>
      </w:tblGrid>
      <w:tr>
        <w:trPr/>
        <w:tc>
          <w:tcPr>
            <w:tcW w:w="94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98" w:type="dxa"/>
            <w:gridSpan w:val="3"/>
            <w:vMerge w:val="restart"/>
            <w:tcBorders/>
            <w:shd w:fill="auto" w:val="clear"/>
            <w:tcMar>
              <w:top w:w="0" w:type="dxa"/>
              <w:left w:w="0" w:type="dxa"/>
              <w:bottom w:w="0" w:type="dxa"/>
              <w:right w:w="0" w:type="dxa"/>
            </w:tcMar>
            <w:vAlign w:val="center"/>
          </w:tcPr>
          <w:p>
            <w:pPr>
              <w:pStyle w:val="TableContents"/>
              <w:spacing w:lineRule="auto" w:line="240" w:before="120" w:after="12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MSRs – At Fair Value</w:t>
            </w:r>
          </w:p>
        </w:tc>
        <w:tc>
          <w:tcPr>
            <w:tcW w:w="8307"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98" w:type="dxa"/>
            <w:gridSpan w:val="3"/>
            <w:vMerge w:val="continue"/>
            <w:tcBorders/>
            <w:shd w:fill="auto" w:val="clear"/>
            <w:tcMar>
              <w:top w:w="0" w:type="dxa"/>
              <w:left w:w="0" w:type="dxa"/>
              <w:bottom w:w="0" w:type="dxa"/>
              <w:right w:w="0" w:type="dxa"/>
            </w:tcMar>
            <w:vAlign w:val="center"/>
          </w:tcPr>
          <w:p>
            <w:pPr>
              <w:pStyle w:val="Normal"/>
              <w:rPr/>
            </w:pPr>
            <w:r>
              <w:rPr/>
            </w:r>
          </w:p>
        </w:tc>
        <w:tc>
          <w:tcPr>
            <w:tcW w:w="39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1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r>
      <w:tr>
        <w:trPr/>
        <w:tc>
          <w:tcPr>
            <w:tcW w:w="189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on the sale of residential mortgage loans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transfers and adjustments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recognized in earnings: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valuation inputs or assumptions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Realization of expected cash flows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recognized in earnings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98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88" w:type="dxa"/>
            <w:gridSpan w:val="27"/>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delinquency status of the loans underlying our MSRs:</w:t>
      </w:r>
    </w:p>
    <w:tbl>
      <w:tblPr>
        <w:tblW w:w="9855" w:type="dxa"/>
        <w:jc w:val="center"/>
        <w:tblInd w:w="0" w:type="dxa"/>
        <w:tblCellMar>
          <w:top w:w="28" w:type="dxa"/>
          <w:left w:w="28" w:type="dxa"/>
          <w:bottom w:w="28" w:type="dxa"/>
          <w:right w:w="28" w:type="dxa"/>
        </w:tblCellMar>
      </w:tblPr>
      <w:tblGrid>
        <w:gridCol w:w="880"/>
        <w:gridCol w:w="773"/>
        <w:gridCol w:w="776"/>
        <w:gridCol w:w="203"/>
        <w:gridCol w:w="203"/>
        <w:gridCol w:w="408"/>
        <w:gridCol w:w="109"/>
        <w:gridCol w:w="109"/>
        <w:gridCol w:w="109"/>
        <w:gridCol w:w="273"/>
        <w:gridCol w:w="273"/>
        <w:gridCol w:w="683"/>
        <w:gridCol w:w="109"/>
        <w:gridCol w:w="109"/>
        <w:gridCol w:w="109"/>
        <w:gridCol w:w="255"/>
        <w:gridCol w:w="256"/>
        <w:gridCol w:w="317"/>
        <w:gridCol w:w="109"/>
        <w:gridCol w:w="109"/>
        <w:gridCol w:w="109"/>
        <w:gridCol w:w="203"/>
        <w:gridCol w:w="203"/>
        <w:gridCol w:w="408"/>
        <w:gridCol w:w="109"/>
        <w:gridCol w:w="109"/>
        <w:gridCol w:w="109"/>
        <w:gridCol w:w="273"/>
        <w:gridCol w:w="273"/>
        <w:gridCol w:w="683"/>
        <w:gridCol w:w="109"/>
        <w:gridCol w:w="109"/>
        <w:gridCol w:w="109"/>
        <w:gridCol w:w="255"/>
        <w:gridCol w:w="256"/>
        <w:gridCol w:w="366"/>
      </w:tblGrid>
      <w:tr>
        <w:trPr/>
        <w:tc>
          <w:tcPr>
            <w:tcW w:w="880"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Delinquent loans</w:t>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days or more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30-60-90 days or more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MSR UPB and Fair Value</w:t>
      </w:r>
    </w:p>
    <w:tbl>
      <w:tblPr>
        <w:tblW w:w="10205" w:type="dxa"/>
        <w:jc w:val="left"/>
        <w:tblInd w:w="0" w:type="dxa"/>
        <w:tblCellMar>
          <w:top w:w="28" w:type="dxa"/>
          <w:left w:w="28" w:type="dxa"/>
          <w:bottom w:w="28" w:type="dxa"/>
          <w:right w:w="28" w:type="dxa"/>
        </w:tblCellMar>
      </w:tblPr>
      <w:tblGrid>
        <w:gridCol w:w="944"/>
        <w:gridCol w:w="798"/>
        <w:gridCol w:w="766"/>
        <w:gridCol w:w="211"/>
        <w:gridCol w:w="766"/>
        <w:gridCol w:w="109"/>
        <w:gridCol w:w="280"/>
        <w:gridCol w:w="819"/>
        <w:gridCol w:w="146"/>
        <w:gridCol w:w="109"/>
        <w:gridCol w:w="109"/>
        <w:gridCol w:w="109"/>
        <w:gridCol w:w="211"/>
        <w:gridCol w:w="766"/>
        <w:gridCol w:w="109"/>
        <w:gridCol w:w="280"/>
        <w:gridCol w:w="819"/>
        <w:gridCol w:w="146"/>
        <w:gridCol w:w="109"/>
        <w:gridCol w:w="109"/>
        <w:gridCol w:w="109"/>
        <w:gridCol w:w="211"/>
        <w:gridCol w:w="766"/>
        <w:gridCol w:w="109"/>
        <w:gridCol w:w="277"/>
        <w:gridCol w:w="810"/>
        <w:gridCol w:w="208"/>
      </w:tblGrid>
      <w:tr>
        <w:trPr/>
        <w:tc>
          <w:tcPr>
            <w:tcW w:w="944"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transferred MSRs (1) (2)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0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transferred MSRs (1)</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(1)MSRs subject to sale agreements that do not meet sale accounting criteria. See Note 8 — Other Financing Liabilities, at Fair Value.</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(2)At March 31, 2023, the UPB of MSRs transferred to Rithm for which title is retained by Ocwen was $10.6 billion.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purchased MSRs with a UPB of $2.0 billion and $4.1 billion from unrelated third-parties during the three months ended March 31, 2023 and 2022, respectively. We sold MSRs, servicing released, with a UPB of $15.8 million and $11.1 billion during the three months ended March 31, 2023 and 2022, respectively, to unrelated third parties, mostly to Freddie Mac under the Voluntary Partial Cancellation (VPC) program for delinquent loans.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Servicing Revenue</w:t>
      </w:r>
    </w:p>
    <w:tbl>
      <w:tblPr>
        <w:tblW w:w="6431" w:type="dxa"/>
        <w:jc w:val="left"/>
        <w:tblInd w:w="0" w:type="dxa"/>
        <w:tblCellMar>
          <w:top w:w="28" w:type="dxa"/>
          <w:left w:w="28" w:type="dxa"/>
          <w:bottom w:w="28" w:type="dxa"/>
          <w:right w:w="28" w:type="dxa"/>
        </w:tblCellMar>
      </w:tblPr>
      <w:tblGrid>
        <w:gridCol w:w="1147"/>
        <w:gridCol w:w="1007"/>
        <w:gridCol w:w="1010"/>
        <w:gridCol w:w="267"/>
        <w:gridCol w:w="781"/>
        <w:gridCol w:w="138"/>
        <w:gridCol w:w="138"/>
        <w:gridCol w:w="138"/>
        <w:gridCol w:w="138"/>
        <w:gridCol w:w="267"/>
        <w:gridCol w:w="781"/>
        <w:gridCol w:w="138"/>
        <w:gridCol w:w="109"/>
        <w:gridCol w:w="109"/>
        <w:gridCol w:w="109"/>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vMerge w:val="restart"/>
            <w:tcBorders/>
            <w:shd w:fill="auto" w:val="clear"/>
            <w:tcMar>
              <w:top w:w="0" w:type="dxa"/>
              <w:left w:w="0" w:type="dxa"/>
              <w:bottom w:w="0" w:type="dxa"/>
              <w:right w:w="0" w:type="dxa"/>
            </w:tcMar>
            <w:vAlign w:val="center"/>
          </w:tcPr>
          <w:p>
            <w:pPr>
              <w:pStyle w:val="TableContents"/>
              <w:spacing w:before="120" w:after="283"/>
              <w:rPr/>
            </w:pPr>
            <w:r>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4" w:type="dxa"/>
            <w:gridSpan w:val="3"/>
            <w:vMerge w:val="continue"/>
            <w:tcBorders/>
            <w:shd w:fill="auto" w:val="clear"/>
            <w:tcMar>
              <w:top w:w="0" w:type="dxa"/>
              <w:left w:w="0" w:type="dxa"/>
              <w:bottom w:w="0" w:type="dxa"/>
              <w:right w:w="0" w:type="dxa"/>
            </w:tcMar>
            <w:vAlign w:val="center"/>
          </w:tcPr>
          <w:p>
            <w:pPr>
              <w:pStyle w:val="Normal"/>
              <w:rPr/>
            </w:pPr>
            <w:r>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and subservicing fees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(1)</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(1)</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collection fees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fees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Boarding and deboarding fees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forbearance fees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and subservicing fees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360"/>
        <w:rPr/>
      </w:pPr>
      <w:r>
        <w:rPr>
          <w:rFonts w:ascii="Times New Roman;sans-serif" w:hAnsi="Times New Roman;sans-serif"/>
          <w:b w:val="false"/>
          <w:color w:val="000000"/>
          <w:sz w:val="18"/>
        </w:rPr>
        <w:t>(1)Includes servicing fees related to transferred MSRs and subservicing fees. See Note 8 — Other Financing Liabilities, at Fair Value</w:t>
      </w:r>
      <w:r>
        <w:rPr>
          <w:rFonts w:ascii="Times New Roman;sans-serif" w:hAnsi="Times New Roman;sans-serif"/>
          <w:b/>
          <w:color w:val="000000"/>
          <w:sz w:val="20"/>
        </w:rPr>
        <w:t>.</w:t>
      </w:r>
      <w:r>
        <w:rPr>
          <w:color w:val="000000"/>
        </w:rPr>
        <w:t xml:space="preserv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Float balances, on which we earn interest referred to as float earnings, (balances in custodial accounts, which represent collections of principal and interest that we receive from borrowers on behalf of investors) are held in escrow by unaffiliated banks and are excluded from our unaudited consolidated balance sheets. Float balances amounted to $1.9 billion, $1.5 billion and $2.1 billion at March 31, 2023, December 31, 2022 and March 31, 2022, respectively.</w:t>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MSR valuation adjustments, net:</w:t>
      </w:r>
    </w:p>
    <w:tbl>
      <w:tblPr>
        <w:tblW w:w="8697" w:type="dxa"/>
        <w:jc w:val="left"/>
        <w:tblInd w:w="0" w:type="dxa"/>
        <w:tblCellMar>
          <w:top w:w="28" w:type="dxa"/>
          <w:left w:w="28" w:type="dxa"/>
          <w:bottom w:w="28" w:type="dxa"/>
          <w:right w:w="28" w:type="dxa"/>
        </w:tblCellMar>
      </w:tblPr>
      <w:tblGrid>
        <w:gridCol w:w="2125"/>
        <w:gridCol w:w="1865"/>
        <w:gridCol w:w="1875"/>
        <w:gridCol w:w="270"/>
        <w:gridCol w:w="750"/>
        <w:gridCol w:w="139"/>
        <w:gridCol w:w="139"/>
        <w:gridCol w:w="139"/>
        <w:gridCol w:w="139"/>
        <w:gridCol w:w="270"/>
        <w:gridCol w:w="789"/>
        <w:gridCol w:w="197"/>
      </w:tblGrid>
      <w:tr>
        <w:trPr/>
        <w:tc>
          <w:tcPr>
            <w:tcW w:w="2125"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586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865" w:type="dxa"/>
            <w:gridSpan w:val="3"/>
            <w:vMerge w:val="continue"/>
            <w:tcBorders/>
            <w:shd w:fill="auto" w:val="clear"/>
            <w:tcMar>
              <w:top w:w="0" w:type="dxa"/>
              <w:left w:w="0" w:type="dxa"/>
              <w:bottom w:w="0" w:type="dxa"/>
              <w:right w:w="0" w:type="dxa"/>
            </w:tcMar>
            <w:vAlign w:val="center"/>
          </w:tcPr>
          <w:p>
            <w:pPr>
              <w:pStyle w:val="Normal"/>
              <w:rPr/>
            </w:pPr>
            <w:r>
              <w:rPr/>
            </w:r>
          </w:p>
        </w:tc>
        <w:tc>
          <w:tcPr>
            <w:tcW w:w="1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fair value changes due to rates and assumptions (1)</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realization of expected cash flows (1)</w:t>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 fair value gains (losses)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pledged liability fair value changes due to rates and assumptions</w:t>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9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pledged liability realization of expected cash flows</w:t>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9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MSR pledged liability fair value gains (losses) (2) </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fair value changes due to rates and assumptions</w:t>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realization of expected cash flows</w:t>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ESS financing liability fair value gains (losses) (2)</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fair value gain (loss) (MSR economic hedges)</w:t>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$0.1 million and $0 in three months ended March 31, 2023 and 2022, respectively, of fair value changes on the reverse MSR liability and other.</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(2)Also refer to Note 8 — Other Financing Liabilities, at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tbl>
      <w:tblPr>
        <w:tblW w:w="4514" w:type="dxa"/>
        <w:jc w:val="left"/>
        <w:tblInd w:w="0" w:type="dxa"/>
        <w:tblCellMar>
          <w:top w:w="28" w:type="dxa"/>
          <w:left w:w="28" w:type="dxa"/>
          <w:bottom w:w="28" w:type="dxa"/>
          <w:right w:w="28" w:type="dxa"/>
        </w:tblCellMar>
      </w:tblPr>
      <w:tblGrid>
        <w:gridCol w:w="1446"/>
        <w:gridCol w:w="1271"/>
        <w:gridCol w:w="1797"/>
      </w:tblGrid>
      <w:tr>
        <w:trPr/>
        <w:tc>
          <w:tcPr>
            <w:tcW w:w="1446"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r>
      <w:tr>
        <w:trPr/>
        <w:tc>
          <w:tcPr>
            <w:tcW w:w="4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8 — Other Financing Liabilities, at Fair Value</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presents financing liabilities carried at fair value which include pledged MSR liabilities recorded in connection with MSR transfers that do not qualify for sale accounting, liabilities of consolidated mortgage-backed securitization trusts and MSR excess servicing spread (ESS) financing liability carried at fair value (see Note 12 – Borrowings for ESS financing liability carried at amortized cost). </w:t>
      </w:r>
    </w:p>
    <w:tbl>
      <w:tblPr>
        <w:tblW w:w="10205" w:type="dxa"/>
        <w:jc w:val="left"/>
        <w:tblInd w:w="0" w:type="dxa"/>
        <w:tblCellMar>
          <w:top w:w="28" w:type="dxa"/>
          <w:left w:w="28" w:type="dxa"/>
          <w:bottom w:w="28" w:type="dxa"/>
          <w:right w:w="28" w:type="dxa"/>
        </w:tblCellMar>
      </w:tblPr>
      <w:tblGrid>
        <w:gridCol w:w="1605"/>
        <w:gridCol w:w="1274"/>
        <w:gridCol w:w="1282"/>
        <w:gridCol w:w="454"/>
        <w:gridCol w:w="454"/>
        <w:gridCol w:w="460"/>
        <w:gridCol w:w="109"/>
        <w:gridCol w:w="109"/>
        <w:gridCol w:w="109"/>
        <w:gridCol w:w="109"/>
        <w:gridCol w:w="109"/>
        <w:gridCol w:w="322"/>
        <w:gridCol w:w="322"/>
        <w:gridCol w:w="324"/>
        <w:gridCol w:w="109"/>
        <w:gridCol w:w="109"/>
        <w:gridCol w:w="109"/>
        <w:gridCol w:w="230"/>
        <w:gridCol w:w="838"/>
        <w:gridCol w:w="119"/>
        <w:gridCol w:w="109"/>
        <w:gridCol w:w="109"/>
        <w:gridCol w:w="109"/>
        <w:gridCol w:w="245"/>
        <w:gridCol w:w="891"/>
        <w:gridCol w:w="186"/>
      </w:tblGrid>
      <w:tr>
        <w:trPr/>
        <w:tc>
          <w:tcPr>
            <w:tcW w:w="1605"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4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3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 not qualifying for sale accounting (1):</w:t>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 Rights to MSRs Agreements, at fair value - Rithm </w:t>
            </w:r>
          </w:p>
        </w:tc>
        <w:tc>
          <w:tcPr>
            <w:tcW w:w="13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MSRs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MAV </w:t>
            </w:r>
          </w:p>
        </w:tc>
        <w:tc>
          <w:tcPr>
            <w:tcW w:w="13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Others </w:t>
            </w:r>
          </w:p>
        </w:tc>
        <w:tc>
          <w:tcPr>
            <w:tcW w:w="13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Owed to securitization investors, at fair value: Residential Asset Securitization Trust 2003-A11 (RAST 2003-A11) (2)</w:t>
            </w:r>
          </w:p>
        </w:tc>
        <w:tc>
          <w:tcPr>
            <w:tcW w:w="13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at fair value (3)</w:t>
            </w:r>
          </w:p>
        </w:tc>
        <w:tc>
          <w:tcPr>
            <w:tcW w:w="13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financing liabilities, at fair value</w:t>
            </w:r>
          </w:p>
        </w:tc>
        <w:tc>
          <w:tcPr>
            <w:tcW w:w="13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(1)MSRs transferred or sold in transactions which do not qualify for sale accounting treatment are accounted for as secured financings.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of securitization debt certificates due to third parties that represent beneficial interests in trusts that are consolidated.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(3)Consists of the obligation to remit to a third party a specified percentage of future servicing fee collections (servicing spread) on reference pools of MSRs, which we are entitled to as owner of the related MSRs.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of the pledged MSR liability recorded in connection with the MSR transfer agreements with Rithm and MAV that do not qualify for sale accounting.</w:t>
      </w:r>
    </w:p>
    <w:tbl>
      <w:tblPr>
        <w:tblW w:w="10205" w:type="dxa"/>
        <w:jc w:val="center"/>
        <w:tblInd w:w="0" w:type="dxa"/>
        <w:tblCellMar>
          <w:top w:w="28" w:type="dxa"/>
          <w:left w:w="28" w:type="dxa"/>
          <w:bottom w:w="28" w:type="dxa"/>
          <w:right w:w="28" w:type="dxa"/>
        </w:tblCellMar>
      </w:tblPr>
      <w:tblGrid>
        <w:gridCol w:w="964"/>
        <w:gridCol w:w="710"/>
        <w:gridCol w:w="715"/>
        <w:gridCol w:w="269"/>
        <w:gridCol w:w="786"/>
        <w:gridCol w:w="139"/>
        <w:gridCol w:w="109"/>
        <w:gridCol w:w="109"/>
        <w:gridCol w:w="109"/>
        <w:gridCol w:w="211"/>
        <w:gridCol w:w="616"/>
        <w:gridCol w:w="109"/>
        <w:gridCol w:w="109"/>
        <w:gridCol w:w="109"/>
        <w:gridCol w:w="109"/>
        <w:gridCol w:w="211"/>
        <w:gridCol w:w="616"/>
        <w:gridCol w:w="109"/>
        <w:gridCol w:w="109"/>
        <w:gridCol w:w="109"/>
        <w:gridCol w:w="109"/>
        <w:gridCol w:w="269"/>
        <w:gridCol w:w="786"/>
        <w:gridCol w:w="139"/>
        <w:gridCol w:w="109"/>
        <w:gridCol w:w="109"/>
        <w:gridCol w:w="109"/>
        <w:gridCol w:w="211"/>
        <w:gridCol w:w="616"/>
        <w:gridCol w:w="109"/>
        <w:gridCol w:w="109"/>
        <w:gridCol w:w="109"/>
        <w:gridCol w:w="109"/>
        <w:gridCol w:w="211"/>
        <w:gridCol w:w="616"/>
        <w:gridCol w:w="158"/>
      </w:tblGrid>
      <w:tr>
        <w:trPr/>
        <w:tc>
          <w:tcPr>
            <w:tcW w:w="964"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Pledged MSR Liability</w:t>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fair value due to inputs and assumptions </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Runoff and settlement</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 (2)</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Calls</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98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fair value of the Pledged MSR liability differs from the fair value of the associated transferred MSR asset mostly due to the portion of ancillary income that is retained by PMC (shared between PMC and MAV) and other contractual cash flows under the terms of the subservicing agreement.</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(2)The changes in fair value of the MAV Pledged MSR liability includes a $14.1 million loss associated with the amendment to the MAV Subservicing Agreement in March 2022, resulting in lower contractual ancillary income retained by PMC.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Pledged MSR liability expense recorded in connection with the MSR sale agreements with MAV, Rithm and others that do not qualify for sale accounting and the ESS financing liabilities.</w:t>
      </w:r>
    </w:p>
    <w:tbl>
      <w:tblPr>
        <w:tblW w:w="10205" w:type="dxa"/>
        <w:jc w:val="left"/>
        <w:tblInd w:w="0" w:type="dxa"/>
        <w:tblCellMar>
          <w:top w:w="28" w:type="dxa"/>
          <w:left w:w="28" w:type="dxa"/>
          <w:bottom w:w="28" w:type="dxa"/>
          <w:right w:w="28" w:type="dxa"/>
        </w:tblCellMar>
      </w:tblPr>
      <w:tblGrid>
        <w:gridCol w:w="1241"/>
        <w:gridCol w:w="852"/>
        <w:gridCol w:w="855"/>
        <w:gridCol w:w="279"/>
        <w:gridCol w:w="677"/>
        <w:gridCol w:w="143"/>
        <w:gridCol w:w="110"/>
        <w:gridCol w:w="110"/>
        <w:gridCol w:w="110"/>
        <w:gridCol w:w="213"/>
        <w:gridCol w:w="516"/>
        <w:gridCol w:w="110"/>
        <w:gridCol w:w="110"/>
        <w:gridCol w:w="110"/>
        <w:gridCol w:w="110"/>
        <w:gridCol w:w="213"/>
        <w:gridCol w:w="516"/>
        <w:gridCol w:w="110"/>
        <w:gridCol w:w="109"/>
        <w:gridCol w:w="109"/>
        <w:gridCol w:w="109"/>
        <w:gridCol w:w="279"/>
        <w:gridCol w:w="677"/>
        <w:gridCol w:w="143"/>
        <w:gridCol w:w="110"/>
        <w:gridCol w:w="110"/>
        <w:gridCol w:w="110"/>
        <w:gridCol w:w="213"/>
        <w:gridCol w:w="516"/>
        <w:gridCol w:w="110"/>
        <w:gridCol w:w="110"/>
        <w:gridCol w:w="110"/>
        <w:gridCol w:w="110"/>
        <w:gridCol w:w="213"/>
        <w:gridCol w:w="516"/>
        <w:gridCol w:w="166"/>
      </w:tblGrid>
      <w:tr>
        <w:trPr/>
        <w:tc>
          <w:tcPr>
            <w:tcW w:w="124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9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Rithm</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 by Ocwen</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 expense reimbursement)</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 net servicing fee remittance</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98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2022, Ocwen entered into amendments to its servicing agreements with Rithm to extend their terms to December 31, 2023 and provide for subsequent, automatic one-year renewals, unless Ocwen provides six months’ advance notice of termination (by July 1), or Rithm provides three months’ advance notice of termination (by October 1), among other changes.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UPB of MSRs subject to the servicing agreements with Rithm subsidiaries is $48.1 billion, including $1.8 billion for which Ocwen or Rithm is subservicer for another entity as servicer of record and $10.6 billion for which title has not transferred to Rithm. We describe Rithm’s rights and obligations with respect to such non-transferred MSRs as “Rights to MSRs”. As the third-party consents required for title to the MSRs to transfer were not obtained, the $10.6 billion Rights to MSRs may (i) be acquired by Ocwen at a price determined in accordance with the terms of the previously disclosed agreements entered into in January 2018 (the New RMSR Agreements), at the option of Ocwen, or (ii) be sold, together with Ocwen’s title to those MSRs, to a third party, subject to an additional Ocwen option to acquire at a price based on the winning third-party bid rather than selling to the third party. If the Rights to MSRs are not transferred pursuant to these alternatives, then the Rights to MSRs will remain subject to the subservicing agreement.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stated above, Rithm has the right to terminate the $10.6 billion Rights to MSRs for convenience, in whole but not in part, subject to three months’ advance notice of termination.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described above.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tbl>
      <w:tblPr>
        <w:tblW w:w="1904" w:type="dxa"/>
        <w:jc w:val="center"/>
        <w:tblInd w:w="0" w:type="dxa"/>
        <w:tblCellMar>
          <w:top w:w="28" w:type="dxa"/>
          <w:left w:w="28" w:type="dxa"/>
          <w:bottom w:w="28" w:type="dxa"/>
          <w:right w:w="28" w:type="dxa"/>
        </w:tblCellMar>
      </w:tblPr>
      <w:tblGrid>
        <w:gridCol w:w="610"/>
        <w:gridCol w:w="536"/>
        <w:gridCol w:w="758"/>
      </w:tblGrid>
      <w:tr>
        <w:trPr/>
        <w:tc>
          <w:tcPr>
            <w:tcW w:w="61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9 – Receivables</w:t>
            </w:r>
          </w:p>
        </w:tc>
      </w:tr>
    </w:tbl>
    <w:tbl>
      <w:tblPr>
        <w:tblW w:w="9204" w:type="dxa"/>
        <w:jc w:val="left"/>
        <w:tblInd w:w="0" w:type="dxa"/>
        <w:tblCellMar>
          <w:top w:w="28" w:type="dxa"/>
          <w:left w:w="28" w:type="dxa"/>
          <w:bottom w:w="28" w:type="dxa"/>
          <w:right w:w="28" w:type="dxa"/>
        </w:tblCellMar>
      </w:tblPr>
      <w:tblGrid>
        <w:gridCol w:w="2053"/>
        <w:gridCol w:w="1805"/>
        <w:gridCol w:w="1811"/>
        <w:gridCol w:w="324"/>
        <w:gridCol w:w="948"/>
        <w:gridCol w:w="167"/>
        <w:gridCol w:w="109"/>
        <w:gridCol w:w="109"/>
        <w:gridCol w:w="109"/>
        <w:gridCol w:w="380"/>
        <w:gridCol w:w="1110"/>
        <w:gridCol w:w="279"/>
      </w:tblGrid>
      <w:tr>
        <w:trPr/>
        <w:tc>
          <w:tcPr>
            <w:tcW w:w="2053"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56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receivables: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Forward</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Reverse</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custodial accounts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fees </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 expenses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and reimbursable expenses - Due from Rithm</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sale of MSRs (holdback)</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reimbursable expenses and other - Due from MAV</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receivable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MAV</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losses </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 allowance for losses primarily related to receivables of our Servicing business. The allowance for losses related to FHA-, VA- or USDA insured loans repurchased from Ginnie Mae guaranteed securitizations (government-insured claims) was $29.1 million and $33.8 million at March 31, 2023 and December 31, 2022, respectively. </w:t>
      </w:r>
    </w:p>
    <w:tbl>
      <w:tblPr>
        <w:tblW w:w="8232" w:type="dxa"/>
        <w:jc w:val="left"/>
        <w:tblInd w:w="0" w:type="dxa"/>
        <w:tblCellMar>
          <w:top w:w="28" w:type="dxa"/>
          <w:left w:w="28" w:type="dxa"/>
          <w:bottom w:w="28" w:type="dxa"/>
          <w:right w:w="28" w:type="dxa"/>
        </w:tblCellMar>
      </w:tblPr>
      <w:tblGrid>
        <w:gridCol w:w="1799"/>
        <w:gridCol w:w="1580"/>
        <w:gridCol w:w="1586"/>
        <w:gridCol w:w="296"/>
        <w:gridCol w:w="717"/>
        <w:gridCol w:w="152"/>
        <w:gridCol w:w="152"/>
        <w:gridCol w:w="152"/>
        <w:gridCol w:w="152"/>
        <w:gridCol w:w="296"/>
        <w:gridCol w:w="717"/>
        <w:gridCol w:w="152"/>
        <w:gridCol w:w="109"/>
        <w:gridCol w:w="109"/>
        <w:gridCol w:w="109"/>
        <w:gridCol w:w="154"/>
      </w:tblGrid>
      <w:tr>
        <w:trPr/>
        <w:tc>
          <w:tcPr>
            <w:tcW w:w="1799"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Allowance for Losses - Government-Insured Loan Claims</w:t>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65" w:type="dxa"/>
            <w:gridSpan w:val="3"/>
            <w:vMerge w:val="continue"/>
            <w:tcBorders/>
            <w:shd w:fill="auto" w:val="clear"/>
            <w:tcMar>
              <w:top w:w="0" w:type="dxa"/>
              <w:left w:w="0" w:type="dxa"/>
              <w:bottom w:w="0" w:type="dxa"/>
              <w:right w:w="0" w:type="dxa"/>
            </w:tcMar>
            <w:vAlign w:val="center"/>
          </w:tcPr>
          <w:p>
            <w:pPr>
              <w:pStyle w:val="Normal"/>
              <w:rPr/>
            </w:pPr>
            <w:r>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Beginning balance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other, net</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869" w:type="dxa"/>
        <w:jc w:val="left"/>
        <w:tblInd w:w="0" w:type="dxa"/>
        <w:tblCellMar>
          <w:top w:w="28" w:type="dxa"/>
          <w:left w:w="28" w:type="dxa"/>
          <w:bottom w:w="28" w:type="dxa"/>
          <w:right w:w="28" w:type="dxa"/>
        </w:tblCellMar>
      </w:tblPr>
      <w:tblGrid>
        <w:gridCol w:w="2196"/>
        <w:gridCol w:w="1933"/>
        <w:gridCol w:w="2740"/>
      </w:tblGrid>
      <w:tr>
        <w:trPr/>
        <w:tc>
          <w:tcPr>
            <w:tcW w:w="2196"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r>
      <w:tr>
        <w:trPr/>
        <w:tc>
          <w:tcPr>
            <w:tcW w:w="68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10 - Investment in Equity Method Investee and Related Party Transactions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15% investment in MAV Canopy under the equity method.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of March 31, 2023, PMC subserviced a total $51.8 billion UPB on behalf of MAV under the Subservicing Agreement, of which $25.7 billion MSR was previously sold by PMC to MAV and remains reported on the consolidated balance sheet of PMC.</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PMC transferred UPB of $8.0 million and $90.3 million under a flow MSR sale agreement (Recapture Agreement), respectively. During the three months ended March 31, 2023 and 2022, PMC transferred MSRs with UPB of nil and $3.4 billion to MAV under various MSR purchase and sale agreements, respectively. These MSR sale transactions between PMC and MAV do not qualify for sale accounting primarily due to the termination restrictions of the subservicing agreement, and are accounted for as secured borrowings. See Note 8 — Other Financing Liabilities, at Fair Value.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MAV Canopy, MAV and Oaktree are deemed related parties to Ocwen. In addition to the transactions described above, Ocwen issued common stock, warrants and senior secured notes to Oaktree in 2021. See also Note 12 – Borrowings and Note 15 – Interest Expense.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tbl>
      <w:tblPr>
        <w:tblW w:w="2055" w:type="dxa"/>
        <w:jc w:val="center"/>
        <w:tblInd w:w="0" w:type="dxa"/>
        <w:tblCellMar>
          <w:top w:w="28" w:type="dxa"/>
          <w:left w:w="28" w:type="dxa"/>
          <w:bottom w:w="28" w:type="dxa"/>
          <w:right w:w="28" w:type="dxa"/>
        </w:tblCellMar>
      </w:tblPr>
      <w:tblGrid>
        <w:gridCol w:w="658"/>
        <w:gridCol w:w="579"/>
        <w:gridCol w:w="818"/>
      </w:tblGrid>
      <w:tr>
        <w:trPr/>
        <w:tc>
          <w:tcPr>
            <w:tcW w:w="65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11 – Other Assets</w:t>
            </w:r>
          </w:p>
        </w:tc>
      </w:tr>
    </w:tbl>
    <w:tbl>
      <w:tblPr>
        <w:tblW w:w="10205" w:type="dxa"/>
        <w:jc w:val="left"/>
        <w:tblInd w:w="0" w:type="dxa"/>
        <w:tblCellMar>
          <w:top w:w="28" w:type="dxa"/>
          <w:left w:w="28" w:type="dxa"/>
          <w:bottom w:w="28" w:type="dxa"/>
          <w:right w:w="28" w:type="dxa"/>
        </w:tblCellMar>
      </w:tblPr>
      <w:tblGrid>
        <w:gridCol w:w="2476"/>
        <w:gridCol w:w="2142"/>
        <w:gridCol w:w="2156"/>
        <w:gridCol w:w="314"/>
        <w:gridCol w:w="920"/>
        <w:gridCol w:w="162"/>
        <w:gridCol w:w="109"/>
        <w:gridCol w:w="109"/>
        <w:gridCol w:w="109"/>
        <w:gridCol w:w="366"/>
        <w:gridCol w:w="1070"/>
        <w:gridCol w:w="272"/>
      </w:tblGrid>
      <w:tr>
        <w:trPr/>
        <w:tc>
          <w:tcPr>
            <w:tcW w:w="2476"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67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asset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at fair value </w:t>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t>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w:t>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(net of accumulated amortization of $6.5 million and $5.0 million)</w:t>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margin deposit</w:t>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lender fees, net </w:t>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representation, warranty and indemnification claims - Agency MSR sale</w:t>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r>
      <w:tr>
        <w:trPr/>
        <w:tc>
          <w:tcPr>
            <w:tcW w:w="677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r>
      <w:tr>
        <w:trPr/>
        <w:tc>
          <w:tcPr>
            <w:tcW w:w="677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r>
      <w:tr>
        <w:trPr/>
        <w:tc>
          <w:tcPr>
            <w:tcW w:w="6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010" w:type="dxa"/>
        <w:jc w:val="center"/>
        <w:tblInd w:w="0" w:type="dxa"/>
        <w:tblCellMar>
          <w:top w:w="28" w:type="dxa"/>
          <w:left w:w="28" w:type="dxa"/>
          <w:bottom w:w="28" w:type="dxa"/>
          <w:right w:w="28" w:type="dxa"/>
        </w:tblCellMar>
      </w:tblPr>
      <w:tblGrid>
        <w:gridCol w:w="644"/>
        <w:gridCol w:w="566"/>
        <w:gridCol w:w="800"/>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12 – Borrowings</w:t>
            </w:r>
          </w:p>
        </w:tc>
      </w:tr>
    </w:tbl>
    <w:tbl>
      <w:tblPr>
        <w:tblW w:w="10205" w:type="dxa"/>
        <w:jc w:val="center"/>
        <w:tblInd w:w="0" w:type="dxa"/>
        <w:tblCellMar>
          <w:top w:w="28" w:type="dxa"/>
          <w:left w:w="28" w:type="dxa"/>
          <w:bottom w:w="28" w:type="dxa"/>
          <w:right w:w="28" w:type="dxa"/>
        </w:tblCellMar>
      </w:tblPr>
      <w:tblGrid>
        <w:gridCol w:w="761"/>
        <w:gridCol w:w="666"/>
        <w:gridCol w:w="671"/>
        <w:gridCol w:w="129"/>
        <w:gridCol w:w="129"/>
        <w:gridCol w:w="129"/>
        <w:gridCol w:w="129"/>
        <w:gridCol w:w="129"/>
        <w:gridCol w:w="293"/>
        <w:gridCol w:w="293"/>
        <w:gridCol w:w="294"/>
        <w:gridCol w:w="109"/>
        <w:gridCol w:w="109"/>
        <w:gridCol w:w="109"/>
        <w:gridCol w:w="265"/>
        <w:gridCol w:w="265"/>
        <w:gridCol w:w="266"/>
        <w:gridCol w:w="111"/>
        <w:gridCol w:w="111"/>
        <w:gridCol w:w="111"/>
        <w:gridCol w:w="215"/>
        <w:gridCol w:w="628"/>
        <w:gridCol w:w="111"/>
        <w:gridCol w:w="109"/>
        <w:gridCol w:w="109"/>
        <w:gridCol w:w="109"/>
        <w:gridCol w:w="216"/>
        <w:gridCol w:w="524"/>
        <w:gridCol w:w="278"/>
        <w:gridCol w:w="109"/>
        <w:gridCol w:w="109"/>
        <w:gridCol w:w="109"/>
        <w:gridCol w:w="219"/>
        <w:gridCol w:w="640"/>
        <w:gridCol w:w="281"/>
        <w:gridCol w:w="109"/>
        <w:gridCol w:w="109"/>
        <w:gridCol w:w="109"/>
        <w:gridCol w:w="219"/>
        <w:gridCol w:w="639"/>
        <w:gridCol w:w="175"/>
      </w:tblGrid>
      <w:tr>
        <w:trPr/>
        <w:tc>
          <w:tcPr>
            <w:tcW w:w="761"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623" w:type="dxa"/>
            <w:gridSpan w:val="11"/>
            <w:tcBorders/>
            <w:shd w:fill="auto" w:val="clear"/>
            <w:tcMar>
              <w:top w:w="0" w:type="dxa"/>
              <w:left w:w="0" w:type="dxa"/>
              <w:bottom w:w="0" w:type="dxa"/>
              <w:right w:w="0" w:type="dxa"/>
            </w:tcMar>
            <w:vAlign w:val="center"/>
          </w:tcPr>
          <w:p>
            <w:pPr>
              <w:pStyle w:val="TableContents"/>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Advance Match Funded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c>
          <w:tcPr>
            <w:tcW w:w="1360" w:type="dxa"/>
            <w:gridSpan w:val="6"/>
            <w:tcBorders/>
            <w:shd w:fill="auto" w:val="clear"/>
          </w:tcPr>
          <w:p>
            <w:pPr>
              <w:pStyle w:val="TableContents"/>
              <w:spacing w:before="0" w:after="283"/>
              <w:rPr>
                <w:sz w:val="4"/>
                <w:szCs w:val="4"/>
              </w:rPr>
            </w:pPr>
            <w:r>
              <w:rPr>
                <w:sz w:val="4"/>
                <w:szCs w:val="4"/>
              </w:rPr>
            </w:r>
          </w:p>
        </w:tc>
      </w:tr>
      <w:tr>
        <w:trPr/>
        <w:tc>
          <w:tcPr>
            <w:tcW w:w="20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Maturity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 Date (1)</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20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 xml:space="preserve">Ocwen Master Advance Receivables Trust (OMART) </w:t>
            </w:r>
            <w:r>
              <w:rPr>
                <w:rFonts w:ascii="Times New Roman;sans-serif" w:hAnsi="Times New Roman;sans-serif"/>
                <w:b w:val="false"/>
                <w:color w:val="000000"/>
                <w:sz w:val="20"/>
              </w:rPr>
              <w:t xml:space="preserve">- Advance Receivables Backed Notes - Series 2015-VF5 </w:t>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Ocwen GSE Advance Funding (OGAF</w:t>
            </w:r>
            <w:r>
              <w:rPr>
                <w:rFonts w:ascii="Times New Roman;sans-serif" w:hAnsi="Times New Roman;sans-serif"/>
                <w:b w:val="false"/>
                <w:color w:val="000000"/>
                <w:sz w:val="20"/>
              </w:rPr>
              <w:t xml:space="preserve">) - Advance Receivables Backed Notes, Series 2015-VF1 </w:t>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EBO Advance facility (3)</w:t>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(4)</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amortization date of our facilities is the date on which the revolving period ends under each advance facility note and repayment of the outstanding balance must begin if the note is not renewed or extended.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(2)The committed borrowing capacity under the OMART and OGAF facilities is available to us provided that we have sufficient eligible collateral to pledge. At March 31, 2023, none of the available borrowing capacity of the OMART and OGAF advance financing notes could be used based on the amount of eligible collateral.</w:t>
      </w:r>
    </w:p>
    <w:p>
      <w:pPr>
        <w:pStyle w:val="TextBody"/>
        <w:spacing w:lineRule="auto" w:line="288" w:before="0" w:after="0"/>
        <w:ind w:left="0" w:right="0" w:hanging="360"/>
        <w:rPr/>
      </w:pPr>
      <w:r>
        <w:rPr>
          <w:rFonts w:ascii="Times New Roman;sans-serif" w:hAnsi="Times New Roman;sans-serif"/>
          <w:b w:val="false"/>
          <w:color w:val="000000"/>
          <w:sz w:val="18"/>
          <w:highlight w:val="white"/>
        </w:rPr>
        <w:t>(3)</w:t>
      </w:r>
      <w:r>
        <w:rPr>
          <w:rFonts w:ascii="Times New Roman;sans-serif" w:hAnsi="Times New Roman;sans-serif"/>
          <w:b w:val="false"/>
          <w:color w:val="000000"/>
          <w:sz w:val="18"/>
        </w:rPr>
        <w:t>We entered into a loan and security agreement to finance the acquisition of advances in connection with the early buyout of certain fixed-rate, fully-amortizing FHA-insured residential mortgage loans. At March 31, 2023, none of the available borrowing capacity of the facility could be used based on the amount of eligible collateral.</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(4)The weighted average interest rate, excluding the effect of the amortization of prepaid lender fees. At March 31, 2023 and December 31, 2022, the balance of unamortized prepaid lender fees was $1.4 million and $2.3 million, respectively, and are included in Other assets in our consolidated balance sheets.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39"/>
        <w:gridCol w:w="371"/>
        <w:gridCol w:w="374"/>
        <w:gridCol w:w="115"/>
        <w:gridCol w:w="115"/>
        <w:gridCol w:w="115"/>
        <w:gridCol w:w="432"/>
        <w:gridCol w:w="432"/>
        <w:gridCol w:w="436"/>
        <w:gridCol w:w="115"/>
        <w:gridCol w:w="115"/>
        <w:gridCol w:w="115"/>
        <w:gridCol w:w="292"/>
        <w:gridCol w:w="292"/>
        <w:gridCol w:w="293"/>
        <w:gridCol w:w="109"/>
        <w:gridCol w:w="109"/>
        <w:gridCol w:w="109"/>
        <w:gridCol w:w="109"/>
        <w:gridCol w:w="109"/>
        <w:gridCol w:w="294"/>
        <w:gridCol w:w="859"/>
        <w:gridCol w:w="153"/>
        <w:gridCol w:w="109"/>
        <w:gridCol w:w="109"/>
        <w:gridCol w:w="109"/>
        <w:gridCol w:w="212"/>
        <w:gridCol w:w="620"/>
        <w:gridCol w:w="273"/>
        <w:gridCol w:w="109"/>
        <w:gridCol w:w="109"/>
        <w:gridCol w:w="109"/>
        <w:gridCol w:w="213"/>
        <w:gridCol w:w="623"/>
        <w:gridCol w:w="274"/>
        <w:gridCol w:w="109"/>
        <w:gridCol w:w="109"/>
        <w:gridCol w:w="109"/>
        <w:gridCol w:w="213"/>
        <w:gridCol w:w="623"/>
        <w:gridCol w:w="171"/>
      </w:tblGrid>
      <w:tr>
        <w:trPr/>
        <w:tc>
          <w:tcPr>
            <w:tcW w:w="53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327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Mortgage Loan Warehouse Facilities</w:t>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Available Borrowing Capacity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2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$175 million Master repurchase agreement </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Loans held for sale (LHFS), Receivables and REO</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 (2)</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Loans Held for Investment (LHFI)</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million Mortgage warehouse agreement (3)</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$350 million Participation agreement </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$173 million Master repurchase agreement </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LHFI and Receivables</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$50 million Mortgage warehouse agreement </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Reverse LHFS and LHFI</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 million Mortgage warehouse agreement (4)</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LHFI</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 million Mortgage warehouse agreement (5)</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Receivables</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 (6)</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million Loan and security agreement (7)</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Receivables</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Master repurchase agreement (8)</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LHFI</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4151"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2" w:type="dxa"/>
            <w:gridSpan w:val="2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mortgage loan warehouse facilities extended on a committed basis, $14.9 million of the available borrowing capacity could be used at March 31, 2023 based on the amount of eligible collateral that could be pledged.</w:t>
      </w:r>
    </w:p>
    <w:p>
      <w:pPr>
        <w:pStyle w:val="TextBody"/>
        <w:spacing w:lineRule="auto" w:line="288" w:before="0" w:after="0"/>
        <w:ind w:left="0" w:right="0" w:hanging="360"/>
        <w:rPr/>
      </w:pPr>
      <w:r>
        <w:rPr>
          <w:rFonts w:ascii="Times New Roman;sans-serif" w:hAnsi="Times New Roman;sans-serif"/>
          <w:b w:val="false"/>
          <w:color w:val="000000"/>
          <w:sz w:val="18"/>
          <w:highlight w:val="white"/>
        </w:rPr>
        <w:t>(2)</w:t>
      </w:r>
      <w:r>
        <w:rPr>
          <w:rFonts w:ascii="Times New Roman;sans-serif" w:hAnsi="Times New Roman;sans-serif"/>
          <w:b w:val="false"/>
          <w:color w:val="000000"/>
          <w:sz w:val="18"/>
        </w:rPr>
        <w:t>On February 9, 2023, we voluntarily allowed the facility to mature.</w:t>
      </w:r>
    </w:p>
    <w:p>
      <w:pPr>
        <w:pStyle w:val="TextBody"/>
        <w:spacing w:lineRule="auto" w:line="288" w:before="0" w:after="0"/>
        <w:ind w:left="0" w:right="0" w:hanging="360"/>
        <w:rPr/>
      </w:pPr>
      <w:r>
        <w:rPr>
          <w:rFonts w:ascii="Times New Roman;sans-serif" w:hAnsi="Times New Roman;sans-serif"/>
          <w:b w:val="false"/>
          <w:color w:val="000000"/>
          <w:sz w:val="18"/>
        </w:rPr>
        <w:t>(3)This agreement has no stated maturity dat</w:t>
      </w:r>
      <w:r>
        <w:rPr>
          <w:rFonts w:ascii="Times New Roman;sans-serif" w:hAnsi="Times New Roman;sans-serif"/>
          <w:b w:val="false"/>
          <w:color w:val="000000"/>
          <w:sz w:val="18"/>
          <w:highlight w:val="white"/>
        </w:rPr>
        <w:t xml:space="preserve">e. </w:t>
      </w:r>
    </w:p>
    <w:p>
      <w:pPr>
        <w:pStyle w:val="TextBody"/>
        <w:spacing w:lineRule="auto" w:line="288" w:before="0" w:after="0"/>
        <w:ind w:left="0" w:right="0" w:hanging="36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(4)In April 2023, the maturity date of this facility was extended to May 15, 2023.</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(5)The agreement has no stated maturity date, however each transaction has a maximum duration of four years.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(6)This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Each certificate is renewed monthly and the interest rate for this facility is 1ML plus applicable margin. During 2022, we voluntarily reduced the trust certificates to $0.</w:t>
      </w:r>
    </w:p>
    <w:p>
      <w:pPr>
        <w:pStyle w:val="TextBody"/>
        <w:spacing w:lineRule="auto" w:line="288" w:before="0" w:after="0"/>
        <w:ind w:left="0" w:right="0" w:hanging="360"/>
        <w:rPr/>
      </w:pPr>
      <w:r>
        <w:rPr>
          <w:rFonts w:ascii="Times New Roman;sans-serif" w:hAnsi="Times New Roman;sans-serif"/>
          <w:b w:val="false"/>
          <w:color w:val="000000"/>
          <w:sz w:val="18"/>
          <w:highlight w:val="white"/>
        </w:rPr>
        <w:t>(7)</w:t>
      </w:r>
      <w:r>
        <w:rPr>
          <w:rFonts w:ascii="Times New Roman;sans-serif" w:hAnsi="Times New Roman;sans-serif"/>
          <w:b w:val="false"/>
          <w:color w:val="000000"/>
          <w:sz w:val="18"/>
        </w:rPr>
        <w:t xml:space="preserve">This revolving facility agreement provides committed borrowing capacity secured by eligible HECM loans that are active buyouts, as defined in the agreement. </w:t>
      </w:r>
      <w:r>
        <w:rPr>
          <w:rFonts w:ascii="Times New Roman;sans-serif" w:hAnsi="Times New Roman;sans-serif"/>
          <w:b w:val="false"/>
          <w:color w:val="000000"/>
          <w:sz w:val="18"/>
          <w:highlight w:val="white"/>
        </w:rPr>
        <w:t>In April 2023, the maturity date of this facility was extended to March 31, 2024.</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(8)In April 2023, the maturity date of this facility was extended to April 6, 2024.</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(9)The weighted average interest rate excludes the effect of the amortization of prepaid lender fees. At March 31, 2023 and December 31, 2022, unamortized prepaid lender fees were $0.2 million and $0.5 million, respectively, and are included in Other assets in our consolidated balance sheets.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tbl>
      <w:tblPr>
        <w:tblW w:w="12523" w:type="dxa"/>
        <w:jc w:val="left"/>
        <w:tblInd w:w="0" w:type="dxa"/>
        <w:tblCellMar>
          <w:top w:w="28" w:type="dxa"/>
          <w:left w:w="28" w:type="dxa"/>
          <w:bottom w:w="28" w:type="dxa"/>
          <w:right w:w="28" w:type="dxa"/>
        </w:tblCellMar>
      </w:tblPr>
      <w:tblGrid>
        <w:gridCol w:w="1221"/>
        <w:gridCol w:w="334"/>
        <w:gridCol w:w="336"/>
        <w:gridCol w:w="109"/>
        <w:gridCol w:w="109"/>
        <w:gridCol w:w="109"/>
        <w:gridCol w:w="325"/>
        <w:gridCol w:w="325"/>
        <w:gridCol w:w="326"/>
        <w:gridCol w:w="109"/>
        <w:gridCol w:w="109"/>
        <w:gridCol w:w="109"/>
        <w:gridCol w:w="109"/>
        <w:gridCol w:w="109"/>
        <w:gridCol w:w="290"/>
        <w:gridCol w:w="290"/>
        <w:gridCol w:w="291"/>
        <w:gridCol w:w="211"/>
        <w:gridCol w:w="511"/>
        <w:gridCol w:w="109"/>
        <w:gridCol w:w="379"/>
        <w:gridCol w:w="730"/>
        <w:gridCol w:w="197"/>
        <w:gridCol w:w="211"/>
        <w:gridCol w:w="616"/>
        <w:gridCol w:w="109"/>
        <w:gridCol w:w="236"/>
        <w:gridCol w:w="691"/>
        <w:gridCol w:w="124"/>
        <w:gridCol w:w="211"/>
        <w:gridCol w:w="616"/>
        <w:gridCol w:w="109"/>
        <w:gridCol w:w="211"/>
        <w:gridCol w:w="616"/>
        <w:gridCol w:w="109"/>
        <w:gridCol w:w="211"/>
        <w:gridCol w:w="616"/>
        <w:gridCol w:w="109"/>
        <w:gridCol w:w="211"/>
        <w:gridCol w:w="616"/>
        <w:gridCol w:w="154"/>
      </w:tblGrid>
      <w:tr>
        <w:trPr/>
        <w:tc>
          <w:tcPr>
            <w:tcW w:w="122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Financing Facilities,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Borrowing Capacity</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$450 million Agency MSR financing facility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million Ginnie Mae MSR financing facility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 Advances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Ocwen Excess Spread-Collateralized Notes, Series 2022-PLS1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 2025</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Ocwen Asset Servicing Income Series Notes, Series 2014-1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 2028</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Agency MSR financing facility - revolving loan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2026</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2" w:type="dxa"/>
            <w:gridSpan w:val="1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PLS Notes (7)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6"/>
            <w:tcBorders/>
            <w:shd w:fill="auto" w:val="clear"/>
          </w:tcPr>
          <w:p>
            <w:pPr>
              <w:pStyle w:val="TableContents"/>
              <w:spacing w:before="0" w:after="283"/>
              <w:rPr>
                <w:sz w:val="4"/>
                <w:szCs w:val="4"/>
              </w:rPr>
            </w:pPr>
            <w:r>
              <w:rPr>
                <w:sz w:val="4"/>
                <w:szCs w:val="4"/>
              </w:rPr>
            </w:r>
          </w:p>
        </w:tc>
      </w:tr>
      <w:tr>
        <w:trPr/>
        <w:tc>
          <w:tcPr>
            <w:tcW w:w="3194"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interest rate (8)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917"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MSR financing facilities extended on a committed basis, $1.9 million of the available borrowing capacity could be used at March 31, 2023 based on the amount of eligible collateral that could be pledged.</w:t>
      </w:r>
    </w:p>
    <w:p>
      <w:pPr>
        <w:pStyle w:val="TextBody"/>
        <w:spacing w:lineRule="auto" w:line="288" w:before="0" w:after="0"/>
        <w:ind w:left="0" w:right="0" w:hanging="360"/>
        <w:rPr/>
      </w:pPr>
      <w:r>
        <w:rPr>
          <w:rFonts w:ascii="Times New Roman;sans-serif" w:hAnsi="Times New Roman;sans-serif"/>
          <w:b w:val="false"/>
          <w:color w:val="000000"/>
          <w:sz w:val="18"/>
          <w:highlight w:val="white"/>
        </w:rPr>
        <w:t>(2)</w:t>
      </w:r>
      <w:r>
        <w:rPr>
          <w:rFonts w:ascii="Times New Roman;sans-serif" w:hAnsi="Times New Roman;sans-serif"/>
          <w:b w:val="false"/>
          <w:color w:val="000000"/>
          <w:sz w:val="18"/>
        </w:rPr>
        <w:t xml:space="preserve">PMC’s obligations under this facility are secured by a lien on the related MSRs. Ocwen guarantees the obligations of PMC under this facility. See Note 2 – Securitizations and Variable Interest Entities for additional information. We are subject to daily margining requirements under the terms of the facility. </w:t>
      </w:r>
    </w:p>
    <w:p>
      <w:pPr>
        <w:pStyle w:val="TextBody"/>
        <w:spacing w:lineRule="auto" w:line="288" w:before="0" w:after="0"/>
        <w:ind w:left="0" w:right="0" w:hanging="360"/>
        <w:rPr/>
      </w:pPr>
      <w:r>
        <w:rPr>
          <w:rFonts w:ascii="Times New Roman;sans-serif" w:hAnsi="Times New Roman;sans-serif"/>
          <w:b w:val="false"/>
          <w:color w:val="000000"/>
          <w:sz w:val="18"/>
          <w:highlight w:val="white"/>
        </w:rPr>
        <w:t>(3)</w:t>
      </w:r>
      <w:r>
        <w:rPr>
          <w:rFonts w:ascii="Times New Roman;sans-serif" w:hAnsi="Times New Roman;sans-serif"/>
          <w:b w:val="false"/>
          <w:color w:val="000000"/>
          <w:sz w:val="18"/>
        </w:rPr>
        <w:t xml:space="preserve">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In April 2023, the maturity date of this facility was extended to April 26, 2024.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Ocwen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pStyle w:val="TextBody"/>
        <w:spacing w:lineRule="auto" w:line="288" w:before="0" w:after="0"/>
        <w:ind w:left="0" w:right="0" w:hanging="360"/>
        <w:rPr/>
      </w:pPr>
      <w:r>
        <w:rPr>
          <w:rFonts w:ascii="Times New Roman;sans-serif" w:hAnsi="Times New Roman;sans-serif"/>
          <w:b w:val="false"/>
          <w:color w:val="000000"/>
          <w:sz w:val="18"/>
          <w:highlight w:val="white"/>
        </w:rPr>
        <w:t>(6)</w:t>
      </w:r>
      <w:r>
        <w:rPr>
          <w:rFonts w:ascii="Times New Roman;sans-serif" w:hAnsi="Times New Roman;sans-serif"/>
          <w:b w:val="false"/>
          <w:color w:val="000000"/>
          <w:sz w:val="18"/>
        </w:rPr>
        <w:t>This facility includes a revolving loan secured by a lien on certain of PMC’s Agency MSRs and is subject to daily margining requirements. Any outstanding borrowings on the revolving loan will convert into a term loan in November 2024.</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(7)At March 31, 2023 and December 31, 2022, unamortized prepaid lender fees related to revolving type MSR financing facilities were $4.1 million and $4.9 million, respectively, and are included in Other assets in our consolidated balance sheets.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(8)Weighted average interest rate excluding the effect of the amortization of debt issuance costs and prepaid lender fees. </w:t>
      </w:r>
    </w:p>
    <w:p>
      <w:pPr>
        <w:pStyle w:val="TextBody"/>
        <w:spacing w:before="0" w:after="6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30"/>
        <w:gridCol w:w="895"/>
        <w:gridCol w:w="898"/>
        <w:gridCol w:w="950"/>
        <w:gridCol w:w="950"/>
        <w:gridCol w:w="954"/>
        <w:gridCol w:w="109"/>
        <w:gridCol w:w="109"/>
        <w:gridCol w:w="109"/>
        <w:gridCol w:w="332"/>
        <w:gridCol w:w="332"/>
        <w:gridCol w:w="334"/>
        <w:gridCol w:w="276"/>
        <w:gridCol w:w="807"/>
        <w:gridCol w:w="142"/>
        <w:gridCol w:w="109"/>
        <w:gridCol w:w="109"/>
        <w:gridCol w:w="109"/>
        <w:gridCol w:w="310"/>
        <w:gridCol w:w="906"/>
        <w:gridCol w:w="235"/>
      </w:tblGrid>
      <w:tr>
        <w:trPr/>
        <w:tc>
          <w:tcPr>
            <w:tcW w:w="123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30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Notes</w:t>
            </w:r>
          </w:p>
        </w:tc>
        <w:tc>
          <w:tcPr>
            <w:tcW w:w="28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0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3023" w:type="dxa"/>
            <w:gridSpan w:val="3"/>
            <w:vMerge w:val="continue"/>
            <w:tcBorders/>
            <w:shd w:fill="auto" w:val="clear"/>
            <w:tcMar>
              <w:top w:w="0" w:type="dxa"/>
              <w:left w:w="0" w:type="dxa"/>
              <w:bottom w:w="0" w:type="dxa"/>
              <w:right w:w="0" w:type="dxa"/>
            </w:tcMar>
            <w:vAlign w:val="center"/>
          </w:tcPr>
          <w:p>
            <w:pPr>
              <w:pStyle w:val="Normal"/>
              <w:rPr/>
            </w:pPr>
            <w:r>
              <w:rPr/>
            </w:r>
          </w:p>
        </w:tc>
        <w:tc>
          <w:tcPr>
            <w:tcW w:w="28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vMerge w:val="continue"/>
            <w:tcBorders/>
            <w:shd w:fill="auto" w:val="clear"/>
            <w:tcMar>
              <w:top w:w="0" w:type="dxa"/>
              <w:left w:w="0" w:type="dxa"/>
              <w:bottom w:w="0" w:type="dxa"/>
              <w:right w:w="0" w:type="dxa"/>
            </w:tcMar>
            <w:vAlign w:val="center"/>
          </w:tcPr>
          <w:p>
            <w:pPr>
              <w:pStyle w:val="Normal"/>
              <w:rPr/>
            </w:pPr>
            <w:r>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23" w:type="dxa"/>
            <w:gridSpan w:val="3"/>
            <w:tcBorders/>
            <w:shd w:fill="auto" w:val="clear"/>
            <w:vAlign w:val="center"/>
          </w:tcPr>
          <w:p>
            <w:pPr>
              <w:pStyle w:val="TableContents"/>
              <w:spacing w:before="0" w:after="283"/>
              <w:rPr>
                <w:sz w:val="4"/>
                <w:szCs w:val="4"/>
              </w:rPr>
            </w:pPr>
            <w:r>
              <w:rPr>
                <w:sz w:val="4"/>
                <w:szCs w:val="4"/>
              </w:rPr>
            </w:r>
          </w:p>
        </w:tc>
        <w:tc>
          <w:tcPr>
            <w:tcW w:w="2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 (2)</w:t>
            </w:r>
          </w:p>
        </w:tc>
        <w:tc>
          <w:tcPr>
            <w:tcW w:w="2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(due to related parties) (3)</w:t>
            </w:r>
          </w:p>
        </w:tc>
        <w:tc>
          <w:tcPr>
            <w:tcW w:w="285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 paid in cash or 13.25% paid-in-kind (see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w:t>
            </w:r>
          </w:p>
        </w:tc>
        <w:tc>
          <w:tcPr>
            <w:tcW w:w="2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2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OFC Senior Secured Notes </w:t>
            </w:r>
          </w:p>
        </w:tc>
        <w:tc>
          <w:tcPr>
            <w:tcW w:w="2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w:t>
            </w:r>
          </w:p>
        </w:tc>
        <w:tc>
          <w:tcPr>
            <w:tcW w:w="2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2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w:t>
            </w:r>
          </w:p>
        </w:tc>
        <w:tc>
          <w:tcPr>
            <w:tcW w:w="2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3" w:type="dxa"/>
            <w:gridSpan w:val="3"/>
            <w:tcBorders/>
            <w:shd w:fill="auto" w:val="clear"/>
            <w:vAlign w:val="center"/>
          </w:tcPr>
          <w:p>
            <w:pPr>
              <w:pStyle w:val="TableContents"/>
              <w:spacing w:before="0" w:after="283"/>
              <w:rPr>
                <w:sz w:val="4"/>
                <w:szCs w:val="4"/>
              </w:rPr>
            </w:pPr>
            <w:r>
              <w:rPr>
                <w:sz w:val="4"/>
                <w:szCs w:val="4"/>
              </w:rPr>
            </w:r>
          </w:p>
        </w:tc>
        <w:tc>
          <w:tcPr>
            <w:tcW w:w="2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(1)Excluding the effect of the amortization of debt issuance costs and discount.</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(2)Redeemable at 103.938% and 101.969% before March 15, 2024 and March 15, 2025, respectively, at par thereafter. The Indenture contains customary covenants that limit the ability of PHH Corporation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(3)Redeemable at a make-whole premium prior to March 4, 2026, at par thereafter. The make-whole premium represents the present value of all scheduled interest payments due through March 4, 2026. The Notes are solely the obligation of Ocwen and are secured by a pledge of substantially all of the assets of Ocwen, including its directly held subsidiaries.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Credit Ratings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Credit ratings are intended to be an indicator of the creditworthiness of a company’s debt obligations. On January 24, 2023, S&amp;P affirmed the issuer credit rating for Ocwen of “B-” and the “B” rating of the PMC Senior Secured Notes. On August 15, 2022, Moody’s affirmed PMC’s long-term corporate family ratings of Caa1 and revised their outlook to Positive from Stable. It is possible that additional actions by credit rating agencies could have a material adverse impact on our liquidity and funding position, including materially changing the terms on which we may be able to borrow money.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debt agreements, we are subject to various affirmative and negative covenants. Collectively, these covenants include: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Financial covenants, including, but not limited to, specified levels of net worth, liquidity and leverage;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Covenants to operate in material compliance with applicable laws;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Monitoring and reporting of various specified transactions or events, including specific reporting on defined events affecting collateral underlying certain debt agreements;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Requirements to provide audited financial statements within specified timeframes, including requirements that Ocwen’s financial statements and the related audit report be unqualified as to going concern.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restrictive consolidated net worth requirement contained in our debt agreements with borrowings outstanding at March 31, 2023 is a minimum of $300.0 million tangible net worth for both Ocwen and PMC, as defined in certain of our mortgage warehouse, MSR financing and advance financing facilities agreements. The most restrictive liquidity requirement under our debt agreements with borrowings outstanding at March 31, 2023 is for a minimum of $75.0 million for both Ocwen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and PMC consolidated liquidity, as defined, under certain of our MSR financing facilities and mortgage warehouse agreements. The minimum tangible net worth and liquidity requirements at PMC are subject to the minimum requirement set forth by the Agencies. See also Note 18 – Regulatory Requirements.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believe we were in compliance with all of the covenants in our debt agreements as of the date of these unaudited consolidated financial statements.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Collateral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held as collateral for secured borrowings and other unencumbered assets which may be subject to a lien under various collateralized borrowings are as follows at March 31, 2023: </w:t>
      </w:r>
    </w:p>
    <w:tbl>
      <w:tblPr>
        <w:tblW w:w="10205" w:type="dxa"/>
        <w:jc w:val="center"/>
        <w:tblInd w:w="0" w:type="dxa"/>
        <w:tblCellMar>
          <w:top w:w="28" w:type="dxa"/>
          <w:left w:w="28" w:type="dxa"/>
          <w:bottom w:w="28" w:type="dxa"/>
          <w:right w:w="28" w:type="dxa"/>
        </w:tblCellMar>
      </w:tblPr>
      <w:tblGrid>
        <w:gridCol w:w="1020"/>
        <w:gridCol w:w="748"/>
        <w:gridCol w:w="761"/>
        <w:gridCol w:w="211"/>
        <w:gridCol w:w="871"/>
        <w:gridCol w:w="109"/>
        <w:gridCol w:w="109"/>
        <w:gridCol w:w="109"/>
        <w:gridCol w:w="109"/>
        <w:gridCol w:w="211"/>
        <w:gridCol w:w="871"/>
        <w:gridCol w:w="109"/>
        <w:gridCol w:w="109"/>
        <w:gridCol w:w="109"/>
        <w:gridCol w:w="109"/>
        <w:gridCol w:w="334"/>
        <w:gridCol w:w="1384"/>
        <w:gridCol w:w="173"/>
        <w:gridCol w:w="109"/>
        <w:gridCol w:w="109"/>
        <w:gridCol w:w="109"/>
        <w:gridCol w:w="109"/>
        <w:gridCol w:w="109"/>
        <w:gridCol w:w="411"/>
        <w:gridCol w:w="1203"/>
        <w:gridCol w:w="214"/>
        <w:gridCol w:w="109"/>
        <w:gridCol w:w="109"/>
        <w:gridCol w:w="158"/>
      </w:tblGrid>
      <w:tr>
        <w:trPr/>
        <w:tc>
          <w:tcPr>
            <w:tcW w:w="1020"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Pledged </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Collateralized 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Unencumbered Assets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securitized (2)</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(3)</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10,067.2 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(1)Certain assets are pledged as collateral to the PMC Senior Secured Notes and OFC Senior Secured (second lien) Notes.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(3)Excludes MSRs transferred to MAV, Rithm and others, and associated Pledged MSR liability recorded as sale accounting criteria are not met. Pledged assets exceed the MSR asset balance due to the netting of certain PLS MSR portfolios with negative and positive fair values as eligible collateral.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(4)The total of selected assets disclosed in the above table does not represent the total consolidated assets of Ocwen. For example, the total excludes premises and equipment and certain other assets.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OFC Senior Secured Notes due 2027 have a second lien priority on specified security interests, as defined under the OFC Senior Secured Note Agreement and listed in the table below, and have a priority lien on the following assets: investments by OFC in subsidiaries not guaranteeing the PMC Senior Secured Notes, including PHH and MAV; cash and investment accounts at OFC; and certain other assets, including receivables. </w:t>
      </w:r>
    </w:p>
    <w:tbl>
      <w:tblPr>
        <w:tblW w:w="4635" w:type="dxa"/>
        <w:jc w:val="left"/>
        <w:tblInd w:w="0" w:type="dxa"/>
        <w:tblCellMar>
          <w:top w:w="28" w:type="dxa"/>
          <w:left w:w="28" w:type="dxa"/>
          <w:bottom w:w="28" w:type="dxa"/>
          <w:right w:w="28" w:type="dxa"/>
        </w:tblCellMar>
      </w:tblPr>
      <w:tblGrid>
        <w:gridCol w:w="1141"/>
        <w:gridCol w:w="1003"/>
        <w:gridCol w:w="1006"/>
        <w:gridCol w:w="659"/>
        <w:gridCol w:w="340"/>
        <w:gridCol w:w="486"/>
      </w:tblGrid>
      <w:tr>
        <w:trPr/>
        <w:tc>
          <w:tcPr>
            <w:tcW w:w="114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net servicing advances</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deferred servicing fee</w:t>
            </w:r>
          </w:p>
        </w:tc>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MSR value less borrowings</w:t>
            </w:r>
          </w:p>
        </w:tc>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unrestricted cash balances</w:t>
            </w:r>
          </w:p>
        </w:tc>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advance facility reserves</w:t>
            </w:r>
          </w:p>
        </w:tc>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loan value</w:t>
            </w:r>
          </w:p>
        </w:tc>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residual value</w:t>
            </w:r>
          </w:p>
        </w:tc>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tbl>
      <w:tblPr>
        <w:tblW w:w="2415" w:type="dxa"/>
        <w:jc w:val="center"/>
        <w:tblInd w:w="0" w:type="dxa"/>
        <w:tblCellMar>
          <w:top w:w="28" w:type="dxa"/>
          <w:left w:w="28" w:type="dxa"/>
          <w:bottom w:w="28" w:type="dxa"/>
          <w:right w:w="28" w:type="dxa"/>
        </w:tblCellMar>
      </w:tblPr>
      <w:tblGrid>
        <w:gridCol w:w="774"/>
        <w:gridCol w:w="680"/>
        <w:gridCol w:w="961"/>
      </w:tblGrid>
      <w:tr>
        <w:trPr/>
        <w:tc>
          <w:tcPr>
            <w:tcW w:w="77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13 – Other Liabilities</w:t>
            </w:r>
          </w:p>
        </w:tc>
      </w:tr>
    </w:tbl>
    <w:tbl>
      <w:tblPr>
        <w:tblW w:w="8965" w:type="dxa"/>
        <w:jc w:val="left"/>
        <w:tblInd w:w="0" w:type="dxa"/>
        <w:tblCellMar>
          <w:top w:w="28" w:type="dxa"/>
          <w:left w:w="28" w:type="dxa"/>
          <w:bottom w:w="28" w:type="dxa"/>
          <w:right w:w="28" w:type="dxa"/>
        </w:tblCellMar>
      </w:tblPr>
      <w:tblGrid>
        <w:gridCol w:w="1969"/>
        <w:gridCol w:w="1725"/>
        <w:gridCol w:w="1736"/>
        <w:gridCol w:w="479"/>
        <w:gridCol w:w="479"/>
        <w:gridCol w:w="481"/>
        <w:gridCol w:w="109"/>
        <w:gridCol w:w="109"/>
        <w:gridCol w:w="109"/>
        <w:gridCol w:w="380"/>
        <w:gridCol w:w="1110"/>
        <w:gridCol w:w="279"/>
      </w:tblGrid>
      <w:tr>
        <w:trPr/>
        <w:tc>
          <w:tcPr>
            <w:tcW w:w="196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liability</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expenses </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Rithm - Advance collections, servicing fees and other</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Checks held for escheat</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indemnification obligations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fees and settlements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obligations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at fair value</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uncertain tax positions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unfunded pension obligation and India gratuity plan</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purchase price holdback</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related payables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 payable</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servicing fee spread payable</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TextBody"/>
        <w:spacing w:before="240" w:after="12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tbl>
      <w:tblPr>
        <w:tblW w:w="5774" w:type="dxa"/>
        <w:jc w:val="left"/>
        <w:tblInd w:w="0" w:type="dxa"/>
        <w:tblCellMar>
          <w:top w:w="28" w:type="dxa"/>
          <w:left w:w="28" w:type="dxa"/>
          <w:bottom w:w="28" w:type="dxa"/>
          <w:right w:w="28" w:type="dxa"/>
        </w:tblCellMar>
      </w:tblPr>
      <w:tblGrid>
        <w:gridCol w:w="1850"/>
        <w:gridCol w:w="1626"/>
        <w:gridCol w:w="2298"/>
      </w:tblGrid>
      <w:tr>
        <w:trPr/>
        <w:tc>
          <w:tcPr>
            <w:tcW w:w="1850"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r>
      <w:tr>
        <w:trPr/>
        <w:tc>
          <w:tcPr>
            <w:tcW w:w="57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14 – Derivative Financial Instruments and Hedging Activities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fair value, notional and maturity of our derivative instruments. The notional amount of our contracts does not represent our exposure to credit loss. None of the derivatives were designated as a hedge for accounting purposes as of or during the three months ended March 31, 2023 and 2022. </w:t>
      </w:r>
    </w:p>
    <w:tbl>
      <w:tblPr>
        <w:tblW w:w="10205" w:type="dxa"/>
        <w:jc w:val="left"/>
        <w:tblInd w:w="0" w:type="dxa"/>
        <w:tblCellMar>
          <w:top w:w="28" w:type="dxa"/>
          <w:left w:w="28" w:type="dxa"/>
          <w:bottom w:w="28" w:type="dxa"/>
          <w:right w:w="28" w:type="dxa"/>
        </w:tblCellMar>
      </w:tblPr>
      <w:tblGrid>
        <w:gridCol w:w="843"/>
        <w:gridCol w:w="740"/>
        <w:gridCol w:w="743"/>
        <w:gridCol w:w="109"/>
        <w:gridCol w:w="109"/>
        <w:gridCol w:w="109"/>
        <w:gridCol w:w="527"/>
        <w:gridCol w:w="527"/>
        <w:gridCol w:w="529"/>
        <w:gridCol w:w="211"/>
        <w:gridCol w:w="766"/>
        <w:gridCol w:w="109"/>
        <w:gridCol w:w="221"/>
        <w:gridCol w:w="587"/>
        <w:gridCol w:w="114"/>
        <w:gridCol w:w="109"/>
        <w:gridCol w:w="109"/>
        <w:gridCol w:w="109"/>
        <w:gridCol w:w="524"/>
        <w:gridCol w:w="524"/>
        <w:gridCol w:w="526"/>
        <w:gridCol w:w="211"/>
        <w:gridCol w:w="766"/>
        <w:gridCol w:w="109"/>
        <w:gridCol w:w="220"/>
        <w:gridCol w:w="586"/>
        <w:gridCol w:w="168"/>
      </w:tblGrid>
      <w:tr>
        <w:trPr/>
        <w:tc>
          <w:tcPr>
            <w:tcW w:w="84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 to July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 to June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March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Forward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option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April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2023 to June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 February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option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2023</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97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net gains and losses of our derivative instruments recognized in our consolidated statement of operations.</w:t>
      </w:r>
    </w:p>
    <w:tbl>
      <w:tblPr>
        <w:tblW w:w="10205" w:type="dxa"/>
        <w:jc w:val="left"/>
        <w:tblInd w:w="0" w:type="dxa"/>
        <w:tblCellMar>
          <w:top w:w="28" w:type="dxa"/>
          <w:left w:w="28" w:type="dxa"/>
          <w:bottom w:w="28" w:type="dxa"/>
          <w:right w:w="28" w:type="dxa"/>
        </w:tblCellMar>
      </w:tblPr>
      <w:tblGrid>
        <w:gridCol w:w="1152"/>
        <w:gridCol w:w="913"/>
        <w:gridCol w:w="926"/>
        <w:gridCol w:w="240"/>
        <w:gridCol w:w="462"/>
        <w:gridCol w:w="124"/>
        <w:gridCol w:w="124"/>
        <w:gridCol w:w="124"/>
        <w:gridCol w:w="124"/>
        <w:gridCol w:w="240"/>
        <w:gridCol w:w="627"/>
        <w:gridCol w:w="124"/>
        <w:gridCol w:w="109"/>
        <w:gridCol w:w="109"/>
        <w:gridCol w:w="109"/>
        <w:gridCol w:w="1372"/>
        <w:gridCol w:w="109"/>
        <w:gridCol w:w="109"/>
        <w:gridCol w:w="109"/>
        <w:gridCol w:w="1134"/>
        <w:gridCol w:w="817"/>
        <w:gridCol w:w="1048"/>
      </w:tblGrid>
      <w:tr>
        <w:trPr/>
        <w:tc>
          <w:tcPr>
            <w:tcW w:w="1152"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r>
      <w:tr>
        <w:trPr/>
        <w:tc>
          <w:tcPr>
            <w:tcW w:w="2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Line</w:t>
            </w:r>
          </w:p>
        </w:tc>
        <w:tc>
          <w:tcPr>
            <w:tcW w:w="3326" w:type="dxa"/>
            <w:gridSpan w:val="6"/>
            <w:tcBorders/>
            <w:shd w:fill="auto" w:val="clear"/>
          </w:tcPr>
          <w:p>
            <w:pPr>
              <w:pStyle w:val="TableContents"/>
              <w:spacing w:before="0" w:after="283"/>
              <w:rPr>
                <w:sz w:val="4"/>
                <w:szCs w:val="4"/>
              </w:rPr>
            </w:pPr>
            <w:r>
              <w:rPr>
                <w:sz w:val="4"/>
                <w:szCs w:val="4"/>
              </w:rPr>
            </w:r>
          </w:p>
        </w:tc>
      </w:tr>
      <w:tr>
        <w:trPr/>
        <w:tc>
          <w:tcPr>
            <w:tcW w:w="2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Gain (loss)</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r>
      <w:tr>
        <w:trPr/>
        <w:tc>
          <w:tcPr>
            <w:tcW w:w="2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trades (economically hedging forward pipeline trades and EBO pipeline)</w:t>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(Economic hedge)</w:t>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trades (economically hedging reverse pipeline trades)</w:t>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 TBA trades and interest rate option contracts</w:t>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r>
      <w:tr>
        <w:trPr/>
        <w:tc>
          <w:tcPr>
            <w:tcW w:w="2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r>
      <w:tr>
        <w:trPr/>
        <w:tc>
          <w:tcPr>
            <w:tcW w:w="2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MSR Hedging</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Under our MSR hedging strategy, the interest-rate sensitive MSR portfolio exposure to be hedged is defined as follows: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Agency MSR portfolio,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less the Agency MSRs subject to our sale agreements with MAV, Rithm and others (See Note 8 — Other Financing Liabilities, at Fair Value),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less the asset value for securitized HECM loans, net of the corresponding HMBS-related borrowings. </w:t>
      </w:r>
    </w:p>
    <w:p>
      <w:pPr>
        <w:pStyle w:val="TextBody"/>
        <w:spacing w:lineRule="auto" w:line="288" w:before="120" w:after="120"/>
        <w:rPr/>
      </w:pPr>
      <w:r>
        <w:rPr>
          <w:rFonts w:ascii="Times New Roman;sans-serif" w:hAnsi="Times New Roman;sans-serif"/>
          <w:b w:val="false"/>
          <w:color w:val="000000"/>
          <w:sz w:val="20"/>
        </w:rPr>
        <w:t>The objective of our MSR policy is to provide partial hedge coverage of interest-rate sensitive MSR portfolio exposure, considering market and liquidity conditions. The hedge coverage ratio, defined as the ratio of hedge and asset rate sensitivity (referred to as DV01) is subject to lower and upper thresholds, as modeled. Since September 2022, our hedge policy establishes a minimum 25% and 30% hedge coverage ratio required for interest rate declines less than, and more than 50 basis points, respectively.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During the first quarter of 2023, management targeted a 38% minimum hedge coverage ratio. Accordingly,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with the objective of enhancing the effectiveness of our interest rate hedging strategy.</w:t>
      </w:r>
      <w:r>
        <w:rPr>
          <w:color w:val="000000"/>
        </w:rPr>
        <w:t xml:space="preserv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17 – Business Segment Reporting for the amount of such reclassification). Such inter-segment derivatives are eliminated in our consolidated financial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Pipeline Hedging - Interest Rate Lock Commitments and Loans Held for Sale, at Fair Value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90 days, with the majority of our commitments to borrowers for 40 to 60 days and our commitments to correspondent sellers for 5 to 15 days. Loans held for sale are generally funded and sold within 3 to 25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 respectively. See above description of inter-segment derivatives.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EBO and Loan Modification Hedging – Loans Held for Sale, at fair value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February 2022, management started hedging certain Ginnie Mae EBO loans as well as loans in process of modification pending redelivery/re-securitization to manage interest rate risk. Such interest rate exposure on these loans held for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 Beginning June 2022, management started hedging the in-process GNMA modification pipeline as well.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400" w:type="dxa"/>
        <w:jc w:val="left"/>
        <w:tblInd w:w="0" w:type="dxa"/>
        <w:tblCellMar>
          <w:top w:w="28" w:type="dxa"/>
          <w:left w:w="28" w:type="dxa"/>
          <w:bottom w:w="28" w:type="dxa"/>
          <w:right w:w="28" w:type="dxa"/>
        </w:tblCellMar>
      </w:tblPr>
      <w:tblGrid>
        <w:gridCol w:w="769"/>
        <w:gridCol w:w="676"/>
        <w:gridCol w:w="955"/>
      </w:tblGrid>
      <w:tr>
        <w:trPr/>
        <w:tc>
          <w:tcPr>
            <w:tcW w:w="76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15 – Interest Expense</w:t>
            </w:r>
          </w:p>
        </w:tc>
      </w:tr>
    </w:tbl>
    <w:tbl>
      <w:tblPr>
        <w:tblW w:w="6236" w:type="dxa"/>
        <w:jc w:val="left"/>
        <w:tblInd w:w="0" w:type="dxa"/>
        <w:tblCellMar>
          <w:top w:w="28" w:type="dxa"/>
          <w:left w:w="28" w:type="dxa"/>
          <w:bottom w:w="28" w:type="dxa"/>
          <w:right w:w="28" w:type="dxa"/>
        </w:tblCellMar>
      </w:tblPr>
      <w:tblGrid>
        <w:gridCol w:w="1074"/>
        <w:gridCol w:w="946"/>
        <w:gridCol w:w="949"/>
        <w:gridCol w:w="296"/>
        <w:gridCol w:w="717"/>
        <w:gridCol w:w="152"/>
        <w:gridCol w:w="152"/>
        <w:gridCol w:w="152"/>
        <w:gridCol w:w="152"/>
        <w:gridCol w:w="296"/>
        <w:gridCol w:w="717"/>
        <w:gridCol w:w="152"/>
        <w:gridCol w:w="109"/>
        <w:gridCol w:w="109"/>
        <w:gridCol w:w="109"/>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vMerge w:val="continue"/>
            <w:tcBorders/>
            <w:shd w:fill="auto" w:val="clear"/>
            <w:tcMar>
              <w:top w:w="0" w:type="dxa"/>
              <w:left w:w="0" w:type="dxa"/>
              <w:bottom w:w="0" w:type="dxa"/>
              <w:right w:w="0" w:type="dxa"/>
            </w:tcMar>
            <w:vAlign w:val="center"/>
          </w:tcPr>
          <w:p>
            <w:pPr>
              <w:pStyle w:val="Normal"/>
              <w:rPr/>
            </w:pPr>
            <w:r>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(1)</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(1)Notes issued to Oaktree affiliates, inclusive of amortization of debt issuance costs and discount of $2.3 million and $2.0 million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tbl>
      <w:tblPr>
        <w:tblW w:w="4185" w:type="dxa"/>
        <w:jc w:val="left"/>
        <w:tblInd w:w="0" w:type="dxa"/>
        <w:tblCellMar>
          <w:top w:w="28" w:type="dxa"/>
          <w:left w:w="28" w:type="dxa"/>
          <w:bottom w:w="28" w:type="dxa"/>
          <w:right w:w="28" w:type="dxa"/>
        </w:tblCellMar>
      </w:tblPr>
      <w:tblGrid>
        <w:gridCol w:w="1341"/>
        <w:gridCol w:w="1179"/>
        <w:gridCol w:w="1665"/>
      </w:tblGrid>
      <w:tr>
        <w:trPr/>
        <w:tc>
          <w:tcPr>
            <w:tcW w:w="134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16 – Basic and Diluted Earnings per Share</w:t>
            </w:r>
          </w:p>
        </w:tc>
      </w:tr>
    </w:tbl>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months ended March 31, 2023, we have excluded the effect of all stock options, common stock awards and warrants from the computation of diluted loss per share because of the anti-dilutive effect of our reported net loss.</w:t>
      </w:r>
    </w:p>
    <w:tbl>
      <w:tblPr>
        <w:tblW w:w="10205" w:type="dxa"/>
        <w:jc w:val="left"/>
        <w:tblInd w:w="0" w:type="dxa"/>
        <w:tblCellMar>
          <w:top w:w="28" w:type="dxa"/>
          <w:left w:w="28" w:type="dxa"/>
          <w:bottom w:w="28" w:type="dxa"/>
          <w:right w:w="28" w:type="dxa"/>
        </w:tblCellMar>
      </w:tblPr>
      <w:tblGrid>
        <w:gridCol w:w="2589"/>
        <w:gridCol w:w="2197"/>
        <w:gridCol w:w="2213"/>
        <w:gridCol w:w="285"/>
        <w:gridCol w:w="769"/>
        <w:gridCol w:w="138"/>
        <w:gridCol w:w="138"/>
        <w:gridCol w:w="138"/>
        <w:gridCol w:w="138"/>
        <w:gridCol w:w="285"/>
        <w:gridCol w:w="691"/>
        <w:gridCol w:w="138"/>
        <w:gridCol w:w="109"/>
        <w:gridCol w:w="109"/>
        <w:gridCol w:w="109"/>
        <w:gridCol w:w="159"/>
      </w:tblGrid>
      <w:tr>
        <w:trPr/>
        <w:tc>
          <w:tcPr>
            <w:tcW w:w="2589"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999" w:type="dxa"/>
            <w:gridSpan w:val="3"/>
            <w:vMerge w:val="continue"/>
            <w:tcBorders/>
            <w:shd w:fill="auto" w:val="clear"/>
            <w:tcMar>
              <w:top w:w="0" w:type="dxa"/>
              <w:left w:w="0" w:type="dxa"/>
              <w:bottom w:w="0" w:type="dxa"/>
              <w:right w:w="0" w:type="dxa"/>
            </w:tcMar>
            <w:vAlign w:val="center"/>
          </w:tcPr>
          <w:p>
            <w:pPr>
              <w:pStyle w:val="Normal"/>
              <w:rPr/>
            </w:pPr>
            <w:r>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w:t>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7,533,561 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9,215,122 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Diluted earnings (loss) per share </w:t>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w:t>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7,533,561 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9,215,122 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elements</w:t>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w:t>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awards</w:t>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weighted average shares of common stock</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7,533,561 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9,661,567 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 and common stock awards excluded from the computation of diluted earnings per share</w:t>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(1)</w:t>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Market-based (2)</w:t>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stock options and stock awards that are anti-dilutive based on the application of the treasury stock method.</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(2)Shares that are issuable upon the achievement of certain market-based performance criteria related to Ocwen’s stock price.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390" w:type="dxa"/>
        <w:jc w:val="left"/>
        <w:tblInd w:w="0" w:type="dxa"/>
        <w:tblCellMar>
          <w:top w:w="28" w:type="dxa"/>
          <w:left w:w="28" w:type="dxa"/>
          <w:bottom w:w="28" w:type="dxa"/>
          <w:right w:w="28" w:type="dxa"/>
        </w:tblCellMar>
      </w:tblPr>
      <w:tblGrid>
        <w:gridCol w:w="1086"/>
        <w:gridCol w:w="955"/>
        <w:gridCol w:w="1349"/>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17 – Business Segment Reporting</w:t>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segments reflect the internal reporting that we use to evaluate our operating and financial performance and to assess the allocation of our resources. Our reportable business segments consist of Servicing, Originations, and Corporate Items and Other. During the three months ended March 31, 2023, there have been no changes to our business segments as disclosed in our Annual Report on Form 10-K for the year ended December 31, 2022. </w:t>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TextBody"/>
        <w:spacing w:before="60" w:after="283"/>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our segments is as follows:</w:t>
      </w:r>
    </w:p>
    <w:tbl>
      <w:tblPr>
        <w:tblW w:w="10205" w:type="dxa"/>
        <w:jc w:val="left"/>
        <w:tblInd w:w="0" w:type="dxa"/>
        <w:tblCellMar>
          <w:top w:w="28" w:type="dxa"/>
          <w:left w:w="28" w:type="dxa"/>
          <w:bottom w:w="28" w:type="dxa"/>
          <w:right w:w="28" w:type="dxa"/>
        </w:tblCellMar>
      </w:tblPr>
      <w:tblGrid>
        <w:gridCol w:w="957"/>
        <w:gridCol w:w="719"/>
        <w:gridCol w:w="721"/>
        <w:gridCol w:w="211"/>
        <w:gridCol w:w="616"/>
        <w:gridCol w:w="109"/>
        <w:gridCol w:w="109"/>
        <w:gridCol w:w="109"/>
        <w:gridCol w:w="109"/>
        <w:gridCol w:w="337"/>
        <w:gridCol w:w="673"/>
        <w:gridCol w:w="176"/>
        <w:gridCol w:w="109"/>
        <w:gridCol w:w="109"/>
        <w:gridCol w:w="109"/>
        <w:gridCol w:w="323"/>
        <w:gridCol w:w="808"/>
        <w:gridCol w:w="167"/>
        <w:gridCol w:w="109"/>
        <w:gridCol w:w="109"/>
        <w:gridCol w:w="109"/>
        <w:gridCol w:w="425"/>
        <w:gridCol w:w="818"/>
        <w:gridCol w:w="220"/>
        <w:gridCol w:w="109"/>
        <w:gridCol w:w="109"/>
        <w:gridCol w:w="109"/>
        <w:gridCol w:w="346"/>
        <w:gridCol w:w="1011"/>
        <w:gridCol w:w="260"/>
      </w:tblGrid>
      <w:tr>
        <w:trPr/>
        <w:tc>
          <w:tcPr>
            <w:tcW w:w="95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loans held for sale, net (1)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2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loans held for sale, net (1)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2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6872" w:type="dxa"/>
            <w:gridSpan w:val="24"/>
            <w:tcBorders/>
            <w:shd w:fill="auto" w:val="clea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6872" w:type="dxa"/>
            <w:gridSpan w:val="24"/>
            <w:tcBorders/>
            <w:shd w:fill="auto" w:val="clea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r>
        <w:trPr/>
        <w:tc>
          <w:tcPr>
            <w:tcW w:w="239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(1)Corporate Eliminations includes inter-segment derivatives eliminations of $0 and $13.3 million for the three months ended March 31, 2023 and 2022, respectively, reported as Gain on loans held for sale, net with a corresponding offset in MSR valuation adjustments, net.</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02"/>
        <w:gridCol w:w="512"/>
        <w:gridCol w:w="512"/>
        <w:gridCol w:w="211"/>
        <w:gridCol w:w="871"/>
        <w:gridCol w:w="109"/>
        <w:gridCol w:w="109"/>
        <w:gridCol w:w="109"/>
        <w:gridCol w:w="109"/>
        <w:gridCol w:w="267"/>
        <w:gridCol w:w="780"/>
        <w:gridCol w:w="139"/>
        <w:gridCol w:w="109"/>
        <w:gridCol w:w="109"/>
        <w:gridCol w:w="109"/>
        <w:gridCol w:w="512"/>
        <w:gridCol w:w="1497"/>
        <w:gridCol w:w="266"/>
        <w:gridCol w:w="109"/>
        <w:gridCol w:w="109"/>
        <w:gridCol w:w="109"/>
        <w:gridCol w:w="109"/>
        <w:gridCol w:w="109"/>
        <w:gridCol w:w="464"/>
        <w:gridCol w:w="1919"/>
        <w:gridCol w:w="345"/>
      </w:tblGrid>
      <w:tr>
        <w:trPr/>
        <w:tc>
          <w:tcPr>
            <w:tcW w:w="60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16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12,297.8 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20"/>
        <w:ind w:left="0" w:right="0" w:hanging="360"/>
        <w:rPr/>
      </w:pPr>
      <w:r>
        <w:rPr/>
      </w:r>
    </w:p>
    <w:tbl>
      <w:tblPr>
        <w:tblW w:w="10205" w:type="dxa"/>
        <w:jc w:val="left"/>
        <w:tblInd w:w="0" w:type="dxa"/>
        <w:tblCellMar>
          <w:top w:w="28" w:type="dxa"/>
          <w:left w:w="28" w:type="dxa"/>
          <w:bottom w:w="28" w:type="dxa"/>
          <w:right w:w="28" w:type="dxa"/>
        </w:tblCellMar>
      </w:tblPr>
      <w:tblGrid>
        <w:gridCol w:w="1091"/>
        <w:gridCol w:w="957"/>
        <w:gridCol w:w="962"/>
        <w:gridCol w:w="266"/>
        <w:gridCol w:w="512"/>
        <w:gridCol w:w="138"/>
        <w:gridCol w:w="109"/>
        <w:gridCol w:w="109"/>
        <w:gridCol w:w="109"/>
        <w:gridCol w:w="344"/>
        <w:gridCol w:w="663"/>
        <w:gridCol w:w="179"/>
        <w:gridCol w:w="109"/>
        <w:gridCol w:w="109"/>
        <w:gridCol w:w="109"/>
        <w:gridCol w:w="540"/>
        <w:gridCol w:w="1040"/>
        <w:gridCol w:w="279"/>
        <w:gridCol w:w="109"/>
        <w:gridCol w:w="109"/>
        <w:gridCol w:w="109"/>
        <w:gridCol w:w="616"/>
        <w:gridCol w:w="1185"/>
        <w:gridCol w:w="452"/>
      </w:tblGrid>
      <w:tr>
        <w:trPr/>
        <w:tc>
          <w:tcPr>
            <w:tcW w:w="1091"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w:t>
            </w:r>
          </w:p>
        </w:tc>
        <w:tc>
          <w:tcPr>
            <w:tcW w:w="9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10205" w:type="dxa"/>
            <w:gridSpan w:val="24"/>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7195" w:type="dxa"/>
            <w:gridSpan w:val="21"/>
            <w:tcBorders/>
            <w:shd w:fill="auto" w:val="clea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7195" w:type="dxa"/>
            <w:gridSpan w:val="21"/>
            <w:tcBorders/>
            <w:shd w:fill="auto" w:val="clea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79" w:type="dxa"/>
        <w:jc w:val="left"/>
        <w:tblInd w:w="0" w:type="dxa"/>
        <w:tblCellMar>
          <w:top w:w="28" w:type="dxa"/>
          <w:left w:w="28" w:type="dxa"/>
          <w:bottom w:w="28" w:type="dxa"/>
          <w:right w:w="28" w:type="dxa"/>
        </w:tblCellMar>
      </w:tblPr>
      <w:tblGrid>
        <w:gridCol w:w="1019"/>
        <w:gridCol w:w="895"/>
        <w:gridCol w:w="1265"/>
      </w:tblGrid>
      <w:tr>
        <w:trPr/>
        <w:tc>
          <w:tcPr>
            <w:tcW w:w="1019"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18 – Regulatory Requirements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extensive regulation and supervision by federal, state, local and foreign governmental authorities, including the Consumer Financial Protection Bureau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pPr>
      <w:r>
        <w:rPr>
          <w:rFonts w:ascii="Times New Roman;sans-serif" w:hAnsi="Times New Roman;sans-serif"/>
          <w:b w:val="false"/>
          <w:color w:val="000000"/>
          <w:sz w:val="20"/>
        </w:rPr>
        <w:t>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March 31, 2023. Our non-Agency servicing agreements also contain requirements regarding servicing practices and other matters, and a failure to comply with these requirements could have a material adverse impact on our business.</w:t>
      </w:r>
      <w:r>
        <w:rPr>
          <w:color w:val="000000"/>
        </w:rPr>
        <w:t xml:space="preserv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restrictive of the various net worth requirements for licensing and seller/servicer obligations referenced above is based on the UPB of assets serviced by PMC. Under the applicable formula, the required minimum net worth was $376.8 million at March 31, 2023. PMC’s adjusted net worth was $553.3 million at March 31, 2023. The most restrictive of the various liquidity requirements for licensing and seller/servicer obligations referenced above pertains to PMC and the required minimum liquidity was $42.1 million at March 31, 2023. PMC’s liquid assets were $188.0 million at March 31, 2023.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FHFA, the GSEs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The majority of the updated requirements are effective on September 30, 2023, with Ginnie Mae’s risk-based capital requirements effective on December 31, 2024. We believe PMC would be in compliance with the updated requirements if the updated requirements were in effect as of March 31, 2023, except for the new risk-based capital requirement. We are currently evaluating the potential impacts of these updated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March 31, 2023, our forward owned servicing portfolio included 85,336 government-insured loans with a UPB of $13.7 billion, 7% of our total forward owned MSRs or 5% of our total UPB serviced and subserviced. </w:t>
      </w:r>
    </w:p>
    <w:p>
      <w:pPr>
        <w:pStyle w:val="TextBody"/>
        <w:spacing w:lineRule="auto" w:line="288" w:before="120" w:after="120"/>
        <w:rPr/>
      </w:pPr>
      <w:r>
        <w:rPr>
          <w:rFonts w:ascii="Times New Roman;sans-serif" w:hAnsi="Times New Roman;sans-serif"/>
          <w:b w:val="false"/>
          <w:i/>
          <w:color w:val="000000"/>
          <w:sz w:val="20"/>
        </w:rPr>
        <w:t xml:space="preserve">New York Department of Financial Services (NY DFS). </w:t>
      </w:r>
      <w:r>
        <w:rPr>
          <w:rFonts w:ascii="Times New Roman;sans-serif" w:hAnsi="Times New Roman;sans-serif"/>
          <w:b w:val="false"/>
          <w:color w:val="000000"/>
          <w:sz w:val="20"/>
        </w:rPr>
        <w:t xml:space="preserve">We operate pursuant to certain regulatory requirements with the NY DFS, including obligations arising 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 </w:t>
      </w:r>
    </w:p>
    <w:p>
      <w:pPr>
        <w:pStyle w:val="TextBody"/>
        <w:spacing w:lineRule="auto" w:line="288" w:before="120" w:after="283"/>
        <w:rPr/>
      </w:pPr>
      <w:r>
        <w:rPr>
          <w:rFonts w:ascii="Times New Roman;sans-serif" w:hAnsi="Times New Roman;sans-serif"/>
          <w:b w:val="false"/>
          <w:i/>
          <w:color w:val="000000"/>
          <w:sz w:val="20"/>
        </w:rPr>
        <w:t>California Department of Financial Protection and Innovation (CA DFPI)</w:t>
      </w:r>
      <w:r>
        <w:rPr>
          <w:rFonts w:ascii="Times New Roman;sans-serif" w:hAnsi="Times New Roman;sans-serif"/>
          <w:b w:val="false"/>
          <w:color w:val="000000"/>
          <w:sz w:val="20"/>
        </w:rPr>
        <w:t xml:space="preserve">. In January 2015 and February 2017, Ocwen Loan Servicing, LLC (OLS) entered into 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also entered into a consent order in February 2023 to resolve a legacy OLS matter with the CA DFPI primarily addressing OLS’s post-boarding process related to loan payment terms. The Consent Order provides for a $2.5 million settlement with the CA DFPI with the waiver of certain late fees, a loss mitigation campaign, and other reliefs. The settlement was fully accrued at December 31, 2022 and paid in March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280" w:type="dxa"/>
        <w:jc w:val="left"/>
        <w:tblInd w:w="0" w:type="dxa"/>
        <w:tblCellMar>
          <w:top w:w="28" w:type="dxa"/>
          <w:left w:w="28" w:type="dxa"/>
          <w:bottom w:w="28" w:type="dxa"/>
          <w:right w:w="28" w:type="dxa"/>
        </w:tblCellMar>
      </w:tblPr>
      <w:tblGrid>
        <w:gridCol w:w="730"/>
        <w:gridCol w:w="640"/>
        <w:gridCol w:w="910"/>
      </w:tblGrid>
      <w:tr>
        <w:trPr/>
        <w:tc>
          <w:tcPr>
            <w:tcW w:w="73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19 — Commitments</w:t>
            </w:r>
          </w:p>
        </w:tc>
      </w:tr>
    </w:tbl>
    <w:p>
      <w:pPr>
        <w:pStyle w:val="TextBody"/>
        <w:spacing w:lineRule="auto" w:line="288" w:before="120" w:after="120"/>
        <w:ind w:left="0" w:right="0" w:hanging="360"/>
        <w:rPr>
          <w:rFonts w:ascii="Times New Roman;sans-serif" w:hAnsi="Times New Roman;sans-serif"/>
          <w:b/>
          <w:color w:val="000000"/>
          <w:sz w:val="20"/>
        </w:rPr>
      </w:pPr>
      <w:r>
        <w:rPr>
          <w:rFonts w:ascii="Times New Roman;sans-serif" w:hAnsi="Times New Roman;sans-serif"/>
          <w:b/>
          <w:color w:val="000000"/>
          <w:sz w:val="20"/>
        </w:rPr>
        <w:t>Unfunded Lending Commitments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originated floating-rate reverse mortgage loans under which the borrowers have additional borrowing capacity of $1.8 billion at March 31, 2023. This additional borrowing capacity is available on a scheduled or unscheduled payment basis. During the three months ended March 31, 2023, we funded $67.7 million out of the $1.8 billion borrowing capacity as of December 31, 2022. We also had short-term commitments to lend $612.1 million and $21.9 million in connection with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and reverse mortgage loan IRLCs, respectively, outstanding at March 31, 2023. We finance originated and purchased forward and reverse mortgage loans with repurchase and participation agreements, referred to as warehouse lines.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HMBS Issuer Obligations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 payments). Our subservicing clients bear the financial obligation and risks associated with purchasing loans out of securitization pools within the portfolio we subservice.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Activity with regard to HMBS repurchases is as follows:</w:t>
      </w:r>
    </w:p>
    <w:tbl>
      <w:tblPr>
        <w:tblW w:w="8486" w:type="dxa"/>
        <w:jc w:val="center"/>
        <w:tblInd w:w="0" w:type="dxa"/>
        <w:tblCellMar>
          <w:top w:w="28" w:type="dxa"/>
          <w:left w:w="28" w:type="dxa"/>
          <w:bottom w:w="28" w:type="dxa"/>
          <w:right w:w="28" w:type="dxa"/>
        </w:tblCellMar>
      </w:tblPr>
      <w:tblGrid>
        <w:gridCol w:w="614"/>
        <w:gridCol w:w="539"/>
        <w:gridCol w:w="542"/>
        <w:gridCol w:w="270"/>
        <w:gridCol w:w="270"/>
        <w:gridCol w:w="266"/>
        <w:gridCol w:w="109"/>
        <w:gridCol w:w="109"/>
        <w:gridCol w:w="109"/>
        <w:gridCol w:w="211"/>
        <w:gridCol w:w="511"/>
        <w:gridCol w:w="109"/>
        <w:gridCol w:w="109"/>
        <w:gridCol w:w="109"/>
        <w:gridCol w:w="109"/>
        <w:gridCol w:w="265"/>
        <w:gridCol w:w="265"/>
        <w:gridCol w:w="266"/>
        <w:gridCol w:w="109"/>
        <w:gridCol w:w="109"/>
        <w:gridCol w:w="109"/>
        <w:gridCol w:w="211"/>
        <w:gridCol w:w="616"/>
        <w:gridCol w:w="109"/>
        <w:gridCol w:w="109"/>
        <w:gridCol w:w="109"/>
        <w:gridCol w:w="109"/>
        <w:gridCol w:w="270"/>
        <w:gridCol w:w="270"/>
        <w:gridCol w:w="266"/>
        <w:gridCol w:w="109"/>
        <w:gridCol w:w="109"/>
        <w:gridCol w:w="109"/>
        <w:gridCol w:w="211"/>
        <w:gridCol w:w="616"/>
        <w:gridCol w:w="154"/>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Inactive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net (1)</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amounts received upon assignment of loan to HUD, loan payoff, REO liquidation and claim proceeds less any amounts charged off as unrecoverable.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Client Concentration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Servicing segment has exposure to concentration risk and client retention risk. </w:t>
      </w:r>
    </w:p>
    <w:p>
      <w:pPr>
        <w:pStyle w:val="TextBody"/>
        <w:spacing w:lineRule="auto" w:line="288" w:before="0" w:after="0"/>
        <w:rPr/>
      </w:pPr>
      <w:r>
        <w:rPr>
          <w:rFonts w:ascii="Times New Roman;sans-serif" w:hAnsi="Times New Roman;sans-serif"/>
          <w:b w:val="false"/>
          <w:color w:val="000000"/>
          <w:sz w:val="20"/>
        </w:rPr>
        <w:t xml:space="preserve">As of March 31, 2023, our servicing portfolio included a significant client relationship with Rithm which represented 16% and 27% of our total servicing portfolio UPB and loan count, respectively, and approximately 68% of all delinquent loans that Ocwen services. Our Subservicing Agreements and Servicing Addendum with Rithm are in their second terms that end December 31, 2023, but they provide for </w:t>
      </w:r>
      <w:r>
        <w:rPr>
          <w:rFonts w:ascii="Times New Roman;sans-serif" w:hAnsi="Times New Roman;sans-serif"/>
          <w:b w:val="false"/>
          <w:color w:val="000000"/>
          <w:sz w:val="20"/>
          <w:highlight w:val="white"/>
        </w:rPr>
        <w:t>automatic one-year renewals, unless Ocwen (by July 1, 2023) or Rithm (by October 1, 2023) provide advance notice of termination</w:t>
      </w:r>
      <w:r>
        <w:rPr>
          <w:rFonts w:ascii="Times New Roman;sans-serif" w:hAnsi="Times New Roman;sans-serif"/>
          <w:b w:val="false"/>
          <w:color w:val="000000"/>
          <w:sz w:val="20"/>
        </w:rPr>
        <w:t>. At the end of the second term, if notice for termination is given by the appropriate time, Rithm has the right to terminate the Subservicing Agreements and Servicing Addendum for convenience. If Rithm exercises its right to terminate all or some of the agreements for convenience at the end of the Second Term on December 31, 2023, we might need to right-size certain aspects of our servicing business as well as the related corporate support functions. The impacts to our consolidated statements of operations in connection with our Rithm agreements are disclosed in Note 8 — Other Financing Liabilities, at Fair Value. Receivables and Other liabilities recorded on our consolidated balance sheets are disclosed in Note 9 – Receivables and Note 13 – Other Liabilities, respectively.</w:t>
      </w:r>
      <w:r>
        <w:rPr>
          <w:color w:val="000000"/>
        </w:rPr>
        <w:t xml:space="preserv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addition, as of March 31, 2023, our servicing portfolio also included a significant client relationship with MAV which represented 17% and 13% of our total servicing portfolio UPB and loan count, respectively. While our servicing agreement with MAV is non-cancellable and provides us with exclusivity, MAV is permitted to sell the underlying MSR without Ocwen’s consent after May 3, 2024. See Note 10 - Investment in Equity Method Investee and Related Party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90" w:type="dxa"/>
        <w:jc w:val="left"/>
        <w:tblInd w:w="0" w:type="dxa"/>
        <w:tblCellMar>
          <w:top w:w="28" w:type="dxa"/>
          <w:left w:w="28" w:type="dxa"/>
          <w:bottom w:w="28" w:type="dxa"/>
          <w:right w:w="28" w:type="dxa"/>
        </w:tblCellMar>
      </w:tblPr>
      <w:tblGrid>
        <w:gridCol w:w="702"/>
        <w:gridCol w:w="617"/>
        <w:gridCol w:w="871"/>
      </w:tblGrid>
      <w:tr>
        <w:trPr/>
        <w:tc>
          <w:tcPr>
            <w:tcW w:w="70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20 – Contingencies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inherently uncertain. The actual outcome could differ materially. Where we have retained external legal counsel or other professional advisers, such advisers assist us in making such assessments.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$40.0 million at March 31, 2023. We cannot currently estimate the amount, if any, of reasonably possible losses above amounts that have been recorded at March 31, 2023. </w:t>
      </w:r>
    </w:p>
    <w:p>
      <w:pPr>
        <w:pStyle w:val="TextBody"/>
        <w:spacing w:lineRule="auto" w:line="288" w:before="120" w:after="120"/>
        <w:rPr/>
      </w:pPr>
      <w:r>
        <w:rPr>
          <w:rFonts w:ascii="Times New Roman;sans-serif" w:hAnsi="Times New Roman;sans-serif"/>
          <w:b w:val="false"/>
          <w:color w:val="000000"/>
          <w:sz w:val="20"/>
        </w:rPr>
        <w:t xml:space="preserve">As previously disclosed, we are subject to individual lawsuits relating to our FDCPA compliance and putative state law class actions based on the FDCPA and similar state statutes. We are currently defending class actions challenging, under state and federal law, our practice of charging borrowers a fee to use certain optional payment methods, including: </w:t>
      </w:r>
      <w:r>
        <w:rPr>
          <w:rFonts w:ascii="Times New Roman;sans-serif" w:hAnsi="Times New Roman;sans-serif"/>
          <w:b w:val="false"/>
          <w:i/>
          <w:color w:val="000000"/>
          <w:sz w:val="20"/>
        </w:rPr>
        <w:t>Morris v. PHH Mortg. Corp., et al.</w:t>
      </w:r>
      <w:r>
        <w:rPr>
          <w:color w:val="000000"/>
        </w:rPr>
        <w:t xml:space="preserve"> </w:t>
      </w:r>
      <w:r>
        <w:rPr>
          <w:rFonts w:ascii="Times New Roman;sans-serif" w:hAnsi="Times New Roman;sans-serif"/>
          <w:b w:val="false"/>
          <w:color w:val="000000"/>
          <w:sz w:val="20"/>
        </w:rPr>
        <w:t xml:space="preserve">(S.D. FL), </w:t>
      </w:r>
      <w:r>
        <w:rPr>
          <w:rFonts w:ascii="Times New Roman;sans-serif" w:hAnsi="Times New Roman;sans-serif"/>
          <w:b w:val="false"/>
          <w:i/>
          <w:color w:val="000000"/>
          <w:sz w:val="20"/>
        </w:rPr>
        <w:t>Torliatt v. PHH Mortg. Corp., et al.</w:t>
      </w:r>
      <w:r>
        <w:rPr>
          <w:color w:val="000000"/>
        </w:rPr>
        <w:t xml:space="preserve"> </w:t>
      </w:r>
      <w:r>
        <w:rPr>
          <w:rFonts w:ascii="Times New Roman;sans-serif" w:hAnsi="Times New Roman;sans-serif"/>
          <w:b w:val="false"/>
          <w:color w:val="000000"/>
          <w:sz w:val="20"/>
        </w:rPr>
        <w:t xml:space="preserve">(N.D. Ca), </w:t>
      </w:r>
      <w:r>
        <w:rPr>
          <w:rFonts w:ascii="Times New Roman;sans-serif" w:hAnsi="Times New Roman;sans-serif"/>
          <w:b w:val="false"/>
          <w:i/>
          <w:color w:val="000000"/>
          <w:sz w:val="20"/>
        </w:rPr>
        <w:t>Thacker v. PHH Mortg. Corp., et al.</w:t>
      </w:r>
      <w:r>
        <w:rPr>
          <w:color w:val="000000"/>
        </w:rPr>
        <w:t xml:space="preserve"> </w:t>
      </w:r>
      <w:r>
        <w:rPr>
          <w:rFonts w:ascii="Times New Roman;sans-serif" w:hAnsi="Times New Roman;sans-serif"/>
          <w:b w:val="false"/>
          <w:color w:val="000000"/>
          <w:sz w:val="20"/>
        </w:rPr>
        <w:t xml:space="preserve">(N.D. WV), </w:t>
      </w:r>
      <w:r>
        <w:rPr>
          <w:rFonts w:ascii="Times New Roman;sans-serif" w:hAnsi="Times New Roman;sans-serif"/>
          <w:b w:val="false"/>
          <w:i/>
          <w:color w:val="000000"/>
          <w:sz w:val="20"/>
        </w:rPr>
        <w:t>Forest v. PHH Mortg. Corp., et al.</w:t>
      </w:r>
      <w:r>
        <w:rPr>
          <w:color w:val="000000"/>
        </w:rPr>
        <w:t xml:space="preserve"> </w:t>
      </w:r>
      <w:r>
        <w:rPr>
          <w:rFonts w:ascii="Times New Roman;sans-serif" w:hAnsi="Times New Roman;sans-serif"/>
          <w:b w:val="false"/>
          <w:color w:val="000000"/>
          <w:sz w:val="20"/>
        </w:rPr>
        <w:t xml:space="preserve">(D. RI), </w:t>
      </w:r>
      <w:r>
        <w:rPr>
          <w:rFonts w:ascii="Times New Roman;sans-serif" w:hAnsi="Times New Roman;sans-serif"/>
          <w:b w:val="false"/>
          <w:i/>
          <w:color w:val="000000"/>
          <w:sz w:val="20"/>
        </w:rPr>
        <w:t>Williams v. PHH Mortg. Corp., et al.</w:t>
      </w:r>
      <w:r>
        <w:rPr>
          <w:color w:val="000000"/>
        </w:rPr>
        <w:t xml:space="preserve"> </w:t>
      </w:r>
      <w:r>
        <w:rPr>
          <w:rFonts w:ascii="Times New Roman;sans-serif" w:hAnsi="Times New Roman;sans-serif"/>
          <w:b w:val="false"/>
          <w:color w:val="000000"/>
          <w:sz w:val="20"/>
        </w:rPr>
        <w:t xml:space="preserve">(S.D. TX) and </w:t>
      </w:r>
      <w:r>
        <w:rPr>
          <w:rFonts w:ascii="Times New Roman;sans-serif" w:hAnsi="Times New Roman;sans-serif"/>
          <w:b w:val="false"/>
          <w:i/>
          <w:color w:val="000000"/>
          <w:sz w:val="20"/>
        </w:rPr>
        <w:t xml:space="preserve">Jones v. PHH Mortg. Corp., et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pPr>
      <w:r>
        <w:rPr>
          <w:rFonts w:ascii="Times New Roman;sans-serif" w:hAnsi="Times New Roman;sans-serif"/>
          <w:b w:val="false"/>
          <w:i/>
          <w:color w:val="000000"/>
          <w:sz w:val="20"/>
        </w:rPr>
        <w:t xml:space="preserve">al. </w:t>
      </w:r>
      <w:r>
        <w:rPr>
          <w:rFonts w:ascii="Times New Roman;sans-serif" w:hAnsi="Times New Roman;sans-serif"/>
          <w:b w:val="false"/>
          <w:color w:val="000000"/>
          <w:sz w:val="20"/>
        </w:rPr>
        <w:t xml:space="preserve">(D. N.J.). We have reached settlements in five of these class actions. In the </w:t>
      </w:r>
      <w:r>
        <w:rPr>
          <w:rFonts w:ascii="Times New Roman;sans-serif" w:hAnsi="Times New Roman;sans-serif"/>
          <w:b w:val="false"/>
          <w:i/>
          <w:color w:val="000000"/>
          <w:sz w:val="20"/>
        </w:rPr>
        <w:t>Thacker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Torliatt</w:t>
      </w:r>
      <w:r>
        <w:rPr>
          <w:color w:val="000000"/>
        </w:rPr>
        <w:t xml:space="preserve"> </w:t>
      </w:r>
      <w:r>
        <w:rPr>
          <w:rFonts w:ascii="Times New Roman;sans-serif" w:hAnsi="Times New Roman;sans-serif"/>
          <w:b w:val="false"/>
          <w:color w:val="000000"/>
          <w:sz w:val="20"/>
        </w:rPr>
        <w:t xml:space="preserve">cases, the parties executed settlement agreements which were granted final approval by the Court in November 2022. In the </w:t>
      </w:r>
      <w:r>
        <w:rPr>
          <w:rFonts w:ascii="Times New Roman;sans-serif" w:hAnsi="Times New Roman;sans-serif"/>
          <w:b w:val="false"/>
          <w:i/>
          <w:color w:val="000000"/>
          <w:sz w:val="20"/>
        </w:rPr>
        <w:t>Morris</w:t>
      </w:r>
      <w:r>
        <w:rPr>
          <w:color w:val="000000"/>
        </w:rPr>
        <w:t xml:space="preserve"> </w:t>
      </w:r>
      <w:r>
        <w:rPr>
          <w:rFonts w:ascii="Times New Roman;sans-serif" w:hAnsi="Times New Roman;sans-serif"/>
          <w:b w:val="false"/>
          <w:color w:val="000000"/>
          <w:sz w:val="20"/>
        </w:rPr>
        <w:t xml:space="preserve">class action, the Court granted preliminary approval of the parties’ settlement, and we are proceeding with class notice before moving for final approval. In the </w:t>
      </w:r>
      <w:r>
        <w:rPr>
          <w:rFonts w:ascii="Times New Roman;sans-serif" w:hAnsi="Times New Roman;sans-serif"/>
          <w:b w:val="false"/>
          <w:i/>
          <w:color w:val="000000"/>
          <w:sz w:val="20"/>
        </w:rPr>
        <w:t>Williams</w:t>
      </w:r>
      <w:r>
        <w:rPr>
          <w:color w:val="000000"/>
        </w:rPr>
        <w:t xml:space="preserve"> </w:t>
      </w:r>
      <w:r>
        <w:rPr>
          <w:rFonts w:ascii="Times New Roman;sans-serif" w:hAnsi="Times New Roman;sans-serif"/>
          <w:b w:val="false"/>
          <w:color w:val="000000"/>
          <w:sz w:val="20"/>
        </w:rPr>
        <w:t xml:space="preserve">class action, the Court has granted preliminary approval of the settlement. Finally, we have reached a tentative settlement with the class plaintiffs in the </w:t>
      </w:r>
      <w:r>
        <w:rPr>
          <w:rFonts w:ascii="Times New Roman;sans-serif" w:hAnsi="Times New Roman;sans-serif"/>
          <w:b w:val="false"/>
          <w:i/>
          <w:color w:val="000000"/>
          <w:sz w:val="20"/>
        </w:rPr>
        <w:t>Forest</w:t>
      </w:r>
      <w:r>
        <w:rPr>
          <w:color w:val="000000"/>
        </w:rPr>
        <w:t xml:space="preserve"> </w:t>
      </w:r>
      <w:r>
        <w:rPr>
          <w:rFonts w:ascii="Times New Roman;sans-serif" w:hAnsi="Times New Roman;sans-serif"/>
          <w:b w:val="false"/>
          <w:color w:val="000000"/>
          <w:sz w:val="20"/>
        </w:rPr>
        <w:t xml:space="preserve">class action. In February 2023, the </w:t>
      </w:r>
      <w:r>
        <w:rPr>
          <w:rFonts w:ascii="Times New Roman;sans-serif" w:hAnsi="Times New Roman;sans-serif"/>
          <w:b w:val="false"/>
          <w:i/>
          <w:color w:val="000000"/>
          <w:sz w:val="20"/>
        </w:rPr>
        <w:t>Jones</w:t>
      </w:r>
      <w:r>
        <w:rPr>
          <w:color w:val="000000"/>
        </w:rPr>
        <w:t xml:space="preserve"> </w:t>
      </w:r>
      <w:r>
        <w:rPr>
          <w:rFonts w:ascii="Times New Roman;sans-serif" w:hAnsi="Times New Roman;sans-serif"/>
          <w:b w:val="false"/>
          <w:color w:val="000000"/>
          <w:sz w:val="20"/>
        </w:rPr>
        <w:t>class action was filed in federal court in New Jersey and we have taken initial steps to file a motion to dismiss the complaint.</w:t>
      </w:r>
    </w:p>
    <w:p>
      <w:pPr>
        <w:pStyle w:val="TextBody"/>
        <w:spacing w:lineRule="auto" w:line="288" w:before="120" w:after="120"/>
        <w:rPr/>
      </w:pPr>
      <w:r>
        <w:rPr>
          <w:rFonts w:ascii="Times New Roman;sans-serif" w:hAnsi="Times New Roman;sans-serif"/>
          <w:b w:val="false"/>
          <w:color w:val="000000"/>
          <w:sz w:val="20"/>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Times New Roman;sans-serif" w:hAnsi="Times New Roman;sans-serif"/>
          <w:b w:val="false"/>
          <w:i/>
          <w:color w:val="000000"/>
          <w:sz w:val="20"/>
        </w:rPr>
        <w:t>Munoz v. PHH Mortgage Corp. et al.</w:t>
      </w:r>
      <w:r>
        <w:rPr>
          <w:color w:val="000000"/>
        </w:rPr>
        <w:t xml:space="preserve"> </w:t>
      </w:r>
      <w:r>
        <w:rPr>
          <w:rFonts w:ascii="Times New Roman;sans-serif" w:hAnsi="Times New Roman;sans-serif"/>
          <w:b w:val="false"/>
          <w:color w:val="000000"/>
          <w:sz w:val="20"/>
        </w:rPr>
        <w:t>(Eastern District of California). In June 2015, the court certified a class of borrowers who obtained loans with private 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on February 24, 2023 that court reversed and remanded for further proceedings. Ocwen will continue to vigorously defend itself. Our current accrual with respect to this matter is included in the $40.0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pStyle w:val="TextBody"/>
        <w:spacing w:lineRule="auto" w:line="288" w:before="120" w:after="120"/>
        <w:rPr/>
      </w:pPr>
      <w:r>
        <w:rPr>
          <w:rFonts w:ascii="Times New Roman;sans-serif" w:hAnsi="Times New Roman;sans-serif"/>
          <w:b w:val="false"/>
          <w:color w:val="000000"/>
          <w:sz w:val="20"/>
        </w:rPr>
        <w:t>Ocwen is a defendant in a certified class action in the U.S. District Court in the Eastern District of California where the plaintiffs claim Ocwen marked up fees for property valuations and title searches in violation of California state law. See</w:t>
      </w:r>
      <w:r>
        <w:rPr>
          <w:color w:val="000000"/>
        </w:rPr>
        <w:t xml:space="preserve"> </w:t>
      </w:r>
      <w:r>
        <w:rPr>
          <w:rFonts w:ascii="Times New Roman;sans-serif" w:hAnsi="Times New Roman;sans-serif"/>
          <w:b w:val="false"/>
          <w:i/>
          <w:color w:val="000000"/>
          <w:sz w:val="20"/>
        </w:rPr>
        <w:t>Weiner v. Ocwen Financial Corp., et al</w:t>
      </w:r>
      <w:r>
        <w:rPr>
          <w:rFonts w:ascii="Times New Roman;sans-serif" w:hAnsi="Times New Roman;sans-serif"/>
          <w:b w:val="false"/>
          <w:color w:val="000000"/>
          <w:sz w:val="20"/>
        </w:rPr>
        <w:t xml:space="preserve">. In May 2020, the court ruled that plaintiff’s recoverable damages are limited to out-of-pocket costs, </w:t>
      </w:r>
      <w:r>
        <w:rPr>
          <w:rFonts w:ascii="Times New Roman;sans-serif" w:hAnsi="Times New Roman;sans-serif"/>
          <w:b w:val="false"/>
          <w:i/>
          <w:color w:val="000000"/>
          <w:sz w:val="20"/>
        </w:rPr>
        <w:t>i.e.</w:t>
      </w:r>
      <w:r>
        <w:rPr>
          <w:rFonts w:ascii="Times New Roman;sans-serif" w:hAnsi="Times New Roman;sans-serif"/>
          <w:b w:val="false"/>
          <w:color w:val="000000"/>
          <w:sz w:val="20"/>
        </w:rPr>
        <w:t>, the amount of marked-up fees actually paid, rather than the entire cost of the valuation that plaintiffs sought. Following further pre-trial developments, in August 2022, the Court entered an order granting our motion to decertify each of the three classes. The plaintiffs filed a petition for permission to appeal the decertification decision and a motion asking the trial court to reconsider its decertification decision, and on February 28, 2023, the court granted that motion.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pStyle w:val="TextBody"/>
        <w:spacing w:lineRule="auto" w:line="288" w:before="120" w:after="120"/>
        <w:rPr/>
      </w:pPr>
      <w:r>
        <w:rPr>
          <w:rFonts w:ascii="Times New Roman;sans-serif" w:hAnsi="Times New Roman;sans-serif"/>
          <w:b w:val="false"/>
          <w:color w:val="000000"/>
          <w:sz w:val="20"/>
        </w:rPr>
        <w:t xml:space="preserve">We are currently involved in a dispute with a former subservicing client, HSBC Bank USA, N.A. (HSBC), which filed a complaint in the Supreme Court of the State of New York against PHH. See </w:t>
      </w:r>
      <w:r>
        <w:rPr>
          <w:rFonts w:ascii="Times New Roman;sans-serif" w:hAnsi="Times New Roman;sans-serif"/>
          <w:b w:val="false"/>
          <w:i/>
          <w:color w:val="000000"/>
          <w:sz w:val="20"/>
        </w:rPr>
        <w:t>HSBC Bank USA, N.A. v. PHH Mortgage Corp.</w:t>
      </w:r>
      <w:r>
        <w:rPr>
          <w:color w:val="000000"/>
        </w:rPr>
        <w:t xml:space="preserve"> </w:t>
      </w:r>
      <w:r>
        <w:rPr>
          <w:rFonts w:ascii="Times New Roman;sans-serif" w:hAnsi="Times New Roman;sans-serif"/>
          <w:b w:val="false"/>
          <w:color w:val="000000"/>
          <w:sz w:val="20"/>
        </w:rPr>
        <w:t xml:space="preserve">(Supreme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Regulatory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CFPB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pStyle w:val="TextBody"/>
        <w:spacing w:lineRule="auto" w:line="288" w:before="120" w:after="120"/>
        <w:rPr/>
      </w:pPr>
      <w:r>
        <w:rPr>
          <w:rFonts w:ascii="Times New Roman;sans-serif" w:hAnsi="Times New Roman;sans-serif"/>
          <w:b w:val="false"/>
          <w:color w:val="000000"/>
          <w:sz w:val="20"/>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Times New Roman;sans-serif" w:hAnsi="Times New Roman;sans-serif"/>
          <w:b w:val="false"/>
          <w:i/>
          <w:color w:val="000000"/>
          <w:sz w:val="20"/>
        </w:rPr>
        <w:t>res judicata</w:t>
      </w:r>
      <w:r>
        <w:rPr>
          <w:color w:val="000000"/>
        </w:rPr>
        <w:t xml:space="preserve"> </w:t>
      </w:r>
      <w:r>
        <w:rPr>
          <w:rFonts w:ascii="Times New Roman;sans-serif" w:hAnsi="Times New Roman;sans-serif"/>
          <w:b w:val="false"/>
          <w:color w:val="000000"/>
          <w:sz w:val="20"/>
        </w:rPr>
        <w:t xml:space="preserve">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On April 6, 2022, the Eleventh Circuit issued its opinion relating to the appeal,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Neither party sought rehearing of the Eleventh Circuit’s decision. Following briefing and oral argument, on May 2, 2023, the court issued an order granting in full Ocwen’s motion for summary judgment on the remaining 9 counts. In that order, based on a claim by claim analysis, the court found that all of the CFPB’s claims were barred under the principles of res judicata because they were premised on servicing activity covered by the 2014 Consent Judgment referenced above. Also on May 2, 2023, the court entered final judgment in our favor, denied all pending motions as moot, and closed the case. To the extent the CFPB appeals the court’s order, Ocwen will continue to vigorously defend itself.</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accrual with respect to this matter is included in the $40.0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State Licensing and Other Matters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Loan Put-Back and Related Contingencies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exposure to representation, warranty and indemnification obligations relating to our lending, loan sales and securitization activities, and servicing practices. We receive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 through MSR flow purchase agreements or Agency Cash Window programs.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March 31, 2022, we had outstanding representation and warranty repurchase demands of $31.0 million UPB (127 loans) and $49.8 million UPB (270 loans), respectively. We review each demand and monitor through resolution, primarily through rescission, loan repurchase or make-whole payment.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liability for representation and warranty obligations and similar indemnification obligations:</w:t>
      </w:r>
    </w:p>
    <w:tbl>
      <w:tblPr>
        <w:tblW w:w="8275" w:type="dxa"/>
        <w:jc w:val="left"/>
        <w:tblInd w:w="0" w:type="dxa"/>
        <w:tblCellMar>
          <w:top w:w="28" w:type="dxa"/>
          <w:left w:w="28" w:type="dxa"/>
          <w:bottom w:w="28" w:type="dxa"/>
          <w:right w:w="28" w:type="dxa"/>
        </w:tblCellMar>
      </w:tblPr>
      <w:tblGrid>
        <w:gridCol w:w="1974"/>
        <w:gridCol w:w="1730"/>
        <w:gridCol w:w="1741"/>
        <w:gridCol w:w="294"/>
        <w:gridCol w:w="712"/>
        <w:gridCol w:w="151"/>
        <w:gridCol w:w="151"/>
        <w:gridCol w:w="151"/>
        <w:gridCol w:w="151"/>
        <w:gridCol w:w="294"/>
        <w:gridCol w:w="712"/>
        <w:gridCol w:w="214"/>
      </w:tblGrid>
      <w:tr>
        <w:trPr/>
        <w:tc>
          <w:tcPr>
            <w:tcW w:w="1974"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(reversal of) representation and warranty obligations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production liability</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Charge-offs and other (2) </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(1)</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liability for representation and warranty obligations and compensatory fees for foreclosures is reported in Other liabilities (a component of Liability for indemnification obligations) on our unaudited consolidated balance sheets.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(2)Includes principal and interest losses realized in connection with repurchased loans, make-whole, indemnification and fee payments and settlements net of recoveries, if any.</w:t>
      </w:r>
    </w:p>
    <w:p>
      <w:pPr>
        <w:pStyle w:val="TextBody"/>
        <w:spacing w:lineRule="auto" w:line="288" w:before="120" w:after="283"/>
        <w:rPr/>
      </w:pPr>
      <w:r>
        <w:rPr>
          <w:rFonts w:ascii="Times New Roman;sans-serif" w:hAnsi="Times New Roman;sans-serif"/>
          <w:b w:val="false"/>
          <w:color w:val="000000"/>
          <w:sz w:val="20"/>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2023</w:t>
      </w:r>
      <w:r>
        <w:rPr>
          <w:rFonts w:ascii="Times New Roman;sans-serif" w:hAnsi="Times New Roman;sans-serif"/>
          <w:b w:val="false"/>
          <w:color w:val="000000"/>
          <w:sz w:val="18"/>
        </w:rPr>
        <w: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Ocwen, on its own behalf and on behalf of various mortgage loan investors, has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entered into tolling agreements, initiated arbitration or litigation, engaged in settlement discussions, or took other similar actions. Ocwen has now settled or otherwise resolved all of its pending mortgage insurance litigation matters.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ind w:left="0" w:right="0" w:hanging="1440"/>
        <w:rPr>
          <w:rFonts w:ascii="Times New Roman;sans-serif" w:hAnsi="Times New Roman;sans-serif"/>
          <w:b/>
          <w:color w:val="000000"/>
          <w:sz w:val="20"/>
        </w:rPr>
      </w:pPr>
      <w:r>
        <w:rPr>
          <w:rFonts w:ascii="Times New Roman;sans-serif" w:hAnsi="Times New Roman;sans-serif"/>
          <w:b/>
          <w:color w:val="000000"/>
          <w:sz w:val="20"/>
        </w:rPr>
        <w:t>Note 21 – Subsequent Events</w:t>
      </w:r>
    </w:p>
    <w:p>
      <w:pPr>
        <w:pStyle w:val="TextBody"/>
        <w:spacing w:lineRule="auto" w:line="26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purchased active and inactive reverse mortgage loan buyouts for $110.1 million. The transaction was financed through a master repurchase agreement with total uncommitted capacity of $200.0 million. The purchased assets included loans, claim receivables from HUD and REOs.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6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60" w:after="283"/>
        <w:ind w:left="0" w:right="0" w:hanging="1080"/>
        <w:rPr>
          <w:rFonts w:ascii="Times New Roman;sans-serif" w:hAnsi="Times New Roman;sans-serif"/>
          <w:b/>
          <w:color w:val="000000"/>
          <w:sz w:val="20"/>
        </w:rPr>
      </w:pPr>
      <w:r>
        <w:rPr>
          <w:rFonts w:ascii="Times New Roman;sans-serif" w:hAnsi="Times New Roman;sans-serif"/>
          <w:b/>
          <w:color w:val="000000"/>
          <w:sz w:val="20"/>
        </w:rPr>
        <w:t>(Dollars in millions, except per share amounts and unless otherwise indicated)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261" w:type="dxa"/>
        <w:jc w:val="left"/>
        <w:tblInd w:w="0" w:type="dxa"/>
        <w:tblCellMar>
          <w:top w:w="28" w:type="dxa"/>
          <w:left w:w="28" w:type="dxa"/>
          <w:bottom w:w="28" w:type="dxa"/>
          <w:right w:w="28" w:type="dxa"/>
        </w:tblCellMar>
      </w:tblPr>
      <w:tblGrid>
        <w:gridCol w:w="404"/>
        <w:gridCol w:w="355"/>
        <w:gridCol w:w="502"/>
      </w:tblGrid>
      <w:tr>
        <w:trPr/>
        <w:tc>
          <w:tcPr>
            <w:tcW w:w="40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OVERVIEW</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non-bank mortgage servicer and originator providing solutions through our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serviced 1.4 million loans with a total UPB of $298.5 billion on behalf of more than 3,800 investors and 114 subservicing clients as of March 31, 2023.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volume of Originations by channel, in the first quarter of 2023, compared with the preceding quarter, and the corresponding quarter of the prior year. The volume of Originations is a key driver of the profitability of our Originations segment, together with margins, and a key driver of the replenishment and growth of our Servicing segment. In the first quarter of 2023, we added $17.5 billion of new volume, with $12.8 billion of new subservicing and $4.5 billion of non-bulk new servicing, as further detailed in the below table. </w:t>
      </w:r>
    </w:p>
    <w:tbl>
      <w:tblPr>
        <w:tblW w:w="10205" w:type="dxa"/>
        <w:jc w:val="left"/>
        <w:tblInd w:w="0" w:type="dxa"/>
        <w:tblCellMar>
          <w:top w:w="28" w:type="dxa"/>
          <w:left w:w="28" w:type="dxa"/>
          <w:bottom w:w="28" w:type="dxa"/>
          <w:right w:w="28" w:type="dxa"/>
        </w:tblCellMar>
      </w:tblPr>
      <w:tblGrid>
        <w:gridCol w:w="945"/>
        <w:gridCol w:w="710"/>
        <w:gridCol w:w="716"/>
        <w:gridCol w:w="265"/>
        <w:gridCol w:w="643"/>
        <w:gridCol w:w="137"/>
        <w:gridCol w:w="109"/>
        <w:gridCol w:w="109"/>
        <w:gridCol w:w="109"/>
        <w:gridCol w:w="312"/>
        <w:gridCol w:w="755"/>
        <w:gridCol w:w="162"/>
        <w:gridCol w:w="109"/>
        <w:gridCol w:w="109"/>
        <w:gridCol w:w="109"/>
        <w:gridCol w:w="109"/>
        <w:gridCol w:w="109"/>
        <w:gridCol w:w="980"/>
        <w:gridCol w:w="211"/>
        <w:gridCol w:w="511"/>
        <w:gridCol w:w="109"/>
        <w:gridCol w:w="305"/>
        <w:gridCol w:w="656"/>
        <w:gridCol w:w="157"/>
        <w:gridCol w:w="314"/>
        <w:gridCol w:w="314"/>
        <w:gridCol w:w="315"/>
        <w:gridCol w:w="211"/>
        <w:gridCol w:w="442"/>
        <w:gridCol w:w="163"/>
      </w:tblGrid>
      <w:tr>
        <w:trPr/>
        <w:tc>
          <w:tcPr>
            <w:tcW w:w="94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2710" w:type="dxa"/>
            <w:gridSpan w:val="10"/>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759" w:type="dxa"/>
            <w:gridSpan w:val="6"/>
            <w:tcBorders/>
            <w:shd w:fill="auto" w:val="clear"/>
          </w:tcPr>
          <w:p>
            <w:pPr>
              <w:pStyle w:val="TableContents"/>
              <w:spacing w:before="0" w:after="283"/>
              <w:rPr>
                <w:sz w:val="4"/>
                <w:szCs w:val="4"/>
              </w:rPr>
            </w:pPr>
            <w:r>
              <w:rPr>
                <w:sz w:val="4"/>
                <w:szCs w:val="4"/>
              </w:rPr>
            </w:r>
          </w:p>
        </w:tc>
      </w:tr>
      <w:tr>
        <w:trPr/>
        <w:tc>
          <w:tcPr>
            <w:tcW w:w="2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0" w:type="dxa"/>
            <w:gridSpan w:val="1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 vs Q4 2022</w:t>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 vs Q1 2022</w:t>
            </w:r>
          </w:p>
        </w:tc>
        <w:tc>
          <w:tcPr>
            <w:tcW w:w="1759" w:type="dxa"/>
            <w:gridSpan w:val="6"/>
            <w:tcBorders/>
            <w:shd w:fill="auto" w:val="clear"/>
          </w:tcPr>
          <w:p>
            <w:pPr>
              <w:pStyle w:val="TableContents"/>
              <w:spacing w:before="0" w:after="283"/>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originations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 Consumer Direct MSR (1)</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 MSR (1)</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 and Agency Cash Window MSR purchases (2)</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servicing (3)</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 (2)</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additions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forward subservicing</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new forward subservicing</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 additions (4)</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servicing and subservicing UPB additions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(1)Represents the UPB of loans that have been originated or purchased (funded) during the respective periods and for which we recognize a new MSR on our consolidated balance sheets upon sale or securitization.</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(2)Represents the UPB of loans for which the MSR is purchased.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(3)Represents the UPB of reverse mortgage loans that have been securitized on a servicing retained basis. The loans are recognized on our consolidated balance sheets under GAAP without any separate recognition of MSRs.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(4)Includes interim subservicing, including the volume of UPB associated with short-term interim subservicing for certain clients as a support to their originate-to-sell business.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average volume of our Servicing segment during the first quarter of 2023, compared with the preceding quarter and corresponding quarter of the prior year. The average volume of Servicing is a key driver of the profitability of our Servicing segment. The relative weight of performing and delinquent loans or servicing and subservicing also drive the gross revenue and expenses, and their timing.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07"/>
        <w:gridCol w:w="668"/>
        <w:gridCol w:w="672"/>
        <w:gridCol w:w="495"/>
        <w:gridCol w:w="364"/>
        <w:gridCol w:w="277"/>
        <w:gridCol w:w="116"/>
        <w:gridCol w:w="116"/>
        <w:gridCol w:w="116"/>
        <w:gridCol w:w="635"/>
        <w:gridCol w:w="374"/>
        <w:gridCol w:w="329"/>
        <w:gridCol w:w="116"/>
        <w:gridCol w:w="116"/>
        <w:gridCol w:w="116"/>
        <w:gridCol w:w="116"/>
        <w:gridCol w:w="109"/>
        <w:gridCol w:w="533"/>
        <w:gridCol w:w="446"/>
        <w:gridCol w:w="279"/>
        <w:gridCol w:w="335"/>
        <w:gridCol w:w="335"/>
        <w:gridCol w:w="337"/>
        <w:gridCol w:w="533"/>
        <w:gridCol w:w="327"/>
        <w:gridCol w:w="279"/>
        <w:gridCol w:w="109"/>
        <w:gridCol w:w="109"/>
        <w:gridCol w:w="109"/>
        <w:gridCol w:w="211"/>
        <w:gridCol w:w="211"/>
        <w:gridCol w:w="310"/>
      </w:tblGrid>
      <w:tr>
        <w:trPr/>
        <w:tc>
          <w:tcPr>
            <w:tcW w:w="1007"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3286" w:type="dxa"/>
            <w:gridSpan w:val="1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UPB</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59" w:type="dxa"/>
            <w:gridSpan w:val="6"/>
            <w:tcBorders/>
            <w:shd w:fill="auto" w:val="clear"/>
          </w:tcPr>
          <w:p>
            <w:pPr>
              <w:pStyle w:val="TableContents"/>
              <w:spacing w:before="0" w:after="283"/>
              <w:rPr>
                <w:sz w:val="4"/>
                <w:szCs w:val="4"/>
              </w:rPr>
            </w:pPr>
            <w:r>
              <w:rPr>
                <w:sz w:val="4"/>
                <w:szCs w:val="4"/>
              </w:rPr>
            </w:r>
          </w:p>
        </w:tc>
      </w:tr>
      <w:tr>
        <w:trPr/>
        <w:tc>
          <w:tcPr>
            <w:tcW w:w="2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6" w:type="dxa"/>
            <w:gridSpan w:val="1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 vs Q4 2022</w:t>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 vs Q1 2022</w:t>
            </w:r>
          </w:p>
        </w:tc>
        <w:tc>
          <w:tcPr>
            <w:tcW w:w="1059" w:type="dxa"/>
            <w:gridSpan w:val="6"/>
            <w:tcBorders/>
            <w:shd w:fill="auto" w:val="clear"/>
          </w:tcPr>
          <w:p>
            <w:pPr>
              <w:pStyle w:val="TableContents"/>
              <w:spacing w:before="0" w:after="283"/>
              <w:rPr>
                <w:sz w:val="4"/>
                <w:szCs w:val="4"/>
              </w:rPr>
            </w:pPr>
            <w:r>
              <w:rPr>
                <w:sz w:val="4"/>
                <w:szCs w:val="4"/>
              </w:rPr>
            </w:r>
          </w:p>
        </w:tc>
      </w:tr>
      <w:tr>
        <w:trPr/>
        <w:tc>
          <w:tcPr>
            <w:tcW w:w="2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(formerly NRZ) and others</w:t>
            </w:r>
          </w:p>
        </w:tc>
        <w:tc>
          <w:tcPr>
            <w:tcW w:w="11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2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11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(including interim subservicing)</w:t>
            </w:r>
          </w:p>
        </w:tc>
        <w:tc>
          <w:tcPr>
            <w:tcW w:w="11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2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loans (owned)</w:t>
            </w:r>
          </w:p>
        </w:tc>
        <w:tc>
          <w:tcPr>
            <w:tcW w:w="11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other servicing</w:t>
            </w:r>
          </w:p>
        </w:tc>
        <w:tc>
          <w:tcPr>
            <w:tcW w:w="11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23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serviced and subserviced UPB (average)</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total serviced and subserviced UPB amounted to $298.5 billion and $289.8 billion, respectively, a net increase of $8.7 billion or 3%. </w:t>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for the first quarter of 2023</w:t>
      </w:r>
    </w:p>
    <w:p>
      <w:pPr>
        <w:pStyle w:val="TextBody"/>
        <w:spacing w:lineRule="auto" w:line="288" w:before="120" w:after="60"/>
        <w:ind w:left="0" w:right="0" w:hanging="360"/>
        <w:rPr/>
      </w:pPr>
      <w:r>
        <w:rPr>
          <w:color w:val="000000"/>
        </w:rPr>
        <w:t>•</w:t>
      </w:r>
      <w:r>
        <w:rPr>
          <w:rFonts w:ascii="Times New Roman;sans-serif" w:hAnsi="Times New Roman;sans-serif"/>
          <w:b w:val="false"/>
          <w:color w:val="000000"/>
          <w:sz w:val="20"/>
        </w:rPr>
        <w:t>Net loss of $(40) million, or $(5.34) per share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Servicing and subservicing fee revenue of $232 million</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Originations gain on sale of $4 million</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$35 million MSR valuation loss in Servicing attributable to rate and assumption changes, net of hedging</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Financial condition at the end of the first quarter of 2023</w:t>
      </w:r>
    </w:p>
    <w:p>
      <w:pPr>
        <w:pStyle w:val="TextBody"/>
        <w:spacing w:lineRule="auto" w:line="288" w:before="120" w:after="60"/>
        <w:ind w:left="0" w:right="0" w:hanging="360"/>
        <w:rPr/>
      </w:pPr>
      <w:r>
        <w:rPr>
          <w:color w:val="000000"/>
        </w:rPr>
        <w:t>•</w:t>
      </w:r>
      <w:r>
        <w:rPr>
          <w:rFonts w:ascii="Times New Roman;sans-serif" w:hAnsi="Times New Roman;sans-serif"/>
          <w:b w:val="false"/>
          <w:color w:val="000000"/>
          <w:sz w:val="20"/>
        </w:rPr>
        <w:t>Stockholders’ equity of $416 million, or $54.50 book value per common share</w:t>
      </w:r>
      <w:r>
        <w:rPr>
          <w:color w:val="000000"/>
        </w:rPr>
        <w:t xml:space="preserve">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MSR investment of $2.6 billion, down $85 million, and a $6.3 billion increase in the average serviced and subserviced UPB in the quarter</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Cash position of $217 million</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Total assets of $12.6 billion </w:t>
      </w:r>
    </w:p>
    <w:p>
      <w:pPr>
        <w:pStyle w:val="TextBody"/>
        <w:spacing w:lineRule="auto" w:line="288" w:before="180" w:after="120"/>
        <w:rPr/>
      </w:pPr>
      <w:r>
        <w:rPr>
          <w:rFonts w:ascii="Times New Roman;sans-serif" w:hAnsi="Times New Roman;sans-serif"/>
          <w:b/>
          <w:color w:val="000000"/>
          <w:sz w:val="20"/>
        </w:rPr>
        <w:t>Business Initiatives</w:t>
      </w:r>
      <w:r>
        <w:rPr>
          <w:color w:val="000000"/>
        </w:rPr>
        <w:t xml:space="preserve"> </w: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We established the following key operating objectives to return to sustainable profitability and drive improved value for shareholders. As our near-term priority remains to return to sustainable profitability, we continue to execute our strategy around these objectives: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Leveraging the core strengths of our balanced and diversified business model through a continued focus on servicing and maintaining agility to address a potential recession;</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Driving prudent growth adapted for the environment, including emphasis on subservicing to drive servicing portfolio UPB growth and expansion of higher margin originations products and clients;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Reducing cost structure across the organization to achieve industry cost leadership by maintaining continuous cost improvement discipline and optimizing technology, global operations, and scale;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Optimizing liquidity, diversifying capital sources, including leveraging our MSR asset vehicle with Oaktree and expanding our multi-investor partnership model to fund new MSR originations, repositioning for higher rates and allocating capital to deliver value for shareholders.</w:t>
      </w:r>
    </w:p>
    <w:p>
      <w:pPr>
        <w:pStyle w:val="TextBody"/>
        <w:spacing w:lineRule="auto" w:line="288" w:before="0" w:after="60"/>
        <w:rPr/>
      </w:pPr>
      <w:r>
        <w:rPr>
          <w:rFonts w:ascii="Times New Roman;sans-serif" w:hAnsi="Times New Roman;sans-serif"/>
          <w:b w:val="false"/>
          <w:color w:val="000000"/>
          <w:sz w:val="20"/>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Times New Roman;sans-serif" w:hAnsi="Times New Roman;sans-serif"/>
          <w:b w:val="false"/>
          <w:color w:val="293849"/>
          <w:sz w:val="20"/>
        </w:rPr>
        <w:t xml:space="preserve">. </w:t>
      </w:r>
      <w:r>
        <w:rPr>
          <w:rFonts w:ascii="Times New Roman;sans-serif" w:hAnsi="Times New Roman;sans-serif"/>
          <w:b w:val="false"/>
          <w:color w:val="000000"/>
          <w:sz w:val="20"/>
        </w:rPr>
        <w:t xml:space="preserve">We have engaged in such transactions in the past, and we continue to explore opportunities that may be accretive to our business and stockholders’ value. </w:t>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analysis of financial condition and results of operations appearing in our Annual Report on Form 10-K for the fiscal year ended December 31, 2022. </w:t>
      </w:r>
    </w:p>
    <w:tbl>
      <w:tblPr>
        <w:tblW w:w="10205" w:type="dxa"/>
        <w:jc w:val="left"/>
        <w:tblInd w:w="0" w:type="dxa"/>
        <w:tblCellMar>
          <w:top w:w="28" w:type="dxa"/>
          <w:left w:w="28" w:type="dxa"/>
          <w:bottom w:w="28" w:type="dxa"/>
          <w:right w:w="28" w:type="dxa"/>
        </w:tblCellMar>
      </w:tblPr>
      <w:tblGrid>
        <w:gridCol w:w="715"/>
        <w:gridCol w:w="581"/>
        <w:gridCol w:w="585"/>
        <w:gridCol w:w="381"/>
        <w:gridCol w:w="302"/>
        <w:gridCol w:w="273"/>
        <w:gridCol w:w="128"/>
        <w:gridCol w:w="128"/>
        <w:gridCol w:w="128"/>
        <w:gridCol w:w="508"/>
        <w:gridCol w:w="308"/>
        <w:gridCol w:w="276"/>
        <w:gridCol w:w="109"/>
        <w:gridCol w:w="109"/>
        <w:gridCol w:w="109"/>
        <w:gridCol w:w="109"/>
        <w:gridCol w:w="109"/>
        <w:gridCol w:w="330"/>
        <w:gridCol w:w="330"/>
        <w:gridCol w:w="331"/>
        <w:gridCol w:w="109"/>
        <w:gridCol w:w="109"/>
        <w:gridCol w:w="109"/>
        <w:gridCol w:w="109"/>
        <w:gridCol w:w="109"/>
        <w:gridCol w:w="109"/>
        <w:gridCol w:w="718"/>
        <w:gridCol w:w="511"/>
        <w:gridCol w:w="374"/>
        <w:gridCol w:w="109"/>
        <w:gridCol w:w="109"/>
        <w:gridCol w:w="109"/>
        <w:gridCol w:w="109"/>
        <w:gridCol w:w="109"/>
        <w:gridCol w:w="109"/>
        <w:gridCol w:w="109"/>
        <w:gridCol w:w="109"/>
        <w:gridCol w:w="109"/>
        <w:gridCol w:w="248"/>
        <w:gridCol w:w="249"/>
        <w:gridCol w:w="621"/>
      </w:tblGrid>
      <w:tr>
        <w:trPr/>
        <w:tc>
          <w:tcPr>
            <w:tcW w:w="71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18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Results of Operations</w:t>
            </w:r>
          </w:p>
        </w:tc>
        <w:tc>
          <w:tcPr>
            <w:tcW w:w="24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81" w:type="dxa"/>
            <w:gridSpan w:val="3"/>
            <w:vMerge w:val="continue"/>
            <w:tcBorders/>
            <w:shd w:fill="auto" w:val="clear"/>
            <w:tcMar>
              <w:top w:w="0" w:type="dxa"/>
              <w:left w:w="0" w:type="dxa"/>
              <w:bottom w:w="0" w:type="dxa"/>
              <w:right w:w="0" w:type="dxa"/>
            </w:tcMar>
            <w:vAlign w:val="center"/>
          </w:tcPr>
          <w:p>
            <w:pPr>
              <w:pStyle w:val="Normal"/>
              <w:rPr/>
            </w:pPr>
            <w:r>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81" w:type="dxa"/>
            <w:gridSpan w:val="3"/>
            <w:vMerge w:val="continue"/>
            <w:tcBorders/>
            <w:shd w:fill="auto" w:val="clear"/>
            <w:tcMar>
              <w:top w:w="0" w:type="dxa"/>
              <w:left w:w="0" w:type="dxa"/>
              <w:bottom w:w="0" w:type="dxa"/>
              <w:right w:w="0" w:type="dxa"/>
            </w:tcMar>
            <w:vAlign w:val="center"/>
          </w:tcPr>
          <w:p>
            <w:pPr>
              <w:pStyle w:val="Normal"/>
              <w:rPr/>
            </w:pPr>
            <w:r>
              <w:rPr/>
            </w:r>
          </w:p>
        </w:tc>
        <w:tc>
          <w:tcPr>
            <w:tcW w:w="9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6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Segment income (loss) before income taxes</w:t>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1"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presents total revenue by segment and at the consolidated level: </w:t>
      </w:r>
    </w:p>
    <w:tbl>
      <w:tblPr>
        <w:tblW w:w="10205" w:type="dxa"/>
        <w:jc w:val="left"/>
        <w:tblInd w:w="0" w:type="dxa"/>
        <w:tblCellMar>
          <w:top w:w="28" w:type="dxa"/>
          <w:left w:w="28" w:type="dxa"/>
          <w:bottom w:w="28" w:type="dxa"/>
          <w:right w:w="28" w:type="dxa"/>
        </w:tblCellMar>
      </w:tblPr>
      <w:tblGrid>
        <w:gridCol w:w="676"/>
        <w:gridCol w:w="552"/>
        <w:gridCol w:w="559"/>
        <w:gridCol w:w="403"/>
        <w:gridCol w:w="300"/>
        <w:gridCol w:w="271"/>
        <w:gridCol w:w="138"/>
        <w:gridCol w:w="138"/>
        <w:gridCol w:w="138"/>
        <w:gridCol w:w="527"/>
        <w:gridCol w:w="308"/>
        <w:gridCol w:w="283"/>
        <w:gridCol w:w="109"/>
        <w:gridCol w:w="109"/>
        <w:gridCol w:w="109"/>
        <w:gridCol w:w="109"/>
        <w:gridCol w:w="109"/>
        <w:gridCol w:w="252"/>
        <w:gridCol w:w="254"/>
        <w:gridCol w:w="551"/>
        <w:gridCol w:w="109"/>
        <w:gridCol w:w="109"/>
        <w:gridCol w:w="109"/>
        <w:gridCol w:w="109"/>
        <w:gridCol w:w="109"/>
        <w:gridCol w:w="908"/>
        <w:gridCol w:w="579"/>
        <w:gridCol w:w="472"/>
        <w:gridCol w:w="109"/>
        <w:gridCol w:w="109"/>
        <w:gridCol w:w="109"/>
        <w:gridCol w:w="109"/>
        <w:gridCol w:w="109"/>
        <w:gridCol w:w="109"/>
        <w:gridCol w:w="109"/>
        <w:gridCol w:w="303"/>
        <w:gridCol w:w="303"/>
        <w:gridCol w:w="437"/>
      </w:tblGrid>
      <w:tr>
        <w:trPr/>
        <w:tc>
          <w:tcPr>
            <w:tcW w:w="67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178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5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87" w:type="dxa"/>
            <w:gridSpan w:val="3"/>
            <w:vMerge w:val="continue"/>
            <w:tcBorders/>
            <w:shd w:fill="auto" w:val="clear"/>
            <w:tcMar>
              <w:top w:w="0" w:type="dxa"/>
              <w:left w:w="0" w:type="dxa"/>
              <w:bottom w:w="0" w:type="dxa"/>
              <w:right w:w="0" w:type="dxa"/>
            </w:tcMar>
            <w:vAlign w:val="center"/>
          </w:tcPr>
          <w:p>
            <w:pPr>
              <w:pStyle w:val="Normal"/>
              <w:rPr/>
            </w:pPr>
            <w:r>
              <w:rPr/>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7" w:type="dxa"/>
            <w:gridSpan w:val="3"/>
            <w:vMerge w:val="continue"/>
            <w:tcBorders/>
            <w:shd w:fill="auto" w:val="clear"/>
            <w:tcMar>
              <w:top w:w="0" w:type="dxa"/>
              <w:left w:w="0" w:type="dxa"/>
              <w:bottom w:w="0" w:type="dxa"/>
              <w:right w:w="0" w:type="dxa"/>
            </w:tcMar>
            <w:vAlign w:val="center"/>
          </w:tcPr>
          <w:p>
            <w:pPr>
              <w:pStyle w:val="Normal"/>
              <w:rPr/>
            </w:pPr>
            <w:r>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261.8</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w:t>
            </w:r>
            <w:r>
              <w:rPr>
                <w:color w:val="000000"/>
              </w:rPr>
              <w:t>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 (1)</w:t>
            </w:r>
          </w:p>
        </w:tc>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fair value change of inter-segment economic hedge derivatives reported within Total revenue (Gain on loans held for sale, net) is eliminated at the consolidated level with an offset in MSR valuation adjustments, net. Refer to Item 3 - Quantitative and Qualitative Disclosures about Market Risk for further detail.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segment revenue for the three months ended March 31, 2023 was $11.0 million, or 4% higher as compared to the three months ended December 31, 2022 due to a $17.6 million increase in Servicing revenue offset by a $6.7 million decrease in Originations revenue.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increase in Servicing revenue is mostly due to $13.0 million increase in servicing and subservicing fees driven by higher float earnings with higher average interest rates and a $4.6 million improvement in Gain on reverse loans held for investment and HMBS-related borrowings, net mostly driven by lower market rates at the end of the quarter.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decrease in Originations revenue is mostly due to volume and margin declines, with a $2.7 million decrease in Gain on loans held for sale, net primarily due to our Forward Correspondent channel, and a $2.1 million decrease in Gain on reverse loans held for investment and HMBS-related borrowings, net mostly driven by our Retail and Correspondent channels.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total segment revenue for the three months ended March 31, 2023 was $16.9 million or 7% higher, due to a $47.0 million increase in Servicing revenue offset by a $30.3 million decrease in Originations revenue.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increase in Servicing revenue includes a $25.9 million increase in Gain on reverse loans held for investment and HMBS-related borrowings, net due to unrealized fair value losses on the HECM loan portfolio, net in the first quarter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 2022 driven by increasing interest rates and widening yield spread directly impacting projected asset life and the tail value of the HECM reverse mortgage loans. In addition, servicing and subservicing fees increased $19.6 million primarily due to the acquisition of reverse subservicing, growth of MAV and increase in float earnings due to higher interest rates.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decrease in Originations revenue is primarily due to production volume decline as a result of rising interest rates at a historic pace during 2022. We reported a $17.8 million decrease in Gain on reverse loans held for investment and HMBS-related borrowings, net primarily driven by a 75% decline in volume, partially offset by higher margins in all three channels, and a $10.7 million decrease in Gain on loans held for sale, net in our Consumer Direct channel driven by a 91% decrease in volume in the context of rising interest rates, partially offset by higher margins.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key components of MSR valuation adjustments, net:</w:t>
      </w:r>
    </w:p>
    <w:tbl>
      <w:tblPr>
        <w:tblW w:w="10205" w:type="dxa"/>
        <w:jc w:val="left"/>
        <w:tblInd w:w="0" w:type="dxa"/>
        <w:tblCellMar>
          <w:top w:w="28" w:type="dxa"/>
          <w:left w:w="28" w:type="dxa"/>
          <w:bottom w:w="28" w:type="dxa"/>
          <w:right w:w="28" w:type="dxa"/>
        </w:tblCellMar>
      </w:tblPr>
      <w:tblGrid>
        <w:gridCol w:w="1127"/>
        <w:gridCol w:w="918"/>
        <w:gridCol w:w="923"/>
        <w:gridCol w:w="372"/>
        <w:gridCol w:w="283"/>
        <w:gridCol w:w="255"/>
        <w:gridCol w:w="123"/>
        <w:gridCol w:w="123"/>
        <w:gridCol w:w="123"/>
        <w:gridCol w:w="499"/>
        <w:gridCol w:w="286"/>
        <w:gridCol w:w="259"/>
        <w:gridCol w:w="109"/>
        <w:gridCol w:w="109"/>
        <w:gridCol w:w="109"/>
        <w:gridCol w:w="220"/>
        <w:gridCol w:w="220"/>
        <w:gridCol w:w="551"/>
        <w:gridCol w:w="109"/>
        <w:gridCol w:w="109"/>
        <w:gridCol w:w="109"/>
        <w:gridCol w:w="109"/>
        <w:gridCol w:w="109"/>
        <w:gridCol w:w="109"/>
        <w:gridCol w:w="633"/>
        <w:gridCol w:w="445"/>
        <w:gridCol w:w="329"/>
        <w:gridCol w:w="109"/>
        <w:gridCol w:w="109"/>
        <w:gridCol w:w="109"/>
        <w:gridCol w:w="246"/>
        <w:gridCol w:w="247"/>
        <w:gridCol w:w="551"/>
        <w:gridCol w:w="164"/>
      </w:tblGrid>
      <w:tr>
        <w:trPr/>
        <w:tc>
          <w:tcPr>
            <w:tcW w:w="1127"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vMerge w:val="continue"/>
            <w:tcBorders/>
            <w:shd w:fill="auto" w:val="clear"/>
            <w:tcMar>
              <w:top w:w="0" w:type="dxa"/>
              <w:left w:w="0" w:type="dxa"/>
              <w:bottom w:w="0" w:type="dxa"/>
              <w:right w:w="0" w:type="dxa"/>
            </w:tcMar>
            <w:vAlign w:val="center"/>
          </w:tcPr>
          <w:p>
            <w:pPr>
              <w:pStyle w:val="Normal"/>
              <w:rPr/>
            </w:pPr>
            <w:r>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4" w:type="dxa"/>
            <w:gridSpan w:val="3"/>
            <w:vMerge w:val="continue"/>
            <w:tcBorders/>
            <w:shd w:fill="FFFFFF" w:val="clear"/>
            <w:tcMar>
              <w:top w:w="0" w:type="dxa"/>
              <w:left w:w="0" w:type="dxa"/>
              <w:bottom w:w="0" w:type="dxa"/>
              <w:right w:w="0" w:type="dxa"/>
            </w:tcMar>
            <w:vAlign w:val="center"/>
          </w:tcPr>
          <w:p>
            <w:pPr>
              <w:pStyle w:val="Normal"/>
              <w:rPr/>
            </w:pPr>
            <w:r>
              <w:rPr/>
            </w:r>
          </w:p>
        </w:tc>
        <w:tc>
          <w:tcPr>
            <w:tcW w:w="164" w:type="dxa"/>
            <w:tcBorders/>
            <w:shd w:fill="auto" w:val="clear"/>
          </w:tcPr>
          <w:p>
            <w:pPr>
              <w:pStyle w:val="TableContents"/>
              <w:spacing w:before="0" w:after="283"/>
              <w:rPr>
                <w:sz w:val="4"/>
                <w:szCs w:val="4"/>
              </w:rPr>
            </w:pPr>
            <w:r>
              <w:rPr>
                <w:sz w:val="4"/>
                <w:szCs w:val="4"/>
              </w:rPr>
            </w:r>
          </w:p>
        </w:tc>
      </w:tr>
      <w:tr>
        <w:trPr/>
        <w:tc>
          <w:tcPr>
            <w:tcW w:w="2968" w:type="dxa"/>
            <w:gridSpan w:val="3"/>
            <w:vMerge w:val="continue"/>
            <w:tcBorders/>
            <w:shd w:fill="auto" w:val="clear"/>
            <w:tcMar>
              <w:top w:w="0" w:type="dxa"/>
              <w:left w:w="0" w:type="dxa"/>
              <w:bottom w:w="0" w:type="dxa"/>
              <w:right w:w="0" w:type="dxa"/>
            </w:tcMar>
            <w:vAlign w:val="center"/>
          </w:tcPr>
          <w:p>
            <w:pPr>
              <w:pStyle w:val="Normal"/>
              <w:rPr/>
            </w:pPr>
            <w:r>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1044" w:type="dxa"/>
            <w:gridSpan w:val="3"/>
            <w:vMerge w:val="continue"/>
            <w:tcBorders/>
            <w:shd w:fill="FFFFFF" w:val="clear"/>
            <w:tcMar>
              <w:top w:w="0" w:type="dxa"/>
              <w:left w:w="0" w:type="dxa"/>
              <w:bottom w:w="0" w:type="dxa"/>
              <w:right w:w="0" w:type="dxa"/>
            </w:tcMar>
            <w:vAlign w:val="center"/>
          </w:tcPr>
          <w:p>
            <w:pPr>
              <w:pStyle w:val="Normal"/>
              <w:rPr/>
            </w:pPr>
            <w:r>
              <w:rPr/>
            </w:r>
          </w:p>
        </w:tc>
        <w:tc>
          <w:tcPr>
            <w:tcW w:w="164" w:type="dxa"/>
            <w:tcBorders/>
            <w:shd w:fill="auto" w:val="clear"/>
          </w:tcPr>
          <w:p>
            <w:pPr>
              <w:pStyle w:val="TableContents"/>
              <w:spacing w:before="0" w:after="283"/>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 (runoff) of MSRs, MSR pledged liability and ESS financing liability</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of MSRs, MSR pledged liability and ESS financing liability due to rates and assumptions</w:t>
            </w:r>
          </w:p>
        </w:tc>
        <w:tc>
          <w:tcPr>
            <w:tcW w:w="9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gains (losses) of MSR, MSR pledged liability and ESS financing liability</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fair value gain (loss) (1)</w:t>
            </w:r>
          </w:p>
        </w:tc>
        <w:tc>
          <w:tcPr>
            <w:tcW w:w="9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 Includes $0, $0.3 million and $13.3 million for the three months ended March 31, 2023, December 31, 2022 and March 31, 2022, respectively, of inter-segment derivative fair value gains reported within Total revenue and eliminated at the consolidated level - also see Revenue table above.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the valuation adjustments are fair value gains and losses of the related MSR pledged liability and ESS financing liability. We reported a $69.0 million loss in MSR valuation adjustments, net in the three months ended March 31, 2023, $26.8 million lower than the three months ended December 31, 2022. The decrease in the net loss in the first quarter of 2023 as compared to the fourth quarter of 2022 is primarily due to unfavorable assumption updates in the prior quarter, partially offset by a larger decrease in market interest rates during the three months ended March 31, 2023. The 10-year swap rate decreased by 30 basis points in the first quarter of 2023 and 6 basis points in the fourth quarter of 2022. The interest rate exposure is partially hedged under our MSR hedging strategy, with a 37% hedge coverage ratio during the first quarter of 2023. Also refer to the MSR Hedging Strategy section of Item 3. Quantitative and Qualitative Disclosures about Market Risks for further detail.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we reported a $35.4 million gain in MSR valuation adjustments, net as compared to the $69.0 million loss for the three months ended March 31, 2023. The gain in the three months ended March 31, 2022 is driven by net favorable interest rate and assumption updates, net of hedging and MSR portfolio runoff. The net fair value loss in the three months ended March 31, 2023 as compared to the fair value gain in the three months ended March 31, 2022 is mostly driven by the change in interest rates during the respective periods. The 10-year swap rate decreased by 30 basis points in the three months ended March 31, 2023 and increased by 83 basis points in the three months ended March 31, 2022. The $8.9 million lower expense due to realization of expected cash flows is mostly due to the ESS financing liability issuances in the second half of 2022.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10205" w:type="dxa"/>
        <w:jc w:val="left"/>
        <w:tblInd w:w="0" w:type="dxa"/>
        <w:tblCellMar>
          <w:top w:w="28" w:type="dxa"/>
          <w:left w:w="28" w:type="dxa"/>
          <w:bottom w:w="28" w:type="dxa"/>
          <w:right w:w="28" w:type="dxa"/>
        </w:tblCellMar>
      </w:tblPr>
      <w:tblGrid>
        <w:gridCol w:w="782"/>
        <w:gridCol w:w="596"/>
        <w:gridCol w:w="597"/>
        <w:gridCol w:w="214"/>
        <w:gridCol w:w="625"/>
        <w:gridCol w:w="110"/>
        <w:gridCol w:w="109"/>
        <w:gridCol w:w="109"/>
        <w:gridCol w:w="109"/>
        <w:gridCol w:w="236"/>
        <w:gridCol w:w="693"/>
        <w:gridCol w:w="123"/>
        <w:gridCol w:w="109"/>
        <w:gridCol w:w="109"/>
        <w:gridCol w:w="109"/>
        <w:gridCol w:w="109"/>
        <w:gridCol w:w="220"/>
        <w:gridCol w:w="220"/>
        <w:gridCol w:w="551"/>
        <w:gridCol w:w="109"/>
        <w:gridCol w:w="109"/>
        <w:gridCol w:w="109"/>
        <w:gridCol w:w="402"/>
        <w:gridCol w:w="1174"/>
        <w:gridCol w:w="207"/>
        <w:gridCol w:w="109"/>
        <w:gridCol w:w="109"/>
        <w:gridCol w:w="109"/>
        <w:gridCol w:w="109"/>
        <w:gridCol w:w="109"/>
        <w:gridCol w:w="991"/>
        <w:gridCol w:w="109"/>
        <w:gridCol w:w="198"/>
        <w:gridCol w:w="198"/>
        <w:gridCol w:w="324"/>
      </w:tblGrid>
      <w:tr>
        <w:trPr/>
        <w:tc>
          <w:tcPr>
            <w:tcW w:w="78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197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829" w:type="dxa"/>
            <w:gridSpan w:val="4"/>
            <w:tcBorders/>
            <w:shd w:fill="auto" w:val="clear"/>
          </w:tcPr>
          <w:p>
            <w:pPr>
              <w:pStyle w:val="TableContents"/>
              <w:spacing w:before="0" w:after="283"/>
              <w:rPr>
                <w:sz w:val="4"/>
                <w:szCs w:val="4"/>
              </w:rPr>
            </w:pPr>
            <w:r>
              <w:rPr>
                <w:sz w:val="4"/>
                <w:szCs w:val="4"/>
              </w:rPr>
            </w:r>
          </w:p>
        </w:tc>
      </w:tr>
      <w:tr>
        <w:trPr/>
        <w:tc>
          <w:tcPr>
            <w:tcW w:w="1975" w:type="dxa"/>
            <w:gridSpan w:val="3"/>
            <w:vMerge w:val="continue"/>
            <w:tcBorders/>
            <w:shd w:fill="auto" w:val="clear"/>
            <w:tcMar>
              <w:top w:w="0" w:type="dxa"/>
              <w:left w:w="0" w:type="dxa"/>
              <w:bottom w:w="0" w:type="dxa"/>
              <w:right w:w="0" w:type="dxa"/>
            </w:tcMar>
            <w:vAlign w:val="center"/>
          </w:tcPr>
          <w:p>
            <w:pPr>
              <w:pStyle w:val="Normal"/>
              <w:rPr/>
            </w:pPr>
            <w:r>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continue"/>
            <w:tcBorders/>
            <w:shd w:fill="auto" w:val="clear"/>
            <w:tcMar>
              <w:top w:w="0" w:type="dxa"/>
              <w:left w:w="0" w:type="dxa"/>
              <w:bottom w:w="0" w:type="dxa"/>
              <w:right w:w="0" w:type="dxa"/>
            </w:tcMar>
            <w:vAlign w:val="center"/>
          </w:tcPr>
          <w:p>
            <w:pPr>
              <w:pStyle w:val="Normal"/>
              <w:rPr/>
            </w:pPr>
            <w:r>
              <w:rPr/>
            </w:r>
          </w:p>
        </w:tc>
        <w:tc>
          <w:tcPr>
            <w:tcW w:w="829" w:type="dxa"/>
            <w:gridSpan w:val="4"/>
            <w:tcBorders/>
            <w:shd w:fill="auto" w:val="clea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for the three months ended March 31, 2023 decreased $8.2 million, or 12%, as compared to the three months ended December 31, 2022, due to a $2.3 million decline in incentive compensation, a $1.9 million decrease in salaries and benefits due to a 5% headcount reduction, $1.9 million decrease of commissions due to lower Originations volume, and a $1.8 million decrease in severance expense, as a result of our continued efforts to reduce costs and right-size our Originations resources to market opportunities. The decrease in incentive compensation expense included a $7.4 million decrease in expense for cash-settled share-based awards due to our common stock price decline during the first quarter of 2023 and increase in the fourth quarter of 2022, offset in part by $4.9 million higher annual incentive plan (AIP) awards expense due to headcount reductions and performance-related adjustments in the fourth quarter of 2022.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Compensation and benefits expense for the three months ended March 31, 2023 decreased $10.0 million, or 15% largely due to a $13.7 million decrease in salaries and benefits primarily due to a 17% decline in total average headcount, mostly attributed to a 61% decline in Originations headcount, and a $5.3 million decrease in commissions due to lower Originations volume and headcount, partially offset by a $9.5 million increase in incentive compensation. The increase in incentive compensation includes an $8.5 million increase in expense for cash-settled share-based awards as a result of a higher common stock price as compared to March 31, 2022, new awards and lower expense in the first quarter of 2022 due to forfeitures, and a $2.2 million increase in expense for equity-settled share-based awards due to new awards and forfeitures in the first quarter of 2022. AIP awards expense declined by $1.2 million mostly due to lower headcount.</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 expense for the three months ended March 31, 2023 increased $3.1 million, or 25% as compared to the three months ended December 31, 2022 primarily due to a $2.8 million increase in Servicing-related indemnification provision expense, largely driven by the PLS subservicing portfolio, and a $2.3 million favorable settlement in the fourth quarter of 2022 related to other servicer expenses, partially offset by a $1.6 million decrease in our Originations expenses due to lower production volume across our channels.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Servicing and origination expense for the three months ended March 31, 2023 increased $1.5 million, or 11%, largely attributed to an $8.2 million increase in Servicing-related provision expense, mostly as a result of a $6.6 million increase in provision for indemnification due in part to a $4.0 million release of provision for indemnification in the first quarter of 2022 as a result of a favorable settlement, offset in part by a $3.4 million decrease in satisfaction and interest on payoff expense attributable to lower payoff volume and a $3.3 million decrease in Originations expenses primarily due to lower production volume.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 for the three months ended March 31, 2023 increased $2.1 million, or 19%, as compared to the three months ended December 31, 2022. Legal expenses increased $1.4 million primarily due to payments received during the fourth quarter of 2022 following resolution of legacy litigation matters.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Professional services expense for the three months ended March 31, 2023 increased $1.1 million, or 9%, primarily due to a $5.1 million increase in legal expenses, offset in part by a $3.5 million decrease in other professional fees. The increase in legal expenses is largely due to $9.9 million of recoveries of prior year expenses in the first quarter of 2022, partially offset by a reduction in expenses related to other legal matters. The decrease in other professional fees is primarily due to additional expenses in the first quarter of 2022 related to our reverse subservicing business and outsourced resources utilized in our Originations business to support higher production volumes.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Other Income (Loss)</w:t>
      </w:r>
    </w:p>
    <w:tbl>
      <w:tblPr>
        <w:tblW w:w="10205" w:type="dxa"/>
        <w:jc w:val="left"/>
        <w:tblInd w:w="0" w:type="dxa"/>
        <w:tblCellMar>
          <w:top w:w="28" w:type="dxa"/>
          <w:left w:w="28" w:type="dxa"/>
          <w:bottom w:w="28" w:type="dxa"/>
          <w:right w:w="28" w:type="dxa"/>
        </w:tblCellMar>
      </w:tblPr>
      <w:tblGrid>
        <w:gridCol w:w="770"/>
        <w:gridCol w:w="614"/>
        <w:gridCol w:w="619"/>
        <w:gridCol w:w="211"/>
        <w:gridCol w:w="656"/>
        <w:gridCol w:w="109"/>
        <w:gridCol w:w="109"/>
        <w:gridCol w:w="109"/>
        <w:gridCol w:w="109"/>
        <w:gridCol w:w="228"/>
        <w:gridCol w:w="722"/>
        <w:gridCol w:w="118"/>
        <w:gridCol w:w="109"/>
        <w:gridCol w:w="109"/>
        <w:gridCol w:w="109"/>
        <w:gridCol w:w="330"/>
        <w:gridCol w:w="330"/>
        <w:gridCol w:w="331"/>
        <w:gridCol w:w="109"/>
        <w:gridCol w:w="109"/>
        <w:gridCol w:w="109"/>
        <w:gridCol w:w="445"/>
        <w:gridCol w:w="1201"/>
        <w:gridCol w:w="229"/>
        <w:gridCol w:w="109"/>
        <w:gridCol w:w="109"/>
        <w:gridCol w:w="109"/>
        <w:gridCol w:w="109"/>
        <w:gridCol w:w="109"/>
        <w:gridCol w:w="991"/>
        <w:gridCol w:w="109"/>
        <w:gridCol w:w="251"/>
        <w:gridCol w:w="254"/>
        <w:gridCol w:w="161"/>
      </w:tblGrid>
      <w:tr>
        <w:trPr/>
        <w:tc>
          <w:tcPr>
            <w:tcW w:w="77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003"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775" w:type="dxa"/>
            <w:gridSpan w:val="4"/>
            <w:tcBorders/>
            <w:shd w:fill="auto" w:val="clear"/>
          </w:tcPr>
          <w:p>
            <w:pPr>
              <w:pStyle w:val="TableContents"/>
              <w:spacing w:before="0" w:after="283"/>
              <w:rPr>
                <w:sz w:val="4"/>
                <w:szCs w:val="4"/>
              </w:rPr>
            </w:pPr>
            <w:r>
              <w:rPr>
                <w:sz w:val="4"/>
                <w:szCs w:val="4"/>
              </w:rPr>
            </w:r>
          </w:p>
        </w:tc>
      </w:tr>
      <w:tr>
        <w:trPr/>
        <w:tc>
          <w:tcPr>
            <w:tcW w:w="2003" w:type="dxa"/>
            <w:gridSpan w:val="3"/>
            <w:vMerge w:val="continue"/>
            <w:tcBorders/>
            <w:shd w:fill="auto" w:val="clear"/>
            <w:tcMar>
              <w:top w:w="0" w:type="dxa"/>
              <w:left w:w="0" w:type="dxa"/>
              <w:bottom w:w="0" w:type="dxa"/>
              <w:right w:w="0" w:type="dxa"/>
            </w:tcMar>
            <w:vAlign w:val="center"/>
          </w:tcPr>
          <w:p>
            <w:pPr>
              <w:pStyle w:val="Normal"/>
              <w:rPr/>
            </w:pPr>
            <w:r>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vMerge w:val="continue"/>
            <w:tcBorders/>
            <w:shd w:fill="auto" w:val="clear"/>
            <w:tcMar>
              <w:top w:w="0" w:type="dxa"/>
              <w:left w:w="0" w:type="dxa"/>
              <w:bottom w:w="0" w:type="dxa"/>
              <w:right w:w="0" w:type="dxa"/>
            </w:tcMar>
            <w:vAlign w:val="center"/>
          </w:tcPr>
          <w:p>
            <w:pPr>
              <w:pStyle w:val="Normal"/>
              <w:rPr/>
            </w:pPr>
            <w:r>
              <w:rPr/>
            </w:r>
          </w:p>
        </w:tc>
        <w:tc>
          <w:tcPr>
            <w:tcW w:w="775" w:type="dxa"/>
            <w:gridSpan w:val="4"/>
            <w:tcBorders/>
            <w:shd w:fill="auto" w:val="clear"/>
          </w:tcPr>
          <w:p>
            <w:pPr>
              <w:pStyle w:val="TableContents"/>
              <w:spacing w:before="0" w:after="283"/>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w:t>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of equity method investee</w:t>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3"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expense for three months ended March 31, 2023 increased $3.3 million, or 7%, as compared to three months ended December 31, 2022, primarily due to higher cost of funds of our asset-backed financing facilities, driven by increased market interest rates, offset in part by lower average debt balance on our asset-backed financing facilities due in large part to the decrease in average held for sale loan balances.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Net interest expense for the three months ended March 31, 2023 increased $17.4 million, or 56% primarily due to higher cost of funds of our asset-backed financing facilities driven by increased interest rates, offset in part by a $7.0 million increase in interest income, primarily in our Origination segment due to the increase in average held for sale loan balances and higher interest rates, offset in part by lower origination volume.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 includes the servicing fee remittance, net of subservicing fee, associated with the MSR transfers that do not meet sale accounting treatment and the servicing spread remittance associated with our ESS financing liabilities at fair value. Pledged MSR liability expense for the three months ended March 31, 2023 increased $3.6 million as compared to the three months ended December 31, 2022, and increased $10.6 million as compared to the three months ended March 31, 2022. These increases are mostly due to servicing spread remittance on the ESS financing liabilities issued beginning in the third quarter of 2022.</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Earnings (loss) of equity method investee represents our 15% share of MAV Canopy from May 3, 2021. The $12.0 million earnings for the three months ended March 31, 2022 were predominantly driven by the fair value gains recorded by MAV Canopy on its MSR portfolio due to rising interest rates.</w:t>
      </w:r>
    </w:p>
    <w:p>
      <w:pPr>
        <w:pStyle w:val="TextBody"/>
        <w:spacing w:lineRule="auto" w:line="288" w:before="120" w:after="60"/>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tbl>
      <w:tblPr>
        <w:tblW w:w="9919" w:type="dxa"/>
        <w:jc w:val="left"/>
        <w:tblInd w:w="0" w:type="dxa"/>
        <w:tblCellMar>
          <w:top w:w="28" w:type="dxa"/>
          <w:left w:w="28" w:type="dxa"/>
          <w:bottom w:w="28" w:type="dxa"/>
          <w:right w:w="28" w:type="dxa"/>
        </w:tblCellMar>
      </w:tblPr>
      <w:tblGrid>
        <w:gridCol w:w="1071"/>
        <w:gridCol w:w="938"/>
        <w:gridCol w:w="946"/>
        <w:gridCol w:w="211"/>
        <w:gridCol w:w="586"/>
        <w:gridCol w:w="271"/>
        <w:gridCol w:w="109"/>
        <w:gridCol w:w="109"/>
        <w:gridCol w:w="109"/>
        <w:gridCol w:w="240"/>
        <w:gridCol w:w="667"/>
        <w:gridCol w:w="308"/>
        <w:gridCol w:w="109"/>
        <w:gridCol w:w="109"/>
        <w:gridCol w:w="109"/>
        <w:gridCol w:w="233"/>
        <w:gridCol w:w="233"/>
        <w:gridCol w:w="551"/>
        <w:gridCol w:w="109"/>
        <w:gridCol w:w="109"/>
        <w:gridCol w:w="109"/>
        <w:gridCol w:w="109"/>
        <w:gridCol w:w="109"/>
        <w:gridCol w:w="211"/>
        <w:gridCol w:w="511"/>
        <w:gridCol w:w="271"/>
        <w:gridCol w:w="109"/>
        <w:gridCol w:w="109"/>
        <w:gridCol w:w="109"/>
        <w:gridCol w:w="330"/>
        <w:gridCol w:w="330"/>
        <w:gridCol w:w="331"/>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0"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4"/>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pPr>
      <w:r>
        <w:rPr>
          <w:rFonts w:ascii="Times New Roman;sans-serif" w:hAnsi="Times New Roman;sans-serif"/>
          <w:b w:val="false"/>
          <w:color w:val="000000"/>
          <w:sz w:val="20"/>
        </w:rPr>
        <w:t>Our effective tax rate for the periods indicated in the table above differs from the federal statutory income tax rate primarily due to the full valuation allowance recorded on our net U.S. federal and state deferred tax assets.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The U.S. jurisdiction is in a cumulative loss position for the three-year period ended March 31, 2023. We recognize that cumulative losses in recent years is an objective form of negative evidence in assessing the need for a valuation allowance and that such negative evidence is difficult to overcome.</w:t>
      </w:r>
      <w:r>
        <w:rPr>
          <w:color w:val="008080"/>
        </w:rPr>
        <w:t xml:space="preserve"> </w:t>
      </w:r>
      <w:r>
        <w:rPr>
          <w:rFonts w:ascii="Times New Roman;sans-serif" w:hAnsi="Times New Roman;sans-serif"/>
          <w:b w:val="false"/>
          <w:color w:val="000000"/>
          <w:sz w:val="20"/>
        </w:rPr>
        <w:t>Other factors considered in these evaluations are estimates of future taxable income, future reversals of temporary differences, taxable income in prior carryback years, and the impact of tax planning strategies that may be implemented, if warranted. We evaluated all positive and negative evidence and determined that a full valuation allowance at March 31, 2023 remains appropriate. The income tax expense (benefit) is primarily comprised of income taxes in foreign jurisdictions and changes in uncertain tax positions. Also refer to Note 19 - Income Taxes to the consolidated financial statements in our Annual Report on Form 10-K for the year ended December 31, 2022 for further details on deferred tax assets.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$1.9 million income tax expense recognized in the three months ended March 31, 2023 was driven primarily by projected income tax expense related to pre-tax earnings in foreign jurisdictions as well as income tax expense for the accrual of additional interest and penalties on uncertain tax positions. The $0.9 million income tax expense recognized in the three months ended December 31, 2022 was driven primarily by income taxes in foreign jurisdictions, partially offset by income tax benefit recognized related to the favorable resolution of an uncertain tax position.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income tax expense of $3.2 million was driven primarily by projected income tax expense related to pre-tax earnings, partially offset by income tax benefit recognized related to the favorable resolution of an uncertain tax position. The decline in the effective tax rate is primarily due to the $99.6 million decrease in pre-tax earnings in the three months ended March 31, 2023 compared to the same period in 2022, as well as a reduction in projected income tax expense in foreign jurisdictions and a reduction in income tax benefit related to the favorable resolution of uncertain tax positions.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pPr>
      <w:r>
        <w:rPr>
          <w:rFonts w:ascii="Times New Roman;sans-serif" w:hAnsi="Times New Roman;sans-serif"/>
          <w:b/>
          <w:i/>
          <w:color w:val="000000"/>
          <w:sz w:val="20"/>
        </w:rPr>
        <w:t>Financial</w:t>
      </w:r>
      <w:r>
        <w:rPr>
          <w:color w:val="000000"/>
        </w:rPr>
        <w:t xml:space="preserve"> </w:t>
      </w:r>
      <w:r>
        <w:rPr>
          <w:rFonts w:ascii="Times New Roman;sans-serif" w:hAnsi="Times New Roman;sans-serif"/>
          <w:b/>
          <w:i/>
          <w:color w:val="000000"/>
          <w:sz w:val="20"/>
        </w:rPr>
        <w:t>Condition</w:t>
      </w:r>
    </w:p>
    <w:tbl>
      <w:tblPr>
        <w:tblW w:w="9484" w:type="dxa"/>
        <w:jc w:val="left"/>
        <w:tblInd w:w="0" w:type="dxa"/>
        <w:tblCellMar>
          <w:top w:w="28" w:type="dxa"/>
          <w:left w:w="28" w:type="dxa"/>
          <w:bottom w:w="28" w:type="dxa"/>
          <w:right w:w="28" w:type="dxa"/>
        </w:tblCellMar>
      </w:tblPr>
      <w:tblGrid>
        <w:gridCol w:w="1205"/>
        <w:gridCol w:w="1059"/>
        <w:gridCol w:w="1065"/>
        <w:gridCol w:w="324"/>
        <w:gridCol w:w="948"/>
        <w:gridCol w:w="167"/>
        <w:gridCol w:w="109"/>
        <w:gridCol w:w="109"/>
        <w:gridCol w:w="109"/>
        <w:gridCol w:w="387"/>
        <w:gridCol w:w="1135"/>
        <w:gridCol w:w="202"/>
        <w:gridCol w:w="109"/>
        <w:gridCol w:w="109"/>
        <w:gridCol w:w="109"/>
        <w:gridCol w:w="239"/>
        <w:gridCol w:w="597"/>
        <w:gridCol w:w="125"/>
        <w:gridCol w:w="109"/>
        <w:gridCol w:w="109"/>
        <w:gridCol w:w="109"/>
        <w:gridCol w:w="218"/>
        <w:gridCol w:w="218"/>
        <w:gridCol w:w="614"/>
      </w:tblGrid>
      <w:tr>
        <w:trPr/>
        <w:tc>
          <w:tcPr>
            <w:tcW w:w="120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Condition Summary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w:t>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at fair value</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liabilities, at fair value </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Advance match funded liabilities </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by Segment</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Book value per share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increased $227.8 million, or 2%, between December 31, 2022 and March 31, 2023 due to a $226.7 million increase in our loans held for sale portfolio, driven by forward loan production volumes higher than sales, and a $158.3 million increase in Loans held for investment, mostly driven by increased fair value of reverse loans due to interest rate decline. These increases were offset in part by an $84.6 million decrease in our MSR portfolio mostly attributed to fair value losses as a result of a decrease in market interest rates and runoff in excess of net additions through purchases and retained servicing on loan sales, and a $62.0 million decline in servicing advances that was mainly due to seasonal reduction of escrow balances.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increased by $268.2 million, or 2%, as compared to December 31, 2022, with similar effects as described above. Our borrowings under warehouse lines increased $245.5 million due to the higher loans held for sale balance at March 31, 2023. Our HMBS-related borrowings increased by $143.8 million due to increased fair value due to interest rate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pPr>
      <w:r>
        <w:rPr>
          <w:rFonts w:ascii="Times New Roman;sans-serif" w:hAnsi="Times New Roman;sans-serif"/>
          <w:b w:val="false"/>
          <w:color w:val="000000"/>
          <w:sz w:val="20"/>
        </w:rPr>
        <w:t>decline. The $15.1 million increase in Other financing liabilities is primarily due to the issuance of ESS financing liabilities offset by a</w:t>
      </w:r>
      <w:r>
        <w:rPr>
          <w:color w:val="008080"/>
        </w:rPr>
        <w:t xml:space="preserve"> </w:t>
      </w:r>
      <w:r>
        <w:rPr>
          <w:rFonts w:ascii="Times New Roman;sans-serif" w:hAnsi="Times New Roman;sans-serif"/>
          <w:b w:val="false"/>
          <w:color w:val="000000"/>
          <w:sz w:val="20"/>
        </w:rPr>
        <w:t xml:space="preserve">decrease in the fair value of Pledged MSR liabilities due to lower interest rates. Advance match funded liabilities decreased $43.7 million consistent with the decline in servicing advances. Borrowings under our MSR financing facilities decreased $39.2 million due to the decline in fair value of the underlying MSR portfolio. Other liabilities declined $56.0 million mostly due to a decrease in the Ginnie Mae contingent repurchase rights of delinquent loans.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Total equity decreased $40.4 million during the three months ended March 31, 2023 mostly due to the $40.2 million net loss for the quarter.</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Key Trends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provides information regarding certain key drivers of our financial performance and includes certain forward-looking statements that are based on the current beliefs and expectations of Ocwen’s management and are subject to significant risks and uncertainties. Refer to Forward-Looking Statements beginning on page 2 of this Form 10-Q and Part I, Item 1.A. of our Annual Report on Form 10-K for the year ended December 31, 2022, for discussion of certain of those risks and uncertainties and other factors that could cause Ocwen’s actual results to differ materially because of those risks and uncertainties. There is no assurance that actual results in 2023 will be in line with the outlook information set forth below, and Ocwen does not undertake to update any forward-looking statements. Also refer to the Segment results of operations section for further detail, the description of our business environment, initiatives and risks. </w:t>
      </w:r>
    </w:p>
    <w:p>
      <w:pPr>
        <w:pStyle w:val="TextBody"/>
        <w:spacing w:lineRule="auto" w:line="288" w:before="120" w:after="283"/>
        <w:rPr/>
      </w:pPr>
      <w:r>
        <w:rPr>
          <w:rFonts w:ascii="Times New Roman;sans-serif" w:hAnsi="Times New Roman;sans-serif"/>
          <w:b w:val="false"/>
          <w:i/>
          <w:color w:val="000000"/>
          <w:sz w:val="20"/>
        </w:rPr>
        <w:t>Servicing and subservicing fee revenue</w:t>
      </w:r>
      <w:r>
        <w:rPr>
          <w:color w:val="000000"/>
        </w:rPr>
        <w:t xml:space="preserve"> </w:t>
      </w:r>
      <w:r>
        <w:rPr>
          <w:rFonts w:ascii="Times New Roman;sans-serif" w:hAnsi="Times New Roman;sans-serif"/>
          <w:b w:val="false"/>
          <w:color w:val="000000"/>
          <w:sz w:val="20"/>
        </w:rPr>
        <w:t xml:space="preserve">- Our servicing fee revenue is a function of the volume being serviced - UPB for servicing fees and loan count for subservicing fees. We expect we will continue to modestly grow our servicing portfolio through our multi-channel Originations platform and through MAV and other capital partners, with an emphasis on subservicing. </w:t>
      </w:r>
    </w:p>
    <w:p>
      <w:pPr>
        <w:pStyle w:val="TextBody"/>
        <w:spacing w:lineRule="auto" w:line="288" w:before="120" w:after="120"/>
        <w:rPr/>
      </w:pPr>
      <w:r>
        <w:rPr>
          <w:rFonts w:ascii="Times New Roman;sans-serif" w:hAnsi="Times New Roman;sans-serif"/>
          <w:b w:val="false"/>
          <w:i/>
          <w:color w:val="000000"/>
          <w:sz w:val="20"/>
        </w:rPr>
        <w:t xml:space="preserve">Gain on sale of loans held for sale </w:t>
      </w:r>
      <w:r>
        <w:rPr>
          <w:rFonts w:ascii="Times New Roman;sans-serif" w:hAnsi="Times New Roman;sans-serif"/>
          <w:b w:val="false"/>
          <w:color w:val="000000"/>
          <w:sz w:val="20"/>
        </w:rPr>
        <w:t>- Our gain on sale is driven by both volume and margin and is channel-sensitive. The industry outlook for 2023 remains largely similar to the second half of 2022, with origination volume expected by the industry to continue to decline and mortgage interest rates to remain elevated although lower than recent peak levels. We expect recapture volumes in our Consumer Direct channel to remain at depressed levels absent any significant interest rate decrease and expect lower margins across all channels due to heightened competition. We expect to continue to prudently manage our Correspondent volume at margins that are accretive to the business.</w:t>
      </w:r>
    </w:p>
    <w:p>
      <w:pPr>
        <w:pStyle w:val="TextBody"/>
        <w:spacing w:lineRule="auto" w:line="288" w:before="120" w:after="120"/>
        <w:rPr/>
      </w:pPr>
      <w:r>
        <w:rPr>
          <w:rFonts w:ascii="Times New Roman;sans-serif" w:hAnsi="Times New Roman;sans-serif"/>
          <w:b w:val="false"/>
          <w:i/>
          <w:color w:val="000000"/>
          <w:sz w:val="20"/>
        </w:rPr>
        <w:t xml:space="preserve">Gain on reverse loans held for investment and HMBS-related borrowings, net </w:t>
      </w:r>
      <w:r>
        <w:rPr>
          <w:rFonts w:ascii="Times New Roman;sans-serif" w:hAnsi="Times New Roman;sans-serif"/>
          <w:b w:val="false"/>
          <w:color w:val="000000"/>
          <w:sz w:val="20"/>
        </w:rPr>
        <w:t xml:space="preserve">- The reverse mortgage origination gain is driven by the same factors as gain on sale 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respectively, and is part of our forward MSR hedging strategy. </w:t>
      </w:r>
    </w:p>
    <w:p>
      <w:pPr>
        <w:pStyle w:val="TextBody"/>
        <w:spacing w:lineRule="auto" w:line="288" w:before="120" w:after="120"/>
        <w:rPr/>
      </w:pPr>
      <w:r>
        <w:rPr>
          <w:rFonts w:ascii="Times New Roman;sans-serif" w:hAnsi="Times New Roman;sans-serif"/>
          <w:b w:val="false"/>
          <w:i/>
          <w:color w:val="000000"/>
          <w:sz w:val="20"/>
        </w:rPr>
        <w:t xml:space="preserve">MSR valuation adjustments, net - </w:t>
      </w:r>
      <w:r>
        <w:rPr>
          <w:rFonts w:ascii="Times New Roman;sans-serif" w:hAnsi="Times New Roman;sans-serif"/>
          <w:b w:val="false"/>
          <w:color w:val="000000"/>
          <w:sz w:val="20"/>
        </w:rPr>
        <w:t xml:space="preserve">Our net MSR fair value changes include multiple components. First, amortization of our investment is a function of the UPB, capitalized value of the MSR relative to the UPB, and the level of scheduled payments and prepayments. We expect the MSR realization of expected cash flows to follow the growth of our MSR portfolio offset by the growth of ESS financing liabilities.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also dependent on our hedge coverage ratio. We expect that, other things being equal, the magnitude of the fair value changes of the MSR portfolio due to market interest rates, net of the MSR hedges, to decrease if our hedge coverage ratio increases, or vice versa. Refer to the sensitivity analysis in Item 3 - Quantitative and Qualitative Disclosures About Market Risk for further detail. </w:t>
      </w:r>
    </w:p>
    <w:p>
      <w:pPr>
        <w:pStyle w:val="TextBody"/>
        <w:spacing w:lineRule="auto" w:line="288" w:before="120" w:after="120"/>
        <w:rPr/>
      </w:pPr>
      <w:r>
        <w:rPr>
          <w:rFonts w:ascii="Times New Roman;sans-serif" w:hAnsi="Times New Roman;sans-serif"/>
          <w:b w:val="false"/>
          <w:i/>
          <w:color w:val="000000"/>
          <w:sz w:val="20"/>
        </w:rPr>
        <w:t xml:space="preserve">Operating expenses </w:t>
      </w:r>
      <w:r>
        <w:rPr>
          <w:rFonts w:ascii="Times New Roman;sans-serif" w:hAnsi="Times New Roman;sans-serif"/>
          <w:b w:val="false"/>
          <w:color w:val="000000"/>
          <w:sz w:val="20"/>
        </w:rPr>
        <w:t>- Compensation and benefits are a significant component of our cost-to-service and cost-to-originate and is directly correlated to headcount levels. Headcount in Servicing is primarily driven by the number of loans or UPB being serviced and subserviced, and by the relative mix of performing, delinquent and defaulted loans. As servicing volume is expected to modestly increase (see above), we expect a stable workforce. We expect to continue to right-size and prudently manage our Originations headcount and operating expenses to align with funded volume. Our operating expenses are expected to correlate with volumes, with some productivity and efficiencies expected through our technology and continuous improvement initiatives. Elevated inflation may result in higher operating expenses due to increases in salaries and benefits and rates charged by our vendors.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rPr/>
      </w:pPr>
      <w:r>
        <w:rPr/>
      </w:r>
    </w:p>
    <w:tbl>
      <w:tblPr>
        <w:tblW w:w="3704" w:type="dxa"/>
        <w:jc w:val="left"/>
        <w:tblInd w:w="0" w:type="dxa"/>
        <w:tblCellMar>
          <w:top w:w="28" w:type="dxa"/>
          <w:left w:w="28" w:type="dxa"/>
          <w:bottom w:w="28" w:type="dxa"/>
          <w:right w:w="28" w:type="dxa"/>
        </w:tblCellMar>
      </w:tblPr>
      <w:tblGrid>
        <w:gridCol w:w="1185"/>
        <w:gridCol w:w="1041"/>
        <w:gridCol w:w="1478"/>
      </w:tblGrid>
      <w:tr>
        <w:trPr/>
        <w:tc>
          <w:tcPr>
            <w:tcW w:w="118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are organized into two reportable business segments that reflect our primary lines of business - Servicing and Originations - as well as a Corporate Items and Other segment.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246" w:type="dxa"/>
        <w:jc w:val="left"/>
        <w:tblInd w:w="0" w:type="dxa"/>
        <w:tblCellMar>
          <w:top w:w="28" w:type="dxa"/>
          <w:left w:w="28" w:type="dxa"/>
          <w:bottom w:w="28" w:type="dxa"/>
          <w:right w:w="28" w:type="dxa"/>
        </w:tblCellMar>
      </w:tblPr>
      <w:tblGrid>
        <w:gridCol w:w="399"/>
        <w:gridCol w:w="350"/>
        <w:gridCol w:w="497"/>
      </w:tblGrid>
      <w:tr>
        <w:trPr/>
        <w:tc>
          <w:tcPr>
            <w:tcW w:w="39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SERVICING</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Rithm and MAV, who own the MSRs. Subservicing and special servicing fees are earned either as a percentage of UPB or on a per-loan basis. Subservicing per-loan fees typically vary based on type of investor and on loan delinquency status.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serviced 1.4 million mortgage loans with an aggregate UPB of $298.5 billion. The average UPB of loans serviced during the first quarter of 2023 increased by 2% or $6.3 billion compared to the fourth quarter of 2022, mostly driven by increases in our forward subservicing portfolio, including MAV, and MSR originations and purchases, net of runoff. This reflects our profitable growth strategy focused on capital-light subservicing, while maintaining our owned MSR portfolio. Compared to the three months ended March 31, 2022, the average UPB of loans serviced during the three months ended March 31, 2023 increased by 9% or $23.5 billion with the same drivers, mostly due to forward and reverse subservicing additions, including MAV and Mortgage Assets Management, LLC (formerly known as Reverse Mortgage Solutions, Inc.) (MAM (RMS)). We manage the size of our servicing portfolio with our Originations business and by selectively purchasing MSRs based on capital allocation and financial return targets.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17 years, exhibiting little response to movements in market interest rates. Our hedging strategy is designed to partially reduce the volatility of the MSR portfolio to interest rates.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Concentration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Rithm (formerly NRZ) and MAV are our largest subservicing clients.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Rithm accounted for 16% and 27% of the total serviced UPB and loan count, respectively, in our servicing portfolio as of March 31, 2023. Rithm servicing fees retained by Ocwen represented approximately 9% of the total servicing and subservicing fees earned by Ocwen, net of servicing fees remitted to Rithm, for the first quarter of 2023, and 10% for the fourth quarter of 2022. This compares to 12% for the three months ended March 31, 2022. Rithm’s portfolio represents approximately 68% of all delinquent loans that Ocwen serviced, for which the cost to service and the associated risks are higher. Consistent with a subservicing relationship, Rithm is responsible for funding the advances we service for Rithm. In May 2022, Ocwen and Rithm agreed to extend the servicing agreements to December 31, 2023 with subsequent automatic one-year renewals and to amend the sharing of certain ancillary revenue.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a subservicing agreement with MAV, PMC has exclusive rights to service the mortgage loans underlying MSRs owned by MAV. MAV represented 17% and 13% of our total servicing portfolio UPB and loan count, respectively. MAV servicing fees retained by Ocwen represented approximately 2% of the total servicing and subservicing fees earned by Ocwen, net of servicing fees remitted to MAV, for the first quarter of 2023, fourth quarter of 2022 and first quarter of 2022. MAV provides us with a source of additional subservicing volume, either with the MSRs that MAV purchases outright from third parties or with the MSRs that MAV purchases from PMC. Refer to Note 10 - Investment in Equity Method Investee and Related Party Transactions.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Loan Resolutions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Advance Obligation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provide for prompt reimbursement of any advances from the owner of the servicing rights.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Significant Variables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factors could significantly impact the results of our Servicing segment from period to period.</w:t>
      </w:r>
    </w:p>
    <w:p>
      <w:pPr>
        <w:pStyle w:val="TextBody"/>
        <w:spacing w:lineRule="auto" w:line="268" w:before="0" w:after="0"/>
        <w:rPr/>
      </w:pPr>
      <w:r>
        <w:rPr>
          <w:rFonts w:ascii="Times New Roman;sans-serif" w:hAnsi="Times New Roman;sans-serif"/>
          <w:b w:val="false"/>
          <w:i/>
          <w:color w:val="000000"/>
          <w:sz w:val="20"/>
        </w:rPr>
        <w:t>Aggregate UPB and Loan Count</w:t>
      </w:r>
      <w:r>
        <w:rPr>
          <w:rFonts w:ascii="Times New Roman;sans-serif" w:hAnsi="Times New Roman;sans-serif"/>
          <w:b w:val="false"/>
          <w:color w:val="000000"/>
          <w:sz w:val="20"/>
        </w:rPr>
        <w:t>. Servicing fees are generally earned as a percentage of UPB and subservicing fees are earned on a per-loan basis or as a percentage of UPB. As a result, the change in aggregate UPB and loan count for which we have servicing rights or subservicing rights will directly impact our revenue contributed by our Servicing segment. Aggregate UPB and loan count decline as a result of portfolio run-off and increase to the extent we retain MSRs from new originations or engage in MSR acquisitions.</w:t>
      </w:r>
    </w:p>
    <w:p>
      <w:pPr>
        <w:pStyle w:val="TextBody"/>
        <w:spacing w:lineRule="auto" w:line="288" w:before="120" w:after="120"/>
        <w:rPr/>
      </w:pPr>
      <w:r>
        <w:rPr>
          <w:rFonts w:ascii="Times New Roman;sans-serif" w:hAnsi="Times New Roman;sans-serif"/>
          <w:b w:val="false"/>
          <w:i/>
          <w:color w:val="000000"/>
          <w:sz w:val="20"/>
        </w:rPr>
        <w:t>Cost to Service and Operating Efficiency</w:t>
      </w:r>
      <w:r>
        <w:rPr>
          <w:rFonts w:ascii="Times New Roman;sans-serif" w:hAnsi="Times New Roman;sans-serif"/>
          <w:b w:val="false"/>
          <w:color w:val="000000"/>
          <w:sz w:val="20"/>
        </w:rPr>
        <w:t xml:space="preserve">. Our operating results for our Servicing segment are heavily dependent on our ability to scale our operations to cost-effectively and efficiently perform servicing activities in accordance with our servicing agreements. </w:t>
      </w:r>
    </w:p>
    <w:p>
      <w:pPr>
        <w:pStyle w:val="TextBody"/>
        <w:spacing w:lineRule="auto" w:line="288" w:before="120" w:after="283"/>
        <w:rPr/>
      </w:pPr>
      <w:r>
        <w:rPr>
          <w:rFonts w:ascii="Times New Roman;sans-serif" w:hAnsi="Times New Roman;sans-serif"/>
          <w:b w:val="false"/>
          <w:i/>
          <w:color w:val="000000"/>
          <w:sz w:val="20"/>
        </w:rPr>
        <w:t>Delinquencies</w:t>
      </w:r>
      <w:r>
        <w:rPr>
          <w:rFonts w:ascii="Times New Roman;sans-serif" w:hAnsi="Times New Roman;sans-serif"/>
          <w:b w:val="false"/>
          <w:color w:val="000000"/>
          <w:sz w:val="20"/>
        </w:rPr>
        <w:t xml:space="preserve">. Delinquencies impact our financial results and operating cash flows for our Servicing segment. Non-performing loans are more expensive to 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pStyle w:val="TextBody"/>
        <w:spacing w:lineRule="auto" w:line="288" w:before="120" w:after="283"/>
        <w:rPr/>
      </w:pPr>
      <w:r>
        <w:rPr>
          <w:rFonts w:ascii="Times New Roman;sans-serif" w:hAnsi="Times New Roman;sans-serif"/>
          <w:b w:val="false"/>
          <w:i/>
          <w:color w:val="000000"/>
          <w:sz w:val="20"/>
        </w:rPr>
        <w:t>Prepayment Speed</w:t>
      </w:r>
      <w:r>
        <w:rPr>
          <w:rFonts w:ascii="Times New Roman;sans-serif" w:hAnsi="Times New Roman;sans-serif"/>
          <w:b w:val="false"/>
          <w:color w:val="000000"/>
          <w:sz w:val="20"/>
        </w:rPr>
        <w:t>. The rate at which portfolio UPB declines can have a significant impact on our Servicing segment. Items reducing UPB include scheduled and unscheduled principal payments (runoff), refinancing, loan modifications involving forgiveness of principal, voluntary property sales and involuntary property sales such as foreclosures. Prepayment speed impacts future servicing fees, runoff and valuation of MSRs, float earnings on float balances and interest expense on advances. Increases in anticipated lifetime prepayment speeds generally cause MSR valuation adjustments to increase because MSRs are valued based on total expected servicing income over the life of a portfolio. The converse is true when expectations for prepayment speeds decrease.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Reverse Mortgages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activities and financial performance related to reverse mortgage loans that are securitized and classified as held for investment, at fair value, together with the HMBS-related borrowings, at fair value (internally identified as our Reverse Owned Servicing business) are reflected in the Servicing segment, consistent with how the activities are managed and internally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reported. Once a reverse mortgage loan is securitized, our activities are generally consistent with other loan servicing as described above, with the following variations.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ARM-based HECM loan agreements, the borrowers have additional borrowing capacity of $1.8 billion at March 31, 2023. These draws or tails are funded by the servicer and can be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 </w:t>
      </w:r>
    </w:p>
    <w:p>
      <w:pPr>
        <w:pStyle w:val="TextBody"/>
        <w:spacing w:lineRule="auto" w:line="288" w:before="120" w:after="120"/>
        <w:rPr/>
      </w:pPr>
      <w:r>
        <w:rPr>
          <w:rFonts w:ascii="Times New Roman;sans-serif" w:hAnsi="Times New Roman;sans-serif"/>
          <w:b w:val="false"/>
          <w:color w:val="000000"/>
          <w:sz w:val="20"/>
        </w:rPr>
        <w:t>As an HMBS issuer, we assume certain obligations related to each security issued. In addition to our obligation to fund tails</w:t>
      </w:r>
      <w:r>
        <w:rPr>
          <w:rFonts w:ascii="Times New Roman;sans-serif" w:hAnsi="Times New Roman;sans-serif"/>
          <w:b w:val="false"/>
          <w:color w:val="008080"/>
          <w:sz w:val="20"/>
        </w:rPr>
        <w:t>, t</w:t>
      </w:r>
      <w:r>
        <w:rPr>
          <w:rFonts w:ascii="Times New Roman;sans-serif" w:hAnsi="Times New Roman;sans-serif"/>
          <w:b w:val="false"/>
          <w:color w:val="000000"/>
          <w:sz w:val="20"/>
        </w:rPr>
        <w:t>he most significant obligation is the requirement to purchase loans out of the Ginnie Mae securitization pools once they reach 98% of the maximum claim amount (MCA repurchases or active buyouts). Active repurchased loans or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Gain on reverse loans held for investment and HMBS-related borrowings, net reported within the Servicing segment includes the net fair value changes of securitized reverse mortgage loans held for investment and HMBS-related borrowings. We elected the fair value accounting election for both our reverse mortgage loans held for investment and the HMBS-related borrowings. The net fair value changes of the reverse mortgage loans and related borrowings reported within the Servicing segment include the following:</w:t>
      </w:r>
    </w:p>
    <w:p>
      <w:pPr>
        <w:pStyle w:val="TextBody"/>
        <w:spacing w:lineRule="auto" w:line="288" w:before="120" w:after="60"/>
        <w:ind w:left="0" w:right="0" w:hanging="360"/>
        <w:rPr/>
      </w:pPr>
      <w:r>
        <w:rPr>
          <w:color w:val="000000"/>
        </w:rPr>
        <w:t>•</w:t>
      </w:r>
      <w:r>
        <w:rPr>
          <w:rFonts w:ascii="Times New Roman;sans-serif" w:hAnsi="Times New Roman;sans-serif"/>
          <w:b w:val="false"/>
          <w:color w:val="000000"/>
          <w:sz w:val="20"/>
        </w:rPr>
        <w:t>contractual interest income earned on securitized reverse mortgage loans, net of interest expense on HMBS-related borrowings, that is, the servicing fee we are contractually entitled to and collect on a monthly basis under the Ginnie Mae MBS Guide regarding servicing HMBS;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cash gains on tail securitization. Tails are participations in previously securitized HECMs and are created by additions to principal for borrower draws on lines-of-credit (scheduled and unscheduled), interest, servicing fees, and mortgage insurance premiums;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fair value changes due to the realization of other expected cash flows of the net asset balance of securitized loans held for investment and HMBS-related borrowings; and</w:t>
      </w:r>
    </w:p>
    <w:p>
      <w:pPr>
        <w:pStyle w:val="TextBody"/>
        <w:spacing w:lineRule="auto" w:line="288" w:before="60" w:after="120"/>
        <w:ind w:left="0" w:right="0" w:hanging="360"/>
        <w:rPr/>
      </w:pPr>
      <w:r>
        <w:rPr>
          <w:color w:val="000000"/>
        </w:rPr>
        <w:t>•</w:t>
      </w:r>
      <w:r>
        <w:rPr>
          <w:rFonts w:ascii="Times New Roman;sans-serif" w:hAnsi="Times New Roman;sans-serif"/>
          <w:b w:val="false"/>
          <w:color w:val="000000"/>
          <w:sz w:val="20"/>
        </w:rPr>
        <w:t xml:space="preserve">fair value changes due to the inputs and assumptions of the net balance of securitized loans held for investment and HMBS-related borrowings.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Ginnie Mae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financial performance associated with the subservicing of reverse mortgage loans associated with the MAM (RMS) transaction is primarily reflected within Servicing and subservicing fees, net since Gain (loss) on reverse loans held for investment and HMBS-related borrowings, net strictly reflects the financial performance of owned loans/servicing. We collect higher subservicing fees for inactive loans relative to the base subservicing fee for performing loans or active repurchased loans, commensurate with the level of servicing efforts, as described above.</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Third-Party Servicer Ratings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servicers, we are the subject of mortgage servicer ratings or rankings (collectively, ratings) issued and revised from time to time by rating agencies including Moody’s Investors Service, Inc. (Moody’s), S&amp;P Global Ratings, Inc. (S&amp;P)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and Fitch Ratings, Inc.(Fitch). Favorable ratings from these agencies are important to the conduct of our loan servicing and lending businesses.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latest key servicer ratings:</w:t>
      </w:r>
    </w:p>
    <w:tbl>
      <w:tblPr>
        <w:tblW w:w="9688" w:type="dxa"/>
        <w:jc w:val="center"/>
        <w:tblInd w:w="0" w:type="dxa"/>
        <w:tblCellMar>
          <w:top w:w="28" w:type="dxa"/>
          <w:left w:w="28" w:type="dxa"/>
          <w:bottom w:w="28" w:type="dxa"/>
          <w:right w:w="28" w:type="dxa"/>
        </w:tblCellMar>
      </w:tblPr>
      <w:tblGrid>
        <w:gridCol w:w="1399"/>
        <w:gridCol w:w="1230"/>
        <w:gridCol w:w="1240"/>
        <w:gridCol w:w="572"/>
        <w:gridCol w:w="572"/>
        <w:gridCol w:w="580"/>
        <w:gridCol w:w="205"/>
        <w:gridCol w:w="205"/>
        <w:gridCol w:w="205"/>
        <w:gridCol w:w="586"/>
        <w:gridCol w:w="403"/>
        <w:gridCol w:w="406"/>
        <w:gridCol w:w="205"/>
        <w:gridCol w:w="205"/>
        <w:gridCol w:w="205"/>
        <w:gridCol w:w="448"/>
        <w:gridCol w:w="448"/>
        <w:gridCol w:w="574"/>
      </w:tblGrid>
      <w:tr>
        <w:trPr/>
        <w:tc>
          <w:tcPr>
            <w:tcW w:w="1399"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PHH Mortgage Corporation (PMC)</w:t>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Fitch</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Forward</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Prime Servicer</w:t>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Subprime Servicer</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Special Servicer</w:t>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RSS3</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Second/Subordinate Lien Servicer</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Home Equity Servicer</w:t>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Alt-A Servicer</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Servicer</w:t>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RMS3</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Positive / Stable</w:t>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last action </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2021</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2022</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Reverse</w:t>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Reverse Servicer</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initial rating</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27, 2022</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S&amp;P raised the ratings for residential mortgage primary, special, subprime and subordinate-lien servicer from Average to Above Average and affirmed the overall Above Average ranking as a residential mortgage loan master servicer and the ratings outlook as Stable. S&amp;P’s rankings reflects i) senior and middle management teams, which have sound industry experience and tenure levels and low turnover, ii) multiple levels of internal controls to monitor the operations, iii) internal or external audit findings - no material findings noted, based on the reports provided, iv) effective and industry-recognized technology systems and good level of automation in reporting, accounting, and cash administration, v) proactive servicer oversight program and comprehensive practices to monitor default activity to mitigate losses; and vi) continued portfolio runoff, reflecting the securitization market's limited new business opportunities and high competition levels with several master servicers competing for those transactions.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results of operations of our Servicing segment. The amounts presented are before the elimination of balances and transactions with our other segments:</w:t>
      </w:r>
    </w:p>
    <w:tbl>
      <w:tblPr>
        <w:tblW w:w="10205" w:type="dxa"/>
        <w:jc w:val="left"/>
        <w:tblInd w:w="0" w:type="dxa"/>
        <w:tblCellMar>
          <w:top w:w="28" w:type="dxa"/>
          <w:left w:w="28" w:type="dxa"/>
          <w:bottom w:w="28" w:type="dxa"/>
          <w:right w:w="28" w:type="dxa"/>
        </w:tblCellMar>
      </w:tblPr>
      <w:tblGrid>
        <w:gridCol w:w="1030"/>
        <w:gridCol w:w="813"/>
        <w:gridCol w:w="820"/>
        <w:gridCol w:w="379"/>
        <w:gridCol w:w="301"/>
        <w:gridCol w:w="272"/>
        <w:gridCol w:w="127"/>
        <w:gridCol w:w="127"/>
        <w:gridCol w:w="127"/>
        <w:gridCol w:w="505"/>
        <w:gridCol w:w="308"/>
        <w:gridCol w:w="275"/>
        <w:gridCol w:w="109"/>
        <w:gridCol w:w="109"/>
        <w:gridCol w:w="109"/>
        <w:gridCol w:w="247"/>
        <w:gridCol w:w="249"/>
        <w:gridCol w:w="551"/>
        <w:gridCol w:w="109"/>
        <w:gridCol w:w="109"/>
        <w:gridCol w:w="109"/>
        <w:gridCol w:w="109"/>
        <w:gridCol w:w="109"/>
        <w:gridCol w:w="694"/>
        <w:gridCol w:w="502"/>
        <w:gridCol w:w="361"/>
        <w:gridCol w:w="109"/>
        <w:gridCol w:w="109"/>
        <w:gridCol w:w="109"/>
        <w:gridCol w:w="247"/>
        <w:gridCol w:w="249"/>
        <w:gridCol w:w="551"/>
        <w:gridCol w:w="109"/>
        <w:gridCol w:w="162"/>
      </w:tblGrid>
      <w:tr>
        <w:trPr/>
        <w:tc>
          <w:tcPr>
            <w:tcW w:w="103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7" w:type="dxa"/>
            <w:gridSpan w:val="3"/>
            <w:vMerge w:val="continue"/>
            <w:tcBorders/>
            <w:shd w:fill="auto" w:val="clear"/>
            <w:tcMar>
              <w:top w:w="0" w:type="dxa"/>
              <w:left w:w="0" w:type="dxa"/>
              <w:bottom w:w="0" w:type="dxa"/>
              <w:right w:w="0" w:type="dxa"/>
            </w:tcMar>
            <w:vAlign w:val="center"/>
          </w:tcPr>
          <w:p>
            <w:pPr>
              <w:pStyle w:val="Normal"/>
              <w:rPr/>
            </w:pPr>
            <w:r>
              <w:rPr/>
            </w:r>
          </w:p>
        </w:tc>
        <w:tc>
          <w:tcPr>
            <w:tcW w:w="271" w:type="dxa"/>
            <w:gridSpan w:val="2"/>
            <w:tcBorders/>
            <w:shd w:fill="auto" w:val="clear"/>
          </w:tcPr>
          <w:p>
            <w:pPr>
              <w:pStyle w:val="TableContents"/>
              <w:spacing w:before="0" w:after="283"/>
              <w:rPr>
                <w:sz w:val="4"/>
                <w:szCs w:val="4"/>
              </w:rPr>
            </w:pPr>
            <w:r>
              <w:rPr>
                <w:sz w:val="4"/>
                <w:szCs w:val="4"/>
              </w:rPr>
            </w:r>
          </w:p>
        </w:tc>
      </w:tr>
      <w:tr>
        <w:trPr/>
        <w:tc>
          <w:tcPr>
            <w:tcW w:w="2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7" w:type="dxa"/>
            <w:gridSpan w:val="3"/>
            <w:vMerge w:val="continue"/>
            <w:tcBorders/>
            <w:shd w:fill="auto" w:val="clear"/>
            <w:tcMar>
              <w:top w:w="0" w:type="dxa"/>
              <w:left w:w="0" w:type="dxa"/>
              <w:bottom w:w="0" w:type="dxa"/>
              <w:right w:w="0" w:type="dxa"/>
            </w:tcMar>
            <w:vAlign w:val="center"/>
          </w:tcPr>
          <w:p>
            <w:pPr>
              <w:pStyle w:val="Normal"/>
              <w:rPr/>
            </w:pPr>
            <w:r>
              <w:rPr/>
            </w:r>
          </w:p>
        </w:tc>
        <w:tc>
          <w:tcPr>
            <w:tcW w:w="271" w:type="dxa"/>
            <w:gridSpan w:val="2"/>
            <w:tcBorders/>
            <w:shd w:fill="auto" w:val="clea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120" w:after="1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expense</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w:t>
      </w:r>
    </w:p>
    <w:tbl>
      <w:tblPr>
        <w:tblW w:w="10205" w:type="dxa"/>
        <w:jc w:val="left"/>
        <w:tblInd w:w="0" w:type="dxa"/>
        <w:tblCellMar>
          <w:top w:w="28" w:type="dxa"/>
          <w:left w:w="28" w:type="dxa"/>
          <w:bottom w:w="28" w:type="dxa"/>
          <w:right w:w="28" w:type="dxa"/>
        </w:tblCellMar>
      </w:tblPr>
      <w:tblGrid>
        <w:gridCol w:w="1329"/>
        <w:gridCol w:w="1003"/>
        <w:gridCol w:w="1010"/>
        <w:gridCol w:w="211"/>
        <w:gridCol w:w="721"/>
        <w:gridCol w:w="109"/>
        <w:gridCol w:w="109"/>
        <w:gridCol w:w="109"/>
        <w:gridCol w:w="109"/>
        <w:gridCol w:w="246"/>
        <w:gridCol w:w="842"/>
        <w:gridCol w:w="127"/>
        <w:gridCol w:w="109"/>
        <w:gridCol w:w="109"/>
        <w:gridCol w:w="109"/>
        <w:gridCol w:w="220"/>
        <w:gridCol w:w="220"/>
        <w:gridCol w:w="551"/>
        <w:gridCol w:w="109"/>
        <w:gridCol w:w="109"/>
        <w:gridCol w:w="109"/>
        <w:gridCol w:w="109"/>
        <w:gridCol w:w="109"/>
        <w:gridCol w:w="211"/>
        <w:gridCol w:w="721"/>
        <w:gridCol w:w="109"/>
        <w:gridCol w:w="109"/>
        <w:gridCol w:w="109"/>
        <w:gridCol w:w="109"/>
        <w:gridCol w:w="216"/>
        <w:gridCol w:w="216"/>
        <w:gridCol w:w="617"/>
      </w:tblGrid>
      <w:tr>
        <w:trPr/>
        <w:tc>
          <w:tcPr>
            <w:tcW w:w="132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3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Serviced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billions: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loans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real estate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(4) (5)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1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(formerly NRZ) and others (5) (6)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Number (in 000’s): </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loans (1)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 Rithm</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real estate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1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Non-Agency loans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065"/>
        <w:gridCol w:w="832"/>
        <w:gridCol w:w="835"/>
        <w:gridCol w:w="218"/>
        <w:gridCol w:w="421"/>
        <w:gridCol w:w="281"/>
        <w:gridCol w:w="109"/>
        <w:gridCol w:w="109"/>
        <w:gridCol w:w="109"/>
        <w:gridCol w:w="251"/>
        <w:gridCol w:w="484"/>
        <w:gridCol w:w="324"/>
        <w:gridCol w:w="109"/>
        <w:gridCol w:w="109"/>
        <w:gridCol w:w="109"/>
        <w:gridCol w:w="220"/>
        <w:gridCol w:w="220"/>
        <w:gridCol w:w="551"/>
        <w:gridCol w:w="109"/>
        <w:gridCol w:w="109"/>
        <w:gridCol w:w="109"/>
        <w:gridCol w:w="109"/>
        <w:gridCol w:w="109"/>
        <w:gridCol w:w="433"/>
        <w:gridCol w:w="834"/>
        <w:gridCol w:w="557"/>
        <w:gridCol w:w="109"/>
        <w:gridCol w:w="109"/>
        <w:gridCol w:w="109"/>
        <w:gridCol w:w="220"/>
        <w:gridCol w:w="220"/>
        <w:gridCol w:w="551"/>
        <w:gridCol w:w="162"/>
      </w:tblGrid>
      <w:tr>
        <w:trPr/>
        <w:tc>
          <w:tcPr>
            <w:tcW w:w="1065"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Prepayment speed (CPR) (7): </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Voluntary CPR</w:t>
            </w:r>
          </w:p>
        </w:tc>
        <w:tc>
          <w:tcPr>
            <w:tcW w:w="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vAlign w:val="center"/>
          </w:tcPr>
          <w:p>
            <w:pPr>
              <w:pStyle w:val="TableContents"/>
              <w:spacing w:before="0" w:after="283"/>
              <w:rPr>
                <w:sz w:val="4"/>
                <w:szCs w:val="4"/>
              </w:rPr>
            </w:pPr>
            <w:r>
              <w:rPr>
                <w:sz w:val="4"/>
                <w:szCs w:val="4"/>
              </w:rPr>
            </w:r>
          </w:p>
        </w:tc>
        <w:tc>
          <w:tcPr>
            <w:tcW w:w="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Involuntary CPR</w:t>
            </w:r>
          </w:p>
        </w:tc>
        <w:tc>
          <w:tcPr>
            <w:tcW w:w="6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vAlign w:val="center"/>
          </w:tcPr>
          <w:p>
            <w:pPr>
              <w:pStyle w:val="TableContents"/>
              <w:spacing w:before="0" w:after="283"/>
              <w:rPr>
                <w:sz w:val="4"/>
                <w:szCs w:val="4"/>
              </w:rPr>
            </w:pPr>
            <w:r>
              <w:rPr>
                <w:sz w:val="4"/>
                <w:szCs w:val="4"/>
              </w:rPr>
            </w:r>
          </w:p>
        </w:tc>
        <w:tc>
          <w:tcPr>
            <w:tcW w:w="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Total CPR </w:t>
            </w:r>
          </w:p>
        </w:tc>
        <w:tc>
          <w:tcPr>
            <w:tcW w:w="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auto" w:val="clear"/>
            <w:vAlign w:val="center"/>
          </w:tcPr>
          <w:p>
            <w:pPr>
              <w:pStyle w:val="TableContents"/>
              <w:spacing w:before="0" w:after="283"/>
              <w:rPr>
                <w:sz w:val="4"/>
                <w:szCs w:val="4"/>
              </w:rPr>
            </w:pPr>
            <w:r>
              <w:rPr>
                <w:sz w:val="4"/>
                <w:szCs w:val="4"/>
              </w:rPr>
            </w:r>
          </w:p>
        </w:tc>
        <w:tc>
          <w:tcPr>
            <w:tcW w:w="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Number of completed modifications </w:t>
            </w:r>
            <w:r>
              <w:rPr>
                <w:rFonts w:ascii="Times New Roman;sans-serif" w:hAnsi="Times New Roman;sans-serif"/>
                <w:b w:val="false"/>
                <w:i/>
                <w:color w:val="000000"/>
                <w:sz w:val="20"/>
              </w:rPr>
              <w:t>(in 000’s)</w:t>
            </w:r>
          </w:p>
        </w:tc>
        <w:tc>
          <w:tcPr>
            <w:tcW w:w="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connection with loan modifications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(1)Performing loans include those loans that are less than 90 days past due and those loans for which borrowers are making scheduled payments under loan modification, forbearance or bankruptcy plans. We consider all other loans to be non-performing.</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(2)Conventional loans include 66,919 and 66,796 prime loans with a UPB of $13.4 billion and $13.2 billion at March 31, 2023 and December 31, 2022, respectively, that we service or subservice. This compares to 70,938 prime loans with a UPB of $13.4 billion at March 31, 2022. Prime loans are generally good credit quality loans that meet GSE underwriting standards.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(3)Includes 35,782 reverse mortgage loans with a UPB of $7.7 billion that are recognized in our consolidated balance sheet at March 31, 2023.</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(4)Includes $26.1 billion UPB subserviced and $25.7 billion UPB of MSRs sold to MAV that did not achieve sale accounting treatment at March 31, 2023.</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(5)Loans serviced or subserviced pursuant to our agreements with Rithm or MAV.</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(6)Includes $1.8 billion UPB of subserviced loans at March 31,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(7)Total 3-month % CPR includes voluntary and involuntary prepayments, as shown in the table, plus scheduled principal amortization.</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the rollforward of activity of our portfolio of mortgage loans serviced that includes MSRs, whole loans and subserviced loans, both forward and reverse: </w:t>
      </w:r>
    </w:p>
    <w:tbl>
      <w:tblPr>
        <w:tblW w:w="7473" w:type="dxa"/>
        <w:jc w:val="left"/>
        <w:tblInd w:w="0" w:type="dxa"/>
        <w:tblCellMar>
          <w:top w:w="28" w:type="dxa"/>
          <w:left w:w="28" w:type="dxa"/>
          <w:bottom w:w="28" w:type="dxa"/>
          <w:right w:w="28" w:type="dxa"/>
        </w:tblCellMar>
      </w:tblPr>
      <w:tblGrid>
        <w:gridCol w:w="728"/>
        <w:gridCol w:w="640"/>
        <w:gridCol w:w="642"/>
        <w:gridCol w:w="226"/>
        <w:gridCol w:w="772"/>
        <w:gridCol w:w="116"/>
        <w:gridCol w:w="116"/>
        <w:gridCol w:w="116"/>
        <w:gridCol w:w="116"/>
        <w:gridCol w:w="226"/>
        <w:gridCol w:w="772"/>
        <w:gridCol w:w="116"/>
        <w:gridCol w:w="109"/>
        <w:gridCol w:w="109"/>
        <w:gridCol w:w="109"/>
        <w:gridCol w:w="435"/>
        <w:gridCol w:w="436"/>
        <w:gridCol w:w="176"/>
        <w:gridCol w:w="135"/>
        <w:gridCol w:w="135"/>
        <w:gridCol w:w="135"/>
        <w:gridCol w:w="435"/>
        <w:gridCol w:w="436"/>
        <w:gridCol w:w="237"/>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Amount of UPB (</w:t>
            </w:r>
            <w:r>
              <w:rPr>
                <w:rFonts w:ascii="Times New Roman;sans-serif" w:hAnsi="Times New Roman;sans-serif"/>
                <w:b/>
                <w:i/>
                <w:color w:val="000000"/>
                <w:sz w:val="20"/>
              </w:rPr>
              <w:t>$ in billions)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 (000’s)</w:t>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January 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(1) (2) (3)</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sales (2)</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Runoff</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March 31</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7"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the volume UPB associated with short-term interim subservicing for some clients as a support to their originate-to-sell business, where loans are boarded and deboarded within the same quarter.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MSRs sold to an unrelated third party in the first quarter of 2022 consisting of 38,850 loans with a UPB of $11.1 billion, with the remaining active loans transferred out of the PMC servicing system in the third quarter of 2022, and for which PMC performed interim subservicing.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(3)Additions include purchased MSRs on portfolios consisting of 889 loans with a UPB of $251.0 million that have not yet transferred to the PMC servicing system as of March 31, 2023. Because we have legal title to the MSRs, the UPB and count of the loans are included in our reported servicing portfolio. The seller continues to subservice the loans on an interim basis between the transaction closing date and the servicing transfer date. </w:t>
      </w:r>
    </w:p>
    <w:p>
      <w:pPr>
        <w:pStyle w:val="TextBody"/>
        <w:spacing w:before="0" w:after="0"/>
        <w:rPr/>
      </w:pPr>
      <w:r>
        <w:rPr/>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breakdown of our servicer advances:</w:t>
      </w:r>
    </w:p>
    <w:tbl>
      <w:tblPr>
        <w:tblW w:w="11930" w:type="dxa"/>
        <w:jc w:val="left"/>
        <w:tblInd w:w="0" w:type="dxa"/>
        <w:tblCellMar>
          <w:top w:w="28" w:type="dxa"/>
          <w:left w:w="28" w:type="dxa"/>
          <w:bottom w:w="28" w:type="dxa"/>
          <w:right w:w="28" w:type="dxa"/>
        </w:tblCellMar>
      </w:tblPr>
      <w:tblGrid>
        <w:gridCol w:w="858"/>
        <w:gridCol w:w="630"/>
        <w:gridCol w:w="298"/>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51"/>
        <w:gridCol w:w="283"/>
        <w:gridCol w:w="288"/>
        <w:gridCol w:w="109"/>
        <w:gridCol w:w="109"/>
        <w:gridCol w:w="109"/>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47"/>
        <w:gridCol w:w="253"/>
        <w:gridCol w:w="363"/>
      </w:tblGrid>
      <w:tr>
        <w:trPr/>
        <w:tc>
          <w:tcPr>
            <w:tcW w:w="858"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9" w:type="dxa"/>
            <w:gridSpan w:val="21"/>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Advances by investor type </w:t>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w:t>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w:t>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w:t>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r>
    </w:tbl>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related to our reverse mortgage loans reported within our Servicing segment:</w:t>
      </w:r>
    </w:p>
    <w:tbl>
      <w:tblPr>
        <w:tblW w:w="10205" w:type="dxa"/>
        <w:jc w:val="left"/>
        <w:tblInd w:w="0" w:type="dxa"/>
        <w:tblCellMar>
          <w:top w:w="28" w:type="dxa"/>
          <w:left w:w="28" w:type="dxa"/>
          <w:bottom w:w="28" w:type="dxa"/>
          <w:right w:w="28" w:type="dxa"/>
        </w:tblCellMar>
      </w:tblPr>
      <w:tblGrid>
        <w:gridCol w:w="1159"/>
        <w:gridCol w:w="972"/>
        <w:gridCol w:w="975"/>
        <w:gridCol w:w="211"/>
        <w:gridCol w:w="766"/>
        <w:gridCol w:w="271"/>
        <w:gridCol w:w="109"/>
        <w:gridCol w:w="109"/>
        <w:gridCol w:w="109"/>
        <w:gridCol w:w="212"/>
        <w:gridCol w:w="771"/>
        <w:gridCol w:w="272"/>
        <w:gridCol w:w="109"/>
        <w:gridCol w:w="109"/>
        <w:gridCol w:w="109"/>
        <w:gridCol w:w="220"/>
        <w:gridCol w:w="220"/>
        <w:gridCol w:w="551"/>
        <w:gridCol w:w="109"/>
        <w:gridCol w:w="109"/>
        <w:gridCol w:w="109"/>
        <w:gridCol w:w="211"/>
        <w:gridCol w:w="766"/>
        <w:gridCol w:w="271"/>
        <w:gridCol w:w="109"/>
        <w:gridCol w:w="109"/>
        <w:gridCol w:w="109"/>
        <w:gridCol w:w="216"/>
        <w:gridCol w:w="216"/>
        <w:gridCol w:w="617"/>
      </w:tblGrid>
      <w:tr>
        <w:trPr/>
        <w:tc>
          <w:tcPr>
            <w:tcW w:w="115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3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Reverse Mortgage Loans </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millions:</w:t>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7,199.6 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Buyouts (2)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Inactive Buyouts (2)</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Inactive buyouts % to total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draw commitments (UPB) in millions: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in millions:</w:t>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7,392.6 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 related borrowings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to UPB</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(1)Securitized loans only; excludes unsecuritized loans reported within the Originations segment.</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(2)Buyouts are reported as Loans held for sale, Accounts Receivable or REO depending on the loan and foreclosure status.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60"/>
        <w:rPr>
          <w:rFonts w:ascii="Times New Roman;sans-serif" w:hAnsi="Times New Roman;sans-serif"/>
          <w:b/>
          <w:color w:val="000000"/>
          <w:sz w:val="20"/>
        </w:rPr>
      </w:pPr>
      <w:r>
        <w:rPr>
          <w:rFonts w:ascii="Times New Roman;sans-serif" w:hAnsi="Times New Roman;sans-serif"/>
          <w:b/>
          <w:color w:val="000000"/>
          <w:sz w:val="20"/>
        </w:rPr>
        <w:t>Servicing and Subservicing Fees</w:t>
      </w:r>
    </w:p>
    <w:tbl>
      <w:tblPr>
        <w:tblW w:w="10205" w:type="dxa"/>
        <w:jc w:val="left"/>
        <w:tblInd w:w="0" w:type="dxa"/>
        <w:tblCellMar>
          <w:top w:w="28" w:type="dxa"/>
          <w:left w:w="28" w:type="dxa"/>
          <w:bottom w:w="28" w:type="dxa"/>
          <w:right w:w="28" w:type="dxa"/>
        </w:tblCellMar>
      </w:tblPr>
      <w:tblGrid>
        <w:gridCol w:w="780"/>
        <w:gridCol w:w="684"/>
        <w:gridCol w:w="688"/>
        <w:gridCol w:w="215"/>
        <w:gridCol w:w="627"/>
        <w:gridCol w:w="110"/>
        <w:gridCol w:w="109"/>
        <w:gridCol w:w="109"/>
        <w:gridCol w:w="109"/>
        <w:gridCol w:w="246"/>
        <w:gridCol w:w="722"/>
        <w:gridCol w:w="129"/>
        <w:gridCol w:w="109"/>
        <w:gridCol w:w="109"/>
        <w:gridCol w:w="109"/>
        <w:gridCol w:w="109"/>
        <w:gridCol w:w="220"/>
        <w:gridCol w:w="220"/>
        <w:gridCol w:w="551"/>
        <w:gridCol w:w="109"/>
        <w:gridCol w:w="109"/>
        <w:gridCol w:w="109"/>
        <w:gridCol w:w="109"/>
        <w:gridCol w:w="109"/>
        <w:gridCol w:w="451"/>
        <w:gridCol w:w="1319"/>
        <w:gridCol w:w="233"/>
        <w:gridCol w:w="109"/>
        <w:gridCol w:w="109"/>
        <w:gridCol w:w="109"/>
        <w:gridCol w:w="109"/>
        <w:gridCol w:w="109"/>
        <w:gridCol w:w="109"/>
        <w:gridCol w:w="214"/>
        <w:gridCol w:w="214"/>
        <w:gridCol w:w="620"/>
      </w:tblGrid>
      <w:tr>
        <w:trPr/>
        <w:tc>
          <w:tcPr>
            <w:tcW w:w="78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8"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8"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Loan servicing and subservicing fees: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(owned MSR)</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Subservicing </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2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152"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servicing and subservicing fees for the three months ended March 31, 2023 increased $13.0 million or 6% as compared to the three months ended December 31, 2022, and $19.6 million or 9% as compared to the three months ended March 31, 2022, primarily driven by higher float earnings (ancillary income) with higher interest rates and reverse ancillary income, as further discussed below. </w:t>
      </w:r>
    </w:p>
    <w:p>
      <w:pPr>
        <w:pStyle w:val="TextBody"/>
        <w:spacing w:lineRule="auto" w:line="288" w:before="6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respective drivers of residential loan servicing (owned MSR) and subservicing fees. </w:t>
      </w:r>
    </w:p>
    <w:tbl>
      <w:tblPr>
        <w:tblW w:w="10205" w:type="dxa"/>
        <w:jc w:val="left"/>
        <w:tblInd w:w="0" w:type="dxa"/>
        <w:tblCellMar>
          <w:top w:w="28" w:type="dxa"/>
          <w:left w:w="28" w:type="dxa"/>
          <w:bottom w:w="28" w:type="dxa"/>
          <w:right w:w="28" w:type="dxa"/>
        </w:tblCellMar>
      </w:tblPr>
      <w:tblGrid>
        <w:gridCol w:w="820"/>
        <w:gridCol w:w="721"/>
        <w:gridCol w:w="724"/>
        <w:gridCol w:w="392"/>
        <w:gridCol w:w="302"/>
        <w:gridCol w:w="269"/>
        <w:gridCol w:w="134"/>
        <w:gridCol w:w="134"/>
        <w:gridCol w:w="134"/>
        <w:gridCol w:w="530"/>
        <w:gridCol w:w="320"/>
        <w:gridCol w:w="278"/>
        <w:gridCol w:w="109"/>
        <w:gridCol w:w="109"/>
        <w:gridCol w:w="109"/>
        <w:gridCol w:w="220"/>
        <w:gridCol w:w="220"/>
        <w:gridCol w:w="551"/>
        <w:gridCol w:w="109"/>
        <w:gridCol w:w="109"/>
        <w:gridCol w:w="109"/>
        <w:gridCol w:w="109"/>
        <w:gridCol w:w="109"/>
        <w:gridCol w:w="852"/>
        <w:gridCol w:w="559"/>
        <w:gridCol w:w="443"/>
        <w:gridCol w:w="330"/>
        <w:gridCol w:w="330"/>
        <w:gridCol w:w="331"/>
        <w:gridCol w:w="208"/>
        <w:gridCol w:w="208"/>
        <w:gridCol w:w="323"/>
      </w:tblGrid>
      <w:tr>
        <w:trPr/>
        <w:tc>
          <w:tcPr>
            <w:tcW w:w="8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vMerge w:val="continue"/>
            <w:tcBorders/>
            <w:shd w:fill="auto" w:val="clear"/>
            <w:tcMar>
              <w:top w:w="0" w:type="dxa"/>
              <w:left w:w="0" w:type="dxa"/>
              <w:bottom w:w="0" w:type="dxa"/>
              <w:right w:w="0" w:type="dxa"/>
            </w:tcMar>
            <w:vAlign w:val="center"/>
          </w:tcPr>
          <w:p>
            <w:pPr>
              <w:pStyle w:val="Normal"/>
              <w:rPr/>
            </w:pPr>
            <w:r>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739" w:type="dxa"/>
            <w:gridSpan w:val="3"/>
            <w:tcBorders/>
            <w:shd w:fill="auto" w:val="clea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vMerge w:val="continue"/>
            <w:tcBorders/>
            <w:shd w:fill="auto" w:val="clear"/>
            <w:tcMar>
              <w:top w:w="0" w:type="dxa"/>
              <w:left w:w="0" w:type="dxa"/>
              <w:bottom w:w="0" w:type="dxa"/>
              <w:right w:w="0" w:type="dxa"/>
            </w:tcMar>
            <w:vAlign w:val="center"/>
          </w:tcPr>
          <w:p>
            <w:pPr>
              <w:pStyle w:val="Normal"/>
              <w:rPr/>
            </w:pPr>
            <w:r>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739" w:type="dxa"/>
            <w:gridSpan w:val="3"/>
            <w:tcBorders/>
            <w:shd w:fill="auto" w:val="clea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Servicing and Subservicing Fees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(owned MSRs)</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servicing fee (% of UPB) (1)</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 (excluding MAV and Rithm)</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monthly fee per loan (in dollars) (2)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assets serviced</w:t>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UPB ($ in billions):</w:t>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 Owned (2)</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w:t>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number (in 000’s):</w:t>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(2)</w:t>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w:t>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(1)Excludes owned reverse mortgage loans.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(2)Includes reverse mortgage loans.</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Comparing the three months ended March 31, 2023 to the three months ended December 31, 2022, we achieved a net $5.7 million servicing and subservicing fee increase, or 3%. The $5.0 million, or 6% increase in servicing fee income on our owned MSRs is due to a 1% increase in our average UPB serviced and lower delinquencies. </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our servicing and subservicing fees for the three months ended March 31, 2023 were flat. Our subservicing fees grew by $5.0 million, our servicing fee from MAV increased by $1.6 million and our subservicing fees on our owned MSR portfolio increased by $1.5 million. These increases were offset by a $7.5 million reduction in fees collected on behalf of Rithm due to portfolio runoff. The increase in subservicing fees is mostly due to the boarding of new reverse mortgage loans under the subservicing agreement with MAM (RMS) in the first half of 2022. The average subservicing fee per loan increased from $27 to $29 dollars, driven by the additions of reverse mortgage loans that yield relatively higher compensation for both active and inactive loans.</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both servicing fees collected and subservicing fees retained by Ocwen under the Rithm (formerly NRZ) agreements. See Note 8 — Other Financing Liabilities, at Fair Value for additional information.</w:t>
      </w:r>
    </w:p>
    <w:tbl>
      <w:tblPr>
        <w:tblW w:w="9832" w:type="dxa"/>
        <w:jc w:val="left"/>
        <w:tblInd w:w="0" w:type="dxa"/>
        <w:tblCellMar>
          <w:top w:w="28" w:type="dxa"/>
          <w:left w:w="28" w:type="dxa"/>
          <w:bottom w:w="28" w:type="dxa"/>
          <w:right w:w="28" w:type="dxa"/>
        </w:tblCellMar>
      </w:tblPr>
      <w:tblGrid>
        <w:gridCol w:w="2051"/>
        <w:gridCol w:w="1805"/>
        <w:gridCol w:w="1814"/>
        <w:gridCol w:w="211"/>
        <w:gridCol w:w="511"/>
        <w:gridCol w:w="271"/>
        <w:gridCol w:w="109"/>
        <w:gridCol w:w="109"/>
        <w:gridCol w:w="109"/>
        <w:gridCol w:w="267"/>
        <w:gridCol w:w="648"/>
        <w:gridCol w:w="344"/>
        <w:gridCol w:w="109"/>
        <w:gridCol w:w="109"/>
        <w:gridCol w:w="109"/>
        <w:gridCol w:w="109"/>
        <w:gridCol w:w="109"/>
        <w:gridCol w:w="211"/>
        <w:gridCol w:w="511"/>
        <w:gridCol w:w="316"/>
      </w:tblGrid>
      <w:tr>
        <w:trPr/>
        <w:tc>
          <w:tcPr>
            <w:tcW w:w="2051"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Rithm Servicing and Subservicing Fees</w:t>
            </w:r>
          </w:p>
        </w:tc>
        <w:tc>
          <w:tcPr>
            <w:tcW w:w="3015"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47" w:type="dxa"/>
            <w:gridSpan w:val="4"/>
            <w:tcBorders/>
            <w:shd w:fill="auto" w:val="clea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Rithm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remitted to Rithm (1)</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subservicing fees on Rithm agreements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Rithm UPB ($ in billions)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annualized retained subservicing fees as a % of Rithm UPB </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70"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(2)Excludes ancillary income.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net retained fee on our Rithm portfolio declined $0.7 million as compared to the three months ended December 31, 2022. As compared to the three months ended March 31, 2022, the net retained fee on our Rithm portfolio in the three months ended March 31, 2023 decreased $2.1 million. The decline in the Rithm fee collection and remittance in the three months ended March 31, 2023 is primarily driven by the decline in the average UPB of 2% and 11% as compared to the three months ended December 31, 2022 and March 31, 2022, respectively, due to portfolio runoff and prepayments.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our ancillary income:</w:t>
      </w:r>
    </w:p>
    <w:tbl>
      <w:tblPr>
        <w:tblW w:w="10205" w:type="dxa"/>
        <w:jc w:val="left"/>
        <w:tblInd w:w="0" w:type="dxa"/>
        <w:tblCellMar>
          <w:top w:w="28" w:type="dxa"/>
          <w:left w:w="28" w:type="dxa"/>
          <w:bottom w:w="28" w:type="dxa"/>
          <w:right w:w="28" w:type="dxa"/>
        </w:tblCellMar>
      </w:tblPr>
      <w:tblGrid>
        <w:gridCol w:w="824"/>
        <w:gridCol w:w="627"/>
        <w:gridCol w:w="631"/>
        <w:gridCol w:w="229"/>
        <w:gridCol w:w="556"/>
        <w:gridCol w:w="118"/>
        <w:gridCol w:w="109"/>
        <w:gridCol w:w="109"/>
        <w:gridCol w:w="109"/>
        <w:gridCol w:w="282"/>
        <w:gridCol w:w="684"/>
        <w:gridCol w:w="146"/>
        <w:gridCol w:w="109"/>
        <w:gridCol w:w="109"/>
        <w:gridCol w:w="109"/>
        <w:gridCol w:w="109"/>
        <w:gridCol w:w="220"/>
        <w:gridCol w:w="220"/>
        <w:gridCol w:w="551"/>
        <w:gridCol w:w="109"/>
        <w:gridCol w:w="109"/>
        <w:gridCol w:w="109"/>
        <w:gridCol w:w="109"/>
        <w:gridCol w:w="109"/>
        <w:gridCol w:w="525"/>
        <w:gridCol w:w="1273"/>
        <w:gridCol w:w="271"/>
        <w:gridCol w:w="109"/>
        <w:gridCol w:w="109"/>
        <w:gridCol w:w="109"/>
        <w:gridCol w:w="109"/>
        <w:gridCol w:w="109"/>
        <w:gridCol w:w="109"/>
        <w:gridCol w:w="233"/>
        <w:gridCol w:w="233"/>
        <w:gridCol w:w="620"/>
      </w:tblGrid>
      <w:tr>
        <w:trPr/>
        <w:tc>
          <w:tcPr>
            <w:tcW w:w="82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Ancillary Income</w:t>
            </w:r>
          </w:p>
        </w:tc>
        <w:tc>
          <w:tcPr>
            <w:tcW w:w="23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069"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collection fees</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fees</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Boarding and deboarding fees</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forbearance fees</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income for the three months ended March 31, 2023 increased by $7.3 million as compared to the three months ended December 31, 2022 primarily because of a $4.3 million increase in float earnings driven by the increase in average interest rates during the periods and higher average float balances, and a $2.0 million increase in reverse subservicing ancillary fees relating to increased claim activity.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ancillary income for the three months ended March 31, 2023 increased by $19.1 million largely due to a $19.2 million increase in float earnings due to higher interest rates and a $6.0 million increase in reverse subservicing fees recognized on reverse mortgage loans boarded under the subservicing agreement with MAM (RMS) during the first half of 2022, including fees associated with additional claim activity. Recording fees were $2.1 million lower due to the reduction in payoff volume.</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 xml:space="preserve">Gain (Loss) on Loans Held for Sale, Net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$1.3 million loss on loans held for sale, net for the three months ended March 31, 2023, flat as compared to the three months ended December 31, 2022. Losses are driven by repurchased loans in connection with Ginnie Mae loan modifications and EBO activities, including HECM loans, due to unfavorable impact of higher interest rates on redelivery gains. As compared to the three months ended March 31, 2022, the loss on loans held for sale, net for the three months ended March 31, 2023 declined $1.4 million primarily driven by losses recognized in the first quarter of 2022 on our first lien loan portfolio not eligible for sale to the Agencies and our second lien loans. </w:t>
      </w:r>
    </w:p>
    <w:p>
      <w:pPr>
        <w:pStyle w:val="TextBody"/>
        <w:spacing w:lineRule="auto" w:line="288" w:before="120" w:after="20"/>
        <w:rPr>
          <w:rFonts w:ascii="Times New Roman;sans-serif" w:hAnsi="Times New Roman;sans-serif"/>
          <w:b/>
          <w:i/>
          <w:color w:val="000000"/>
          <w:sz w:val="20"/>
        </w:rPr>
      </w:pPr>
      <w:r>
        <w:rPr>
          <w:rFonts w:ascii="Times New Roman;sans-serif" w:hAnsi="Times New Roman;sans-serif"/>
          <w:b/>
          <w:i/>
          <w:color w:val="000000"/>
          <w:sz w:val="20"/>
        </w:rPr>
        <w:t>Gain (Loss) on Reverse Loans Held for Investment and HMBS-Related Borrowings, Net</w:t>
      </w:r>
    </w:p>
    <w:p>
      <w:pPr>
        <w:pStyle w:val="TextBody"/>
        <w:spacing w:lineRule="auto" w:line="288" w:before="120" w:after="20"/>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 reported in the Servicing segment is the net change in fair value of securitized loans held for investment and HMBS-related borrowings. Gain (loss) on reverse loans held for investment and HMBS-related borrowings, net excludes reverse subservicing that is reflected in Servicing and subservicing fees.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which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tbl>
      <w:tblPr>
        <w:tblW w:w="10205" w:type="dxa"/>
        <w:jc w:val="left"/>
        <w:tblInd w:w="0" w:type="dxa"/>
        <w:tblCellMar>
          <w:top w:w="28" w:type="dxa"/>
          <w:left w:w="28" w:type="dxa"/>
          <w:bottom w:w="28" w:type="dxa"/>
          <w:right w:w="28" w:type="dxa"/>
        </w:tblCellMar>
      </w:tblPr>
      <w:tblGrid>
        <w:gridCol w:w="1023"/>
        <w:gridCol w:w="682"/>
        <w:gridCol w:w="686"/>
        <w:gridCol w:w="217"/>
        <w:gridCol w:w="526"/>
        <w:gridCol w:w="112"/>
        <w:gridCol w:w="109"/>
        <w:gridCol w:w="109"/>
        <w:gridCol w:w="109"/>
        <w:gridCol w:w="294"/>
        <w:gridCol w:w="566"/>
        <w:gridCol w:w="152"/>
        <w:gridCol w:w="109"/>
        <w:gridCol w:w="109"/>
        <w:gridCol w:w="109"/>
        <w:gridCol w:w="109"/>
        <w:gridCol w:w="233"/>
        <w:gridCol w:w="233"/>
        <w:gridCol w:w="551"/>
        <w:gridCol w:w="109"/>
        <w:gridCol w:w="109"/>
        <w:gridCol w:w="109"/>
        <w:gridCol w:w="109"/>
        <w:gridCol w:w="109"/>
        <w:gridCol w:w="109"/>
        <w:gridCol w:w="308"/>
        <w:gridCol w:w="806"/>
        <w:gridCol w:w="159"/>
        <w:gridCol w:w="109"/>
        <w:gridCol w:w="109"/>
        <w:gridCol w:w="109"/>
        <w:gridCol w:w="991"/>
        <w:gridCol w:w="244"/>
        <w:gridCol w:w="247"/>
        <w:gridCol w:w="271"/>
        <w:gridCol w:w="160"/>
      </w:tblGrid>
      <w:tr>
        <w:trPr/>
        <w:tc>
          <w:tcPr>
            <w:tcW w:w="1023"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76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127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991" w:type="dxa"/>
            <w:vMerge w:val="continue"/>
            <w:tcBorders/>
            <w:shd w:fill="auto" w:val="clear"/>
            <w:tcMar>
              <w:top w:w="0" w:type="dxa"/>
              <w:left w:w="0" w:type="dxa"/>
              <w:bottom w:w="0" w:type="dxa"/>
              <w:right w:w="0" w:type="dxa"/>
            </w:tcMar>
            <w:vAlign w:val="center"/>
          </w:tcPr>
          <w:p>
            <w:pPr>
              <w:pStyle w:val="Normal"/>
              <w:rPr/>
            </w:pPr>
            <w:r>
              <w:rPr/>
            </w:r>
          </w:p>
        </w:tc>
        <w:tc>
          <w:tcPr>
            <w:tcW w:w="922" w:type="dxa"/>
            <w:gridSpan w:val="4"/>
            <w:tcBorders/>
            <w:shd w:fill="auto" w:val="clear"/>
          </w:tcPr>
          <w:p>
            <w:pPr>
              <w:pStyle w:val="TableContents"/>
              <w:spacing w:before="0" w:after="283"/>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tail securitization</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value gains (losses) (1)</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lineRule="auto" w:line="240" w:before="12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 (Servicing)</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realization of cash flows and fair value gains and losses due to inputs and assumptions. </w:t>
      </w:r>
    </w:p>
    <w:p>
      <w:pPr>
        <w:pStyle w:val="TextBody"/>
        <w:spacing w:lineRule="auto" w:line="288" w:before="120" w:after="20"/>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 increased $4.6 million for the three months ended March 31, 2023 as compared to the three months ended December 31, 2022 due to $2.7 million higher unrealized fair value gains on the HECM loan portfolio, net of HMBS due to lower market rates and a narrowing yield spread, and a $1.7 million increase in realized gains on tail securitizations. Gain on reverse loans held for investment and HMBS-related borrowings, net for the three months ended March 31, 2023 was $14.0 million, a $25.9 million favorable change compared to the $11.9 million loss in the three months ended March 31, 2022, primarily due to $21.0 million of unrealized fair value losses in the first quarter of 2022 driven by increasing interest rates and widening yield spread directly impacting projected asset life and the tail value of the HECM reverse mortgage loans.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while a narrowing yield spread results in higher gains.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components of MSR valuation adjustments, net reported in our Servicing segment, with additional related measures: </w:t>
      </w:r>
    </w:p>
    <w:tbl>
      <w:tblPr>
        <w:tblW w:w="10205" w:type="dxa"/>
        <w:jc w:val="left"/>
        <w:tblInd w:w="0" w:type="dxa"/>
        <w:tblCellMar>
          <w:top w:w="28" w:type="dxa"/>
          <w:left w:w="28" w:type="dxa"/>
          <w:bottom w:w="28" w:type="dxa"/>
          <w:right w:w="28" w:type="dxa"/>
        </w:tblCellMar>
      </w:tblPr>
      <w:tblGrid>
        <w:gridCol w:w="553"/>
        <w:gridCol w:w="251"/>
        <w:gridCol w:w="255"/>
        <w:gridCol w:w="213"/>
        <w:gridCol w:w="640"/>
        <w:gridCol w:w="110"/>
        <w:gridCol w:w="211"/>
        <w:gridCol w:w="526"/>
        <w:gridCol w:w="109"/>
        <w:gridCol w:w="251"/>
        <w:gridCol w:w="627"/>
        <w:gridCol w:w="130"/>
        <w:gridCol w:w="109"/>
        <w:gridCol w:w="109"/>
        <w:gridCol w:w="109"/>
        <w:gridCol w:w="213"/>
        <w:gridCol w:w="640"/>
        <w:gridCol w:w="110"/>
        <w:gridCol w:w="211"/>
        <w:gridCol w:w="526"/>
        <w:gridCol w:w="109"/>
        <w:gridCol w:w="251"/>
        <w:gridCol w:w="627"/>
        <w:gridCol w:w="130"/>
        <w:gridCol w:w="109"/>
        <w:gridCol w:w="109"/>
        <w:gridCol w:w="109"/>
        <w:gridCol w:w="213"/>
        <w:gridCol w:w="624"/>
        <w:gridCol w:w="110"/>
        <w:gridCol w:w="211"/>
        <w:gridCol w:w="526"/>
        <w:gridCol w:w="109"/>
        <w:gridCol w:w="225"/>
        <w:gridCol w:w="661"/>
        <w:gridCol w:w="179"/>
      </w:tblGrid>
      <w:tr>
        <w:trPr/>
        <w:tc>
          <w:tcPr>
            <w:tcW w:w="55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fair value gains (losses)</w:t>
              <w:br/>
              <w:t>(1)+(2)</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Runoff (1)</w:t>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Changes in rates and assumptions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fair value gains (losses)</w:t>
              <w:br/>
              <w:t>(1)+(2)</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Runoff (1)</w:t>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Changes in rates and assumptions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fair value gains (losses)</w:t>
              <w:br/>
              <w:t>(1)+(2)</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Runoff (1)</w:t>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Changes in rates and assumptions (2)</w:t>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pledged liability</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7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terms runoff and realization of expected future cash flows may be used interchangeably within this discussion.</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(2)Excludes gains of $1.9 million, $2.6 million and $1.1 million in the three months ended March 31, 2023, December 31, 2022 and March 31, 2022, respectively, on the revaluation of MSRs purchased at a discount, which is reported in the Originations segment as MSR valuation adjustments, net.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 include the fair value gain and losses of the MSR portfolio, the MSR pledged liability associated with the MSR transfers that do not meet sale accounting and the ESS financing liabilities for which we elected the fair value option and that is collateralized by MSRs. The $70.9 million loss in MSR valuation adjustments, net for the three months ended March 31, 2023 is comprised of $35.7 million runoff and a $35.2 million fair value loss attributed to rates and assumptions. MSR portfolio runoff represents the realization of expected cash flows and yield based on projected borrower behavior, including scheduled amortization of the loan UPB together with projected voluntary prepayments. The runoff in the three months ended March 31, 2023 was relatively stable compared to the three months ended December 31, 2022 (decreased by $1.1 million ) when compared with the UPB of the owned portfolio. The $35.2 million fair value loss due to rate and assumption changes is primarily due to a decrease in market interest rates (e.g., the 10-year swap rate declined by 30 basis points in the three months ended March 31, 2023), net of a $14.1 million (economically) hedging gain. The interest rate exposure is partially hedged under our MSR hedging strategy, with a 37% hedge coverage ratio during the first quarter of 2023. Also refer to the MSR Hedging Strategy section of Item 3. Quantitative and Qualitative Disclosures about Market Risks for further detail.</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MSR valuation adjustments, net for the three months ended March 31, 2023 increased $27.8 million (lower loss) as compared to the three months ended December 31, 2022 primarily due to a $26.8 million decrease in the loss attributed to rate and assumption change, net of a $13.8 million increase in the hedging gain, mostly driven by unfavorable assumption updates in the prior quarter, partially offset by a larger decline in market interest rates in the current quarter. The 10-year swap rate declined by 30 basis points in the three months ended March 31, 2023 as compared to 6 basis points in the three months ended December 31, 2022.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MSR valuation adjustments, net declined $92.0 million due to a $100.9 million decrease in the gain attributed to rate and assumption change, net of a $94.1 million decrease in the hedging loss, partially offset by an $8.8 million decrease in runoff. The decrease in gain on rate and assumption change is primarily due to a decrease in market interest rates (e.g., the 10-year swap rate decreased by 30 basis points in the three months ended March 31, 2023 and increased by 83 basis points in the three months ended March 31, 2022). The decrease in runoff is in part due to partially offsetting activity from ESS financing liabilities issued beginning in the third quarter of 2022.</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MSR hedging policy is designed to partially reduce the volatility of the MSR portfolio fair value due to market interest rates. Refer to Item 3 - Quantitative and Qualitative Disclosures about Market Risk for further detail on our hedging strategy and its effectiveness.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changes in the fair value and the UPB of our portfolio of owned MSRs (excluding MSRs transferred to MAV, Rithm and others) during the first quarter of 2023, with the breakdown by investor type. </w:t>
      </w:r>
    </w:p>
    <w:tbl>
      <w:tblPr>
        <w:tblW w:w="10718" w:type="dxa"/>
        <w:jc w:val="left"/>
        <w:tblInd w:w="0" w:type="dxa"/>
        <w:tblCellMar>
          <w:top w:w="28" w:type="dxa"/>
          <w:left w:w="28" w:type="dxa"/>
          <w:bottom w:w="28" w:type="dxa"/>
          <w:right w:w="28" w:type="dxa"/>
        </w:tblCellMar>
      </w:tblPr>
      <w:tblGrid>
        <w:gridCol w:w="461"/>
        <w:gridCol w:w="287"/>
        <w:gridCol w:w="288"/>
        <w:gridCol w:w="196"/>
        <w:gridCol w:w="691"/>
        <w:gridCol w:w="256"/>
        <w:gridCol w:w="109"/>
        <w:gridCol w:w="109"/>
        <w:gridCol w:w="109"/>
        <w:gridCol w:w="196"/>
        <w:gridCol w:w="556"/>
        <w:gridCol w:w="256"/>
        <w:gridCol w:w="109"/>
        <w:gridCol w:w="109"/>
        <w:gridCol w:w="109"/>
        <w:gridCol w:w="196"/>
        <w:gridCol w:w="556"/>
        <w:gridCol w:w="256"/>
        <w:gridCol w:w="109"/>
        <w:gridCol w:w="109"/>
        <w:gridCol w:w="109"/>
        <w:gridCol w:w="196"/>
        <w:gridCol w:w="706"/>
        <w:gridCol w:w="256"/>
        <w:gridCol w:w="109"/>
        <w:gridCol w:w="109"/>
        <w:gridCol w:w="109"/>
        <w:gridCol w:w="196"/>
        <w:gridCol w:w="466"/>
        <w:gridCol w:w="109"/>
        <w:gridCol w:w="109"/>
        <w:gridCol w:w="109"/>
        <w:gridCol w:w="109"/>
        <w:gridCol w:w="196"/>
        <w:gridCol w:w="466"/>
        <w:gridCol w:w="109"/>
        <w:gridCol w:w="109"/>
        <w:gridCol w:w="109"/>
        <w:gridCol w:w="109"/>
        <w:gridCol w:w="320"/>
        <w:gridCol w:w="209"/>
        <w:gridCol w:w="212"/>
        <w:gridCol w:w="109"/>
        <w:gridCol w:w="109"/>
        <w:gridCol w:w="109"/>
        <w:gridCol w:w="237"/>
        <w:gridCol w:w="230"/>
        <w:gridCol w:w="326"/>
      </w:tblGrid>
      <w:tr>
        <w:trPr/>
        <w:tc>
          <w:tcPr>
            <w:tcW w:w="46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8" w:type="dxa"/>
            <w:gridSpan w:val="21"/>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 MSR Fair Value (1)</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057" w:type="dxa"/>
            <w:gridSpan w:val="21"/>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 MSR UPB ($ in billions) (1)</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Ginnie Mae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Ginnie Mae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Agency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New cap.</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Sales/transfers/calls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Inputs and assumptions (2)</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Realization of expected cash flows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1,673.1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color w:val="000000"/>
                <w:sz w:val="18"/>
              </w:rPr>
            </w:pPr>
            <w:r>
              <w:rPr>
                <w:rFonts w:ascii="Times New Roman;sans-serif" w:hAnsi="Times New Roman;sans-serif"/>
                <w:b/>
                <w:color w:val="000000"/>
                <w:sz w:val="18"/>
              </w:rPr>
              <w:t>127.6</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note rate</w:t>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 of UPB)</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multiple (3)</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capitalization fair value (% of UPB)</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capitalization fair value multiple (3)</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(1)See Note 7 – Mortgage Servicing and Note 8 — Other Financing Liabilities, at Fair Value for further information on the Rithm and MAV portfolios.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(2)Excludes gains of $1.9 million on the revaluation of purchased MSRs, that are reported in the Originations segment.</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(3)Multiple of average servicing fee and UPB.</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Compensation and Benefits</w:t>
      </w:r>
    </w:p>
    <w:tbl>
      <w:tblPr>
        <w:tblW w:w="10205" w:type="dxa"/>
        <w:jc w:val="left"/>
        <w:tblInd w:w="0" w:type="dxa"/>
        <w:tblCellMar>
          <w:top w:w="28" w:type="dxa"/>
          <w:left w:w="28" w:type="dxa"/>
          <w:bottom w:w="28" w:type="dxa"/>
          <w:right w:w="28" w:type="dxa"/>
        </w:tblCellMar>
      </w:tblPr>
      <w:tblGrid>
        <w:gridCol w:w="715"/>
        <w:gridCol w:w="627"/>
        <w:gridCol w:w="630"/>
        <w:gridCol w:w="228"/>
        <w:gridCol w:w="553"/>
        <w:gridCol w:w="117"/>
        <w:gridCol w:w="117"/>
        <w:gridCol w:w="117"/>
        <w:gridCol w:w="117"/>
        <w:gridCol w:w="530"/>
        <w:gridCol w:w="274"/>
        <w:gridCol w:w="275"/>
        <w:gridCol w:w="109"/>
        <w:gridCol w:w="109"/>
        <w:gridCol w:w="109"/>
        <w:gridCol w:w="109"/>
        <w:gridCol w:w="109"/>
        <w:gridCol w:w="220"/>
        <w:gridCol w:w="220"/>
        <w:gridCol w:w="551"/>
        <w:gridCol w:w="109"/>
        <w:gridCol w:w="109"/>
        <w:gridCol w:w="109"/>
        <w:gridCol w:w="109"/>
        <w:gridCol w:w="109"/>
        <w:gridCol w:w="455"/>
        <w:gridCol w:w="1103"/>
        <w:gridCol w:w="235"/>
        <w:gridCol w:w="109"/>
        <w:gridCol w:w="109"/>
        <w:gridCol w:w="109"/>
        <w:gridCol w:w="109"/>
        <w:gridCol w:w="109"/>
        <w:gridCol w:w="109"/>
        <w:gridCol w:w="109"/>
        <w:gridCol w:w="109"/>
        <w:gridCol w:w="109"/>
        <w:gridCol w:w="213"/>
        <w:gridCol w:w="213"/>
        <w:gridCol w:w="624"/>
      </w:tblGrid>
      <w:tr>
        <w:trPr/>
        <w:tc>
          <w:tcPr>
            <w:tcW w:w="71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r>
      <w:tr>
        <w:trPr/>
        <w:tc>
          <w:tcPr>
            <w:tcW w:w="1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and benefits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Employment - Servicing</w:t>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w:t>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and other</w:t>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for the three months ended March 31, 2023 remained flat as compared to the three months ended December 31, 2022. The lower salary-based compensation due to the decline in overall headcount and further offshoring of our reverse servicing operations was offset by an increase in severance expense.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Compensation and benefits expense for the three months ended March 31, 2023 remained flat, largely with the same drivers and offsetting factors described above. The increase in severance expense was largely offset by a decrease in salaries and benefit expense driven by a 23% reduction in our average U.S.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headcount, reflecting our goal to improve efficiencies and create an industry leading cost structure. The offshore-to-total average headcount ratio for Servicing increased from 71% for the three months ended March 31, 2022 to 78% for the three months ended March 31, 2023.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Servicing Expense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expense primarily includes claim losses and interest curtailments on government-insured loans, provision expense for advances and servicing representation and warranties, and certain loan-volume related expenses. </w:t>
      </w:r>
    </w:p>
    <w:tbl>
      <w:tblPr>
        <w:tblW w:w="387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0" w:type="dxa"/>
            <w:gridSpan w:val="15"/>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Servicing expense increased in the three months ended March 31, 2023 by $4.9 million as compared to the three months ended December 31, 2022, primarily as a result of a $2.8 million increase in provision for indemnification, mostly within the PLS subservicing portfolio, and a $2.3 million favorable settlement in the fourth quarter of 2022 related to other servicer expenses.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Servicing expense for the three months ended March 31, 2023 increased $4.1 million. The increase is primarily due to a $6.6 million increase in provision for indemnification due to a $4.0 million release of provision for indemnification in the first quarter of 2022 as a result of a favorable settlement, offset in part by a $3.4 million decrease in satisfaction and interest on payoff expense attributable to lower payoff volume.</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Other Operating Expenses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(total operating expenses less Compensation and benefit expense and Servicing expense) for the three months ended March 31, 2023 increased $2.7 million as compared to the three months ended December 31, 2022 primarily due to an increase in Professional services expense and an increase in amortization of intangibles driven by higher runoff of the reverse subservicing portfolio. The increase in Professional services expense was driven by certain payments received during the fourth quarter of 2022 following resolution of legacy litigation matters.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Other operating expenses for the three months ended March 31, 2023 increased by $1.1 million. Professional services increased $1.0 million due to $2.2 million higher legal expenses, mostly driven by the $5.1 million recovery of legal expenses with a favorable settlement in the first quarter of 2022 offset by a decrease in legal expenses related to other matters and a $1.1 million decrease in other professional fees primarily related to our reverse subservicing business.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primarily includes net interest expense and pledged MSR liability expense. </w:t>
      </w:r>
    </w:p>
    <w:tbl>
      <w:tblPr>
        <w:tblW w:w="10205" w:type="dxa"/>
        <w:jc w:val="left"/>
        <w:tblInd w:w="0" w:type="dxa"/>
        <w:tblCellMar>
          <w:top w:w="28" w:type="dxa"/>
          <w:left w:w="28" w:type="dxa"/>
          <w:bottom w:w="28" w:type="dxa"/>
          <w:right w:w="28" w:type="dxa"/>
        </w:tblCellMar>
      </w:tblPr>
      <w:tblGrid>
        <w:gridCol w:w="744"/>
        <w:gridCol w:w="568"/>
        <w:gridCol w:w="570"/>
        <w:gridCol w:w="211"/>
        <w:gridCol w:w="511"/>
        <w:gridCol w:w="271"/>
        <w:gridCol w:w="109"/>
        <w:gridCol w:w="109"/>
        <w:gridCol w:w="109"/>
        <w:gridCol w:w="230"/>
        <w:gridCol w:w="558"/>
        <w:gridCol w:w="296"/>
        <w:gridCol w:w="109"/>
        <w:gridCol w:w="109"/>
        <w:gridCol w:w="109"/>
        <w:gridCol w:w="109"/>
        <w:gridCol w:w="109"/>
        <w:gridCol w:w="220"/>
        <w:gridCol w:w="220"/>
        <w:gridCol w:w="551"/>
        <w:gridCol w:w="109"/>
        <w:gridCol w:w="109"/>
        <w:gridCol w:w="109"/>
        <w:gridCol w:w="109"/>
        <w:gridCol w:w="109"/>
        <w:gridCol w:w="376"/>
        <w:gridCol w:w="913"/>
        <w:gridCol w:w="484"/>
        <w:gridCol w:w="109"/>
        <w:gridCol w:w="109"/>
        <w:gridCol w:w="109"/>
        <w:gridCol w:w="109"/>
        <w:gridCol w:w="109"/>
        <w:gridCol w:w="109"/>
        <w:gridCol w:w="109"/>
        <w:gridCol w:w="109"/>
        <w:gridCol w:w="109"/>
        <w:gridCol w:w="233"/>
        <w:gridCol w:w="233"/>
        <w:gridCol w:w="618"/>
      </w:tblGrid>
      <w:tr>
        <w:trPr/>
        <w:tc>
          <w:tcPr>
            <w:tcW w:w="744"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debt interest expense allocation </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balances</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average interest rate</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1M Term SOFR</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r>
        <w:trPr/>
        <w:tc>
          <w:tcPr>
            <w:tcW w:w="1882"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March 31, 2023 increased by $3.1 million or 8% as compared to the three months ended December 31, 2022, mostly due to a $1.5 million increase in interest expense on advance match funded facilities and a $1.1 million increase in interest expense on mortgage loan warehouse facilities. The increase in interest expense on advance match funded facilities is due to higher funding cost driven by higher interest rates. The increase in interest expense on mortgage loan warehouse facilities is the result of higher funding costs driven by increases in interest rates and a higher average debt balance to finance the increase in average loans held for sale during the three months ended March 31, 2023. </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interest expense for the three months ended March 31, 2023 increased $18.5 million, or 80%, due to an overall higher funding cost driven by increased market interest rates, offset in part by a decrease in the average debt balances, primarily in mortgage loan warehouse facilities due to lower production volumes. Interest expense on advance match funded facilities increased $8.0 million despite the decline in average borrowings primarily as a result of our repayment of low-cost OMART term notes during the third quarter of 2022. The $9.7 million increase in interest expense on MSR financing facilities is due to higher interest rates as average borrowings increased only slightly.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2023 increased $1.1 million as compared to the three months ended December 31, 2022, primarily due to a higher balance of loans held for sale. As compared to the three months ended March 31, 2022, interest income for the three months ended March 31, 2023 remained mostly flat.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includes the servicing fee remittance related to the MSR transfers that do not meet sale accounting criteria and are presented on a gross basis in our consolidated financial statements, together with the servicing spread remittance associated with our ESS financing liability at fair value. See Note 8 — Other Financing Liabilities, at Fair Value to the Unaudited Consolidated Financial Statements.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Pledged MSR liability expense:</w:t>
      </w:r>
    </w:p>
    <w:tbl>
      <w:tblPr>
        <w:tblW w:w="10205" w:type="dxa"/>
        <w:jc w:val="left"/>
        <w:tblInd w:w="0" w:type="dxa"/>
        <w:tblCellMar>
          <w:top w:w="28" w:type="dxa"/>
          <w:left w:w="28" w:type="dxa"/>
          <w:bottom w:w="28" w:type="dxa"/>
          <w:right w:w="28" w:type="dxa"/>
        </w:tblCellMar>
      </w:tblPr>
      <w:tblGrid>
        <w:gridCol w:w="1140"/>
        <w:gridCol w:w="727"/>
        <w:gridCol w:w="729"/>
        <w:gridCol w:w="219"/>
        <w:gridCol w:w="533"/>
        <w:gridCol w:w="113"/>
        <w:gridCol w:w="109"/>
        <w:gridCol w:w="109"/>
        <w:gridCol w:w="109"/>
        <w:gridCol w:w="259"/>
        <w:gridCol w:w="628"/>
        <w:gridCol w:w="135"/>
        <w:gridCol w:w="109"/>
        <w:gridCol w:w="109"/>
        <w:gridCol w:w="109"/>
        <w:gridCol w:w="109"/>
        <w:gridCol w:w="220"/>
        <w:gridCol w:w="220"/>
        <w:gridCol w:w="551"/>
        <w:gridCol w:w="109"/>
        <w:gridCol w:w="109"/>
        <w:gridCol w:w="109"/>
        <w:gridCol w:w="109"/>
        <w:gridCol w:w="109"/>
        <w:gridCol w:w="109"/>
        <w:gridCol w:w="109"/>
        <w:gridCol w:w="364"/>
        <w:gridCol w:w="883"/>
        <w:gridCol w:w="188"/>
        <w:gridCol w:w="109"/>
        <w:gridCol w:w="109"/>
        <w:gridCol w:w="109"/>
        <w:gridCol w:w="109"/>
        <w:gridCol w:w="109"/>
        <w:gridCol w:w="109"/>
        <w:gridCol w:w="247"/>
        <w:gridCol w:w="248"/>
        <w:gridCol w:w="621"/>
      </w:tblGrid>
      <w:tr>
        <w:trPr/>
        <w:tc>
          <w:tcPr>
            <w:tcW w:w="114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43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43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third party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2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62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servicing fee remittance (1)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96" w:type="dxa"/>
            <w:gridSpan w:val="3"/>
            <w:tcBorders/>
            <w:shd w:fill="auto" w:val="clear"/>
            <w:vAlign w:val="center"/>
          </w:tcPr>
          <w:p>
            <w:pPr>
              <w:pStyle w:val="TableContents"/>
              <w:spacing w:before="0" w:after="283"/>
              <w:rPr>
                <w:sz w:val="4"/>
                <w:szCs w:val="4"/>
              </w:rPr>
            </w:pPr>
            <w:r>
              <w:rPr>
                <w:sz w:val="4"/>
                <w:szCs w:val="4"/>
              </w:rPr>
            </w:r>
          </w:p>
        </w:tc>
        <w:tc>
          <w:tcPr>
            <w:tcW w:w="8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6" w:type="dxa"/>
            <w:gridSpan w:val="3"/>
            <w:tcBorders/>
            <w:shd w:fill="auto" w:val="clear"/>
            <w:vAlign w:val="center"/>
          </w:tcPr>
          <w:p>
            <w:pPr>
              <w:pStyle w:val="TableContents"/>
              <w:spacing w:before="0" w:after="283"/>
              <w:rPr>
                <w:sz w:val="4"/>
                <w:szCs w:val="4"/>
              </w:rPr>
            </w:pPr>
            <w:r>
              <w:rPr>
                <w:sz w:val="4"/>
                <w:szCs w:val="4"/>
              </w:rPr>
            </w:r>
          </w:p>
        </w:tc>
        <w:tc>
          <w:tcPr>
            <w:tcW w:w="8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(1)For MSR transfers that do not meet sale accounting criteria. See Note 8 — Other Financing Liabilities, at Fair Value.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for the three months ended March 31, 2023 increased $3.6 million, as compared to the three months ended December 31, 2022, largely due to a $2.6 million increase in servicing spread remittance on the ESS financing liabilities due to the issuance of new liabilities.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Pledged MSR liability expense for the three months ended March 31, 2023 increased $10.6 million, mostly due to $10.5 million servicing spread remittance on the ESS financing liabilities issued beginning in the third quarter of 2022.</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Earnings (loss) of equity method investee represents our 15% share of MAV Canopy from May 3, 2021. The $12.0 million earnings for the three months ended March 31, 2022 were predominantly driven by the fair value gains recorded by MAV Canopy on its MSR portfolio due to rising interest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621" w:type="dxa"/>
        <w:jc w:val="left"/>
        <w:tblInd w:w="0" w:type="dxa"/>
        <w:tblCellMar>
          <w:top w:w="28" w:type="dxa"/>
          <w:left w:w="28" w:type="dxa"/>
          <w:bottom w:w="28" w:type="dxa"/>
          <w:right w:w="28" w:type="dxa"/>
        </w:tblCellMar>
      </w:tblPr>
      <w:tblGrid>
        <w:gridCol w:w="519"/>
        <w:gridCol w:w="456"/>
        <w:gridCol w:w="646"/>
      </w:tblGrid>
      <w:tr>
        <w:trPr/>
        <w:tc>
          <w:tcPr>
            <w:tcW w:w="51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r>
      <w:tr>
        <w:trPr/>
        <w:tc>
          <w:tcPr>
            <w:tcW w:w="16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ORIGINATIONS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purchase loans and MSRs through multiple channels, including retail, wholesale, correspondent, flow MSR purchase agreements, the Agency Cash Window and Co-issue programs and bulk MSR purchases.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which are mostly insured by the FHA and we are an approved issuer of HMBS that are guaranteed by Ginnie Mae.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Within retail, our Consumer Direct channel for forward mortgage loans focuses on targeting existing servicing customers by offering them competitive mortgage refinance opportunities, where permitted by the governing servicing and pooling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purchase mortgage loans, cash-out, debt consolidation, mortgage insurance premium reduction, and new customer acquisition.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March 31, 2023, we have relationships with 631 approved correspondent sellers, or 31 new sellers since December 31, 2022.</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After origination, we sell the loans in the secondary mortgage market, through GSE and Ginnie Mae securitizations on a servicing retained basis. Origination revenue mostly includes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MSRs through flow purchase agreements, the Agency Cash Window co-issue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 Window programs. As of March 31, 2023, we have relationships with 247 approved sellers through the Agency Cash Window co-issue programs, or nine new sellers since December 31, 2022.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our Originations business originated or purchased forward and reverse mortgage loans with a UPB of $2.5 billion and $142.6 million, respectively. In addition, we purchased $1.8 billion UPB MSR through the Agency Cash Window and flow purchase programs during the first quarter of 2023.</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Significant Variables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factors could significantly impact the results of our Originations segment from period to period.</w:t>
      </w:r>
    </w:p>
    <w:p>
      <w:pPr>
        <w:pStyle w:val="TextBody"/>
        <w:spacing w:lineRule="auto" w:line="288" w:before="120" w:after="120"/>
        <w:rPr/>
      </w:pPr>
      <w:r>
        <w:rPr>
          <w:rFonts w:ascii="Times New Roman;sans-serif" w:hAnsi="Times New Roman;sans-serif"/>
          <w:b w:val="false"/>
          <w:i/>
          <w:color w:val="000000"/>
          <w:sz w:val="20"/>
        </w:rPr>
        <w:t xml:space="preserve">Mortgage Rates. </w:t>
      </w:r>
      <w:r>
        <w:rPr>
          <w:rFonts w:ascii="Times New Roman;sans-serif" w:hAnsi="Times New Roman;sans-serif"/>
          <w:b w:val="false"/>
          <w:color w:val="000000"/>
          <w:sz w:val="20"/>
        </w:rPr>
        <w:t xml:space="preserve">Changes in mortgage rates directly impact the demand for both purchase and refinance forward mortgages and therefore can impact the financial results of our Originations segment. Small changes in mortgage rates directly impact housing affordability for both first-time and move-up home buyers and affect their ability to purchase a home. For refinance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w:t>
      </w:r>
    </w:p>
    <w:p>
      <w:pPr>
        <w:pStyle w:val="TextBody"/>
        <w:spacing w:lineRule="auto" w:line="288" w:before="120" w:after="120"/>
        <w:rPr/>
      </w:pPr>
      <w:r>
        <w:rPr>
          <w:rFonts w:ascii="Times New Roman;sans-serif" w:hAnsi="Times New Roman;sans-serif"/>
          <w:b w:val="false"/>
          <w:i/>
          <w:color w:val="000000"/>
          <w:sz w:val="20"/>
        </w:rPr>
        <w:t>Market Size and Composition.</w:t>
      </w:r>
      <w:r>
        <w:rPr>
          <w:color w:val="000000"/>
        </w:rPr>
        <w:t xml:space="preserve"> </w:t>
      </w:r>
      <w:r>
        <w:rPr>
          <w:rFonts w:ascii="Times New Roman;sans-serif" w:hAnsi="Times New Roman;sans-serif"/>
          <w:b w:val="false"/>
          <w:color w:val="000000"/>
          <w:sz w:val="20"/>
        </w:rPr>
        <w:t>The volume of new or refinanced loans is impacted by changes to existing, or development of new, GSE or other government 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pStyle w:val="TextBody"/>
        <w:spacing w:lineRule="auto" w:line="288" w:before="120" w:after="120"/>
        <w:rPr/>
      </w:pPr>
      <w:r>
        <w:rPr>
          <w:rFonts w:ascii="Times New Roman;sans-serif" w:hAnsi="Times New Roman;sans-serif"/>
          <w:b w:val="false"/>
          <w:i/>
          <w:color w:val="000000"/>
          <w:sz w:val="20"/>
        </w:rPr>
        <w:t>Margins.</w:t>
      </w:r>
      <w:r>
        <w:rPr>
          <w:color w:val="000000"/>
        </w:rPr>
        <w:t xml:space="preserve"> </w:t>
      </w:r>
      <w:r>
        <w:rPr>
          <w:rFonts w:ascii="Times New Roman;sans-serif" w:hAnsi="Times New Roman;sans-serif"/>
          <w:b w:val="false"/>
          <w:color w:val="000000"/>
          <w:sz w:val="20"/>
        </w:rPr>
        <w:t xml:space="preserve">Changes in pricing margin for mortgages are closely correlated with changes in market size for mortgage loans. As loan demand and market capacity 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 </w:t>
      </w:r>
    </w:p>
    <w:p>
      <w:pPr>
        <w:pStyle w:val="TextBody"/>
        <w:spacing w:lineRule="auto" w:line="288" w:before="120" w:after="120"/>
        <w:rPr/>
      </w:pPr>
      <w:r>
        <w:rPr>
          <w:rFonts w:ascii="Times New Roman;sans-serif" w:hAnsi="Times New Roman;sans-serif"/>
          <w:b w:val="false"/>
          <w:i/>
          <w:color w:val="000000"/>
          <w:sz w:val="20"/>
        </w:rPr>
        <w:t>Investor Demand.</w:t>
      </w:r>
      <w:r>
        <w:rPr>
          <w:color w:val="000000"/>
        </w:rPr>
        <w:t xml:space="preserve"> </w:t>
      </w:r>
      <w:r>
        <w:rPr>
          <w:rFonts w:ascii="Times New Roman;sans-serif" w:hAnsi="Times New Roman;sans-serif"/>
          <w:b w:val="false"/>
          <w:color w:val="000000"/>
          <w:sz w:val="20"/>
        </w:rPr>
        <w:t>The liquidity of the secondary market for mortgage loans impacts the size of the mortgage loan market by defining loan attributes and credit 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pStyle w:val="TextBody"/>
        <w:spacing w:lineRule="auto" w:line="288" w:before="120" w:after="120"/>
        <w:rPr/>
      </w:pPr>
      <w:r>
        <w:rPr>
          <w:rFonts w:ascii="Times New Roman;sans-serif" w:hAnsi="Times New Roman;sans-serif"/>
          <w:b w:val="false"/>
          <w:i/>
          <w:color w:val="000000"/>
          <w:sz w:val="20"/>
        </w:rPr>
        <w:t>Economic Conditions.</w:t>
      </w:r>
      <w:r>
        <w:rPr>
          <w:color w:val="000000"/>
        </w:rPr>
        <w:t xml:space="preserve"> </w:t>
      </w:r>
      <w:r>
        <w:rPr>
          <w:rFonts w:ascii="Times New Roman;sans-serif" w:hAnsi="Times New Roman;sans-serif"/>
          <w:b w:val="false"/>
          <w:color w:val="000000"/>
          <w:sz w:val="20"/>
        </w:rPr>
        <w:t>General economic conditions can impact the growth and revenue of our Originations segment by impacting the capacity for consumer credit and the supply of capital. More specifically, employment levels 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of our Originations segment. The amounts presented are before the elimination of balances and transactions with our other segments:</w:t>
      </w:r>
    </w:p>
    <w:tbl>
      <w:tblPr>
        <w:tblW w:w="10205" w:type="dxa"/>
        <w:jc w:val="left"/>
        <w:tblInd w:w="0" w:type="dxa"/>
        <w:tblCellMar>
          <w:top w:w="28" w:type="dxa"/>
          <w:left w:w="28" w:type="dxa"/>
          <w:bottom w:w="28" w:type="dxa"/>
          <w:right w:w="28" w:type="dxa"/>
        </w:tblCellMar>
      </w:tblPr>
      <w:tblGrid>
        <w:gridCol w:w="1144"/>
        <w:gridCol w:w="699"/>
        <w:gridCol w:w="701"/>
        <w:gridCol w:w="375"/>
        <w:gridCol w:w="247"/>
        <w:gridCol w:w="191"/>
        <w:gridCol w:w="125"/>
        <w:gridCol w:w="125"/>
        <w:gridCol w:w="125"/>
        <w:gridCol w:w="508"/>
        <w:gridCol w:w="262"/>
        <w:gridCol w:w="263"/>
        <w:gridCol w:w="109"/>
        <w:gridCol w:w="109"/>
        <w:gridCol w:w="109"/>
        <w:gridCol w:w="109"/>
        <w:gridCol w:w="247"/>
        <w:gridCol w:w="248"/>
        <w:gridCol w:w="551"/>
        <w:gridCol w:w="109"/>
        <w:gridCol w:w="109"/>
        <w:gridCol w:w="109"/>
        <w:gridCol w:w="109"/>
        <w:gridCol w:w="109"/>
        <w:gridCol w:w="109"/>
        <w:gridCol w:w="109"/>
        <w:gridCol w:w="665"/>
        <w:gridCol w:w="413"/>
        <w:gridCol w:w="346"/>
        <w:gridCol w:w="109"/>
        <w:gridCol w:w="109"/>
        <w:gridCol w:w="109"/>
        <w:gridCol w:w="109"/>
        <w:gridCol w:w="109"/>
        <w:gridCol w:w="109"/>
        <w:gridCol w:w="247"/>
        <w:gridCol w:w="248"/>
        <w:gridCol w:w="622"/>
      </w:tblGrid>
      <w:tr>
        <w:trPr/>
        <w:tc>
          <w:tcPr>
            <w:tcW w:w="114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5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44" w:type="dxa"/>
            <w:gridSpan w:val="3"/>
            <w:vMerge w:val="continue"/>
            <w:tcBorders/>
            <w:shd w:fill="auto" w:val="clear"/>
            <w:tcMar>
              <w:top w:w="0" w:type="dxa"/>
              <w:left w:w="0" w:type="dxa"/>
              <w:bottom w:w="0" w:type="dxa"/>
              <w:right w:w="0" w:type="dxa"/>
            </w:tcMar>
            <w:vAlign w:val="center"/>
          </w:tcPr>
          <w:p>
            <w:pPr>
              <w:pStyle w:val="Normal"/>
              <w:rPr/>
            </w:pPr>
            <w:r>
              <w:rPr/>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42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44" w:type="dxa"/>
            <w:gridSpan w:val="3"/>
            <w:vMerge w:val="continue"/>
            <w:tcBorders/>
            <w:shd w:fill="auto" w:val="clear"/>
            <w:tcMar>
              <w:top w:w="0" w:type="dxa"/>
              <w:left w:w="0" w:type="dxa"/>
              <w:bottom w:w="0" w:type="dxa"/>
              <w:right w:w="0" w:type="dxa"/>
            </w:tcMar>
            <w:vAlign w:val="center"/>
          </w:tcPr>
          <w:p>
            <w:pPr>
              <w:pStyle w:val="Normal"/>
              <w:rPr/>
            </w:pPr>
            <w:r>
              <w:rPr/>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42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11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 </w:t>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 (1)</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xml:space="preserve">MSR valuation adjustments, net </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2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expense</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62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6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2544"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ancillary fee income related to MSR acquisitions reported as Servicing and subservicing fees at the consolidated level of $0.4 million, $0.5 million and $0.5 million for the three months ended March 31, 2023, December 31, 2022 and March 31, 2022, respectively. </w:t>
      </w:r>
    </w:p>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for our Originations segment:</w:t>
      </w:r>
    </w:p>
    <w:tbl>
      <w:tblPr>
        <w:tblW w:w="10205" w:type="dxa"/>
        <w:jc w:val="center"/>
        <w:tblInd w:w="0" w:type="dxa"/>
        <w:tblCellMar>
          <w:top w:w="28" w:type="dxa"/>
          <w:left w:w="28" w:type="dxa"/>
          <w:bottom w:w="28" w:type="dxa"/>
          <w:right w:w="28" w:type="dxa"/>
        </w:tblCellMar>
      </w:tblPr>
      <w:tblGrid>
        <w:gridCol w:w="1019"/>
        <w:gridCol w:w="747"/>
        <w:gridCol w:w="752"/>
        <w:gridCol w:w="211"/>
        <w:gridCol w:w="616"/>
        <w:gridCol w:w="271"/>
        <w:gridCol w:w="109"/>
        <w:gridCol w:w="109"/>
        <w:gridCol w:w="109"/>
        <w:gridCol w:w="221"/>
        <w:gridCol w:w="647"/>
        <w:gridCol w:w="284"/>
        <w:gridCol w:w="109"/>
        <w:gridCol w:w="109"/>
        <w:gridCol w:w="109"/>
        <w:gridCol w:w="220"/>
        <w:gridCol w:w="220"/>
        <w:gridCol w:w="551"/>
        <w:gridCol w:w="109"/>
        <w:gridCol w:w="109"/>
        <w:gridCol w:w="109"/>
        <w:gridCol w:w="109"/>
        <w:gridCol w:w="109"/>
        <w:gridCol w:w="352"/>
        <w:gridCol w:w="1030"/>
        <w:gridCol w:w="453"/>
        <w:gridCol w:w="109"/>
        <w:gridCol w:w="109"/>
        <w:gridCol w:w="109"/>
        <w:gridCol w:w="233"/>
        <w:gridCol w:w="233"/>
        <w:gridCol w:w="619"/>
      </w:tblGrid>
      <w:tr>
        <w:trPr/>
        <w:tc>
          <w:tcPr>
            <w:tcW w:w="101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r>
      <w:tr>
        <w:trPr/>
        <w:tc>
          <w:tcPr>
            <w:tcW w:w="251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18" w:type="dxa"/>
            <w:gridSpan w:val="3"/>
            <w:vMerge w:val="continue"/>
            <w:tcBorders/>
            <w:shd w:fill="auto" w:val="clear"/>
            <w:tcMar>
              <w:top w:w="0" w:type="dxa"/>
              <w:left w:w="0" w:type="dxa"/>
              <w:bottom w:w="0" w:type="dxa"/>
              <w:right w:w="0" w:type="dxa"/>
            </w:tcMar>
            <w:vAlign w:val="center"/>
          </w:tcPr>
          <w:p>
            <w:pPr>
              <w:pStyle w:val="Normal"/>
              <w:rPr/>
            </w:pPr>
            <w:r>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8" w:type="dxa"/>
            <w:gridSpan w:val="3"/>
            <w:vMerge w:val="continue"/>
            <w:tcBorders/>
            <w:shd w:fill="auto" w:val="clear"/>
            <w:tcMar>
              <w:top w:w="0" w:type="dxa"/>
              <w:left w:w="0" w:type="dxa"/>
              <w:bottom w:w="0" w:type="dxa"/>
              <w:right w:w="0" w:type="dxa"/>
            </w:tcMar>
            <w:vAlign w:val="center"/>
          </w:tcPr>
          <w:p>
            <w:pPr>
              <w:pStyle w:val="Normal"/>
              <w:rPr/>
            </w:pPr>
            <w:r>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Loan Production by Channel </w:t>
            </w:r>
            <w:r>
              <w:rPr>
                <w:rFonts w:ascii="Times New Roman;sans-serif" w:hAnsi="Times New Roman;sans-serif"/>
                <w:b w:val="false"/>
                <w:i/>
                <w:color w:val="000000"/>
                <w:sz w:val="20"/>
              </w:rPr>
              <w:t>(in billions)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loans </w:t>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Purchase production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Refinance production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(1)</w:t>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 xml:space="preserve">MSR Purchases by Channel </w:t>
            </w:r>
            <w:r>
              <w:rPr>
                <w:rFonts w:ascii="Times New Roman;sans-serif" w:hAnsi="Times New Roman;sans-serif"/>
                <w:b w:val="false"/>
                <w:i/>
                <w:color w:val="000000"/>
                <w:sz w:val="20"/>
              </w:rPr>
              <w:t>(in billions)</w:t>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Cash Window / Flow MSR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51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 xml:space="preserve">Short-term loan commitment </w:t>
            </w:r>
            <w:r>
              <w:rPr>
                <w:rFonts w:ascii="Times New Roman;sans-serif" w:hAnsi="Times New Roman;sans-serif"/>
                <w:b w:val="false"/>
                <w:i/>
                <w:color w:val="000000"/>
                <w:sz w:val="20"/>
              </w:rPr>
              <w:t>(at period end; in millions)</w:t>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Employment - Originations</w:t>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(1)Loan production excludes reverse mortgage loan draws by borrowers disbursed subsequent to origination that are reported within the Servicing segment.</w:t>
      </w:r>
    </w:p>
    <w:p>
      <w:pPr>
        <w:pStyle w:val="TextBody"/>
        <w:spacing w:before="6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Gain on Loans Held for Sale,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loans held for sale by channel and the related forward loan origination volume and margins (excluding fees that are presented in Other revenue, net): </w:t>
      </w:r>
    </w:p>
    <w:tbl>
      <w:tblPr>
        <w:tblW w:w="10205" w:type="dxa"/>
        <w:jc w:val="left"/>
        <w:tblInd w:w="0" w:type="dxa"/>
        <w:tblCellMar>
          <w:top w:w="28" w:type="dxa"/>
          <w:left w:w="28" w:type="dxa"/>
          <w:bottom w:w="28" w:type="dxa"/>
          <w:right w:w="28" w:type="dxa"/>
        </w:tblCellMar>
      </w:tblPr>
      <w:tblGrid>
        <w:gridCol w:w="950"/>
        <w:gridCol w:w="451"/>
        <w:gridCol w:w="456"/>
        <w:gridCol w:w="211"/>
        <w:gridCol w:w="511"/>
        <w:gridCol w:w="271"/>
        <w:gridCol w:w="109"/>
        <w:gridCol w:w="109"/>
        <w:gridCol w:w="109"/>
        <w:gridCol w:w="230"/>
        <w:gridCol w:w="559"/>
        <w:gridCol w:w="296"/>
        <w:gridCol w:w="109"/>
        <w:gridCol w:w="109"/>
        <w:gridCol w:w="109"/>
        <w:gridCol w:w="109"/>
        <w:gridCol w:w="109"/>
        <w:gridCol w:w="220"/>
        <w:gridCol w:w="220"/>
        <w:gridCol w:w="551"/>
        <w:gridCol w:w="109"/>
        <w:gridCol w:w="109"/>
        <w:gridCol w:w="109"/>
        <w:gridCol w:w="109"/>
        <w:gridCol w:w="109"/>
        <w:gridCol w:w="381"/>
        <w:gridCol w:w="924"/>
        <w:gridCol w:w="490"/>
        <w:gridCol w:w="109"/>
        <w:gridCol w:w="109"/>
        <w:gridCol w:w="109"/>
        <w:gridCol w:w="109"/>
        <w:gridCol w:w="109"/>
        <w:gridCol w:w="109"/>
        <w:gridCol w:w="109"/>
        <w:gridCol w:w="109"/>
        <w:gridCol w:w="109"/>
        <w:gridCol w:w="233"/>
        <w:gridCol w:w="233"/>
        <w:gridCol w:w="620"/>
      </w:tblGrid>
      <w:tr>
        <w:trPr/>
        <w:tc>
          <w:tcPr>
            <w:tcW w:w="9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1857"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57" w:type="dxa"/>
            <w:gridSpan w:val="3"/>
            <w:vMerge w:val="continue"/>
            <w:tcBorders/>
            <w:shd w:fill="FFFFFF" w:val="clear"/>
            <w:tcMar>
              <w:top w:w="0" w:type="dxa"/>
              <w:left w:w="0" w:type="dxa"/>
              <w:bottom w:w="0" w:type="dxa"/>
              <w:right w:w="0" w:type="dxa"/>
            </w:tcMar>
            <w:vAlign w:val="center"/>
          </w:tcPr>
          <w:p>
            <w:pPr>
              <w:pStyle w:val="Normal"/>
              <w:rPr/>
            </w:pPr>
            <w:r>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57" w:type="dxa"/>
            <w:gridSpan w:val="3"/>
            <w:vMerge w:val="continue"/>
            <w:tcBorders/>
            <w:shd w:fill="FFFFFF" w:val="clear"/>
            <w:tcMar>
              <w:top w:w="0" w:type="dxa"/>
              <w:left w:w="0" w:type="dxa"/>
              <w:bottom w:w="0" w:type="dxa"/>
              <w:right w:w="0" w:type="dxa"/>
            </w:tcMar>
            <w:vAlign w:val="center"/>
          </w:tcPr>
          <w:p>
            <w:pPr>
              <w:pStyle w:val="Normal"/>
              <w:rPr/>
            </w:pPr>
            <w:r>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Gain on Loans Held for Sale (1)</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Gain on Sale Margin (2)</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Origination UPB (3) </w:t>
            </w:r>
            <w:r>
              <w:rPr>
                <w:rFonts w:ascii="Times New Roman;sans-serif" w:hAnsi="Times New Roman;sans-serif"/>
                <w:b w:val="false"/>
                <w:i/>
                <w:color w:val="000000"/>
                <w:sz w:val="20"/>
              </w:rPr>
              <w:t>(in billions)</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4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85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realized gains on loan sales and related new MSR capitalization, changes in fair value of IRLCs, changes in fair value of loans held for sale and economic hedging gains and losses.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(2)Ratio of gain on Loans held for sale to Origination UPB. Note that the ratio differs from the day-one gain on sale margin upon lock.</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(3)Defined as the UPB of loans funded in the period. </w:t>
      </w:r>
    </w:p>
    <w:p>
      <w:pPr>
        <w:pStyle w:val="TextBody"/>
        <w:spacing w:lineRule="auto" w:line="268" w:before="0" w:after="0"/>
        <w:rPr/>
      </w:pPr>
      <w:r>
        <w:rPr>
          <w:rFonts w:ascii="Times New Roman;sans-serif" w:hAnsi="Times New Roman;sans-serif"/>
          <w:b w:val="false"/>
          <w:color w:val="000000"/>
          <w:sz w:val="20"/>
        </w:rPr>
        <w:t>Gain on loans held for sale, net for the three months ended March 31, 2023 decreased by $2.7 million as compared to the three months ended December 31, 2022 primarily due to a $2.9 million decrease in our Correspondent channel driven by a $1.48 billion, or 38% decrease in loan production volume and a decrease in margin, as detailed in the above table. The decrease in volume and margin in our Correspondent channel is due to the elevated interest rate environment that continues to adversely impact both purchase and refinance borrower activities due to a decline in affordability, the intense competition on margins and our cautious MSR pricing.</w:t>
      </w:r>
      <w:r>
        <w:rPr>
          <w:color w:val="000000"/>
        </w:rPr>
        <w:t xml:space="preserve"> </w:t>
      </w:r>
      <w:r>
        <w:rPr>
          <w:rFonts w:ascii="Times New Roman;sans-serif" w:hAnsi="Times New Roman;sans-serif"/>
          <w:b w:val="false"/>
          <w:color w:val="000000"/>
          <w:sz w:val="20"/>
        </w:rPr>
        <w:t>For our Consumer Direct channel, Gain on sale increased $0.2 million in the three months ended March 31, 2023 as compared to the three months ended December 31, 2022 as higher margins offset a 25% reduction in loan production volume. The margin improvement in our Consumer Direct channel is due to higher mix of purchase volume while the reduction in new production volume is driven by reduced market opportunity as a result of high interest rates.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Gain on loans held for sale, net for the three months ended March 31, 2023 declined $8.7 million due to a $10.7 million decrease in our Consumer Direct channel, partially offset by a $2.1 million higher gain in our Correspondent channel. The decline in Consumer Direct is driven by a $601.6 million, or 91% decrease in loan production volume, offset in part by a 66% higher margin as detailed in the above table. Our Consumer Direct channel was exposed to rapidly changing and unfavorable market conditions for borrower refinancing due to rising interest rates beginning in the first quarter of 2022. In our Correspondent channel, despite the 9% decrease in loan production volume, we recognized a $2.1 million higher gain in the three months ended March 31, 2023 as compared to the three months ended March 31, 2022 due to higher margin. The margin of our Correspondent channel in the three months ended March 31, 2022 was adversely impacted by hedging ineffectiveness caused by the significant volatility in the market. As interest rates rapidly increased during the first quarter of 2022 and the range of pricing widened in different markets, we intentionally constrained our volume when valuations did not align with our expectations.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Gain on Reverse Loans Held for Investment and HMBS-Related Borrowings, Net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w:t>
      </w:r>
    </w:p>
    <w:tbl>
      <w:tblPr>
        <w:tblW w:w="10205" w:type="dxa"/>
        <w:jc w:val="left"/>
        <w:tblInd w:w="0" w:type="dxa"/>
        <w:tblCellMar>
          <w:top w:w="28" w:type="dxa"/>
          <w:left w:w="28" w:type="dxa"/>
          <w:bottom w:w="28" w:type="dxa"/>
          <w:right w:w="28" w:type="dxa"/>
        </w:tblCellMar>
      </w:tblPr>
      <w:tblGrid>
        <w:gridCol w:w="953"/>
        <w:gridCol w:w="670"/>
        <w:gridCol w:w="674"/>
        <w:gridCol w:w="211"/>
        <w:gridCol w:w="511"/>
        <w:gridCol w:w="271"/>
        <w:gridCol w:w="109"/>
        <w:gridCol w:w="109"/>
        <w:gridCol w:w="109"/>
        <w:gridCol w:w="219"/>
        <w:gridCol w:w="532"/>
        <w:gridCol w:w="282"/>
        <w:gridCol w:w="109"/>
        <w:gridCol w:w="109"/>
        <w:gridCol w:w="109"/>
        <w:gridCol w:w="109"/>
        <w:gridCol w:w="109"/>
        <w:gridCol w:w="220"/>
        <w:gridCol w:w="220"/>
        <w:gridCol w:w="551"/>
        <w:gridCol w:w="109"/>
        <w:gridCol w:w="109"/>
        <w:gridCol w:w="109"/>
        <w:gridCol w:w="109"/>
        <w:gridCol w:w="109"/>
        <w:gridCol w:w="109"/>
        <w:gridCol w:w="285"/>
        <w:gridCol w:w="691"/>
        <w:gridCol w:w="366"/>
        <w:gridCol w:w="109"/>
        <w:gridCol w:w="109"/>
        <w:gridCol w:w="109"/>
        <w:gridCol w:w="109"/>
        <w:gridCol w:w="109"/>
        <w:gridCol w:w="109"/>
        <w:gridCol w:w="109"/>
        <w:gridCol w:w="109"/>
        <w:gridCol w:w="109"/>
        <w:gridCol w:w="212"/>
        <w:gridCol w:w="212"/>
        <w:gridCol w:w="618"/>
      </w:tblGrid>
      <w:tr>
        <w:trPr/>
        <w:tc>
          <w:tcPr>
            <w:tcW w:w="95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4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Origination UPB (1) </w:t>
            </w:r>
            <w:r>
              <w:rPr>
                <w:rFonts w:ascii="Times New Roman;sans-serif" w:hAnsi="Times New Roman;sans-serif"/>
                <w:b w:val="false"/>
                <w:i/>
                <w:color w:val="000000"/>
                <w:sz w:val="20"/>
              </w:rPr>
              <w:t>(in billions)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margin (2)</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 (Originations)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r>
        <w:trPr/>
        <w:tc>
          <w:tcPr>
            <w:tcW w:w="229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(1)Defined as the UPB of loans funded in the period.</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(2)Ratio of origination gain and fees - see (3) below - to origination UPB. Note that the ratio includes gains or losses on IRLCs.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(3)Includes gain on new origination, and loan fees and other. Includes non-cash gain on securitization of newly originated loans of $4.7 million, $4.8 million and $11.1 million during the three months ended March 31, 2023, December 31, 2022, and March 31, 2022, respectively.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$7.2 million Originations Gain on reverse loans held for investment and HMBS-related borrowings, net for the three months ended March 31, 2023, a $2.1 million, or 23% decrease as compared to the three months ended December 31, 2022. The decrease is primarily driven by lower volume in our Retail and Correspondent channels and lower margin on Wholesale and Correspondent channels, offset in part by a higher margin in our Retail channel. The decline in volume and lower margins were mostly due to reduced market opportunity driven by higher interest rates. Our higher-margin reverse retail channel generated a net $1.1 million gain decrease due to the decline in volume, offset in part by a higher margin.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Gain on reverse loans held for investment and HMBS-related borrowings, net for the three months ended March 31, 2023 decreased $17.8 million, or 71%. The decrease is primarily driven by a decline in volume in each of our channels, partially offset by higher margins in all three channels. The decline in volume is due to reduced market opportunity as compared to the first quarter of 2022 driven by higher interest rates. The higher margins were mostly due to stabilization of the reverse market as interest rates have leveled off. Our higher-margin reverse Retail channel generated a net $13.2 million gain decrease in the three months ended March 31, 2023 as compared to the three months ended March 31, 2022.</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Other Revenue,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Other revenue for the three months ended March 31, 2023 decreased $1.9 million as compared to the three months ended December 31, 2022 primarily due to a decrease in correspondent and broker fees due to lower origination volume. As compared to the three months ended March 31, 2022, Other revenue for the three months ended March 31, 2023 declined $3.8 million primarily due to a $3.3 million decline in setup fees earned for loans boarded on our servicing platform, mostly related to a decline in volume in our Consumer Direct channel.</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Quarter over quarter changes in MSR valuation adjustments, net are mostly due to volume changes.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for the three months ended March 31, 2023 decreased $7.8 million, or 29%, as compared to the three months ended December 31, 2022. Compensation and benefits decreased $4.9 million, or 34%, with a $1.9 million decrease in salaries and benefits expense, $1.9 million decline in commissions and $1.3 million decline in severance expense. The decrease in salaries and benefits expense is mostly attributed to 21% lower Originations average total headcount, including a 25% reduction in average U.S. headcount, as part of our efforts to right size our resources to market opportunities. The decline in commissions expense is due to lower production volume and headcount. The decline in severance expense relates to higher U.S. headcount reduction in the three months ended December 31, 2022. Other operating expenses (total operating expenses less Compensation and benefit expense) for the three months ended March 31, 2023 decreased $2.9 million as compared to the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2022, primarily attributed to a $1.6 million decrease in Origination expense mostly driven by the lower production volumes.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three months ended March 31, 2022, Operating expenses for the three months ended March 31, 2023 declined $27.6 million, with the same drivers described above. Compensation and benefits decreased $18.9 million, or 66% with a $12.0 million decrease in salaries and benefit expense and $5.1 million decrease in commissions due to lower production volume and headcount across our Forward and Reverse Originations channels. The decrease in salaries and benefit expenses is primarily driven by the 61% decrease in Originations average total headcount, including a 71% reduction in average U.S. headcount, reflecting lower production volume. The offshore-to-total average headcount ratio for Originations increased from 44% for the three months ended March 31, 2022 to 58% for the three months ended March 31, 2023. Other operating expenses (total operating expenses less Compensation and benefit expense) decreased $8.7 million primarily attributed to the decline in production volumes as compared to three months ended March 31, 2022, including a $3.3 million decrease in Origination expense, $1.4 million decrease in advertising expense, $1.3 million decrease in Professional services explained by outsourced resources utilized during the three months ended March 31, 2022 in support of higher production volumes, and a $1.1 million decrease in Occupancy and equipment expense including lower mailing and postage expenses with decreased marketing campaign activities.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consists primarily of interest earned on newly-originated and purchased loans prior to sale to investors. Interest expense is incurred to finance the mortgage loans prior to sale or securitization. We finance originated and purchased forward and reverse mortgage loans with repurchase and participation agreements, commonly referred to as warehouse lines.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2023 decreased $2.3 million as compared to the three months ended December 31, 2022 primarily due to lower origination volume and a decrease in interest rates. As compared to the three months ended March 31, 2022, interest income for the three months ended March 31, 2023 increased $6.0 million primarily due to the increase in average held for sale loan balances and higher interest rates, offset in part by lower origination volume.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2023 decreased $0.8 million as compared to the three months ended December 31, 2022 primarily due to the decrease in average warehouse facility debt balances consistent with lower average held for sale loan balances, offset in part by an increase in effective interest rates driven by base rate increases. As compared to the three months ended March 31, 2022, interest expense for the three months ended March 31, 2023 increased $5.7 million primarily due to an increase in effective interest rates driven by base rate increases.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269" w:type="dxa"/>
        <w:jc w:val="left"/>
        <w:tblInd w:w="0" w:type="dxa"/>
        <w:tblCellMar>
          <w:top w:w="28" w:type="dxa"/>
          <w:left w:w="28" w:type="dxa"/>
          <w:bottom w:w="28" w:type="dxa"/>
          <w:right w:w="28" w:type="dxa"/>
        </w:tblCellMar>
      </w:tblPr>
      <w:tblGrid>
        <w:gridCol w:w="1047"/>
        <w:gridCol w:w="920"/>
        <w:gridCol w:w="1302"/>
      </w:tblGrid>
      <w:tr>
        <w:trPr/>
        <w:tc>
          <w:tcPr>
            <w:tcW w:w="104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CORPORATE ITEMS AND OTHER</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with the exception of the OFC Senior Secured Notes.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Corporate support services include finance, facilities, human resources, internal audit, legal, risk and compliance, capital markets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results of operations of Corporate Items and Other. The amounts presented are before the elimination of balances and transactions with our other segments: </w:t>
      </w:r>
    </w:p>
    <w:tbl>
      <w:tblPr>
        <w:tblW w:w="10205" w:type="dxa"/>
        <w:jc w:val="left"/>
        <w:tblInd w:w="0" w:type="dxa"/>
        <w:tblCellMar>
          <w:top w:w="28" w:type="dxa"/>
          <w:left w:w="28" w:type="dxa"/>
          <w:bottom w:w="28" w:type="dxa"/>
          <w:right w:w="28" w:type="dxa"/>
        </w:tblCellMar>
      </w:tblPr>
      <w:tblGrid>
        <w:gridCol w:w="1014"/>
        <w:gridCol w:w="785"/>
        <w:gridCol w:w="791"/>
        <w:gridCol w:w="386"/>
        <w:gridCol w:w="302"/>
        <w:gridCol w:w="242"/>
        <w:gridCol w:w="130"/>
        <w:gridCol w:w="130"/>
        <w:gridCol w:w="130"/>
        <w:gridCol w:w="512"/>
        <w:gridCol w:w="289"/>
        <w:gridCol w:w="266"/>
        <w:gridCol w:w="109"/>
        <w:gridCol w:w="109"/>
        <w:gridCol w:w="109"/>
        <w:gridCol w:w="109"/>
        <w:gridCol w:w="249"/>
        <w:gridCol w:w="250"/>
        <w:gridCol w:w="551"/>
        <w:gridCol w:w="109"/>
        <w:gridCol w:w="109"/>
        <w:gridCol w:w="109"/>
        <w:gridCol w:w="109"/>
        <w:gridCol w:w="109"/>
        <w:gridCol w:w="762"/>
        <w:gridCol w:w="496"/>
        <w:gridCol w:w="396"/>
        <w:gridCol w:w="109"/>
        <w:gridCol w:w="109"/>
        <w:gridCol w:w="109"/>
        <w:gridCol w:w="249"/>
        <w:gridCol w:w="250"/>
        <w:gridCol w:w="551"/>
        <w:gridCol w:w="166"/>
      </w:tblGrid>
      <w:tr>
        <w:trPr/>
        <w:tc>
          <w:tcPr>
            <w:tcW w:w="1014"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vMerge w:val="continue"/>
            <w:tcBorders/>
            <w:shd w:fill="auto" w:val="clear"/>
            <w:tcMar>
              <w:top w:w="0" w:type="dxa"/>
              <w:left w:w="0" w:type="dxa"/>
              <w:bottom w:w="0" w:type="dxa"/>
              <w:right w:w="0" w:type="dxa"/>
            </w:tcMar>
            <w:vAlign w:val="center"/>
          </w:tcPr>
          <w:p>
            <w:pPr>
              <w:pStyle w:val="Normal"/>
              <w:rPr/>
            </w:pPr>
            <w:r>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c>
          <w:tcPr>
            <w:tcW w:w="166" w:type="dxa"/>
            <w:tcBorders/>
            <w:shd w:fill="auto" w:val="clear"/>
          </w:tcPr>
          <w:p>
            <w:pPr>
              <w:pStyle w:val="TableContents"/>
              <w:spacing w:before="0" w:after="283"/>
              <w:rPr>
                <w:sz w:val="4"/>
                <w:szCs w:val="4"/>
              </w:rPr>
            </w:pPr>
            <w:r>
              <w:rPr>
                <w:sz w:val="4"/>
                <w:szCs w:val="4"/>
              </w:rPr>
            </w:r>
          </w:p>
        </w:tc>
      </w:tr>
      <w:tr>
        <w:trPr/>
        <w:tc>
          <w:tcPr>
            <w:tcW w:w="2590" w:type="dxa"/>
            <w:gridSpan w:val="3"/>
            <w:vMerge w:val="continue"/>
            <w:tcBorders/>
            <w:shd w:fill="auto" w:val="clear"/>
            <w:tcMar>
              <w:top w:w="0" w:type="dxa"/>
              <w:left w:w="0" w:type="dxa"/>
              <w:bottom w:w="0" w:type="dxa"/>
              <w:right w:w="0" w:type="dxa"/>
            </w:tcMar>
            <w:vAlign w:val="center"/>
          </w:tcPr>
          <w:p>
            <w:pPr>
              <w:pStyle w:val="Normal"/>
              <w:rPr/>
            </w:pPr>
            <w:r>
              <w:rPr/>
            </w:r>
          </w:p>
        </w:tc>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50" w:type="dxa"/>
            <w:gridSpan w:val="3"/>
            <w:vMerge w:val="continue"/>
            <w:tcBorders/>
            <w:shd w:fill="auto" w:val="clear"/>
            <w:tcMar>
              <w:top w:w="0" w:type="dxa"/>
              <w:left w:w="0" w:type="dxa"/>
              <w:bottom w:w="0" w:type="dxa"/>
              <w:right w:w="0" w:type="dxa"/>
            </w:tcMar>
            <w:vAlign w:val="center"/>
          </w:tcPr>
          <w:p>
            <w:pPr>
              <w:pStyle w:val="Normal"/>
              <w:rPr/>
            </w:pPr>
            <w:r>
              <w:rPr/>
            </w:r>
          </w:p>
        </w:tc>
        <w:tc>
          <w:tcPr>
            <w:tcW w:w="166" w:type="dxa"/>
            <w:tcBorders/>
            <w:shd w:fill="auto" w:val="clea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(CRL)</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hanging="180"/>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before corporate overhead allocations</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segment</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segment</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8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 w:type="dxa"/>
            <w:tcBorders/>
            <w:shd w:fill="auto" w:val="clear"/>
            <w:vAlign w:val="center"/>
          </w:tcPr>
          <w:p>
            <w:pPr>
              <w:pStyle w:val="TableContents"/>
              <w:spacing w:before="0" w:after="283"/>
              <w:rPr>
                <w:sz w:val="4"/>
                <w:szCs w:val="4"/>
              </w:rPr>
            </w:pPr>
            <w:r>
              <w:rPr>
                <w:sz w:val="4"/>
                <w:szCs w:val="4"/>
              </w:rPr>
            </w:r>
          </w:p>
        </w:tc>
      </w:tr>
      <w:tr>
        <w:trPr/>
        <w:tc>
          <w:tcPr>
            <w:tcW w:w="259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expense for the three months ended March 31, 2023 declined $4.2 million, or 18%, as compared to the three months ended December 31, 2022 primarily as a result of a $2.3 million decrease in severance due to U.S. headcount reductions in the fourth quarter of 2022 and a $1.5 million decrease in incentive compensation. The decrease in incentive compensation is due to a $5.4 million decrease in the fair value of cash-settled share-based awards in the quarter following the decline of our common stock price, as compared to an increase in the prior quarter, offset in part by a $3.7 million increase in AIP bonus expense. The quarter-over-quarter AIP increase is largely due to the reversal in the fourth quarter of 2022 of previously accrued bonus driven by headcount reductions and annual performance-related adjustments. The average Corporate headcount declined 4% and the offshore-to-total average headcount ratio increased from 73% for the three months ended December 31, 2022 to 74% for the three months ended March 31, 2023.</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compared to the three months ended March 31, 2022, Compensation and benefits expense for the three months ended March 31, 2023 increased $8.5 million, or 81%, primarily as a result of an $8.2 million increase in incentive compensation. The increase in incentive compensation is primarily due to a $6.0 million increase in cash-settled share-based awards expense associated with the increase in our common stock price, new awards and lower expense in the first quarter of 2022 due to forfeitures, and a $2.2 million increase in equity-settled share-based awards expense. The average Corporate headcount declined by 20% and the offshore-to-total average headcount ratio increased from 71% for the three months ended March 31, 2022 to 74% for the three months ended March 31, 2023.</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Professional Services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 for the three months ended March 31, 2023 were mostly flat as compared to the three months ended December 31, 2022. As compared to the three months ended March 31, 2022, Professional services expense for the three months ended March 31, 2023 increased $1.5 million, or 42%, primarily due to a $2.9 million increase in legal expenses offset by a $1.0 million decline in other professional services expenses. The increase in legal expenses is primarily due to a $4.8 million recovery of a litigation matter in the first quarter of 2022, partially offset by a reduction in expenses related to other legal matters. Other professional services expenses declined mostly due to higher utilization of professional services in the first quarter of 2022 including consulting services related to corporate strategy and business initiatives.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95" w:type="dxa"/>
        <w:jc w:val="left"/>
        <w:tblInd w:w="0" w:type="dxa"/>
        <w:tblCellMar>
          <w:top w:w="28" w:type="dxa"/>
          <w:left w:w="28" w:type="dxa"/>
          <w:bottom w:w="28" w:type="dxa"/>
          <w:right w:w="28" w:type="dxa"/>
        </w:tblCellMar>
      </w:tblPr>
      <w:tblGrid>
        <w:gridCol w:w="1216"/>
        <w:gridCol w:w="1068"/>
        <w:gridCol w:w="1511"/>
      </w:tblGrid>
      <w:tr>
        <w:trPr/>
        <w:tc>
          <w:tcPr>
            <w:tcW w:w="1216"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actively engaged with our lenders and as a result, renew, replace or extend our debt agreements to the extent necessary to finance our operations. See Note 12 – Borrowings to the Unaudited Consolidated Financial Statements for additional information. We actively monitor and, during the three months ended March 31, 2023, we have adjusted our borrowing capacity on our various collateralized debt agreements to align with our financing needs and to optimize our financing costs.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borrowing capacity under our advance facilities, mortgage warehouse facilities and MSR financing facilities is as follows: </w:t>
      </w:r>
    </w:p>
    <w:tbl>
      <w:tblPr>
        <w:tblW w:w="10205" w:type="dxa"/>
        <w:jc w:val="left"/>
        <w:tblInd w:w="0" w:type="dxa"/>
        <w:tblCellMar>
          <w:top w:w="28" w:type="dxa"/>
          <w:left w:w="28" w:type="dxa"/>
          <w:bottom w:w="28" w:type="dxa"/>
          <w:right w:w="28" w:type="dxa"/>
        </w:tblCellMar>
      </w:tblPr>
      <w:tblGrid>
        <w:gridCol w:w="441"/>
        <w:gridCol w:w="271"/>
        <w:gridCol w:w="272"/>
        <w:gridCol w:w="512"/>
        <w:gridCol w:w="457"/>
        <w:gridCol w:w="265"/>
        <w:gridCol w:w="109"/>
        <w:gridCol w:w="109"/>
        <w:gridCol w:w="109"/>
        <w:gridCol w:w="574"/>
        <w:gridCol w:w="296"/>
        <w:gridCol w:w="298"/>
        <w:gridCol w:w="109"/>
        <w:gridCol w:w="109"/>
        <w:gridCol w:w="109"/>
        <w:gridCol w:w="670"/>
        <w:gridCol w:w="346"/>
        <w:gridCol w:w="347"/>
        <w:gridCol w:w="109"/>
        <w:gridCol w:w="109"/>
        <w:gridCol w:w="109"/>
        <w:gridCol w:w="512"/>
        <w:gridCol w:w="457"/>
        <w:gridCol w:w="265"/>
        <w:gridCol w:w="109"/>
        <w:gridCol w:w="109"/>
        <w:gridCol w:w="109"/>
        <w:gridCol w:w="574"/>
        <w:gridCol w:w="296"/>
        <w:gridCol w:w="298"/>
        <w:gridCol w:w="109"/>
        <w:gridCol w:w="109"/>
        <w:gridCol w:w="109"/>
        <w:gridCol w:w="626"/>
        <w:gridCol w:w="324"/>
        <w:gridCol w:w="469"/>
      </w:tblGrid>
      <w:tr>
        <w:trPr/>
        <w:tc>
          <w:tcPr>
            <w:tcW w:w="4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9"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5"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2022</w:t>
            </w:r>
          </w:p>
        </w:tc>
      </w:tr>
      <w:tr>
        <w:trPr/>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Borrowing Capacity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Committed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Uncommitted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Borrowing Capacity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Committed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Uncommitted (1)</w:t>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facilities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9"/>
              </w:rPr>
            </w:pPr>
            <w:r>
              <w:rPr>
                <w:rFonts w:ascii="Times New Roman;sans-serif" w:hAnsi="Times New Roman;sans-serif"/>
                <w:b w:val="false"/>
                <w:color w:val="000000"/>
                <w:sz w:val="19"/>
              </w:rPr>
              <w:t>13.2</w:t>
            </w:r>
          </w:p>
        </w:tc>
      </w:tr>
      <w:tr>
        <w:trPr/>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1,097.6</w:t>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financing facilities</w:t>
            </w:r>
          </w:p>
        </w:tc>
        <w:tc>
          <w:tcPr>
            <w:tcW w:w="12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w:t>
            </w:r>
          </w:p>
        </w:tc>
      </w:tr>
      <w:tr>
        <w:trPr/>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1,128.0</w:t>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(1)Total Borrowing Capacity represents the maximum amount which can be borrowed, subject to eligible collateral. Available Borrowing Capacity represents Total Borrowing Capacity less outstanding borrowings.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none of the available borrowing capacity under our advance financing facilities could be funded based on the amount of eligible collateral that had been pledged to such facilities. Also, none of our uncommitted borrowing capacity was available to fund advances at March 31, 2023 under our Ginnie Mae MSR financing facility based on the amount of eligible collateral. We may utilize committed borrowing capacity under our mortgage loan warehouse facilities and MSR financing facilities to the extent we have sufficient eligible collateral to borrow against and otherwise satisfy the applicable conditions to funding. At March 31, 2023, we had $14.9 million committed borrowing capacity under our mortgage loan warehouse facilities and $1.9 million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At March 31, 2023, our total liquidity was $233.4 million compared to $219.1 million at December 31, 2022, which comprised an unrestricted cash position of $216.6 million compared to $208.0 million at December 31, 2022. We typically invest cash in excess of our immediate operating needs in deposit accounts and other liquid assets.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optimize our daily cash position to reduce financing costs while closely monitoring our liquidity needs and ongoing funding requirements. We regularly monitor and project cash flows over various time horizons, including bank concentration, as a way to anticipate and mitigate liquidity risk. We maintain liquidity buffers to be responsive to the level of risks, including stressed market interest rate conditions and operational risk.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our liquidity outlook, our primary focus is on available cash on hand, unused available funding and the following forecast measures: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Financial projections for ongoing net income, excluding the impact of non-cash items, and working capital needs including loan and MSR origination and repurchases;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Requirements for amortizing and maturing liabilities;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projected change in advances compared to the projected borrowing capacity to fund such advances under our facilities, including capacity for monthly peak needs;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Projected funding requirements for acquisitions of MSRs and other investment opportunities, including our equity contributions to MAV Canopy;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Funding capacity for whole loans and tail draws under our reverse mortgage commitments subject to warehouse eligibility requirements;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Potential payments or recoveries related to legal and regulatory matters, insurance, taxes and others;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Margining requirements associated with our borrowing facilities and hedging program.</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Use of Funds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primary near-term uses of funds in the normal course include: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Payment of operating costs and corporate expenses;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Payments for advances in excess of collections;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Investing in our servicing and originations businesses, including MSRs, other asset acquisitions and MAV Canopy equity contributions;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Originated and repurchased loans, including scheduled and unscheduled equity draws on reverse mortgage loans;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Payment of margin calls under our MSR financing facilities and derivative instruments;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Repayments of borrowings, including under our MSR financing, advance financing and warehouse facilities, and payment of interest expense;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Net negative working capital and other general corporate cash outflows.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originated floating-rate reverse mortgage loans under which the borrowers have additional borrowing capacity of $1.8 billion at March 31, 2023. This additional borrowing capacity is available on a scheduled or unscheduled payment basis. During the three months ended March 31, 2023, we funded $67.7 million out of the $1.8 billion borrowing capacity available as of December 31, 2022. We also had short-term commitments to lend $612.1 million and $21.9 million in connection with our forward and reverse mortgage loan IRLCs, respectively, outstanding at March 31, 2023. As an HMBS issuer, we assume certain obligations related to each security issued. The most significant obligation is the requirement to repurchase loans out of the Ginnie Mae securitization pools once the outstanding principal balance of the related HECM is equal to or greater than 98% of the maximum claim amount (MCA repurchases), or when they become inactive (the borrower is deceased, no longer occupies the property or is delinquent on tax and insurance payments). We carry these repurchases until reimbursement by HUD and/or property liquidation if inactive. Our subservicing clients bear the financial obligation and risks associated with purchasing loans out of securitization pools within the portfolio we subservice. We finance originated and purchased forward and reverse mortgage loans with repurchase and participation agreements, referred to as warehouse lines.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the current maturities of our borrowings, as of March 31, 2023, we have approximately $1.9 billion of debt outstanding that would either come due, begin amortizing or require partial repayment in the next 12 months. This amount is comprised of $948.3 million of borrowings under forward and reverse mortgage warehouse facilities, $468.9 million of notes under advance financing facilities that will enter their respective amortization periods, $443.2 million outstanding under Agency and Ginnie Mae MSR financing facilities maturing in the next 12 months and $16.5 million of scheduled principal amortization on the PLS Notes secured by PLS MSRs.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liquidity management, we consider our servicing advance requirements during each investor remittance period and the uncertainties of daily margin calls on our collateralized debt facilities and derivative instruments due to interest rate fluctuations. 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servicing advances and certain P&amp;I advances under the Ocwen agreements.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our hedging strategy is to reduce volatility due to interest rates, it is also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designed to address cash and liquidity considerations. Refer to the sensitivity analysis in Item 3, Quantitative and qualitative disclosures about market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medium- and long-term requirements for cash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Payment of interest and principal repayment of our corporate debt that matures in 2026 and 2027;</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payments associated with the confirmation of loss contingencies;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other payments required under contractual obligations discussed above that extend beyond one year.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focused on ensuring that we have sufficient liquidity sources to continue to operate and support our business initiatives. We continuously evaluate alternative financings to diversify our sources of funds, optimize maturities and reduce our funding cost. See “Sources of Funds” below.</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Sources of Funds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primary sources of funds for near-term liquidity in normal course include: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Collections of servicing and subservicing fees and ancillary revenues;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Collections of advances in excess of new advances;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Proceeds from match funded advance financing facilities;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Proceeds from other borrowings, including warehouse facilities and MSR financing facilities;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Proceeds from sales and securitizations of originated loans and repurchased loans;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Net positive working capital from changes in other assets and liabilities.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to financial institutions typically have a revolving period of 12 months. Additionally, certain of our financing and subservicing agreements permit us to retain advance collections for a period ranging from one to two business days before remittance, thus providing a source of short-term liquidity.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mortgage loan repurchase and participation facilities (commonly called warehouse lines) to fund newly-originated loans on a short-term basis until they are sold or securitized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The relationship with MAV may continue to provide PMC with an additional means to finance MSRs and maintain liquidity while maintaining servicing volume. With the development of MAV and our relationships with other clients, additional opportunities to rebalance our servicing and subservicing portfolio mix are available to us and may result in the sale of MSRs while we would perform subservicing for the sold portfolio. We issue ESS financing liabilities that allow us to continue to perform servicing while enhancing our liquidity.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to the Unaudited Consolidated Financial Statements for additional information regarding our covenants. The most restrictive liquidity requirement under our debt agreements is for a minimum of $75.0 million in consolidated liquidity, as defined, under certain of our advance match funded debt and MSR financing facilities agreements. At March 31, 2023, we held unrestricted cash in excess of this minimum amount.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March 31, 2023. </w:t>
      </w:r>
    </w:p>
    <w:p>
      <w:pPr>
        <w:pStyle w:val="TextBody"/>
        <w:spacing w:lineRule="auto" w:line="288" w:before="12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Credit Ratings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 </w:t>
      </w:r>
    </w:p>
    <w:tbl>
      <w:tblPr>
        <w:tblW w:w="9015" w:type="dxa"/>
        <w:jc w:val="left"/>
        <w:tblInd w:w="0" w:type="dxa"/>
        <w:tblCellMar>
          <w:top w:w="28" w:type="dxa"/>
          <w:left w:w="28" w:type="dxa"/>
          <w:bottom w:w="28" w:type="dxa"/>
          <w:right w:w="28" w:type="dxa"/>
        </w:tblCellMar>
      </w:tblPr>
      <w:tblGrid>
        <w:gridCol w:w="494"/>
        <w:gridCol w:w="434"/>
        <w:gridCol w:w="436"/>
        <w:gridCol w:w="109"/>
        <w:gridCol w:w="109"/>
        <w:gridCol w:w="109"/>
        <w:gridCol w:w="109"/>
        <w:gridCol w:w="854"/>
        <w:gridCol w:w="854"/>
        <w:gridCol w:w="857"/>
        <w:gridCol w:w="109"/>
        <w:gridCol w:w="109"/>
        <w:gridCol w:w="109"/>
        <w:gridCol w:w="109"/>
        <w:gridCol w:w="109"/>
        <w:gridCol w:w="704"/>
        <w:gridCol w:w="704"/>
        <w:gridCol w:w="706"/>
        <w:gridCol w:w="109"/>
        <w:gridCol w:w="109"/>
        <w:gridCol w:w="109"/>
        <w:gridCol w:w="487"/>
        <w:gridCol w:w="487"/>
        <w:gridCol w:w="690"/>
      </w:tblGrid>
      <w:tr>
        <w:trPr/>
        <w:tc>
          <w:tcPr>
            <w:tcW w:w="49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Rating Agency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Corporate Rating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Review Status / Outlook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last action</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Caa1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Positive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r>
      <w:tr>
        <w:trPr/>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24, 2023</w:t>
            </w:r>
          </w:p>
        </w:tc>
      </w:tr>
      <w:tr>
        <w:trPr/>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24, 2023, S&amp;P affirmed the long-term corporate rating of Ocwen at “B-” and affirmed the “B” rating of the PMC Senior Secured Notes.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additional actions by credit rating agencies could have a material adverse impact on our liquidity and funding position, including materially changing the terms on which we may be able to borrow money.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Rithm agreements represent an important component of our liquidity and our liquidity management, and have a significant impact on our consolidated statements of cash flows. Because the payments we received in connection with our agreements with Rithm were recorded as secured financings, additions to, and reductions in, the balance of those secured financings were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cash flows are summarized as follows:</w:t>
      </w:r>
    </w:p>
    <w:tbl>
      <w:tblPr>
        <w:tblW w:w="8436" w:type="dxa"/>
        <w:jc w:val="left"/>
        <w:tblInd w:w="0" w:type="dxa"/>
        <w:tblCellMar>
          <w:top w:w="28" w:type="dxa"/>
          <w:left w:w="28" w:type="dxa"/>
          <w:bottom w:w="28" w:type="dxa"/>
          <w:right w:w="28" w:type="dxa"/>
        </w:tblCellMar>
      </w:tblPr>
      <w:tblGrid>
        <w:gridCol w:w="2014"/>
        <w:gridCol w:w="1768"/>
        <w:gridCol w:w="1783"/>
        <w:gridCol w:w="486"/>
        <w:gridCol w:w="270"/>
        <w:gridCol w:w="270"/>
        <w:gridCol w:w="251"/>
        <w:gridCol w:w="251"/>
        <w:gridCol w:w="251"/>
        <w:gridCol w:w="486"/>
        <w:gridCol w:w="251"/>
        <w:gridCol w:w="355"/>
      </w:tblGrid>
      <w:tr>
        <w:trPr/>
        <w:tc>
          <w:tcPr>
            <w:tcW w:w="2014"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28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r>
      <w:tr>
        <w:trPr/>
        <w:tc>
          <w:tcPr>
            <w:tcW w:w="5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pPr>
      <w:r>
        <w:rPr>
          <w:rFonts w:ascii="Times New Roman;sans-serif" w:hAnsi="Times New Roman;sans-serif"/>
          <w:b w:val="false"/>
          <w:color w:val="000000"/>
          <w:sz w:val="20"/>
        </w:rPr>
        <w:br/>
      </w:r>
      <w:r>
        <w:rPr>
          <w:rFonts w:ascii="Times New Roman;sans-serif" w:hAnsi="Times New Roman;sans-serif"/>
          <w:b/>
          <w:i/>
          <w:color w:val="000000"/>
          <w:sz w:val="20"/>
        </w:rPr>
        <w:t>Cash flows for the three months ended March 31,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used $207.4 million of cash primarily due to net cash paid on loans held for sale of $240.1 million as loan production volume exceeded sales. Offsetting operating cash inflows include net collections of servicing advances of $62.8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used $19.9 million of cash. The primary use of cash in our investing activities was $30.4 million to purchase MSRs. Offsetting cash inflows include $5.5 million of capital distributions, net of contributions, from our equity method investee MAV Canopy and $4.6 million proceeds from the sale of advances.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provided $209.0 million of cash. Financing cash inflows are primarily comprised of $206.7 million net from borrowings under our mortgage warehouse and MSR financing facilities due to the increase in loans held for sale, and $68.7 million of proceeds from ESS financing. Offsetting cash outflows include $43.8 million of net repayments on advance match funded liabilities due to the decline in servicing advances, and $21.2 million of net payments on the financing liabilities related to MSRs transferred and ESS financings due to runoff. Cash inflows of $231.2 million received in connection with our reverse mortgage securitizations, which are accounted for as secured financings, were more than offset by repayments on the related financing liability of $235.3 million.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Cash flows for the three months ended March 31, 2022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provided $198.2 million of cash with net cash received on loans held for sale of $128.3 million due to lower forward loan production volumes. In addition, net collections of servicing advances were $27.3 million, mostly P&amp;I advances, and we received earnings distribution of $12.0 million from MAV Canopy.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used $45.7 million of cash. The primary uses of cash in our investing activities include $101.3 million net cash outflows in connection with our HECM reverse mortgages, $64.3 million to purchase MSRs and $11.6 million of capital contributions, net of distributions, to MAV Canopy. Offsetting cash inflows include $134.3 million proceeds from the sale of MSRs to an unrelated third party.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used $70.9 million of cash. Cash outflows include $132.8 million net repayments of borrowings under our mortgage warehouse and MSR financing facilities due to the decline in loans held for sale, $15.0 million of net repayments on advance match funded liabilities due to the decline in servicing advances, and $28.3 million of net payments on the financing liabilities related to MSRs transferred due to runoff. Cash inflows include $583.9 million received in connection with our reverse mortgage securitizations, which are accounted for as secured financings, partially offset by repayments on the related financing liability of $517.4 million, and $39.8 million of proceeds from the sale of MSRs accounted for as a financing in connection with sales of MSRs to MAV.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099" w:type="dxa"/>
        <w:jc w:val="left"/>
        <w:tblInd w:w="0" w:type="dxa"/>
        <w:tblCellMar>
          <w:top w:w="28" w:type="dxa"/>
          <w:left w:w="28" w:type="dxa"/>
          <w:bottom w:w="28" w:type="dxa"/>
          <w:right w:w="28" w:type="dxa"/>
        </w:tblCellMar>
      </w:tblPr>
      <w:tblGrid>
        <w:gridCol w:w="1633"/>
        <w:gridCol w:w="1434"/>
        <w:gridCol w:w="2032"/>
      </w:tblGrid>
      <w:tr>
        <w:trPr/>
        <w:tc>
          <w:tcPr>
            <w:tcW w:w="1633"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r>
      <w:tr>
        <w:trPr/>
        <w:tc>
          <w:tcPr>
            <w:tcW w:w="50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accounting policies and estimates involving significant judgments primarily relate to fair value measurements, income taxes, allowance for losses on assets, and the provision for losses that may arise from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liabilities and Loans held for sale, Loans held for investment-Reverse mortgages, and HMBS-related borrowings. As of March 31, 2023, 88% of our assets and 71% of our liabilities were reported at fair value, with fair value changes reported in our statement of operations. Substantially all our assets and liabilities at fair value were classified as Level 3 instruments due to unobservable inputs.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and critical accounting estimates are disclosed in our Annual Report on Form 10-K for the year ended December 31, 2022 in Note 1 to the Consolidated Financial Statements and in Management’s Discussion and Analysis of Financial Condition and Results of Operations under “Critical Accounting Policies and Estimates.” There have not been any material changes to our critical accounting policies and the methods we used and judgments we made relating to estimates as disclosed in the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19" w:type="dxa"/>
        <w:jc w:val="left"/>
        <w:tblInd w:w="0" w:type="dxa"/>
        <w:tblCellMar>
          <w:top w:w="28" w:type="dxa"/>
          <w:left w:w="28" w:type="dxa"/>
          <w:bottom w:w="28" w:type="dxa"/>
          <w:right w:w="28" w:type="dxa"/>
        </w:tblCellMar>
      </w:tblPr>
      <w:tblGrid>
        <w:gridCol w:w="1288"/>
        <w:gridCol w:w="1131"/>
        <w:gridCol w:w="1600"/>
      </w:tblGrid>
      <w:tr>
        <w:trPr/>
        <w:tc>
          <w:tcPr>
            <w:tcW w:w="1288"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RECENT ACCOUNTING DEVELOPMENTS</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 Organization and Basis of Presentation to the Unaudited Consolidated Financial Statements for information related to recent accounting standards updates.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(Dollars in millions unless otherwise indicated)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Interest Rates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 See Note 14 – Derivative Financial Instruments and Hedging Activities to the Unaudited Consolidated Financial Statements for additional information regarding our use of derivatives.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MSR Hedging Strategy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objective of our risk management MSR policy is to provide partial hedge coverage of interest-rate sensitive MSR portfolio exposure, considering market and liquidity conditions. The interest-rate sensitive MSR portfolio exposure is defined as follows: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Agency MSR portfolio,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less the Agency MSRs subject to our sale agreements with Rithm (formerly NRZ), MAV and others (See Note 8 — Other Financing Liabilities, at Fair Value),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less the asset value for securitized HECM loans, net of the corresponding HMBS-related borrowings (Reverse MSR). </w:t>
      </w:r>
    </w:p>
    <w:p>
      <w:pPr>
        <w:pStyle w:val="TextBody"/>
        <w:spacing w:lineRule="auto" w:line="288" w:before="0" w:after="0"/>
        <w:rPr/>
      </w:pPr>
      <w:r>
        <w:rPr>
          <w:rFonts w:ascii="Times New Roman;sans-serif" w:hAnsi="Times New Roman;sans-serif"/>
          <w:b w:val="false"/>
          <w:color w:val="000000"/>
          <w:sz w:val="20"/>
        </w:rPr>
        <w:t>The hedge coverage ratio, defined as the ratio of hedge and asset rate sensitivity (referred to as DV01) at the time of measurement, is subject to lower and upper thresholds, as modeled. Our MSR hedge policy establishes a minimum 25% and 30% hedge coverage ratio required for interest rate declines less than, and more than 50 basis points, respectively. Prior to September 30, 2022, the hedge coverage ratio was required to remain within a minimum of</w:t>
      </w:r>
      <w:r>
        <w:rPr>
          <w:color w:val="000000"/>
        </w:rPr>
        <w:t xml:space="preserve"> </w:t>
      </w:r>
      <w:r>
        <w:rPr>
          <w:rFonts w:ascii="Times New Roman;sans-serif" w:hAnsi="Times New Roman;sans-serif"/>
          <w:b w:val="false"/>
          <w:color w:val="000000"/>
          <w:sz w:val="20"/>
        </w:rPr>
        <w:t xml:space="preserve">40% and maximum of 60%.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During the first quarter of 2023, management targeted a 38% minimum hedge coverage ratio.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instruments, among other factors. We continuously evaluate the use of hedging instruments to strive to enhance the effectiveness and efficiency of our interest rate hedging strategy.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interest rate sensitivity of our MSR portfolio exposure and associated hedges at March 31, 2023.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tbl>
      <w:tblPr>
        <w:tblW w:w="10205" w:type="dxa"/>
        <w:jc w:val="left"/>
        <w:tblInd w:w="0" w:type="dxa"/>
        <w:tblCellMar>
          <w:top w:w="28" w:type="dxa"/>
          <w:left w:w="28" w:type="dxa"/>
          <w:bottom w:w="28" w:type="dxa"/>
          <w:right w:w="28" w:type="dxa"/>
        </w:tblCellMar>
      </w:tblPr>
      <w:tblGrid>
        <w:gridCol w:w="1234"/>
        <w:gridCol w:w="909"/>
        <w:gridCol w:w="914"/>
        <w:gridCol w:w="715"/>
        <w:gridCol w:w="526"/>
        <w:gridCol w:w="371"/>
        <w:gridCol w:w="109"/>
        <w:gridCol w:w="109"/>
        <w:gridCol w:w="109"/>
        <w:gridCol w:w="519"/>
        <w:gridCol w:w="1295"/>
        <w:gridCol w:w="670"/>
        <w:gridCol w:w="109"/>
        <w:gridCol w:w="109"/>
        <w:gridCol w:w="109"/>
        <w:gridCol w:w="460"/>
        <w:gridCol w:w="1245"/>
        <w:gridCol w:w="693"/>
      </w:tblGrid>
      <w:tr>
        <w:trPr/>
        <w:tc>
          <w:tcPr>
            <w:tcW w:w="123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Hypothetical change in fair value due to 25 bps rate decrease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Hypothetical change in fair value due to 25 bps rate increase (1)</w:t>
            </w:r>
          </w:p>
        </w:tc>
      </w:tr>
      <w:tr>
        <w:trPr/>
        <w:tc>
          <w:tcPr>
            <w:tcW w:w="3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MSRs - interest rate sensitive (excluding Rithm and MAV)</w:t>
            </w:r>
          </w:p>
        </w:tc>
        <w:tc>
          <w:tcPr>
            <w:tcW w:w="7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6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6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8" w:type="dxa"/>
            <w:gridSpan w:val="3"/>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8" w:type="dxa"/>
            <w:gridSpan w:val="3"/>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 (Reverse MSR)</w:t>
            </w:r>
          </w:p>
        </w:tc>
        <w:tc>
          <w:tcPr>
            <w:tcW w:w="16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instruments</w:t>
            </w:r>
          </w:p>
        </w:tc>
        <w:tc>
          <w:tcPr>
            <w:tcW w:w="7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6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6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hedge position</w:t>
            </w:r>
          </w:p>
        </w:tc>
        <w:tc>
          <w:tcPr>
            <w:tcW w:w="16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hedge coverage ratio (2)</w:t>
            </w:r>
          </w:p>
        </w:tc>
        <w:tc>
          <w:tcPr>
            <w:tcW w:w="1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residual exposure to changes in interest rates</w:t>
            </w:r>
          </w:p>
        </w:tc>
        <w:tc>
          <w:tcPr>
            <w:tcW w:w="1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baseline for the hypothetical change in fair value is based on a 10-year Treasury Rate of 3.49% at March 31,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(2)The hypothetical hedge coverage ratio above is calculated as the change in fair value of the total hedge position divided by the change in value of the Agency MSR position.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above hypothetical hedge coverage ratio reflects the instrument sensitivities as of March 31, 2023. The actual hedge coverage ratio during the three months ended March 31, 2023, as monitored by Risk Management, may be summarized as follows:</w:t>
      </w:r>
    </w:p>
    <w:tbl>
      <w:tblPr>
        <w:tblW w:w="10205" w:type="dxa"/>
        <w:jc w:val="center"/>
        <w:tblInd w:w="0" w:type="dxa"/>
        <w:tblCellMar>
          <w:top w:w="28" w:type="dxa"/>
          <w:left w:w="28" w:type="dxa"/>
          <w:bottom w:w="28" w:type="dxa"/>
          <w:right w:w="28" w:type="dxa"/>
        </w:tblCellMar>
      </w:tblPr>
      <w:tblGrid>
        <w:gridCol w:w="2091"/>
        <w:gridCol w:w="1701"/>
        <w:gridCol w:w="1708"/>
        <w:gridCol w:w="109"/>
        <w:gridCol w:w="109"/>
        <w:gridCol w:w="109"/>
        <w:gridCol w:w="832"/>
        <w:gridCol w:w="2296"/>
        <w:gridCol w:w="1250"/>
      </w:tblGrid>
      <w:tr>
        <w:trPr/>
        <w:tc>
          <w:tcPr>
            <w:tcW w:w="209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5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8" w:type="dxa"/>
            <w:gridSpan w:val="3"/>
            <w:tcBorders/>
            <w:shd w:fill="auto" w:val="clear"/>
            <w:tcMar>
              <w:top w:w="0" w:type="dxa"/>
              <w:left w:w="0" w:type="dxa"/>
              <w:bottom w:w="0" w:type="dxa"/>
              <w:right w:w="0" w:type="dxa"/>
            </w:tcMar>
            <w:vAlign w:val="center"/>
          </w:tcPr>
          <w:p>
            <w:pPr>
              <w:pStyle w:val="TableContents"/>
              <w:spacing w:lineRule="auto" w:line="240" w:before="120" w:after="12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Fair value changes during the three months ended March 31, 2023</w:t>
            </w:r>
          </w:p>
        </w:tc>
      </w:tr>
      <w:tr>
        <w:trPr/>
        <w:tc>
          <w:tcPr>
            <w:tcW w:w="5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10-year swap (basis points)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MSRs - interest rate sensitive (excluding Rithm and MAV)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78" w:type="dxa"/>
            <w:gridSpan w:val="3"/>
            <w:tcBorders/>
            <w:shd w:fill="auto" w:val="clear"/>
            <w:vAlign w:val="center"/>
          </w:tcPr>
          <w:p>
            <w:pPr>
              <w:pStyle w:val="TableContents"/>
              <w:spacing w:before="0" w:after="283"/>
              <w:rPr>
                <w:sz w:val="4"/>
                <w:szCs w:val="4"/>
              </w:rPr>
            </w:pPr>
            <w:r>
              <w:rPr>
                <w:sz w:val="4"/>
                <w:szCs w:val="4"/>
              </w:rPr>
            </w:r>
          </w:p>
        </w:tc>
      </w:tr>
      <w:tr>
        <w:trPr/>
        <w:tc>
          <w:tcPr>
            <w:tcW w:w="5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78" w:type="dxa"/>
            <w:gridSpan w:val="3"/>
            <w:tcBorders/>
            <w:shd w:fill="auto" w:val="clear"/>
            <w:vAlign w:val="center"/>
          </w:tcPr>
          <w:p>
            <w:pPr>
              <w:pStyle w:val="TableContents"/>
              <w:spacing w:before="0" w:after="283"/>
              <w:rPr>
                <w:sz w:val="4"/>
                <w:szCs w:val="4"/>
              </w:rPr>
            </w:pPr>
            <w:r>
              <w:rPr>
                <w:sz w:val="4"/>
                <w:szCs w:val="4"/>
              </w:rPr>
            </w:r>
          </w:p>
        </w:tc>
      </w:tr>
      <w:tr>
        <w:trPr/>
        <w:tc>
          <w:tcPr>
            <w:tcW w:w="5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7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 (Reverse MSR)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hedge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hedge coverage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fair value changes due to changes in interest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TBAs, or To-Be-Announced securities are actively traded, forward contracts to purchase or sell Agency MBS on a specific future date. From time-to-time, we enter into exchange-traded options contracts with purchased put options financed by written call options.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Such inter-segment derivatives are eliminated in our consolidated financial statements.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Loans Held for Investment and HMBS-related Borrowings</w:t>
      </w:r>
    </w:p>
    <w:p>
      <w:pPr>
        <w:pStyle w:val="TextBody"/>
        <w:spacing w:lineRule="auto" w:line="288" w:before="120" w:after="120"/>
        <w:rPr/>
      </w:pPr>
      <w:r>
        <w:rPr>
          <w:rFonts w:ascii="Times New Roman;sans-serif" w:hAnsi="Times New Roman;sans-serif"/>
          <w:b w:val="false"/>
          <w:color w:val="000000"/>
          <w:sz w:val="20"/>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Additionally, portfolio value is heavily influenced by market spreads for fixed and discount margin for ARMs.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HECM loan portfolio net of the fair value of the HMBS-related borrowings comprises the fair value of reverse mortgage loans, tails that are unsecuritized as of the balance sheet date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 partial offset to our forward MSR exposure and managed as part of our MSR hedging strategy described above. </w:t>
      </w:r>
    </w:p>
    <w:p>
      <w:pPr>
        <w:pStyle w:val="TextBody"/>
        <w:spacing w:lineRule="auto" w:line="288" w:before="120" w:after="60"/>
        <w:rPr>
          <w:rFonts w:ascii="Times New Roman;sans-serif" w:hAnsi="Times New Roman;sans-serif"/>
          <w:b/>
          <w:color w:val="000000"/>
          <w:sz w:val="20"/>
        </w:rPr>
      </w:pPr>
      <w:r>
        <w:rPr>
          <w:rFonts w:ascii="Times New Roman;sans-serif" w:hAnsi="Times New Roman;sans-serif"/>
          <w:b/>
          <w:color w:val="000000"/>
          <w:sz w:val="20"/>
        </w:rPr>
        <w:t>Pipeline Hedging Strategy - Loans Held for Sale and IRLCs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of the resulting loan into the secondary mortgage market. Loan commitments for forward loans generally range from 5 to 90 days, with the majority of our commitments to borrowers for 40 to 60 days and our commitments to correspondent sellers for 5 days to 15 days. Loans held for sale are generally funded and sold within 3 to 25 days.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minimize the use of third-party derivatives. Such inter-segment derivatives are eliminated in our consolidated financial statements. Reverse origination pipeline is hedged under the same principles as described above, for unsecuritized loans held for investment.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EBO and Loan Modification Hedging – Loans Held for Sale, at fair value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Advance Match Funded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Rate-Sensitive Financial Instruments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present the notional amounts of our financial instruments that are sensitive to changes in interest rates and the related fair value of these instruments at the dates indicated. We use certain assumptions to estimate the fair value of these instruments. </w:t>
      </w:r>
    </w:p>
    <w:tbl>
      <w:tblPr>
        <w:tblW w:w="10205" w:type="dxa"/>
        <w:jc w:val="center"/>
        <w:tblInd w:w="0" w:type="dxa"/>
        <w:tblCellMar>
          <w:top w:w="28" w:type="dxa"/>
          <w:left w:w="28" w:type="dxa"/>
          <w:bottom w:w="28" w:type="dxa"/>
          <w:right w:w="28" w:type="dxa"/>
        </w:tblCellMar>
      </w:tblPr>
      <w:tblGrid>
        <w:gridCol w:w="1474"/>
        <w:gridCol w:w="1294"/>
        <w:gridCol w:w="1298"/>
        <w:gridCol w:w="391"/>
        <w:gridCol w:w="358"/>
        <w:gridCol w:w="363"/>
        <w:gridCol w:w="130"/>
        <w:gridCol w:w="130"/>
        <w:gridCol w:w="130"/>
        <w:gridCol w:w="610"/>
        <w:gridCol w:w="411"/>
        <w:gridCol w:w="328"/>
        <w:gridCol w:w="109"/>
        <w:gridCol w:w="109"/>
        <w:gridCol w:w="109"/>
        <w:gridCol w:w="391"/>
        <w:gridCol w:w="358"/>
        <w:gridCol w:w="363"/>
        <w:gridCol w:w="152"/>
        <w:gridCol w:w="152"/>
        <w:gridCol w:w="152"/>
        <w:gridCol w:w="575"/>
        <w:gridCol w:w="380"/>
        <w:gridCol w:w="438"/>
      </w:tblGrid>
      <w:tr>
        <w:trPr/>
        <w:tc>
          <w:tcPr>
            <w:tcW w:w="1474"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(1)</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Assets: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cash</w:t>
            </w:r>
          </w:p>
        </w:tc>
        <w:tc>
          <w:tcPr>
            <w:tcW w:w="3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lower of cost or fair value (2)</w:t>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w:t>
            </w:r>
          </w:p>
        </w:tc>
      </w:tr>
      <w:tr>
        <w:trPr/>
        <w:tc>
          <w:tcPr>
            <w:tcW w:w="4066"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and time deposits</w:t>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rate-sensitive assets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8,722.4</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8,335.7</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8,335.7</w:t>
            </w:r>
          </w:p>
        </w:tc>
      </w:tr>
      <w:tr>
        <w:trPr/>
        <w:tc>
          <w:tcPr>
            <w:tcW w:w="4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Liabilities (3):</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Match funded liabilities</w:t>
            </w:r>
          </w:p>
        </w:tc>
        <w:tc>
          <w:tcPr>
            <w:tcW w:w="3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(4)</w:t>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w:t>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warehouse facilities</w:t>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 (4)</w:t>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w:t>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rate-sensitive liabilities</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2,831.0</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2,703.7</w:t>
            </w:r>
          </w:p>
        </w:tc>
      </w:tr>
      <w:tr>
        <w:trPr/>
        <w:tc>
          <w:tcPr>
            <w:tcW w:w="4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9538" w:type="dxa"/>
        <w:jc w:val="center"/>
        <w:tblInd w:w="0" w:type="dxa"/>
        <w:tblCellMar>
          <w:top w:w="28" w:type="dxa"/>
          <w:left w:w="28" w:type="dxa"/>
          <w:bottom w:w="28" w:type="dxa"/>
          <w:right w:w="28" w:type="dxa"/>
        </w:tblCellMar>
      </w:tblPr>
      <w:tblGrid>
        <w:gridCol w:w="1530"/>
        <w:gridCol w:w="1348"/>
        <w:gridCol w:w="1351"/>
        <w:gridCol w:w="413"/>
        <w:gridCol w:w="358"/>
        <w:gridCol w:w="363"/>
        <w:gridCol w:w="132"/>
        <w:gridCol w:w="132"/>
        <w:gridCol w:w="132"/>
        <w:gridCol w:w="427"/>
        <w:gridCol w:w="267"/>
        <w:gridCol w:w="223"/>
        <w:gridCol w:w="109"/>
        <w:gridCol w:w="109"/>
        <w:gridCol w:w="109"/>
        <w:gridCol w:w="413"/>
        <w:gridCol w:w="358"/>
        <w:gridCol w:w="363"/>
        <w:gridCol w:w="156"/>
        <w:gridCol w:w="156"/>
        <w:gridCol w:w="156"/>
        <w:gridCol w:w="408"/>
        <w:gridCol w:w="217"/>
        <w:gridCol w:w="308"/>
      </w:tblGrid>
      <w:tr>
        <w:trPr/>
        <w:tc>
          <w:tcPr>
            <w:tcW w:w="153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Balance</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Balance</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 (1)</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Derivative Financial Instruments:</w:t>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(liabilities):</w:t>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IRLCs</w:t>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loans</w:t>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42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option contracts</w:t>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2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net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(1)See Note 3 – Fair Value to the Unaudited Consolidated Financial Statements for additional fair value information on financial instruments.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(2)Net of valuation allowances and including non-performing loans.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(3)Excludes financing liabilities that result from sales of assets that do not qualify as sales for accounting purposes and, therefore, are accounted for as secured financings, which have no contractual maturity and are amortized over the life of the related assets.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(4)Amounts are exclusive of any related discount or unamortized debt issuance costs.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Sensitivity Analysis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Fair Value MSRs, Loans Held for Sale, Loans Held for Investment and Related Derivatives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change in the fair value of our MSRs, HECM loans held for investment and loans held for sale that we have elected to carry at fair value as well as any related derivatives at March 31, 2023, given hypothetical instantaneous parallel shifts in the yield curve. We used March 31, 2023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before="0" w:after="0"/>
        <w:rPr/>
      </w:pPr>
      <w:r>
        <w:rPr/>
      </w:r>
    </w:p>
    <w:tbl>
      <w:tblPr>
        <w:tblW w:w="8410" w:type="dxa"/>
        <w:jc w:val="left"/>
        <w:tblInd w:w="0" w:type="dxa"/>
        <w:tblCellMar>
          <w:top w:w="28" w:type="dxa"/>
          <w:left w:w="28" w:type="dxa"/>
          <w:bottom w:w="28" w:type="dxa"/>
          <w:right w:w="28" w:type="dxa"/>
        </w:tblCellMar>
      </w:tblPr>
      <w:tblGrid>
        <w:gridCol w:w="2153"/>
        <w:gridCol w:w="1891"/>
        <w:gridCol w:w="1895"/>
        <w:gridCol w:w="272"/>
        <w:gridCol w:w="757"/>
        <w:gridCol w:w="140"/>
        <w:gridCol w:w="109"/>
        <w:gridCol w:w="109"/>
        <w:gridCol w:w="109"/>
        <w:gridCol w:w="235"/>
        <w:gridCol w:w="569"/>
        <w:gridCol w:w="171"/>
      </w:tblGrid>
      <w:tr>
        <w:trPr/>
        <w:tc>
          <w:tcPr>
            <w:tcW w:w="2153"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Fair Value</w:t>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Down 25 bps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 25 bps</w:t>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 HECM loans and tails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 - Agency and non-Agency (1)</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IRLCs </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(1)Primarily reflects the impact of market interest rate changes on projected prepayments on the Agency MSR portfolio, Rithm and MAV pledged MSR financing liabilities and ESS financing liabilities.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decrease in our net sensitivity from December 31, 2022 to March 31, 2023 (from approximately $23.5 - $(26.1) million) to $23.7 - $(22.1) million for a 25 basis point parallel shift in the yield curve, up and down, respectively) is primarily driven by the effect of the increase in interest rates on our MSR portfolio (due to convexity), the sale of MSRs and the change in our hedging instruments in the three months ended March 31, 2023.</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Borrowings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March 31, 2023 balances, if interest rates were to increase by 100 bps on our variable-rate debt and cash and float balances, we estimate a net negative impact of approximately $1.1 million resulting from an increase of $21.2 million in annual interest income and other credits on deposits, and an increase of $22.3 million in annual interest expense.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three months ended March 31, 2023.</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Home Prices</w:t>
      </w:r>
    </w:p>
    <w:p>
      <w:pPr>
        <w:pStyle w:val="TextBody"/>
        <w:spacing w:lineRule="auto" w:line="288" w:before="120" w:after="180"/>
        <w:rPr>
          <w:rFonts w:ascii="Times New Roman;sans-serif" w:hAnsi="Times New Roman;sans-serif"/>
          <w:b w:val="false"/>
          <w:color w:val="000000"/>
          <w:sz w:val="20"/>
        </w:rPr>
      </w:pPr>
      <w:r>
        <w:rPr>
          <w:rFonts w:ascii="Times New Roman;sans-serif" w:hAnsi="Times New Roman;sans-serif"/>
          <w:b w:val="false"/>
          <w:color w:val="000000"/>
          <w:sz w:val="20"/>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2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Based on such evaluation, management concluded that our disclosure controls and procedures as of March 31, 2023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our internal control over financial reporting that occurred during the fiscal quarter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rPr/>
      </w:pPr>
      <w:r>
        <w:rPr>
          <w:rFonts w:ascii="Times New Roman;sans-serif" w:hAnsi="Times New Roman;sans-serif"/>
          <w:b w:val="false"/>
          <w:color w:val="000000"/>
          <w:sz w:val="20"/>
        </w:rPr>
        <w:t xml:space="preserve">See </w:t>
      </w:r>
      <w:hyperlink w:anchor="i14c903de0f83401c8863a702bf59483a_103">
        <w:r>
          <w:rPr>
            <w:rStyle w:val="InternetLink"/>
            <w:rFonts w:ascii="Times New Roman;sans-serif" w:hAnsi="Times New Roman;sans-serif"/>
            <w:b w:val="false"/>
            <w:strike w:val="false"/>
            <w:dstrike w:val="false"/>
            <w:color w:val="000000"/>
            <w:sz w:val="20"/>
            <w:u w:val="none"/>
            <w:effect w:val="none"/>
          </w:rPr>
          <w:t>Note 20 – Contingencies</w:t>
        </w:r>
      </w:hyperlink>
      <w:r>
        <w:rPr>
          <w:rFonts w:ascii="Times New Roman;sans-serif" w:hAnsi="Times New Roman;sans-serif"/>
          <w:b w:val="false"/>
          <w:color w:val="000000"/>
          <w:sz w:val="20"/>
        </w:rPr>
        <w:t xml:space="preserve"> to the Unaudited Consolidated Financial Statements for a description of our material legal proceedings. That information is incorporated into this item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2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120"/>
        <w:rPr/>
      </w:pPr>
      <w:r>
        <w:rPr>
          <w:rFonts w:ascii="Times New Roman;sans-serif" w:hAnsi="Times New Roman;sans-serif"/>
          <w:b w:val="false"/>
          <w:color w:val="000000"/>
          <w:sz w:val="20"/>
        </w:rPr>
        <w:t>An investment in our common stock involves significant risk. We describe the most significant risks that management believes affect or could affect us under Part I, Item 1.A. of our Annual Report on Form 10-K for the year ended December 31, 2022. There have been no material changes to our risk factors since our Annual Report on Form 10-K for the year ended December 31, 2022.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14"/>
        <w:gridCol w:w="214"/>
        <w:gridCol w:w="218"/>
        <w:gridCol w:w="109"/>
        <w:gridCol w:w="109"/>
        <w:gridCol w:w="109"/>
        <w:gridCol w:w="2573"/>
        <w:gridCol w:w="2475"/>
        <w:gridCol w:w="35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2475" w:type="dxa"/>
            <w:tcBorders/>
            <w:shd w:fill="auto" w:val="clear"/>
            <w:vAlign w:val="center"/>
          </w:tcPr>
          <w:p>
            <w:pPr>
              <w:pStyle w:val="TableContents"/>
              <w:spacing w:before="0" w:after="283"/>
              <w:rPr>
                <w:sz w:val="4"/>
                <w:szCs w:val="4"/>
              </w:rPr>
            </w:pPr>
            <w:r>
              <w:rPr>
                <w:sz w:val="4"/>
                <w:szCs w:val="4"/>
              </w:rPr>
            </w:r>
          </w:p>
        </w:tc>
        <w:tc>
          <w:tcPr>
            <w:tcW w:w="35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r:id="rId2">
              <w:r>
                <w:rPr>
                  <w:rStyle w:val="InternetLink"/>
                  <w:rFonts w:ascii="Times New Roman;sans-serif" w:hAnsi="Times New Roman;sans-serif"/>
                  <w:b w:val="false"/>
                  <w:color w:val="000000"/>
                  <w:sz w:val="20"/>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00"/>
                  <w:sz w:val="20"/>
                </w:rPr>
                <w:t>Amended and Restated Articles of Incorporation, as amended (1)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r:id="rId4">
              <w:r>
                <w:rPr>
                  <w:rStyle w:val="InternetLink"/>
                  <w:rFonts w:ascii="Times New Roman;sans-serif" w:hAnsi="Times New Roman;sans-serif"/>
                  <w:b w:val="false"/>
                  <w:color w:val="000000"/>
                  <w:sz w:val="20"/>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00"/>
                  <w:sz w:val="20"/>
                </w:rPr>
                <w:t>Amended and Restated Bylaws of Ocwen Financial Corporation (2)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a20230331ex311.htm">
              <w:r>
                <w:rPr>
                  <w:rStyle w:val="InternetLink"/>
                  <w:rFonts w:ascii="Times New Roman;sans-serif" w:hAnsi="Times New Roman;sans-serif"/>
                  <w:b w:val="false"/>
                  <w:color w:val="000000"/>
                  <w:sz w:val="20"/>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ex311.htm">
              <w:r>
                <w:rPr>
                  <w:rStyle w:val="InternetLink"/>
                  <w:rFonts w:ascii="Times New Roman;sans-serif" w:hAnsi="Times New Roman;sans-serif"/>
                  <w:b w:val="false"/>
                  <w:color w:val="000000"/>
                  <w:sz w:val="20"/>
                </w:rPr>
                <w:t>Certification of the principal executive officer pursuant to Section 302 of the Sarbanes-Oxley Act of 2002 (filed herewith)</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a20230331ex312.htm">
              <w:r>
                <w:rPr>
                  <w:rStyle w:val="InternetLink"/>
                  <w:rFonts w:ascii="Times New Roman;sans-serif" w:hAnsi="Times New Roman;sans-serif"/>
                  <w:b w:val="false"/>
                  <w:color w:val="000000"/>
                  <w:sz w:val="20"/>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ex312.htm">
              <w:r>
                <w:rPr>
                  <w:rStyle w:val="InternetLink"/>
                  <w:rFonts w:ascii="Times New Roman;sans-serif" w:hAnsi="Times New Roman;sans-serif"/>
                  <w:b w:val="false"/>
                  <w:color w:val="000000"/>
                  <w:sz w:val="20"/>
                </w:rPr>
                <w:t>Certification of the principal financial officer pursuant to Section 302 of the Sarbanes-Oxley Act of 2002 (filed herewith)</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a20230331ex321.htm">
              <w:r>
                <w:rPr>
                  <w:rStyle w:val="InternetLink"/>
                  <w:rFonts w:ascii="Times New Roman;sans-serif" w:hAnsi="Times New Roman;sans-serif"/>
                  <w:b w:val="false"/>
                  <w:color w:val="000000"/>
                  <w:sz w:val="20"/>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ex321.htm">
              <w:r>
                <w:rPr>
                  <w:rStyle w:val="InternetLink"/>
                  <w:rFonts w:ascii="Times New Roman;sans-serif" w:hAnsi="Times New Roman;sans-serif"/>
                  <w:b w:val="false"/>
                  <w:color w:val="000000"/>
                  <w:sz w:val="20"/>
                </w:rPr>
                <w:t>Certification of the principal executive officer pursuant to 18 U.S.C. Section 1350, as adopted pursuant to Section 906 of the Sarbanes-Oxley Act of 2002 (furnished herewith)</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a20230331ex322.htm">
              <w:r>
                <w:rPr>
                  <w:rStyle w:val="InternetLink"/>
                  <w:rFonts w:ascii="Times New Roman;sans-serif" w:hAnsi="Times New Roman;sans-serif"/>
                  <w:b w:val="false"/>
                  <w:color w:val="000000"/>
                  <w:sz w:val="20"/>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ex322.htm">
              <w:r>
                <w:rPr>
                  <w:rStyle w:val="InternetLink"/>
                  <w:rFonts w:ascii="Times New Roman;sans-serif" w:hAnsi="Times New Roman;sans-serif"/>
                  <w:b w:val="false"/>
                  <w:color w:val="000000"/>
                  <w:sz w:val="20"/>
                </w:rPr>
                <w:t>Certification of the principal financial officer pursuant to 18 U.S.C. Section 1350, as adopted pursuant to Section 906 of the Sarbanes-Oxley Act of 2002 (furnished herewith)</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Company’s Quarterly Report on Form 10-Q for the quarter ended March 31, 2023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pStyle w:val="TableContents"/>
              <w:spacing w:before="0" w:after="0"/>
              <w:rPr/>
            </w:pPr>
            <w:r>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2023, formatted in Inline XBRL (Included as Exhibit 101).</w:t>
            </w:r>
          </w:p>
          <w:p>
            <w:pPr>
              <w:pStyle w:val="TableContents"/>
              <w:spacing w:before="0" w:after="0"/>
              <w:jc w:val="left"/>
              <w:rPr/>
            </w:pPr>
            <w:r>
              <w:rPr/>
            </w:r>
          </w:p>
          <w:p>
            <w:pPr>
              <w:pStyle w:val="TableContents"/>
              <w:spacing w:before="0" w:after="0"/>
              <w:rPr/>
            </w:pPr>
            <w:r>
              <w:rPr/>
            </w:r>
          </w:p>
        </w:tc>
      </w:tr>
    </w:tbl>
    <w:p>
      <w:pPr>
        <w:pStyle w:val="TextBody"/>
        <w:spacing w:lineRule="auto" w:line="276" w:before="0" w:after="6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(1)Incorporated by reference to the similarly described exhibit to the Registrant’s Form 10-Q for the period ended September 30, 2020 filed on November 3, 2020.</w:t>
      </w:r>
    </w:p>
    <w:p>
      <w:pPr>
        <w:pStyle w:val="TextBody"/>
        <w:spacing w:lineRule="auto" w:line="276" w:before="0" w:after="6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(2)Incorporated by reference to the similarly described exhibit to the Registrant’s Form 8-K filed on February 25, 2019.</w:t>
      </w:r>
    </w:p>
    <w:p>
      <w:pPr>
        <w:pStyle w:val="TextBody"/>
        <w:spacing w:before="0" w:after="60"/>
        <w:rPr/>
      </w:pPr>
      <w:r>
        <w:rPr/>
      </w:r>
    </w:p>
    <w:p>
      <w:pPr>
        <w:pStyle w:val="TextBody"/>
        <w:spacing w:before="0" w:after="0"/>
        <w:rPr/>
      </w:pPr>
      <w:r>
        <w:rPr/>
      </w:r>
    </w:p>
    <w:p>
      <w:pPr>
        <w:pStyle w:val="TextBody"/>
        <w:spacing w:before="0" w:after="0"/>
        <w:rPr/>
      </w:pPr>
      <w:r>
        <w:rPr/>
      </w:r>
    </w:p>
    <w:p>
      <w:pPr>
        <w:pStyle w:val="TextBody"/>
        <w:spacing w:before="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8189" w:type="dxa"/>
        <w:jc w:val="left"/>
        <w:tblInd w:w="0" w:type="dxa"/>
        <w:tblCellMar>
          <w:top w:w="28" w:type="dxa"/>
          <w:left w:w="28" w:type="dxa"/>
          <w:bottom w:w="28" w:type="dxa"/>
          <w:right w:w="28" w:type="dxa"/>
        </w:tblCellMar>
      </w:tblPr>
      <w:tblGrid>
        <w:gridCol w:w="591"/>
        <w:gridCol w:w="520"/>
        <w:gridCol w:w="523"/>
        <w:gridCol w:w="395"/>
        <w:gridCol w:w="395"/>
        <w:gridCol w:w="395"/>
        <w:gridCol w:w="1557"/>
        <w:gridCol w:w="1557"/>
        <w:gridCol w:w="225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Ocwen Financial Corporation</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B. O’Neil</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(On behalf of the Registrant and as its principal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Glen A. Messina,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Ocwen Financial Corporation;</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4375" w:type="dxa"/>
        <w:jc w:val="left"/>
        <w:tblInd w:w="0" w:type="dxa"/>
        <w:tblCellMar>
          <w:top w:w="28" w:type="dxa"/>
          <w:left w:w="28" w:type="dxa"/>
          <w:bottom w:w="28" w:type="dxa"/>
          <w:right w:w="28" w:type="dxa"/>
        </w:tblCellMar>
      </w:tblPr>
      <w:tblGrid>
        <w:gridCol w:w="591"/>
        <w:gridCol w:w="520"/>
        <w:gridCol w:w="523"/>
        <w:gridCol w:w="109"/>
        <w:gridCol w:w="109"/>
        <w:gridCol w:w="109"/>
        <w:gridCol w:w="707"/>
        <w:gridCol w:w="707"/>
        <w:gridCol w:w="100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A. Messina, President</w:t>
              <w:br/>
              <w:t>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Sean B. O'Neil,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Ocwen Financial Corporation;</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7436" w:type="dxa"/>
        <w:jc w:val="left"/>
        <w:tblInd w:w="0" w:type="dxa"/>
        <w:tblCellMar>
          <w:top w:w="28" w:type="dxa"/>
          <w:left w:w="28" w:type="dxa"/>
          <w:bottom w:w="28" w:type="dxa"/>
          <w:right w:w="28" w:type="dxa"/>
        </w:tblCellMar>
      </w:tblPr>
      <w:tblGrid>
        <w:gridCol w:w="591"/>
        <w:gridCol w:w="520"/>
        <w:gridCol w:w="523"/>
        <w:gridCol w:w="109"/>
        <w:gridCol w:w="109"/>
        <w:gridCol w:w="109"/>
        <w:gridCol w:w="1598"/>
        <w:gridCol w:w="1598"/>
        <w:gridCol w:w="227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O'Neil, 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Glen A. Messina, state and attest that:</w:t>
      </w:r>
    </w:p>
    <w:p>
      <w:pPr>
        <w:pStyle w:val="TextBody"/>
        <w:spacing w:lineRule="auto" w:line="288" w:before="0" w:after="0"/>
        <w:rPr>
          <w:color w:val="000000"/>
        </w:rPr>
      </w:pPr>
      <w:r>
        <w:rPr>
          <w:color w:val="000000"/>
        </w:rPr>
        <w:t> </w:t>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(1)I am the principal executive officer of Ocwen Financial Corporation (the Registrant).</w:t>
      </w:r>
    </w:p>
    <w:p>
      <w:pPr>
        <w:pStyle w:val="TextBody"/>
        <w:spacing w:before="0" w:after="0"/>
        <w:ind w:left="0" w:right="0" w:hanging="450"/>
        <w:rPr/>
      </w:pPr>
      <w:r>
        <w:rPr/>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Quarterly Report on Form 10-Q of the Registrant for the quarter ended March 31, 2023 (the periodic report) containing financial statements fully complies with the requirements of Section 13(a) or 15(d), as applicable, of the Securities Exchange Act of 1934 (15 U.S.C. 78m or 78o(d)); and</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spacing w:before="0" w:after="0"/>
        <w:rPr/>
      </w:pPr>
      <w:r>
        <w:rPr/>
      </w:r>
    </w:p>
    <w:tbl>
      <w:tblPr>
        <w:tblW w:w="3854" w:type="dxa"/>
        <w:jc w:val="left"/>
        <w:tblInd w:w="0" w:type="dxa"/>
        <w:tblCellMar>
          <w:top w:w="28" w:type="dxa"/>
          <w:left w:w="28" w:type="dxa"/>
          <w:bottom w:w="28" w:type="dxa"/>
          <w:right w:w="28" w:type="dxa"/>
        </w:tblCellMar>
      </w:tblPr>
      <w:tblGrid>
        <w:gridCol w:w="233"/>
        <w:gridCol w:w="205"/>
        <w:gridCol w:w="207"/>
        <w:gridCol w:w="940"/>
        <w:gridCol w:w="940"/>
        <w:gridCol w:w="1329"/>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Sean B. O'Neil, state and attest that:</w:t>
      </w:r>
    </w:p>
    <w:p>
      <w:pPr>
        <w:pStyle w:val="TextBody"/>
        <w:spacing w:lineRule="auto" w:line="288" w:before="0" w:after="0"/>
        <w:rPr>
          <w:color w:val="000000"/>
        </w:rPr>
      </w:pPr>
      <w:r>
        <w:rPr>
          <w:color w:val="000000"/>
        </w:rPr>
        <w:t> </w:t>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(1)I am the principal financial officer of Ocwen Financial Corporation (the Registrant).</w:t>
      </w:r>
    </w:p>
    <w:p>
      <w:pPr>
        <w:pStyle w:val="TextBody"/>
        <w:spacing w:before="0" w:after="0"/>
        <w:ind w:left="0" w:right="0" w:hanging="450"/>
        <w:rPr/>
      </w:pPr>
      <w:r>
        <w:rPr/>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Quarterly Report on Form 10-Q of the Registrant for the quarter ended March 31, 2023 (the periodic report) containing financial statements fully complies with the requirements of Section 13(a) or 15(d), as applicable, of the Securities Exchange Act of 1934 (15 U.S.C. 78m or 78o(d)); and</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spacing w:before="0" w:after="0"/>
        <w:rPr/>
      </w:pPr>
      <w:r>
        <w:rPr/>
      </w:r>
    </w:p>
    <w:tbl>
      <w:tblPr>
        <w:tblW w:w="5085" w:type="dxa"/>
        <w:jc w:val="left"/>
        <w:tblInd w:w="0" w:type="dxa"/>
        <w:tblCellMar>
          <w:top w:w="28" w:type="dxa"/>
          <w:left w:w="28" w:type="dxa"/>
          <w:bottom w:w="28" w:type="dxa"/>
          <w:right w:w="28" w:type="dxa"/>
        </w:tblCellMar>
      </w:tblPr>
      <w:tblGrid>
        <w:gridCol w:w="233"/>
        <w:gridCol w:w="205"/>
        <w:gridCol w:w="207"/>
        <w:gridCol w:w="1296"/>
        <w:gridCol w:w="1296"/>
        <w:gridCol w:w="1848"/>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3860/000162828020015371/a20200930ex31.htm" TargetMode="External"/><Relationship Id="rId3" Type="http://schemas.openxmlformats.org/officeDocument/2006/relationships/hyperlink" Target="http://www.sec.gov/Archives/edgar/data/873860/000162828020015371/a20200930ex31.htm" TargetMode="External"/><Relationship Id="rId4" Type="http://schemas.openxmlformats.org/officeDocument/2006/relationships/hyperlink" Target="http://www.sec.gov/Archives/edgar/data/873860/000149315219002478/ex3-1.htm" TargetMode="External"/><Relationship Id="rId5" Type="http://schemas.openxmlformats.org/officeDocument/2006/relationships/hyperlink" Target="http://www.sec.gov/Archives/edgar/data/873860/000149315219002478/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50269</Words>
  <CharactersWithSpaces>317370</CharactersWithSpaces>
  <Paragraphs>7146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