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466090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September 30, 2024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Onity Group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08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(561) 682-8000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823" w:right="359" w:bottom="1440" w:gutter="0" w:footer="0" w:header="0"/>
        </w:sectPr>
      </w:pPr>
    </w:p>
    <w:p>
      <w:pPr>
        <w:spacing w:after="0" w:line="124"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ONIT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160" w:space="720"/>
            <w:col w:w="1860" w:space="720"/>
            <w:col w:w="3760"/>
          </w:cols>
          <w:pgMar w:left="320" w:top="823" w:right="359" w:bottom="1440" w:gutter="0" w:footer="0" w:header="0"/>
          <w:type w:val="continuous"/>
        </w:sectPr>
      </w:pPr>
    </w:p>
    <w:p>
      <w:pPr>
        <w:spacing w:after="0" w:line="1" w:lineRule="exact"/>
        <w:rPr>
          <w:sz w:val="24"/>
          <w:szCs w:val="24"/>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registrant changed its name from Ocwen Financial Corporation to Onity Group Inc. and its trading symbol to ONIT on June 10, 2024. The registrant's common stock was previously traded under the trading symbol OCN.</w:t>
      </w:r>
    </w:p>
    <w:p>
      <w:pPr>
        <w:spacing w:after="0" w:line="9"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38"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9"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90"/>
        </w:trPr>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12" w:lineRule="exact"/>
        <w:rPr>
          <w:sz w:val="24"/>
          <w:szCs w:val="24"/>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right="3180"/>
        <w:spacing w:after="0" w:line="26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Number of shares of common stock outstanding as of November 4, 2024: 7,868,458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323850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Balance Sheets at September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Three and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Three and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and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2023 and the following:</w:t>
      </w:r>
    </w:p>
    <w:p>
      <w:pPr>
        <w:spacing w:after="0" w:line="76" w:lineRule="exact"/>
        <w:rPr>
          <w:sz w:val="20"/>
          <w:szCs w:val="20"/>
          <w:color w:val="auto"/>
        </w:rPr>
      </w:pPr>
    </w:p>
    <w:p>
      <w:pPr>
        <w:ind w:left="620" w:right="8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 receipt of final regulatory approval to consummate the sale of our ownership interest in MAV Canopy HoldCo I, LLC (MAV Canopy) that invests in mortgage servicing assets through its licensed mortgage subsidiary MSR Asset Vehicle LLC (MAV);</w:t>
      </w:r>
    </w:p>
    <w:p>
      <w:pPr>
        <w:ind w:left="620" w:right="48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will break escrow following the closing of our senior corporate debt refinancing, receive the proceeds of the refinancing, and redeem our senior corporate notes, all of which are conditioned on the closing of the MAV sale described above;</w:t>
      </w:r>
    </w:p>
    <w:p>
      <w:pPr>
        <w:ind w:left="620" w:right="6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of our ownership position in MAV and the extent to which MAV will continue to generate a favorable return on our investment in the event we do not consummate the MAV sale;</w:t>
      </w:r>
    </w:p>
    <w:p>
      <w:pPr>
        <w:ind w:left="620" w:right="4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United States political developments, geopolitical events and other sources of instability;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recent failures and re-organization of banking institutions and continued uncertainty in the banking industry;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 completion of our PHH Mortgage Corporation rebranding and its impact on our business and third parties’ perceptions of us;</w:t>
      </w:r>
    </w:p>
    <w:p>
      <w:pPr>
        <w:spacing w:after="0" w:line="24" w:lineRule="exact"/>
        <w:rPr>
          <w:rFonts w:ascii="Times New Roman" w:cs="Times New Roman" w:eastAsia="Times New Roman" w:hAnsi="Times New Roman"/>
          <w:sz w:val="17"/>
          <w:szCs w:val="17"/>
          <w:color w:val="auto"/>
        </w:rPr>
      </w:pPr>
    </w:p>
    <w:p>
      <w:pPr>
        <w:ind w:left="620" w:right="36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spacing w:after="0" w:line="27" w:lineRule="exact"/>
        <w:rPr>
          <w:rFonts w:ascii="Times New Roman" w:cs="Times New Roman" w:eastAsia="Times New Roman" w:hAnsi="Times New Roman"/>
          <w:sz w:val="17"/>
          <w:szCs w:val="17"/>
          <w:color w:val="auto"/>
        </w:rPr>
      </w:pPr>
    </w:p>
    <w:p>
      <w:pPr>
        <w:ind w:left="620" w:right="360" w:hanging="307"/>
        <w:spacing w:after="0" w:line="25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jc w:val="both"/>
        <w:ind w:left="620" w:right="1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2" w:lineRule="exact"/>
        <w:rPr>
          <w:rFonts w:ascii="Times New Roman" w:cs="Times New Roman" w:eastAsia="Times New Roman" w:hAnsi="Times New Roman"/>
          <w:sz w:val="17"/>
          <w:szCs w:val="17"/>
          <w:color w:val="auto"/>
        </w:rPr>
      </w:pPr>
    </w:p>
    <w:p>
      <w:pPr>
        <w:jc w:val="both"/>
        <w:ind w:left="620" w:right="48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w:t>
      </w:r>
    </w:p>
    <w:p>
      <w:pPr>
        <w:spacing w:after="0" w:line="1" w:lineRule="exact"/>
        <w:rPr>
          <w:rFonts w:ascii="Times New Roman" w:cs="Times New Roman" w:eastAsia="Times New Roman" w:hAnsi="Times New Roman"/>
          <w:sz w:val="17"/>
          <w:szCs w:val="17"/>
          <w:color w:val="auto"/>
        </w:rPr>
      </w:pPr>
    </w:p>
    <w:p>
      <w:pPr>
        <w:ind w:left="620" w:right="26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in a timely and cost-effective manner, our planned response to Ginnie Mae’s risk-based capital requirements by the extended deadline granted to us by Ginnie Mae of May 1, 2025;</w:t>
      </w:r>
    </w:p>
    <w:p>
      <w:pPr>
        <w:spacing w:after="0" w:line="1" w:lineRule="exact"/>
        <w:rPr>
          <w:rFonts w:ascii="Times New Roman" w:cs="Times New Roman" w:eastAsia="Times New Roman" w:hAnsi="Times New Roman"/>
          <w:sz w:val="17"/>
          <w:szCs w:val="17"/>
          <w:color w:val="auto"/>
        </w:rPr>
      </w:pPr>
    </w:p>
    <w:p>
      <w:pPr>
        <w:ind w:left="620" w:right="10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or senior debt that we may repurchase under any future stock or debt repurchase programs, the timing of such repurchases, and the long-term impact, if any, of repurchases on the trading price of our stock or our financial condition;</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actions to refinance our senior secured notes and the terms of any such refinancing;</w:t>
      </w:r>
    </w:p>
    <w:p>
      <w:pPr>
        <w:spacing w:after="0" w:line="27" w:lineRule="exact"/>
        <w:rPr>
          <w:rFonts w:ascii="Times New Roman" w:cs="Times New Roman" w:eastAsia="Times New Roman" w:hAnsi="Times New Roman"/>
          <w:sz w:val="17"/>
          <w:szCs w:val="17"/>
          <w:color w:val="auto"/>
        </w:rPr>
      </w:pPr>
    </w:p>
    <w:p>
      <w:pPr>
        <w:ind w:left="620" w:right="20" w:hanging="307"/>
        <w:spacing w:after="0" w:line="28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3" w:name="page4"/>
    <w:bookmarkEnd w:id="3"/>
    <w:p>
      <w:pPr>
        <w:ind w:left="307" w:right="140" w:hanging="307"/>
        <w:spacing w:after="0" w:line="269"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Rithm Capital Corp. (Rithm), one of our largest subservicing clients as of September 30, 2024;</w:t>
      </w:r>
    </w:p>
    <w:p>
      <w:pPr>
        <w:spacing w:after="0" w:line="27" w:lineRule="exact"/>
        <w:rPr>
          <w:rFonts w:ascii="Times New Roman" w:cs="Times New Roman" w:eastAsia="Times New Roman" w:hAnsi="Times New Roman"/>
          <w:sz w:val="17"/>
          <w:szCs w:val="17"/>
          <w:color w:val="auto"/>
        </w:rPr>
      </w:pPr>
    </w:p>
    <w:p>
      <w:pPr>
        <w:ind w:left="307" w:right="46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33" w:lineRule="exact"/>
        <w:rPr>
          <w:rFonts w:ascii="Times New Roman" w:cs="Times New Roman" w:eastAsia="Times New Roman" w:hAnsi="Times New Roman"/>
          <w:sz w:val="17"/>
          <w:szCs w:val="17"/>
          <w:color w:val="auto"/>
        </w:rPr>
      </w:pP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third-party obligors and financing sources to fund servicing advances on a timely basis on loans serviced by us;</w:t>
      </w:r>
    </w:p>
    <w:p>
      <w:pPr>
        <w:spacing w:after="0" w:line="24" w:lineRule="exact"/>
        <w:rPr>
          <w:rFonts w:ascii="Times New Roman" w:cs="Times New Roman" w:eastAsia="Times New Roman" w:hAnsi="Times New Roman"/>
          <w:sz w:val="17"/>
          <w:szCs w:val="17"/>
          <w:color w:val="auto"/>
        </w:rPr>
      </w:pPr>
    </w:p>
    <w:p>
      <w:pPr>
        <w:ind w:left="307" w:right="18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and reduced or delayed servicing income due to rising borrower delinquency levels, forbearance plans, moratoria on evictions and delays in foreclosure proceedings;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collect certain expedited payment or convenience fees and potential liability for charging such fees;</w:t>
      </w:r>
    </w:p>
    <w:p>
      <w:pPr>
        <w:spacing w:after="0" w:line="24" w:lineRule="exact"/>
        <w:rPr>
          <w:rFonts w:ascii="Times New Roman" w:cs="Times New Roman" w:eastAsia="Times New Roman" w:hAnsi="Times New Roman"/>
          <w:sz w:val="17"/>
          <w:szCs w:val="17"/>
          <w:color w:val="auto"/>
        </w:rPr>
      </w:pPr>
    </w:p>
    <w:p>
      <w:pPr>
        <w:ind w:left="307" w:right="380" w:hanging="307"/>
        <w:spacing w:after="0" w:line="230"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severe weather or natural disaster events resulting in costly disruptions to our operations and increased servicing costs due to property damage;</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7"/>
          <w:szCs w:val="17"/>
          <w:color w:val="auto"/>
        </w:rPr>
      </w:pPr>
    </w:p>
    <w:p>
      <w:pPr>
        <w:ind w:left="307" w:hanging="307"/>
        <w:spacing w:after="0" w:line="25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307" w:right="80" w:hanging="307"/>
        <w:spacing w:after="0" w:line="25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our compliance with COVID-19-related rules and regulations, including requirements instituted by state governments, the GSEs, Ginnie Mae and regulators;</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reactions of key counterparties, including lenders, the GSEs and Ginnie Mae, to our regulatory engagements and litigation matters;</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33" w:lineRule="exact"/>
        <w:rPr>
          <w:rFonts w:ascii="Times New Roman" w:cs="Times New Roman" w:eastAsia="Times New Roman" w:hAnsi="Times New Roman"/>
          <w:sz w:val="17"/>
          <w:szCs w:val="17"/>
          <w:color w:val="auto"/>
        </w:rPr>
      </w:pPr>
    </w:p>
    <w:p>
      <w:pPr>
        <w:ind w:left="307" w:right="16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 and the costs of doing so;</w:t>
      </w:r>
    </w:p>
    <w:p>
      <w:pPr>
        <w:ind w:left="307" w:right="2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Times New Roman" w:cs="Times New Roman" w:eastAsia="Times New Roman" w:hAnsi="Times New Roman"/>
          <w:sz w:val="17"/>
          <w:szCs w:val="17"/>
          <w:color w:val="auto"/>
        </w:rPr>
      </w:pPr>
    </w:p>
    <w:p>
      <w:pPr>
        <w:ind w:left="307" w:right="8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ind w:left="307" w:right="26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spacing w:after="0" w:line="1" w:lineRule="exact"/>
        <w:rPr>
          <w:rFonts w:ascii="Times New Roman" w:cs="Times New Roman" w:eastAsia="Times New Roman" w:hAnsi="Times New Roman"/>
          <w:sz w:val="17"/>
          <w:szCs w:val="17"/>
          <w:color w:val="auto"/>
        </w:rPr>
      </w:pPr>
    </w:p>
    <w:p>
      <w:pPr>
        <w:ind w:left="307" w:right="40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senior managers and key employees;</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3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24" w:lineRule="exact"/>
        <w:rPr>
          <w:rFonts w:ascii="Times New Roman" w:cs="Times New Roman" w:eastAsia="Times New Roman" w:hAnsi="Times New Roman"/>
          <w:sz w:val="17"/>
          <w:szCs w:val="17"/>
          <w:color w:val="auto"/>
        </w:rPr>
      </w:pPr>
    </w:p>
    <w:p>
      <w:pPr>
        <w:ind w:left="307" w:right="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economic stability in the foreign countries in which we operate; and</w:t>
      </w:r>
    </w:p>
    <w:p>
      <w:pPr>
        <w:spacing w:after="0" w:line="27" w:lineRule="exact"/>
        <w:rPr>
          <w:rFonts w:ascii="Times New Roman" w:cs="Times New Roman" w:eastAsia="Times New Roman" w:hAnsi="Times New Roman"/>
          <w:sz w:val="17"/>
          <w:szCs w:val="17"/>
          <w:color w:val="auto"/>
        </w:rPr>
      </w:pPr>
    </w:p>
    <w:p>
      <w:pPr>
        <w:ind w:left="307" w:right="560" w:hanging="307"/>
        <w:spacing w:after="0" w:line="28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200" w:lineRule="exact"/>
        <w:rPr>
          <w:sz w:val="20"/>
          <w:szCs w:val="20"/>
          <w:color w:val="auto"/>
        </w:rPr>
      </w:pPr>
    </w:p>
    <w:p>
      <w:pPr>
        <w:spacing w:after="0" w:line="291"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07"/>
          </w:cols>
          <w:pgMar w:left="633" w:top="873" w:right="359" w:bottom="1440" w:gutter="0" w:footer="0" w:header="0"/>
        </w:sectPr>
      </w:pPr>
    </w:p>
    <w:bookmarkStart w:id="4" w:name="page5"/>
    <w:bookmarkEnd w:id="4"/>
    <w:p>
      <w:pPr>
        <w:spacing w:after="0" w:line="19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2023,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($30.9 and $24.2 related to variable interest entities (VIEs))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Advances, net ($438.6 and $573.0 related to VIEs)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($1,195.5 and $674.2 carried at fair value) ($595.2 and $269.6 related to VIEs)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 ($5.2 and $5.6 related to VIEs)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 ($46.6 and $19.9 related to VIEs)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($10.4 and $22.0 carried at fair value) ($44.1 and $18.6 related to VIEs)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8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13,226.7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financing liabilities, at fair value ($327.5 and $409.2 due to related party) ($5.2 and $5.6 related to VIEs)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Advance match funded liabilities ($376.6 and $498.9 related to VIEs)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financing facilities, net ($518.7 and $143.4 related to VIEs)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Senior notes, net ($248.2 and $239.7 due to related parties)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liabilities ($14.1 and $7.2 carried at fair value)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2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12,111.9</w:t>
            </w:r>
          </w:p>
        </w:tc>
      </w:tr>
      <w:tr>
        <w:trPr>
          <w:trHeight w:val="135"/>
        </w:trPr>
        <w:tc>
          <w:tcPr>
            <w:tcW w:w="8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20 and 21)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55"/>
        </w:trPr>
        <w:tc>
          <w:tcPr>
            <w:tcW w:w="8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8"/>
        </w:trPr>
        <w:tc>
          <w:tcPr>
            <w:tcW w:w="810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Common stock, $.01 par value; 13,333,333 shares authorized; 7,868,458 and 7,684,401 shares issued and</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3"/>
        </w:trPr>
        <w:tc>
          <w:tcPr>
            <w:tcW w:w="8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outstanding at September 30, 2024 and December 31, 2023, respectively</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income (loss), net of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38"/>
        </w:trPr>
        <w:tc>
          <w:tcPr>
            <w:tcW w:w="8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13,226.7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326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w:t>
            </w:r>
          </w:p>
        </w:tc>
        <w:tc>
          <w:tcPr>
            <w:tcW w:w="100" w:type="dxa"/>
            <w:vAlign w:val="bottom"/>
          </w:tcPr>
          <w:p>
            <w:pPr>
              <w:spacing w:after="0"/>
              <w:rPr>
                <w:sz w:val="17"/>
                <w:szCs w:val="17"/>
                <w:color w:val="auto"/>
              </w:rPr>
            </w:pPr>
          </w:p>
        </w:tc>
        <w:tc>
          <w:tcPr>
            <w:tcW w:w="304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tc>
      </w:tr>
      <w:tr>
        <w:trPr>
          <w:trHeight w:val="230"/>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30,</w:t>
            </w:r>
          </w:p>
        </w:tc>
        <w:tc>
          <w:tcPr>
            <w:tcW w:w="1180" w:type="dxa"/>
            <w:vAlign w:val="bottom"/>
            <w:tcBorders>
              <w:bottom w:val="single" w:sz="8" w:color="auto"/>
            </w:tcBorders>
          </w:tcPr>
          <w:p>
            <w:pPr>
              <w:spacing w:after="0"/>
              <w:rPr>
                <w:sz w:val="20"/>
                <w:szCs w:val="20"/>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707.5</w:t>
            </w:r>
          </w:p>
        </w:tc>
      </w:tr>
      <w:tr>
        <w:trPr>
          <w:trHeight w:val="168"/>
        </w:trPr>
        <w:tc>
          <w:tcPr>
            <w:tcW w:w="4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Gain (loss) on reverse loans held for investment and HMBS-related</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borrowings, net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789.4</w:t>
            </w:r>
          </w:p>
        </w:tc>
      </w:tr>
      <w:tr>
        <w:trPr>
          <w:trHeight w:val="135"/>
        </w:trPr>
        <w:tc>
          <w:tcPr>
            <w:tcW w:w="4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r>
      <w:tr>
        <w:trPr>
          <w:trHeight w:val="135"/>
        </w:trPr>
        <w:tc>
          <w:tcPr>
            <w:tcW w:w="4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168"/>
        </w:trPr>
        <w:tc>
          <w:tcPr>
            <w:tcW w:w="4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Interest expense ($11.5, $11.0, $34.1 and $32.6 on amounts due to</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related parties)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168"/>
        </w:trPr>
        <w:tc>
          <w:tcPr>
            <w:tcW w:w="48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Pledged MSR liability expense ($11.4, $14.5, $42.1 and $41.8 on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4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amounts due to related party)</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(359.2)</w:t>
            </w:r>
          </w:p>
        </w:tc>
      </w:tr>
      <w:tr>
        <w:trPr>
          <w:trHeight w:val="213"/>
        </w:trPr>
        <w:tc>
          <w:tcPr>
            <w:tcW w:w="4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187"/>
        </w:trPr>
        <w:tc>
          <w:tcPr>
            <w:tcW w:w="48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(16.2)</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7,621,569</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8,055,393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8,060,078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8,006,981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7,621,569</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3260" w:type="dxa"/>
            <w:vAlign w:val="bottom"/>
            <w:gridSpan w:val="7"/>
          </w:tcPr>
          <w:p>
            <w:pPr>
              <w:ind w:left="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w:t>
            </w:r>
          </w:p>
        </w:tc>
        <w:tc>
          <w:tcPr>
            <w:tcW w:w="100" w:type="dxa"/>
            <w:vAlign w:val="bottom"/>
          </w:tcPr>
          <w:p>
            <w:pPr>
              <w:spacing w:after="0"/>
              <w:rPr>
                <w:sz w:val="17"/>
                <w:szCs w:val="17"/>
                <w:color w:val="auto"/>
              </w:rPr>
            </w:pPr>
          </w:p>
        </w:tc>
        <w:tc>
          <w:tcPr>
            <w:tcW w:w="3040" w:type="dxa"/>
            <w:vAlign w:val="bottom"/>
            <w:gridSpan w:val="5"/>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tc>
      </w:tr>
      <w:tr>
        <w:trPr>
          <w:trHeight w:val="230"/>
        </w:trPr>
        <w:tc>
          <w:tcPr>
            <w:tcW w:w="4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1180" w:type="dxa"/>
            <w:vAlign w:val="bottom"/>
            <w:tcBorders>
              <w:bottom w:val="single" w:sz="8" w:color="auto"/>
            </w:tcBorders>
          </w:tcPr>
          <w:p>
            <w:pPr>
              <w:spacing w:after="0"/>
              <w:rPr>
                <w:sz w:val="20"/>
                <w:szCs w:val="20"/>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155"/>
        </w:trPr>
        <w:tc>
          <w:tcPr>
            <w:tcW w:w="4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unfunded pension plan obligation liability</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0"/>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ind w:right="20"/>
        <w:spacing w:after="0" w:line="260" w:lineRule="auto"/>
        <w:rPr>
          <w:sz w:val="20"/>
          <w:szCs w:val="20"/>
          <w:color w:val="auto"/>
        </w:rPr>
      </w:pPr>
      <w:r>
        <w:rPr>
          <w:rFonts w:ascii="Times New Roman" w:cs="Times New Roman" w:eastAsia="Times New Roman" w:hAnsi="Times New Roman"/>
          <w:sz w:val="17"/>
          <w:szCs w:val="17"/>
          <w:b w:val="1"/>
          <w:bCs w:val="1"/>
          <w:color w:val="auto"/>
        </w:rPr>
        <w:t>UNAUDITED CONSOLIDATED STATEMENTS OF CHANGES IN EQUITY FOR THE THREE MONTHS ENDED SEPTEMBER 30, 2024 AND 2023 (Dollars in millions)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3"/>
                <w:szCs w:val="3"/>
                <w:color w:val="auto"/>
              </w:rPr>
            </w:pPr>
          </w:p>
        </w:tc>
        <w:tc>
          <w:tcPr>
            <w:tcW w:w="104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Deficit)</w:t>
            </w:r>
          </w:p>
        </w:tc>
        <w:tc>
          <w:tcPr>
            <w:tcW w:w="1280" w:type="dxa"/>
            <w:vAlign w:val="bottom"/>
            <w:gridSpan w:val="3"/>
            <w:vMerge w:val="restart"/>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Income (Loss),</w:t>
            </w: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220" w:type="dxa"/>
            <w:vAlign w:val="bottom"/>
          </w:tcPr>
          <w:p>
            <w:pPr>
              <w:spacing w:after="0"/>
              <w:rPr>
                <w:sz w:val="14"/>
                <w:szCs w:val="14"/>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Taxes</w:t>
            </w: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7,845,055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7,868,458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9" w:name="page10"/>
    <w:bookmarkEnd w:id="9"/>
    <w:p>
      <w:pPr>
        <w:spacing w:after="0" w:line="166" w:lineRule="exact"/>
        <w:rPr>
          <w:sz w:val="20"/>
          <w:szCs w:val="20"/>
          <w:color w:val="auto"/>
        </w:rPr>
      </w:pPr>
    </w:p>
    <w:p>
      <w:pPr>
        <w:jc w:val="center"/>
        <w:ind w:right="20"/>
        <w:spacing w:after="0" w:line="270"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CHANGES IN EQUITY FOR THE NINE MONTHS ENDED SEPTEMBER 30, 2024 AND 2023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3"/>
                <w:szCs w:val="3"/>
                <w:color w:val="auto"/>
              </w:rPr>
            </w:pPr>
          </w:p>
        </w:tc>
        <w:tc>
          <w:tcPr>
            <w:tcW w:w="104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Deficit)</w:t>
            </w:r>
          </w:p>
        </w:tc>
        <w:tc>
          <w:tcPr>
            <w:tcW w:w="1280" w:type="dxa"/>
            <w:vAlign w:val="bottom"/>
            <w:gridSpan w:val="3"/>
            <w:vMerge w:val="restart"/>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Income (Loss),</w:t>
            </w: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220" w:type="dxa"/>
            <w:vAlign w:val="bottom"/>
          </w:tcPr>
          <w:p>
            <w:pPr>
              <w:spacing w:after="0"/>
              <w:rPr>
                <w:sz w:val="14"/>
                <w:szCs w:val="14"/>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Taxes</w:t>
            </w: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7,684,401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7,868,458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7,526,117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10" w:name="page11"/>
    <w:bookmarkEnd w:id="10"/>
    <w:p>
      <w:pPr>
        <w:jc w:val="center"/>
        <w:ind w:left="1940" w:right="1939"/>
        <w:spacing w:after="0" w:line="273"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CASH FLOWS (Dollars in millions)</w:t>
      </w:r>
    </w:p>
    <w:p>
      <w:pPr>
        <w:sectPr>
          <w:pgSz w:w="11900" w:h="16838" w:orient="portrait"/>
          <w:cols w:equalWidth="0" w:num="1">
            <w:col w:w="9019"/>
          </w:cols>
          <w:pgMar w:left="1440" w:top="352" w:right="1440" w:bottom="1440" w:gutter="0" w:footer="0" w:header="0"/>
        </w:sectPr>
      </w:pPr>
    </w:p>
    <w:bookmarkStart w:id="11" w:name="page12"/>
    <w:bookmarkEnd w:id="11"/>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bad debts (advances and receivables)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indemnification obligations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reverse loans held for investment and HMBS-related borrowings,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(9,830.5)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9,341.8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 in advances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receivables and other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derivatives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 (decrease) in other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w:t>
            </w:r>
          </w:p>
        </w:tc>
      </w:tr>
      <w:tr>
        <w:trPr>
          <w:trHeight w:val="122"/>
        </w:trPr>
        <w:tc>
          <w:tcPr>
            <w:tcW w:w="8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payments received on loans held for 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MSRs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advances in connection with MSR transactions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advances in connection with MSR transactions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real estate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premises and equipment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 from (investment in) equity method investee,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mortgage loan financing facilities,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MSR financing facilities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MSR financing facilities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Senior notes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Sale of MSRs accounted for as secured financing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Excess Servicing Spread (ESS) liability</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other financing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168"/>
        </w:trPr>
        <w:tc>
          <w:tcPr>
            <w:tcW w:w="810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Proceeds from sale of Home Equity Conversion Mortgages (HECM, or reverse mortgages) accounted for as a</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financing (HMBS-related borrowings)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(802.4)</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w:t>
            </w:r>
          </w:p>
        </w:tc>
      </w:tr>
      <w:tr>
        <w:trPr>
          <w:trHeight w:val="122"/>
        </w:trPr>
        <w:tc>
          <w:tcPr>
            <w:tcW w:w="8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8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Recognition (derecognition) of gross right-of-use asset and 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Transfers of loans held for sale to real estate owned (REO)</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155"/>
        </w:trPr>
        <w:tc>
          <w:tcPr>
            <w:tcW w:w="8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Derecognition of MSRs and Other financing liabilities, at fair value: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at fair value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financing liability, at fair value - MSR pledged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bl>
    <w:p>
      <w:pPr>
        <w:spacing w:after="0" w:line="216"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40"/>
          </w:cols>
          <w:pgMar w:left="320" w:top="152" w:right="339" w:bottom="318"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 and unless otherwise indicated)</w:t>
      </w: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Onity Group Inc. (formerly Ocwen Financial Corporation) (Onity, we, us and our) is a non-bank mortgage servicer and originator providing solutions to homeowners, clients, investors and others through its primary operating subsidiary, PHH Mortgage Corporation (PHH, formerly referred to as PMC). PHH is a wholly-owned subsidiary of PHH Corporation, an intermediate holding company and wholly-owned subsidiary of Onity. We are headquartered in West Palm Beach, Florida with offices and operations in the United States (U.S.), the United States Virgin Islands (USVI), India and the Philippines. Onity is a Florida corporation organized in February 1988. On June 10, 2024, Ocwen Financial Corporation changed its name to Onity Group Inc. and continued to be publicly traded on the New York Stock Exchange under the new ticker symbol “ONIT” (formerly “OCN").</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Onity directly or indirectly owns all of the outstanding common stock of its operating subsidiaries, including PHH since its acquisition on October 4, 2018, Ocwen Financial Solutions Private Limited (OFSPL) and Ocwen USVI Services, LLC (OVIS). Onity holds a 15% equity interest in MAV Canopy HoldCo I, LLC (MAV Canopy) that invests in mortgage servicing assets through its licensed mortgage subsidiary MSR Asset Vehicle LLC (MAV).</w:t>
      </w:r>
    </w:p>
    <w:p>
      <w:pPr>
        <w:spacing w:after="0" w:line="6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w:t>
      </w:r>
    </w:p>
    <w:p>
      <w:pPr>
        <w:spacing w:after="0" w:line="7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had a total of approximately 4,300 employees at September 30, 2024 of which approximately 2,900 were located in India and approximately 400 were based in the Philippines. Our operations in India and the Philippines provide support services to our loan servicing and originations businesses and our corporate functions.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2024 are not necessarily indicative of the results that may be expected for any other interim period or for the year ending December 31, 2024. The unaudited consolidated financial statements presented herein should be read in conjunction with the audited consolidated financial statements and related notes thereto included in our Annual Report on Form 10-K for the year ended December 31,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may not add in certain tables due to rounding.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Presentation</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Effective June 30, 2024, in our consolidated balance sheets we now present Contingent loan repurchase asset and Contingent loan repurchase liability as separate line items (previously reported in Other assets and Other liabilities, respectively). In connection with the Ginnie Mae early buyout program, our servicing agreements provide that we have the right, but not the obligation, to repurchase previously transferred mortgage loans under certain conditions, including the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4" w:name="page15"/>
    <w:bookmarkEnd w:id="14"/>
    <w:p>
      <w:pPr>
        <w:spacing w:after="0" w:line="260" w:lineRule="auto"/>
        <w:rPr>
          <w:sz w:val="20"/>
          <w:szCs w:val="20"/>
          <w:color w:val="auto"/>
        </w:rPr>
      </w:pPr>
      <w:r>
        <w:rPr>
          <w:rFonts w:ascii="Times New Roman" w:cs="Times New Roman" w:eastAsia="Times New Roman" w:hAnsi="Times New Roman"/>
          <w:sz w:val="17"/>
          <w:szCs w:val="17"/>
          <w:color w:val="auto"/>
        </w:rPr>
        <w:t>mortgage loans becoming unpaid for more than three consecutive months. Once these conditions are met, we have effectively regained control over the mortgage loans, and under GAAP, must re-recognize the loans on our consolidated balance sheets and establish a corresponding repurchase liability. The separate presentation of such assets and offsetting liabilities on the face of the balance sheet provides increased transparency compared to a presentation within Other assets and Other liabilities. The consolidated balance sheet as of December 31, 2023 has been recast to conform to the current period presentation. This presentation change had no impact on total assets or total liabilities in our consolidated balance sheets, no impact on the consolidated statements of cash flows, nor any other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 (ASC 842) Common Control Arrangements (ASU 2023-01)</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Prior to the issuance of this ASU, ASC 842 required all lessees to amortize leasehold improvements over the shorter of their useful life or the remaining term of the lease. For leases between entities under common control, the amendment in this ASU requires amortization of leasehold improvements over the useful life of those assets to the common control group, regardless of the lease term. When the lessee no longer controls the use of the asset underlying the common control lease, the leasehold improvements are accounted for as a transfer between entities under common control whereby the lessee records a distribution to the common control lessor through an adjustment to equity.</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adoption of this standard on January 1, 2024 did not have a material impact on our unaudited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 - Joint Venture Formations (ASC 805-60): Recognition and Initial Measurement (ASU 2023-05)</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spacing w:after="0" w:line="67" w:lineRule="exact"/>
        <w:rPr>
          <w:sz w:val="20"/>
          <w:szCs w:val="20"/>
          <w:color w:val="auto"/>
        </w:rPr>
      </w:pPr>
    </w:p>
    <w:p>
      <w:pPr>
        <w:ind w:right="160" w:firstLine="155"/>
        <w:spacing w:after="0" w:line="270" w:lineRule="auto"/>
        <w:rPr>
          <w:sz w:val="20"/>
          <w:szCs w:val="20"/>
          <w:color w:val="auto"/>
        </w:rPr>
      </w:pPr>
      <w:r>
        <w:rPr>
          <w:rFonts w:ascii="Times New Roman" w:cs="Times New Roman" w:eastAsia="Times New Roman" w:hAnsi="Times New Roman"/>
          <w:sz w:val="17"/>
          <w:szCs w:val="17"/>
          <w:color w:val="auto"/>
        </w:rPr>
        <w:t>The amendments in this ASU are effective prospectively for all joint venture formations with a formation date on or after January 1, 2025, with early adoption permitted. A joint venture formed prior to the adoption date may elect to apply the new guidance retrospectively back to the original formation date. We do not anticipate that the adoption of this standard will have a material impact on our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 (ASC 280) Improvements to Reportable Segment Disclosures (ASU 2023-07)</w:t>
      </w:r>
    </w:p>
    <w:p>
      <w:pPr>
        <w:spacing w:after="0" w:line="119" w:lineRule="exact"/>
        <w:rPr>
          <w:sz w:val="20"/>
          <w:szCs w:val="20"/>
          <w:color w:val="auto"/>
        </w:rPr>
      </w:pPr>
    </w:p>
    <w:p>
      <w:pPr>
        <w:ind w:right="60" w:firstLine="155"/>
        <w:spacing w:after="0" w:line="260" w:lineRule="auto"/>
        <w:rPr>
          <w:sz w:val="20"/>
          <w:szCs w:val="20"/>
          <w:color w:val="auto"/>
        </w:rPr>
      </w:pPr>
      <w:r>
        <w:rPr>
          <w:rFonts w:ascii="Times New Roman" w:cs="Times New Roman" w:eastAsia="Times New Roman" w:hAnsi="Times New Roman"/>
          <w:sz w:val="17"/>
          <w:szCs w:val="17"/>
          <w:color w:val="auto"/>
        </w:rPr>
        <w:t>The amendments in this ASU were issued to improve annual and interim reportable segment disclosure requirements, primarily through enhanced disclosures about expenses that are significant to the segment, regularly provided to or easily computed from information regularly provided to the chief operating decision maker (CODM), and included in the reported measure of segment profit or loss. This ASU also requires disclosure of the title and position of the individual or the name of the group identified as the CODM in the consolidated financial statements, as well as how the CODM uses each reported measure of segment profit or loss to assess performance and allocate resources to the segment. The ASU allows the disclosure of additional optional measures of a segment’s profit or loss for each reportable segment if used by the CODM, subject to additional segment disclosures and the SEC’s non-GAAP financial measures requirements.</w:t>
      </w:r>
    </w:p>
    <w:p>
      <w:pPr>
        <w:spacing w:after="0" w:line="73" w:lineRule="exact"/>
        <w:rPr>
          <w:sz w:val="20"/>
          <w:szCs w:val="20"/>
          <w:color w:val="auto"/>
        </w:rPr>
      </w:pPr>
    </w:p>
    <w:p>
      <w:pPr>
        <w:ind w:right="300" w:firstLine="155"/>
        <w:spacing w:after="0" w:line="288" w:lineRule="auto"/>
        <w:rPr>
          <w:sz w:val="20"/>
          <w:szCs w:val="20"/>
          <w:color w:val="auto"/>
        </w:rPr>
      </w:pPr>
      <w:r>
        <w:rPr>
          <w:rFonts w:ascii="Times New Roman" w:cs="Times New Roman" w:eastAsia="Times New Roman" w:hAnsi="Times New Roman"/>
          <w:sz w:val="17"/>
          <w:szCs w:val="17"/>
          <w:color w:val="auto"/>
        </w:rPr>
        <w:t>The amended disclosures in this ASU are effective in the 2024 annual period and in 2025 for interim periods, and shall be applied retrospectively to all prior periods presented in the financial statements. Upon transition, the segment expense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ind w:right="460"/>
        <w:spacing w:after="0" w:line="288" w:lineRule="auto"/>
        <w:rPr>
          <w:sz w:val="20"/>
          <w:szCs w:val="20"/>
          <w:color w:val="auto"/>
        </w:rPr>
      </w:pPr>
      <w:r>
        <w:rPr>
          <w:rFonts w:ascii="Times New Roman" w:cs="Times New Roman" w:eastAsia="Times New Roman" w:hAnsi="Times New Roman"/>
          <w:sz w:val="17"/>
          <w:szCs w:val="17"/>
          <w:color w:val="auto"/>
        </w:rPr>
        <w:t>categories and amounts disclosed in the prior periods should be based on the significant segment expense categories identified and disclosed in the period of adoption.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(ASC 740) Improvements to Income Tax Disclosures (ASU 2023-09)</w:t>
      </w:r>
    </w:p>
    <w:p>
      <w:pPr>
        <w:spacing w:after="0" w:line="119" w:lineRule="exact"/>
        <w:rPr>
          <w:sz w:val="20"/>
          <w:szCs w:val="20"/>
          <w:color w:val="auto"/>
        </w:rPr>
      </w:pPr>
    </w:p>
    <w:p>
      <w:pPr>
        <w:ind w:right="40" w:firstLine="155"/>
        <w:spacing w:after="0" w:line="270" w:lineRule="auto"/>
        <w:rPr>
          <w:sz w:val="20"/>
          <w:szCs w:val="20"/>
          <w:color w:val="auto"/>
        </w:rPr>
      </w:pPr>
      <w:r>
        <w:rPr>
          <w:rFonts w:ascii="Times New Roman" w:cs="Times New Roman" w:eastAsia="Times New Roman" w:hAnsi="Times New Roman"/>
          <w:sz w:val="17"/>
          <w:szCs w:val="17"/>
          <w:color w:val="auto"/>
        </w:rPr>
        <w:t>The amendments in this ASU require disaggregated information about a reporting entity’s effective tax rate reconciliation, including a tabular rate reconciliation for specified categories and additional information for reconciling items that meet a quantitative threshold. The ASU also requires additional disaggregated information on income taxes paid to an individual jurisdiction equal to or greater than 5% of total income taxes paid.</w:t>
      </w:r>
    </w:p>
    <w:p>
      <w:pPr>
        <w:spacing w:after="0" w:line="64" w:lineRule="exact"/>
        <w:rPr>
          <w:sz w:val="20"/>
          <w:szCs w:val="20"/>
          <w:color w:val="auto"/>
        </w:rPr>
      </w:pPr>
    </w:p>
    <w:p>
      <w:pPr>
        <w:ind w:right="180" w:firstLine="155"/>
        <w:spacing w:after="0" w:line="288" w:lineRule="auto"/>
        <w:rPr>
          <w:sz w:val="20"/>
          <w:szCs w:val="20"/>
          <w:color w:val="auto"/>
        </w:rPr>
      </w:pPr>
      <w:r>
        <w:rPr>
          <w:rFonts w:ascii="Times New Roman" w:cs="Times New Roman" w:eastAsia="Times New Roman" w:hAnsi="Times New Roman"/>
          <w:sz w:val="17"/>
          <w:szCs w:val="17"/>
          <w:color w:val="auto"/>
        </w:rPr>
        <w:t>The amended disclosures are effective in the 2025 annual period and in 2026 for interim periods, and shall be applied on a prospective basis with the option to apply the standard retrospectively.</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31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and other related assets, (3) financings of advances and (4) MSR financings. Financing transactions that do not use SPEs or VIEs are disclosed in Note 13 – Borrowings.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9,233.9</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 collected (1)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3"/>
        </w:trPr>
        <w:tc>
          <w:tcPr>
            <w:tcW w:w="4840" w:type="dxa"/>
            <w:vAlign w:val="bottom"/>
          </w:tcPr>
          <w:p>
            <w:pPr>
              <w:spacing w:after="0"/>
              <w:rPr>
                <w:sz w:val="18"/>
                <w:szCs w:val="18"/>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4,747.1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9,309.0</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280" w:hanging="317"/>
        <w:spacing w:after="0" w:line="257"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unpaid principal balance (UPB) and certain ancillary fees, all of which are reported in Servicing and subservicing fees in the unaudited consolidated statements of operations.</w:t>
      </w:r>
    </w:p>
    <w:p>
      <w:pPr>
        <w:spacing w:after="0" w:line="80" w:lineRule="exact"/>
        <w:rPr>
          <w:sz w:val="20"/>
          <w:szCs w:val="20"/>
          <w:color w:val="auto"/>
        </w:rPr>
      </w:pPr>
    </w:p>
    <w:p>
      <w:pPr>
        <w:ind w:right="820"/>
        <w:spacing w:after="0" w:line="288" w:lineRule="auto"/>
        <w:rPr>
          <w:sz w:val="20"/>
          <w:szCs w:val="20"/>
          <w:color w:val="auto"/>
        </w:rPr>
      </w:pPr>
      <w:r>
        <w:rPr>
          <w:rFonts w:ascii="Times New Roman" w:cs="Times New Roman" w:eastAsia="Times New Roman" w:hAnsi="Times New Roman"/>
          <w:sz w:val="17"/>
          <w:szCs w:val="17"/>
          <w:color w:val="auto"/>
        </w:rPr>
        <w:t>In connection with these transfers, we retained MSRs of $61.6 million and $163.9 million during the three and nine months ended September 30, 2024, respectively, and $71.4 million and $134.0 million during the three and nine months ended September 30, 2023, respectively.</w:t>
      </w:r>
    </w:p>
    <w:p>
      <w:pPr>
        <w:spacing w:after="0" w:line="4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21 – Contingencies.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UPB of loans transferred (1)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45,658.4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46,810.1</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Maximum exposure to loss (2)</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47,545.6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380" w:hanging="317"/>
        <w:spacing w:after="0" w:line="254"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billion and $10.5 billion of loans delivered to Ginnie Mae as of September 30, 2024 and December 31, 2023, respectively, and includes loan modifications repurchased and delivered through the Ginnie Mae Early Buyout Program (EBO).</w:t>
      </w:r>
    </w:p>
    <w:p>
      <w:pPr>
        <w:spacing w:after="0" w:line="1" w:lineRule="exact"/>
        <w:rPr>
          <w:rFonts w:ascii="Times New Roman" w:cs="Times New Roman" w:eastAsia="Times New Roman" w:hAnsi="Times New Roman"/>
          <w:sz w:val="16"/>
          <w:szCs w:val="16"/>
          <w:color w:val="auto"/>
        </w:rPr>
      </w:pPr>
    </w:p>
    <w:p>
      <w:pPr>
        <w:ind w:left="320" w:right="40" w:hanging="317"/>
        <w:spacing w:after="0" w:line="244"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21 – Contingencies.</w:t>
      </w:r>
    </w:p>
    <w:p>
      <w:pPr>
        <w:spacing w:after="0" w:line="7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At September 30, 2024 and December 31, 2023, 2.8% and 2.8%, respectively, of the transferred residential loans that we service were 60 days or more past due, including 60 days or more past due loans under forbearance. This includes 7.4% and 8.0%, respectively, of loans delivered to Ginnie Mae that are 60 days or more past due.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As the transfers of the HECM loans do not qualify for sale accounting, we account for these transfers as secured financings, with the HECM loans classified as Loans held for investment, at fair value, on our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Receivables and Other Assets using SPEs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consolidate an SPE (trust) in connection with a warehouse mortgage loan financing facility structured as a gestation repurchase facility whereby Agency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loans are transferred by PHH to the trust for collateralization purposes. As of September 30, 2024 and December 31, 2023, $200.0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$150.1 million, respectively, loans held for sale were pledged as collateral for $200.0 million and $150.0 million, respectively, debt certificates issued by the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13 – Borrowings.</w:t>
      </w:r>
    </w:p>
    <w:p>
      <w:pPr>
        <w:spacing w:after="0" w:line="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finance certain reverse mortgage buyouts that are insured by the FHA, including loans held for sale, receivables and REO properties, through private placement securitizations, referred to as OLIT transactions. The securitization trusts issued senior and mezzanine class Notes to third party investors. We retain certain mezzanine class Notes and ownership interests and service the underlying assets. As servicer, we are required to make certain servicing and principal advances that will not be reimbursable to us until all payments of interest and principal have been made to noteholders. We determined we were the primary beneficiary, and thus consolidate the securitization trusts and related depositor. Recourse for the Notes is limited to the assets of the respective securitization trusts. We executed our second and third OLIT securitizations in February 2024 and September 2024, respectively. Also refer to Note 13 – Borrowings.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 w:name="page18"/>
    <w:bookmarkEnd w:id="17"/>
    <w:p>
      <w:pPr>
        <w:ind w:right="240"/>
        <w:spacing w:after="0" w:line="288" w:lineRule="auto"/>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reported on our consolidated balance sheet that are associated with the securitized reverse mortgage loans buyouts and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(Loans held for sale)</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 (Other assets)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Debt service and Interest reserve accounts (Restricted cash)</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8"/>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(Mortgage loan financing facilities, net)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and debt issuance costs (Mortgage loan financing facilities, net)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Accrued interest (Other liabilities)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0"/>
        </w:trPr>
        <w:tc>
          <w:tcPr>
            <w:tcW w:w="8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of Advances using SPEs</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We pledged certain servicing advances as collateral to our advance financing facilities, referred to as advance match funded liabilities, with the use of SPEs that we consolidate and include in our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We consolidate two SPEs (PMC ESR Trusts) in connection with a third-party financing facility secured by certain of PHH’s Fannie Mae and Freddie Mac MSRs (GSE MSRs) and one SPE (PMC PLS ESR Issuer LLC) in connection with our PLS MSR financing facility (Ocwen Excess Spread-Collateralized Notes, Series 2022-PLS1 Class 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GSE MSR financing facility and the PLS Notes facility: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(MSR financing facilities, net)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30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(a) (d) (e)</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3, 2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 (a) (f)</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Advances, net (b)</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Receivables, net (b)</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 (b)</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liabilities,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 (b)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717.6</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 (b)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900.3</w:t>
            </w: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 due 2026 (b)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r>
      <w:tr>
        <w:trPr>
          <w:trHeight w:val="220"/>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Onity Senior secured notes due 2027 (b) (c)</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r>
      <w:tr>
        <w:trPr>
          <w:trHeight w:val="238"/>
        </w:trPr>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Senior notes</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 net</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lock commitments (IRLCs)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derivatives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commitments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155"/>
        </w:trPr>
        <w:tc>
          <w:tcPr>
            <w:tcW w:w="4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2,272.2</w:t>
            </w:r>
          </w:p>
        </w:tc>
      </w:tr>
    </w:tbl>
    <w:p>
      <w:pPr>
        <w:spacing w:after="0" w:line="113"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 in our financial statements.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 in our financial statements.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ind w:left="320" w:right="560" w:hanging="317"/>
        <w:spacing w:after="0" w:line="244"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newly originated portfolio of GSE and forward Ginnie Mae loans held for sale pending securitization with the Agencies is classified as Level 2; all other loans are classified as Level 3.</w:t>
      </w:r>
    </w:p>
    <w:p>
      <w:pPr>
        <w:ind w:left="320" w:right="40" w:hanging="317"/>
        <w:spacing w:after="0" w:line="244" w:lineRule="auto"/>
        <w:tabs>
          <w:tab w:leader="none" w:pos="3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 million and $3.1 million at September 30, 2024 and December 31, 2023, respectively, of Loans held for sale, at lower of cost or fair value (measured at fair value on a non-recurring basis in our financial statements).</w:t>
      </w:r>
    </w:p>
    <w:p>
      <w:pPr>
        <w:ind w:left="320" w:right="60" w:hanging="317"/>
        <w:spacing w:after="0" w:line="238"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 million and $5.6 million at September 30, 2024 and December 31, 2023, respectively, of Loans held for investment - Restricted for securitization investors (non-reverse).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19" w:name="page20"/>
    <w:bookmarkEnd w:id="19"/>
    <w:p>
      <w:pPr>
        <w:ind w:right="140"/>
        <w:spacing w:after="0" w:line="275" w:lineRule="auto"/>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certain Level 3 assets and liabilities that we measure at fair value on a recurring basis (refer to the respective notes for other Level 3 assets and liabilities):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5"/>
                <w:szCs w:val="15"/>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344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additions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2023</w:t>
            </w:r>
          </w:p>
        </w:tc>
        <w:tc>
          <w:tcPr>
            <w:tcW w:w="1840" w:type="dxa"/>
            <w:vAlign w:val="bottom"/>
            <w:vMerge w:val="restart"/>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and other</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Issuances (1)</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Settlements (2)</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(capitalization upon Ginnie Mae modification)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additions (disposition/derecognition)</w:t>
            </w:r>
          </w:p>
        </w:tc>
        <w:tc>
          <w:tcPr>
            <w:tcW w:w="16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1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348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7"/>
                <w:szCs w:val="17"/>
                <w:color w:val="auto"/>
              </w:rPr>
              <w:t>Net additions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2023</w:t>
            </w:r>
          </w:p>
        </w:tc>
        <w:tc>
          <w:tcPr>
            <w:tcW w:w="350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7"/>
                <w:szCs w:val="17"/>
                <w:color w:val="auto"/>
              </w:rPr>
              <w:t>Net additions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right="40" w:hanging="317"/>
        <w:spacing w:after="0" w:line="248" w:lineRule="auto"/>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$1.1 million and $(0.4) million for the three and nine months ended September 30, 2024, respectively, and $(2.6) million and $0.4 million for the three and nine months ended September 30, 2023, respectively. See Note 15 – Derivative Financial Instruments and Hedging Activities.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1" w:name="page22"/>
    <w:bookmarkEnd w:id="21"/>
    <w:p>
      <w:pPr>
        <w:ind w:left="320" w:right="360" w:hanging="317"/>
        <w:spacing w:after="0" w:line="257"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ESS financing liability settlement is determined based on collections on reference pools of the related mortgage loans. ESS financing liabilities are presented within Other financing liabilities, at fair value in our consolidated balance sheets.</w:t>
      </w:r>
    </w:p>
    <w:p>
      <w:pPr>
        <w:spacing w:after="0" w:line="80"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reconciliation from the beginning balances to the ending balances of Loans held for investment and HMBS-related borrowings, MSRs and Pledged MSR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liabilities that we measure at fair value on a recurring basis is disclosed in Note 5 - Reverse Mortgages, Note 7 – Mortgage Servicing and Note 8 — Other Financing Liabilities, at Fair Value, respectively.</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significant unobservable assumptions that we make to estimate the fair value of certain assets and liabilities classified as Level 3 and measured at fair value on a recurring basis are provided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19"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color w:val="auto"/>
        </w:rPr>
        <w:t>The fair value of residential forward and reverse mortgage loans we purchased from Ginnie Mae guaranteed securitizations or from third parties (including government insured reverse buyouts previously purchased from Ginnie Mae guaranteed securitizations) is estimated using both observable and unobservable</w:t>
      </w:r>
    </w:p>
    <w:p>
      <w:pPr>
        <w:spacing w:after="0" w:line="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inputs, including published Ginnie Mae prices or expected collateral values, as well as estimated default, prepayment, and discount rates. Significant unobservable inputs in estimating fair value include the estimated default rate and, for reverse loans the prepayment rate and liquidation timeline. Accordingly, these repurchased Ginnie Mae forward and reverse loans are classified as Level 3 within the valuation hierarchy.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 Reverse Mortgages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Reverse mortgage loans held for investment are carried at fair value and classified as Level 3 within the valuation hierarchy. We measure these loans at fair value based on the expected future cash flows discounted over the expected life of the loans at a rate commensurate with the risk of the estimated cash flows, including future draw commitments for HECM loans. We engage third-party valuation experts in the determination of fair value.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 to 7.9</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 (CPR), including voluntary and involuntary prepayments (a)</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 to 31.7%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 Annualized rate of lifetime projected prepayments as a percentage of the UPB at the beginning of any given period.</w:t>
      </w:r>
    </w:p>
    <w:p>
      <w:pPr>
        <w:spacing w:after="0" w:line="10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client feedback and our actual trade activity,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 w:name="page23"/>
    <w:bookmarkEnd w:id="22"/>
    <w:p>
      <w:pPr>
        <w:ind w:right="80"/>
        <w:spacing w:after="0" w:line="262" w:lineRule="auto"/>
        <w:rPr>
          <w:sz w:val="20"/>
          <w:szCs w:val="20"/>
          <w:color w:val="auto"/>
        </w:rPr>
      </w:pPr>
      <w:r>
        <w:rPr>
          <w:rFonts w:ascii="Times New Roman" w:cs="Times New Roman" w:eastAsia="Times New Roman" w:hAnsi="Times New Roman"/>
          <w:sz w:val="17"/>
          <w:szCs w:val="17"/>
          <w:color w:val="auto"/>
        </w:rPr>
        <w:t>them, we understand the methodologies and assumptions used to develop the prices based on our ongoing due diligence, which includes regular discussions with the valuation experts. We evaluate the reasonableness of our third-party experts’ assumptions using historical experience, or cash flow backtesting, adjusted for prevailing market conditions and benchmarks of assumptions and value estimates.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 market interest rates impact float income. The significant unobservable assumptions used in the valuation of these MSRs include prepayment speeds, delinquency rates, cost to service and discount rates.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32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13"/>
        </w:trPr>
        <w:tc>
          <w:tcPr>
            <w:tcW w:w="45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20"/>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r>
    </w:tbl>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September 30, 2024 given hypothetical increases in lifetime prepayments and yield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prepayment speeds (in percentage points)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prepayment speeds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r>
      <w:tr>
        <w:trPr>
          <w:trHeight w:val="22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discount rate (in percentage points)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discount rate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3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7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 to 7.9</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 to 31.7%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(including MAV) is determined using the fair value mark provided by third-party valuation expert, consistent with the associated MSR, using the same methodology and assumptions, while considering cash flows contractually retained by PHH and expected life of subservicing agreement, when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subservicing life (in years)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these assumptions in isolation would result in a significantly higher or lower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ESS Financing Liability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as provided by third-party valuation expert. At September 30, 2024 and December 31, 2023, the weighted average discount rate of the ESS financing liability was 9.4% and 9.4%, respectively. Refer to MSRs above for a description of other significant unobservable assumptions. Also see Note 8 — Other Financing Liabilities, at Fair Value.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 - Fair Value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Loans held for sale for which we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6106795</wp:posOffset>
            </wp:positionH>
            <wp:positionV relativeFrom="paragraph">
              <wp:posOffset>263525</wp:posOffset>
            </wp:positionV>
            <wp:extent cx="65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 (discount)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Loans held for sale, at fair value by type:</w:t>
            </w: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1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loans</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Government- Forward loans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Forward loans repurchased from Ginnie Mae guaranteed securitization (1)</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Reverse loans (2)</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residential mortgage loans</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r>
      <w:tr>
        <w:trPr>
          <w:trHeight w:val="20"/>
        </w:trPr>
        <w:tc>
          <w:tcPr>
            <w:tcW w:w="8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Ginnie Mae servicing guidelines.</w:t>
      </w:r>
    </w:p>
    <w:p>
      <w:pPr>
        <w:spacing w:after="0" w:line="12" w:lineRule="exact"/>
        <w:rPr>
          <w:rFonts w:ascii="Times New Roman" w:cs="Times New Roman" w:eastAsia="Times New Roman" w:hAnsi="Times New Roman"/>
          <w:sz w:val="16"/>
          <w:szCs w:val="16"/>
          <w:color w:val="auto"/>
        </w:rPr>
      </w:pPr>
    </w:p>
    <w:p>
      <w:pPr>
        <w:ind w:left="320" w:right="60" w:hanging="317"/>
        <w:spacing w:after="0" w:line="247"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government-insured inactive reverse mortgage loans purchased from Ginnie Mae securitization pools that reached the 98% of maximum claim amount and are generally liquidated through foreclosure and subsequent sale of the REO properties. As of September 30, 2024 and December 31, 2023, the balance includes $395.2 million and $119.5 million, respectively, of loans pledged as collateral for the Asset-Backed Notes issued by OLIT. Also see Note 2 – Securitizations and Variable Interest Entities and Note 13 – Borrowings.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activity of Loans held for sale, at fair value: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617.8</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9,830.3</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(9,273.6)</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collections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from (to):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Advances (capitalization upon Ginnie Mae modifications)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gain (loss) on loans held for sale, at fair value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944.7</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retained MSR upon securitization. See below table of gain (loss) on loans held for sale, net.</w:t>
      </w:r>
    </w:p>
    <w:p>
      <w:pPr>
        <w:spacing w:after="0" w:line="200" w:lineRule="exact"/>
        <w:rPr>
          <w:rFonts w:ascii="Times New Roman" w:cs="Times New Roman" w:eastAsia="Times New Roman" w:hAnsi="Times New Roman"/>
          <w:sz w:val="16"/>
          <w:szCs w:val="16"/>
          <w:color w:val="auto"/>
        </w:rPr>
      </w:pPr>
    </w:p>
    <w:p>
      <w:pPr>
        <w:spacing w:after="0" w:line="3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The following table presents the components of Gain (loss) of loans held for sale at fair value, net: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2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sale of mortgage loans (1)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r>
      <w:tr>
        <w:trPr>
          <w:trHeight w:val="22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on sale of repurchased Ginnie Mae loans (1)</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at fair value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 (Pipeline economic hedge)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representation and warranty obligations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4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Realized gain (loss) on sale of loans, excluding retained MSRs.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reverse mortgage loans held for investment for which we elected the fair value option:</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7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7,664.7</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w:t>
            </w:r>
          </w:p>
        </w:tc>
        <w:tc>
          <w:tcPr>
            <w:tcW w:w="0" w:type="dxa"/>
            <w:vAlign w:val="bottom"/>
          </w:tcPr>
          <w:p>
            <w:pPr>
              <w:spacing w:after="0"/>
              <w:rPr>
                <w:sz w:val="1"/>
                <w:szCs w:val="1"/>
                <w:color w:val="auto"/>
              </w:rPr>
            </w:pPr>
          </w:p>
        </w:tc>
      </w:tr>
      <w:tr>
        <w:trPr>
          <w:trHeight w:val="238"/>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reverse mortgage loans held for investment, at fair value by type:</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9"/>
        </w:trPr>
        <w:tc>
          <w:tcPr>
            <w:tcW w:w="810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HECM loans - securitized, pledged to HMBS-related borrowings (1)</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8,214.4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7,868.5</w:t>
            </w:r>
          </w:p>
        </w:tc>
      </w:tr>
      <w:tr>
        <w:trPr>
          <w:trHeight w:val="220"/>
        </w:trPr>
        <w:tc>
          <w:tcPr>
            <w:tcW w:w="8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New HECM loan originations and HECM loan tails (2) - unsecuritized</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right="260" w:hanging="317"/>
        <w:spacing w:after="0" w:line="248"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Ginnie Mae securitization of conventional, HECM loans does not qualify for sale accounting treatment and is accounted for as a secured financing transaction, with the recognition of both loans and HMBS-related borrowing on the consolidated balance sheets.</w:t>
      </w:r>
    </w:p>
    <w:p>
      <w:pPr>
        <w:ind w:left="320" w:hanging="317"/>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Tails include draws on securitized HECM loans, mortgage insurance premium, servicing fee and other advances which we subsequently securitize.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6" w:name="page27"/>
    <w:bookmarkEnd w:id="26"/>
    <w:p>
      <w:pPr>
        <w:ind w:right="20" w:firstLine="155"/>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activity in reverse mortgage loans held for investment and HMBS related borrowings that do not qualify for sale accounting and for which we elected the fair value option: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3"/>
                <w:szCs w:val="13"/>
                <w:color w:val="auto"/>
              </w:rPr>
            </w:pPr>
          </w:p>
        </w:tc>
        <w:tc>
          <w:tcPr>
            <w:tcW w:w="13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spacing w:after="0"/>
              <w:rPr>
                <w:sz w:val="20"/>
                <w:szCs w:val="20"/>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40" w:type="dxa"/>
            <w:vAlign w:val="bottom"/>
          </w:tcPr>
          <w:p>
            <w:pPr>
              <w:spacing w:after="0"/>
              <w:rPr>
                <w:sz w:val="20"/>
                <w:szCs w:val="20"/>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(7,486.4)</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(7,613.6)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3"/>
                <w:szCs w:val="13"/>
                <w:color w:val="auto"/>
              </w:rPr>
            </w:pPr>
          </w:p>
        </w:tc>
        <w:tc>
          <w:tcPr>
            <w:tcW w:w="13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40" w:type="dxa"/>
            <w:vAlign w:val="bottom"/>
          </w:tcPr>
          <w:p>
            <w:pPr>
              <w:spacing w:after="0"/>
              <w:rPr>
                <w:sz w:val="20"/>
                <w:szCs w:val="20"/>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15"/>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(7,326.8)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88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(including realized fair value changes)</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802.4</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(7,613.6)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Securitized loans (pledged to HMBS-related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(7,613.6)</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Unsecuritized loans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further breakdown of the net gain (loss) in the table below. Includes interest accruals.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Reverse Loans Held for Investment and HMBS-</w:t>
            </w:r>
          </w:p>
        </w:tc>
        <w:tc>
          <w:tcPr>
            <w:tcW w:w="180" w:type="dxa"/>
            <w:vAlign w:val="bottom"/>
          </w:tcPr>
          <w:p>
            <w:pPr>
              <w:spacing w:after="0"/>
              <w:rPr>
                <w:sz w:val="17"/>
                <w:szCs w:val="17"/>
                <w:color w:val="auto"/>
              </w:rPr>
            </w:pPr>
          </w:p>
        </w:tc>
        <w:tc>
          <w:tcPr>
            <w:tcW w:w="30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7"/>
                <w:szCs w:val="17"/>
                <w:color w:val="auto"/>
              </w:rPr>
            </w:pPr>
          </w:p>
        </w:tc>
        <w:tc>
          <w:tcPr>
            <w:tcW w:w="2940" w:type="dxa"/>
            <w:vAlign w:val="bottom"/>
            <w:gridSpan w:val="4"/>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33"/>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related Borrowings, Net</w:t>
            </w:r>
          </w:p>
        </w:tc>
        <w:tc>
          <w:tcPr>
            <w:tcW w:w="180" w:type="dxa"/>
            <w:vAlign w:val="bottom"/>
          </w:tcPr>
          <w:p>
            <w:pPr>
              <w:spacing w:after="0"/>
              <w:rPr>
                <w:sz w:val="20"/>
                <w:szCs w:val="20"/>
                <w:color w:val="auto"/>
              </w:rPr>
            </w:pPr>
          </w:p>
        </w:tc>
        <w:tc>
          <w:tcPr>
            <w:tcW w:w="308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new originations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 (2)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Other change in fair value of securitized loans held for investment and</w:t>
            </w: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HMBS-related borrowings, net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Fair value gains (losses) included in earnings (3)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155"/>
        </w:trPr>
        <w:tc>
          <w:tcPr>
            <w:tcW w:w="4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fees and 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Fair value gains (losses) included in earnings;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gains (losses) on Reverse loans held for investment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gains (losses) on HMBS related borrowings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7"/>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loans held for investment in the period from interest rate lock commitment date through securitization date.</w:t>
      </w:r>
    </w:p>
    <w:p>
      <w:pPr>
        <w:spacing w:after="0" w:line="12" w:lineRule="exact"/>
        <w:rPr>
          <w:rFonts w:ascii="Times New Roman" w:cs="Times New Roman" w:eastAsia="Times New Roman" w:hAnsi="Times New Roman"/>
          <w:sz w:val="16"/>
          <w:szCs w:val="16"/>
          <w:color w:val="auto"/>
        </w:rPr>
      </w:pPr>
    </w:p>
    <w:p>
      <w:pPr>
        <w:ind w:left="320" w:right="260" w:hanging="317"/>
        <w:spacing w:after="0" w:line="238"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interest income on loans held for investment less the interest expense on HMBS-related borrowings. The net interest income includes the servicing fee Onity is contractually entitled to on securitized loans.</w:t>
      </w:r>
    </w:p>
    <w:p>
      <w:pPr>
        <w:ind w:left="320" w:hanging="317"/>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below breakdown between Loans held for investment and HMBS-related borrowings.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56"/>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servicing advances by type:</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806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Foreclosures, bankruptcy, REO and other (1)</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w:t>
            </w: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advances, before allowance for losses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net</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40" w:right="240" w:hanging="237"/>
        <w:spacing w:after="0" w:line="257" w:lineRule="auto"/>
        <w:tabs>
          <w:tab w:leader="none" w:pos="3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at September 30, 2024 includes servicing advances of $33.5 million (New York), $9.1 million (Florida), $8.9 million (California), $5.7 million (Pennsylvania) and $5.3 million (New Jersey) based on the underlying property location of the related mortgage loans.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servicing advances by investor:</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7"/>
        </w:trPr>
        <w:tc>
          <w:tcPr>
            <w:tcW w:w="806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Ginnie Mae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net</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4880" w:type="dxa"/>
            <w:vAlign w:val="bottom"/>
          </w:tcPr>
          <w:p>
            <w:pPr>
              <w:spacing w:after="0"/>
              <w:rPr>
                <w:sz w:val="24"/>
                <w:szCs w:val="24"/>
                <w:color w:val="auto"/>
              </w:rPr>
            </w:pPr>
          </w:p>
        </w:tc>
        <w:tc>
          <w:tcPr>
            <w:tcW w:w="322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24"/>
                <w:szCs w:val="24"/>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8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advances in connection with the purchase of MSRs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New advances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480.9</w:t>
            </w:r>
          </w:p>
        </w:tc>
      </w:tr>
      <w:tr>
        <w:trPr>
          <w:trHeight w:val="220"/>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 from (to) Receivables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of advances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Collections of advances and other</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(639.3)</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r>
      <w:tr>
        <w:trPr>
          <w:trHeight w:val="83"/>
        </w:trPr>
        <w:tc>
          <w:tcPr>
            <w:tcW w:w="4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0"/>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charge-offs and 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122"/>
        </w:trPr>
        <w:tc>
          <w:tcPr>
            <w:tcW w:w="4880" w:type="dxa"/>
            <w:vAlign w:val="bottom"/>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w:t>
            </w:r>
          </w:p>
        </w:tc>
      </w:tr>
      <w:tr>
        <w:trPr>
          <w:trHeight w:val="20"/>
        </w:trPr>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91"/>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8"/>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80" w:type="dxa"/>
            <w:vAlign w:val="bottom"/>
            <w:tcBorders>
              <w:bottom w:val="single" w:sz="8" w:color="auto"/>
            </w:tcBorders>
          </w:tcPr>
          <w:p>
            <w:pPr>
              <w:spacing w:after="0"/>
              <w:rPr>
                <w:sz w:val="24"/>
                <w:szCs w:val="24"/>
                <w:color w:val="auto"/>
              </w:rPr>
            </w:pPr>
          </w:p>
        </w:tc>
      </w:tr>
      <w:tr>
        <w:trPr>
          <w:trHeight w:val="381"/>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40" w:type="dxa"/>
            <w:vAlign w:val="bottom"/>
          </w:tcPr>
          <w:p>
            <w:pPr>
              <w:spacing w:after="0"/>
              <w:rPr>
                <w:sz w:val="24"/>
                <w:szCs w:val="24"/>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c>
          <w:tcPr>
            <w:tcW w:w="240" w:type="dxa"/>
            <w:vAlign w:val="bottom"/>
          </w:tcPr>
          <w:p>
            <w:pPr>
              <w:spacing w:after="0"/>
              <w:rPr>
                <w:sz w:val="24"/>
                <w:szCs w:val="24"/>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8"/>
              </w:rPr>
              <w:t>billions)</w:t>
            </w:r>
          </w:p>
        </w:tc>
      </w:tr>
      <w:tr>
        <w:trPr>
          <w:trHeight w:val="213"/>
        </w:trPr>
        <w:tc>
          <w:tcPr>
            <w:tcW w:w="50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Owned MSRs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155"/>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0"/>
        </w:trPr>
        <w:tc>
          <w:tcPr>
            <w:tcW w:w="5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Rithm and others transferred MSRs (1)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0"/>
        </w:trPr>
        <w:tc>
          <w:tcPr>
            <w:tcW w:w="5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MAV transferred MSRs (1)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157"/>
        </w:trPr>
        <w:tc>
          <w:tcPr>
            <w:tcW w:w="50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7"/>
                <w:szCs w:val="17"/>
                <w:color w:val="auto"/>
              </w:rPr>
              <w:t>Total transferred MSR, subject to Pledged MSR liability, at fair value</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593.6</w:t>
            </w:r>
          </w:p>
        </w:tc>
        <w:tc>
          <w:tcPr>
            <w:tcW w:w="7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7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3"/>
        </w:trPr>
        <w:tc>
          <w:tcPr>
            <w:tcW w:w="5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MSRs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MSRs subject to sale agreements that do not meet sale accounting criteria. See Note 8 — Other Financing Liabilities, at Fair Value.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 by investor: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80" w:type="dxa"/>
            <w:vAlign w:val="bottom"/>
            <w:tcBorders>
              <w:bottom w:val="single" w:sz="8" w:color="auto"/>
            </w:tcBorders>
          </w:tcPr>
          <w:p>
            <w:pPr>
              <w:spacing w:after="0"/>
              <w:rPr>
                <w:sz w:val="19"/>
                <w:szCs w:val="19"/>
                <w:color w:val="auto"/>
              </w:rPr>
            </w:pPr>
          </w:p>
        </w:tc>
      </w:tr>
      <w:tr>
        <w:trPr>
          <w:trHeight w:val="381"/>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8"/>
              </w:rPr>
              <w:t>billions)</w:t>
            </w:r>
          </w:p>
        </w:tc>
      </w:tr>
      <w:tr>
        <w:trPr>
          <w:trHeight w:val="213"/>
        </w:trPr>
        <w:tc>
          <w:tcPr>
            <w:tcW w:w="48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GSE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1,702.1</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1,773.9</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r>
      <w:tr>
        <w:trPr>
          <w:trHeight w:val="220"/>
        </w:trPr>
        <w:tc>
          <w:tcPr>
            <w:tcW w:w="4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GNMA</w:t>
            </w: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Non-Agency</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w:t>
            </w: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MSRs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The following table summarizes the delinquency status of the loans underlying our MSRs: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0" w:type="dxa"/>
            <w:vAlign w:val="bottom"/>
            <w:tcBorders>
              <w:bottom w:val="single" w:sz="8" w:color="auto"/>
            </w:tcBorders>
          </w:tcPr>
          <w:p>
            <w:pPr>
              <w:spacing w:after="0"/>
              <w:rPr>
                <w:sz w:val="19"/>
                <w:szCs w:val="19"/>
                <w:color w:val="auto"/>
              </w:rPr>
            </w:pPr>
          </w:p>
        </w:tc>
      </w:tr>
      <w:tr>
        <w:trPr>
          <w:trHeight w:val="213"/>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Delinquent loans</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GSE</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Non - Agency</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GSE</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Non - Agency</w:t>
            </w:r>
          </w:p>
        </w:tc>
        <w:tc>
          <w:tcPr>
            <w:tcW w:w="100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days</w:t>
            </w:r>
          </w:p>
        </w:tc>
        <w:tc>
          <w:tcPr>
            <w:tcW w:w="9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3.7 %</w:t>
            </w: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days</w:t>
            </w:r>
          </w:p>
        </w:tc>
        <w:tc>
          <w:tcPr>
            <w:tcW w:w="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days or more</w:t>
            </w: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30-60-90 days or more</w:t>
            </w: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18.6 %</w:t>
            </w:r>
          </w:p>
        </w:tc>
        <w:tc>
          <w:tcPr>
            <w:tcW w:w="100" w:type="dxa"/>
            <w:vAlign w:val="bottom"/>
          </w:tcPr>
          <w:p>
            <w:pPr>
              <w:spacing w:after="0"/>
              <w:rPr>
                <w:sz w:val="18"/>
                <w:szCs w:val="18"/>
                <w:color w:val="auto"/>
              </w:rPr>
            </w:pP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6.9 %</w:t>
            </w:r>
          </w:p>
        </w:tc>
        <w:tc>
          <w:tcPr>
            <w:tcW w:w="100" w:type="dxa"/>
            <w:vAlign w:val="bottom"/>
          </w:tcPr>
          <w:p>
            <w:pPr>
              <w:spacing w:after="0"/>
              <w:rPr>
                <w:sz w:val="18"/>
                <w:szCs w:val="18"/>
                <w:color w:val="auto"/>
              </w:rPr>
            </w:pP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100" w:type="dxa"/>
            <w:vAlign w:val="bottom"/>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7.5 %</w:t>
            </w:r>
          </w:p>
        </w:tc>
      </w:tr>
      <w:tr>
        <w:trPr>
          <w:trHeight w:val="20"/>
        </w:trPr>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of our MSRs at fair value: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Servicing Rights – At Fair Value</w:t>
            </w: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2,665.2</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on the sale of residential mortgage loans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MSRs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transfers and adjustments (1)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3"/>
        </w:trPr>
        <w:tc>
          <w:tcPr>
            <w:tcW w:w="4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additions (sales)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r>
      <w:tr>
        <w:trPr>
          <w:trHeight w:val="20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recognized in earnings: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valuation inputs or assumptions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Realization of cash flows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w:t>
            </w: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gains (losses) recognized in earnings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135"/>
        </w:trPr>
        <w:tc>
          <w:tcPr>
            <w:tcW w:w="48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right="200" w:hanging="317"/>
        <w:spacing w:after="0" w:line="251"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transfers and adjustments for the nine months ended September 30, 2024 and 2023 include a $85.8 million and a $32.5 million, respectively, derecognition of GSE MSRs previously sold to MAV in a transaction which did not qualify for sale accounting treatment. We derecognized the MSRs with a UPB of $5.5 billion and $2.3 billion, respectively, from our balance sheets together with the associated Pledged MSR liability upon the sale of the MSRs by MAV to a third party. See Note 8 — Other Financing Liabilities, at Fair Value for further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servicing and subservicing fee revenue: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Revenue</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261.4</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 (4)</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MAV Subservicing fee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MAV Servicing fee / Transferred MSR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Rithm and Others Servicing fee / Transferred MSR (1) (3)</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180.9</w:t>
            </w:r>
          </w:p>
        </w:tc>
      </w:tr>
      <w:tr>
        <w:trPr>
          <w:trHeight w:val="213"/>
        </w:trPr>
        <w:tc>
          <w:tcPr>
            <w:tcW w:w="4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r>
      <w:tr>
        <w:trPr>
          <w:trHeight w:val="20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r>
      <w:tr>
        <w:trPr>
          <w:trHeight w:val="220"/>
        </w:trPr>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2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13"/>
        </w:trPr>
        <w:tc>
          <w:tcPr>
            <w:tcW w:w="4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r>
      <w:tr>
        <w:trPr>
          <w:trHeight w:val="213"/>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 and subservicing fees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Owned MSR and Subservicing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w:t>
            </w: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Transferred MSR (1) (2)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r>
    </w:tbl>
    <w:p>
      <w:pPr>
        <w:spacing w:after="0" w:line="117" w:lineRule="exact"/>
        <w:rPr>
          <w:sz w:val="20"/>
          <w:szCs w:val="20"/>
          <w:color w:val="auto"/>
        </w:rPr>
      </w:pPr>
    </w:p>
    <w:p>
      <w:pPr>
        <w:ind w:left="320" w:right="160" w:hanging="317"/>
        <w:spacing w:after="0" w:line="261"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servicing fees collected on behalf of respective parties related to transferred MSRs that do not achieve sale accounting. See Note 8 — Other Financing Liabilities, at Fair Value</w:t>
      </w:r>
      <w:r>
        <w:rPr>
          <w:rFonts w:ascii="Times New Roman" w:cs="Times New Roman" w:eastAsia="Times New Roman" w:hAnsi="Times New Roman"/>
          <w:sz w:val="17"/>
          <w:szCs w:val="17"/>
          <w:b w:val="1"/>
          <w:bCs w:val="1"/>
          <w:color w:val="auto"/>
        </w:rPr>
        <w:t>.</w:t>
      </w:r>
    </w:p>
    <w:p>
      <w:pPr>
        <w:ind w:left="320" w:right="440" w:hanging="317"/>
        <w:spacing w:after="0" w:line="24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$4.4 million and $12.1 million for the three and nine months ended September 30, 2024, respectively, and $5.7 million and $16.1 million </w:t>
      </w:r>
      <w:r>
        <w:rPr>
          <w:rFonts w:ascii="Times New Roman" w:cs="Times New Roman" w:eastAsia="Times New Roman" w:hAnsi="Times New Roman"/>
          <w:sz w:val="17"/>
          <w:szCs w:val="17"/>
          <w:color w:val="auto"/>
        </w:rPr>
        <w:t>for the</w:t>
      </w:r>
      <w:r>
        <w:rPr>
          <w:rFonts w:ascii="Times New Roman" w:cs="Times New Roman" w:eastAsia="Times New Roman" w:hAnsi="Times New Roman"/>
          <w:sz w:val="16"/>
          <w:szCs w:val="16"/>
          <w:color w:val="auto"/>
        </w:rPr>
        <w:t xml:space="preserve"> three and nine months ended September 30, 2023, respectively, of ancillary income associated with transferred MSRs that do not achieve sale accounting.</w:t>
      </w:r>
    </w:p>
    <w:p>
      <w:pPr>
        <w:ind w:left="320" w:right="60" w:hanging="317"/>
        <w:spacing w:after="0" w:line="242"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$42.7 million and $133.6 million of servicing fees in the three and nine months ended September 30, 2023, respectively,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7"/>
          <w:szCs w:val="17"/>
          <w:b w:val="1"/>
          <w:bCs w:val="1"/>
          <w:color w:val="auto"/>
        </w:rPr>
        <w:t>.</w:t>
      </w:r>
    </w:p>
    <w:p>
      <w:pPr>
        <w:spacing w:after="0" w:line="1" w:lineRule="exact"/>
        <w:rPr>
          <w:rFonts w:ascii="Times New Roman" w:cs="Times New Roman" w:eastAsia="Times New Roman" w:hAnsi="Times New Roman"/>
          <w:sz w:val="16"/>
          <w:szCs w:val="16"/>
          <w:color w:val="auto"/>
        </w:rPr>
      </w:pPr>
    </w:p>
    <w:p>
      <w:pPr>
        <w:ind w:left="320" w:right="140" w:hanging="317"/>
        <w:spacing w:after="0" w:line="25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$11.2 million and $34.6 million of subservicing fees in the three and nine months ended September 30, 2024, respectively,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-151130</wp:posOffset>
            </wp:positionV>
            <wp:extent cx="24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consolidated balance sheets. Float balances amounted to $2.43 billion and $1.56 billion at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1" w:name="page32"/>
    <w:bookmarkEnd w:id="31"/>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 — Other Financing Liabilities, at Fair Value</w:t>
      </w:r>
    </w:p>
    <w:p>
      <w:pPr>
        <w:spacing w:after="0" w:line="31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following table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13 – Borrowings for ESS financing liability carried at amortized cost).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20" w:type="dxa"/>
            <w:vAlign w:val="bottom"/>
            <w:tcBorders>
              <w:bottom w:val="single" w:sz="8" w:color="auto"/>
            </w:tcBorders>
          </w:tcPr>
          <w:p>
            <w:pPr>
              <w:spacing w:after="0"/>
              <w:rPr>
                <w:sz w:val="19"/>
                <w:szCs w:val="19"/>
                <w:color w:val="auto"/>
              </w:rPr>
            </w:pPr>
          </w:p>
        </w:tc>
      </w:tr>
      <w:tr>
        <w:trPr>
          <w:trHeight w:val="213"/>
        </w:trPr>
        <w:tc>
          <w:tcPr>
            <w:tcW w:w="5520" w:type="dxa"/>
            <w:vAlign w:val="bottom"/>
          </w:tcPr>
          <w:p>
            <w:pPr>
              <w:ind w:left="21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transfers not qualifying for sale accounting (1):</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20"/>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MAV</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0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w:t>
            </w:r>
          </w:p>
        </w:tc>
      </w:tr>
      <w:tr>
        <w:trPr>
          <w:trHeight w:val="22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Rights to MSRs Agreements, at fair value - Rithm</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20"/>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Others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w:t>
            </w:r>
          </w:p>
        </w:tc>
      </w:tr>
      <w:tr>
        <w:trPr>
          <w:trHeight w:val="21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Pledged MSR liability, at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r>
      <w:tr>
        <w:trPr>
          <w:trHeight w:val="168"/>
        </w:trPr>
        <w:tc>
          <w:tcPr>
            <w:tcW w:w="55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Financing liability - Owed to securitization investors, at fair value: Residential</w:t>
            </w:r>
          </w:p>
        </w:tc>
        <w:tc>
          <w:tcPr>
            <w:tcW w:w="13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Loans held for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3"/>
        </w:trPr>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Asset Securitization Trust 2003-A11 (RAST 2003-A11) (2)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investment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2033</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ESS financing liability, at fair value (3)</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 (3)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Other financing liabilities, at fair value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0"/>
        </w:trPr>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line="246"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transferred, subservicing retained, or sold in transactions which do not qualify for sale accounting treatment are accounted for as secured financings.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Fair value gains and losses of the Pledged MSR liability are recognized in MSR valuation adjustments, net in the consolidated statements of operations - See Note 7 – Mortgage Servicing and Note 9 – MSR Valuation Adjustments, Net.</w:t>
      </w:r>
    </w:p>
    <w:p>
      <w:pPr>
        <w:spacing w:after="0" w:line="3"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are consolidated.</w:t>
      </w:r>
    </w:p>
    <w:p>
      <w:pPr>
        <w:ind w:left="320" w:right="280" w:hanging="317"/>
        <w:spacing w:after="0" w:line="242"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obligation to remit to a third party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$33.4 billion UPB of MSR and Pledged MSR liability associated with Rithm servicing agreements were derecognized on December 31, 2023 as MSR sale accounting criteria were met. Effective January 1, 2024, as PHH continues to subservice the portfolio, the statement of operations reflects subservicing fee revenue as opposed to the gross presentation of servicing fee revenue and separate offsetting presentation of servicing fee remittances within Pledged MSR liability expense prior to January 1,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28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activity of the pledged MSR liability recorded in connection with the MSR transfer agreements with MAV and other unrelated parties, including Rithm, that do not qualify for sale accounting.</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w:t>
            </w:r>
          </w:p>
        </w:tc>
      </w:tr>
      <w:tr>
        <w:trPr>
          <w:trHeight w:val="220"/>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transfers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transfers to MAV</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20"/>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MSR transfers to others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213"/>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MSR transfers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w:t>
            </w:r>
          </w:p>
        </w:tc>
      </w:tr>
      <w:tr>
        <w:trPr>
          <w:trHeight w:val="213"/>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Derecognition of financing liability (2)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 loss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due to inputs and assumptions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r>
      <w:tr>
        <w:trPr>
          <w:trHeight w:val="22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13"/>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fair value (gain) loss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38"/>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hanging="317"/>
        <w:spacing w:after="0" w:line="246"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Pledged MSR liability differs from the fair value of the associated transferred MSR asset mostly due to the portion of ancillary income that is contractually retained by PHH and other contractual cash flows.</w:t>
      </w:r>
    </w:p>
    <w:p>
      <w:pPr>
        <w:ind w:left="320" w:right="200" w:hanging="317"/>
        <w:spacing w:after="0" w:line="253"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2024 and September 30, 2023, we derecognized a portion of the MAV Pledged MSR liability upon sale of the related MSRs by MAV to third parties with a UPB of $5.5 billion and $2.3 billion, respectively.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3" w:name="page34"/>
    <w:bookmarkEnd w:id="33"/>
    <w:p>
      <w:pPr>
        <w:ind w:right="42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Pledged MSR liability expense recorded in connection with the MSR sale agreements with MAV and other unrelated parties (including Rithm) that do not qualify for sale accounting and the ESS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3"/>
                <w:szCs w:val="13"/>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3"/>
                <w:szCs w:val="13"/>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Others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Others (1)</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6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Servicing fees collected on behalf of MAV, Rithm</w:t>
            </w: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others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14.1</w:t>
            </w:r>
          </w:p>
        </w:tc>
        <w:tc>
          <w:tcPr>
            <w:tcW w:w="36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Onity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8"/>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8"/>
              </w:rPr>
              <w:t>(0.6)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3"/>
        </w:trPr>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 MSR net servicing fee remittance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ESS servicing spread remittance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3"/>
        </w:trPr>
        <w:tc>
          <w:tcPr>
            <w:tcW w:w="3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180" w:hanging="317"/>
        <w:spacing w:after="0" w:line="257"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$42.7 million of servicing fees collected on behalf of Rithm, $12.5 million of subservicing fee retained and $30.3 million of net servicing fee remittance in the three months ended September 30, 2023 related to MSRs previously sold to Rithm for which the sale accounting criteria were met effective December 31, 2023.</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4"/>
                <w:szCs w:val="14"/>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Others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Others (1)</w:t>
            </w: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64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Servicing fees collected on behalf of Rithm, MAV</w:t>
            </w: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others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49.9</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Onity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177"/>
        </w:trPr>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3"/>
        </w:trPr>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 MSR net servicing fee remittance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ESS servicing spread remittance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13"/>
        </w:trPr>
        <w:tc>
          <w:tcPr>
            <w:tcW w:w="3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140" w:hanging="317"/>
        <w:spacing w:after="0" w:line="257"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$133.6 million of servicing fees collected on behalf of Rithm, $38.3 million of subservicing fee retained and $95.3 million of net servicing fee remittance in the nine months ended September 30, 2023 related to MSRs previously sold to Rithm for which the sale accounting criteria were met effective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MAV (Related Party) Transactions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its related party MAV, on a bulk and flow basis, for which PHH has been retained as subservicer. While MSR legal title has transferred to MAV, the transactions do not qualify for sale accounting treatment primarily due to the termination restrictions of the subservicing agreement. See Note 11 - Investment in Equity Method Investee and Related Party Transactions. Accordingly, we continue to report the MSR and an associated Pledged MSR liability on our consolidated balance sheet.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Rithm Transactions</w:t>
      </w:r>
    </w:p>
    <w:p>
      <w:pPr>
        <w:spacing w:after="0" w:line="1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Starting in 2012, Onity and PHH entered into agreements to sell MSRs and the related servicing advances to Rithm, and in all cases have been retained by Rithm as subservicer. As of September 30, 2024, all transactions met sale accounting treatment except for the agreement to sell a $9.3 billion MSR portfolio to Rithm, referred to as Rights to MSRs (or RMSR). While most of the economics and risks of the MSR and related advances have contractually transferred to Rithm, the MSR legal title was retained by Onity and the third-party consents required for title transfer were not obtained, causing the transactions to be accounted for as secured financings. Accordingly, we continue to report the $116.8 million MSR and an associated Pledged MSR liability on our consolidated balance sheet.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Prior to December 31, 2023, while MSR legal title had transferred to Rithm, other MSR sale transactions with a UPB of $33.4 billion did not qualify for sale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treatment, primarily due to the length of the non-cancellable term of the subservicing agreements. On December 31, 2023, we derecognized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$421.7 million non-Agency MSRs and Pledged MSR liability associated with Rithm servicing agreements with a UPB of $33.4 billion for which MSR 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criteria was met. Specifically, with the amendments described below, starting on December 31, 2023, the parties have the right to cancel or decline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 the servicing agreements within a reasonable period of time.</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May 2, 2022, Onity entered into amendments to its servicing agreements (consisting of two subservicing agreements and the RMSR agreement) with Rithm to extend their terms to December 31, 2023 and provide for subsequent, automatic one-year renewals, unless Onity provides six months’ advance notice of termination (by July 1), or Rithm provides three months’ advance notice of termination (by October 1), among other changes. Onity and Rithm did not provide notice of termination by July 1, 2024 and October 1, 2024, respectively, with respect to any of these agreements.</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Onity and Rithm agreed to extend Rithm’s termination rights with respect to its subservicing agreements from October 1, 2024 through November 15, 2024. In addition, Onity and Rithm agreed to extend the current terms of the $32.9 billion of subservicing agreements with Rithm through February 1, 2025, with subsequent, automatic one-year renewals if notice of termination is not provided by July 1, 2025 or October 1, 2025 by Onity and Rithm, respectively.</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Rithm’s termination rights with respect to the RMSR agreement were not extended; accordingly, as Rithm did not give notice of termination by October 1, 2024, the RMSR agreement will continue for an additional one-year term ending December 31, 2025. Rithm has the right to terminate the $9.3 billion RMSR agreements for convenience, in whole but not in part, subject to complying with the requirements to give notice of non-renewal as described above. If Rithm exercises this termination right, Rithm has the option of seeking (i) the transfer of the MSRs through a sale to a third party of its Rights to MSRs (together with a transfer of Onity’s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RMSR Agreements would be transferred to up to three subservicers who would subservice under Onity’s oversight. If such a subservicing arrangement were established, Onity would receive an oversight fee and reimbursement of expenses. We may also agree on alternative arrangements that are not contemplated under our existing agreements or that are variations of those contemplated under our existing agreements.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MSR Capital Partner Transactions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different unrelated third parties, referred to as MSR capital partners, on a bulk and flow basis, for which PHH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MSR Valuation Adjustments, Net</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table below presents the components of MSR valuation adjustments, net, that include four MSR related instruments which we account for at fair value with changes in fair value recorded in earnings:</w:t>
      </w:r>
    </w:p>
    <w:p>
      <w:pPr>
        <w:spacing w:after="0" w:line="48" w:lineRule="exact"/>
        <w:rPr>
          <w:sz w:val="20"/>
          <w:szCs w:val="20"/>
          <w:color w:val="auto"/>
        </w:rPr>
      </w:pPr>
    </w:p>
    <w:p>
      <w:pPr>
        <w:ind w:left="700" w:right="100" w:hanging="231"/>
        <w:spacing w:after="0" w:line="270" w:lineRule="auto"/>
        <w:tabs>
          <w:tab w:leader="none" w:pos="67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total MSR portfolio (Total MSRs) recorded on our consolidated balance sheets ($2,223.6 million fair value asset at September 30, 2024). Total MSRs include owned MSRs and MSRs that have been sold or transferred to third parties in transactions that do not achieve sale accounting criteria. Owned MSRs include MSRs subject to ESS financing transactions;</w:t>
      </w:r>
    </w:p>
    <w:p>
      <w:pPr>
        <w:spacing w:after="0" w:line="63" w:lineRule="exact"/>
        <w:rPr>
          <w:rFonts w:ascii="Times New Roman" w:cs="Times New Roman" w:eastAsia="Times New Roman" w:hAnsi="Times New Roman"/>
          <w:sz w:val="17"/>
          <w:szCs w:val="17"/>
          <w:color w:val="auto"/>
        </w:rPr>
      </w:pPr>
    </w:p>
    <w:p>
      <w:pPr>
        <w:ind w:left="700" w:right="200" w:hanging="231"/>
        <w:spacing w:after="0" w:line="288" w:lineRule="auto"/>
        <w:tabs>
          <w:tab w:leader="none" w:pos="72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Pledged MSR liabilities recorded as liabilities on our consolidated balance sheets when MSR sale accounting criteria are not achieved ($577.7 million fair value liability at September 30, 2024);</w:t>
      </w:r>
    </w:p>
    <w:p>
      <w:pPr>
        <w:spacing w:after="0" w:line="47" w:lineRule="exact"/>
        <w:rPr>
          <w:rFonts w:ascii="Times New Roman" w:cs="Times New Roman" w:eastAsia="Times New Roman" w:hAnsi="Times New Roman"/>
          <w:sz w:val="17"/>
          <w:szCs w:val="17"/>
          <w:color w:val="auto"/>
        </w:rPr>
      </w:pPr>
    </w:p>
    <w:p>
      <w:pPr>
        <w:ind w:left="700" w:right="280" w:hanging="231"/>
        <w:spacing w:after="0" w:line="288" w:lineRule="auto"/>
        <w:tabs>
          <w:tab w:leader="none" w:pos="76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ESS financing liabilities for which we elected the fair value option ($243.3 million fair value liability at September 30, 2024); and</w:t>
      </w:r>
    </w:p>
    <w:p>
      <w:pPr>
        <w:spacing w:after="0" w:line="47" w:lineRule="exact"/>
        <w:rPr>
          <w:rFonts w:ascii="Times New Roman" w:cs="Times New Roman" w:eastAsia="Times New Roman" w:hAnsi="Times New Roman"/>
          <w:sz w:val="17"/>
          <w:szCs w:val="17"/>
          <w:color w:val="auto"/>
        </w:rPr>
      </w:pPr>
    </w:p>
    <w:p>
      <w:pPr>
        <w:ind w:left="760" w:hanging="291"/>
        <w:spacing w:after="0"/>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derivative instruments economically hedging the MSR exposure.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322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8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(1)</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liabilities (2) (3)</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financing liabilities (2)</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155"/>
        </w:trPr>
        <w:tc>
          <w:tcPr>
            <w:tcW w:w="4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fair value gain (loss) (MSR economic hedges) (4)</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r>
      <w:tr>
        <w:trPr>
          <w:trHeight w:val="142"/>
        </w:trPr>
        <w:tc>
          <w:tcPr>
            <w:tcW w:w="48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238"/>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7 – Mortgage Servicing.</w:t>
      </w:r>
    </w:p>
    <w:p>
      <w:pPr>
        <w:spacing w:after="0" w:line="12" w:lineRule="exact"/>
        <w:rPr>
          <w:rFonts w:ascii="Times New Roman" w:cs="Times New Roman" w:eastAsia="Times New Roman" w:hAnsi="Times New Roman"/>
          <w:sz w:val="16"/>
          <w:szCs w:val="16"/>
          <w:color w:val="auto"/>
        </w:rPr>
      </w:pPr>
    </w:p>
    <w:p>
      <w:pPr>
        <w:ind w:left="320" w:right="40" w:hanging="317"/>
        <w:spacing w:after="0" w:line="238"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8 — Other Financing Liabilities, at Fair Value for additional information related to the ESS financing liability and Pledged MSR liability, including a tabular presentation of activity of the Pledged MSR liability for the reported years.</w:t>
      </w: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transfers that do not achieve sale accounting.</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15 – Derivative Financial Instruments and Hedging Activities.</w:t>
      </w:r>
    </w:p>
    <w:p>
      <w:pPr>
        <w:spacing w:after="0" w:line="9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MSR valuation adjustments, net exclude fair value changes of reverse mortgage loans net of HMBS related-borrowings which are included in our economic MSR interest rate risk hedge strategy (refer to Note 15 – Derivative Financial Instruments and Hedging Activities), and are separately presented as Gain on reverse loans held for investment and HMBS-related borrowings, net within our consolidated statement of operations (refer to Note 5 - Reverse Mortgages).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10 – Receivables</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29"/>
        </w:trPr>
        <w:tc>
          <w:tcPr>
            <w:tcW w:w="810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reimbursable expenses and other - Due from MAV</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3"/>
        </w:trPr>
        <w:tc>
          <w:tcPr>
            <w:tcW w:w="8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 (1)</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8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3"/>
        </w:trPr>
        <w:tc>
          <w:tcPr>
            <w:tcW w:w="8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0"/>
        </w:trPr>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20" w:hanging="317"/>
        <w:spacing w:after="0" w:line="245"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$26.3 million and $25.2 million at September 30, 2024 and December 31, 2023, respectively,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nor any subsequent payments pursuant to the agreement. On February 8, 2024, we filed a lawsuit against the USVI for the refund of income taxes paid in prior years and for the USVI’s breach of the above-referenced agreement; the USVI is defending against such claims and contesting that such refunds are owed.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34.3</w:t>
            </w:r>
          </w:p>
        </w:tc>
      </w:tr>
      <w:tr>
        <w:trPr>
          <w:trHeight w:val="22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left="814"/>
              <w:spacing w:after="0"/>
              <w:rPr>
                <w:sz w:val="20"/>
                <w:szCs w:val="20"/>
                <w:color w:val="auto"/>
              </w:rPr>
            </w:pPr>
            <w:r>
              <w:rPr>
                <w:rFonts w:ascii="Times New Roman" w:cs="Times New Roman" w:eastAsia="Times New Roman" w:hAnsi="Times New Roman"/>
                <w:sz w:val="17"/>
                <w:szCs w:val="17"/>
                <w:color w:val="auto"/>
                <w:w w:val="93"/>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13.4</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Charge-offs and 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(19.3)</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7"/>
                <w:szCs w:val="17"/>
                <w:color w:val="auto"/>
              </w:rPr>
              <w:t>28.4</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1"/>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9"/>
        </w:trPr>
        <w:tc>
          <w:tcPr>
            <w:tcW w:w="4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ind w:right="120"/>
        <w:spacing w:after="0" w:line="288" w:lineRule="auto"/>
        <w:rPr>
          <w:sz w:val="20"/>
          <w:szCs w:val="20"/>
          <w:color w:val="auto"/>
        </w:rPr>
      </w:pPr>
      <w:r>
        <w:rPr>
          <w:rFonts w:ascii="Times New Roman" w:cs="Times New Roman" w:eastAsia="Times New Roman" w:hAnsi="Times New Roman"/>
          <w:sz w:val="17"/>
          <w:szCs w:val="17"/>
          <w:color w:val="auto"/>
        </w:rPr>
        <w:t>At September 30, 2024 and December 31, 2023, the allowance for losses related to FHA-, VA- or USDA insured loans repurchased from Ginnie Mae guaranteed securitizations (government-insured claims) was $19.1 million and $24.6 million, respectively.</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11 - Investment in Equity Method Investee and Related Party Transactions</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account for our 15% investment in MAV Canopy under the equity method. Under the Amended &amp; Restated Limited Liability Company Agreement with MAV Canopy, Onity is entitled to receive its 15% percentage interest share of MAV Canopy’s earnings, subject to certain adjustments. In addition, upon MAV Canopy liquidation or upon determination of the MAV Canopy Board of Directors to make advance distributions, Onity is entitled to receive a specified portion of the distribution amount available (Promote Distribution), after satisfaction of required distribution thresholds, including a specified internal rate of return threshold on the Oaktree Capital Management L.P. and its affiliates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September 30, 2024, Onity has not recognized any such Promote Distribution income. See the Transaction Agreement discussed below and Note 22 – Subsequent Events.</w:t>
      </w:r>
    </w:p>
    <w:p>
      <w:pPr>
        <w:spacing w:after="0" w:line="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PHH entered into a Subservicing Agreement with MAV for exclusive rights to service the mortgage loans underlying MSRs owned by MAV. The Subservicing Agreement will continue until terminated by mutual agreement of the parties or for cause, as defined. MAV is permitted to sell the underlying MSR, in whole or in part, without Onity’s consent after May 3, 2024. See the Transaction Agreement discussed below and Note 22 – Subsequent Events.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of September 30, 2024, PHH subserviced a total of $41.9 billion UPB on behalf of MAV under the Subservicing Agreement, of which $21.9 billion of MSRs were previously sold by PHH to MAV and do not qualify for sale accounting and thus remain reported on the consolidated balance sheet of PHH, with a fair value of $337.4 million MSR and $327.5 million Pledged MSR liability - see Note 8 — Other Financing Liabilities, at Fair Value. The fair value of the Pledged MSR liability is determined using the fair value mark provided by third-party valuation experts, consistent with the associated MSR, using the same methodology and assumptions, while considering cash flows contractually retained by PHH during the expected life of the Subservicing Agreement. We are exposed to a risk of loss of this net $9.9 million asset value if, and to the extent that MAV sells the $21.9 billion MSR portfolio, in whole or in part at a faster pace than anticipated or if prepayments exceeds expectations, among other factors.</w:t>
      </w:r>
    </w:p>
    <w:p>
      <w:pPr>
        <w:spacing w:after="0" w:line="7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MAV Canopy, MAV and Oaktree are deemed related parties to Onity. In addition to the transactions described above and our 15% equity investment in MAV Canopy, Onity issued common stock, warrants and senior secured notes to Oaktree in 2021. See also Note 13 – Borrowings and Note 16 – Interest Expense.</w:t>
      </w:r>
    </w:p>
    <w:p>
      <w:pPr>
        <w:spacing w:after="0" w:line="4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On September 30, 2024, Onity entered into a definitive Transaction Agreement with Oaktree, MAV Canopy and MAV, that provides a framework pursuant to which the parties intend to consummate a series of transactions as follows:</w:t>
      </w:r>
    </w:p>
    <w:p>
      <w:pPr>
        <w:spacing w:after="0" w:line="31" w:lineRule="exact"/>
        <w:rPr>
          <w:sz w:val="20"/>
          <w:szCs w:val="20"/>
          <w:color w:val="auto"/>
        </w:rPr>
      </w:pPr>
    </w:p>
    <w:p>
      <w:pPr>
        <w:ind w:left="620" w:right="80" w:hanging="307"/>
        <w:spacing w:after="0" w:line="242"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Redemption Agreement and MAV Sale - </w:t>
      </w:r>
      <w:r>
        <w:rPr>
          <w:rFonts w:ascii="Times New Roman" w:cs="Times New Roman" w:eastAsia="Times New Roman" w:hAnsi="Times New Roman"/>
          <w:sz w:val="17"/>
          <w:szCs w:val="17"/>
          <w:color w:val="auto"/>
        </w:rPr>
        <w:t>Onity will sell its 15% ownership interest in MAV Canopy, including its right to the Promote Distribution (MAV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for a cash payment of 15% of the adjusted book value of MAV Canopy upon closing, plus $15 million, subject to certain adjustments. The MAV sale is conditioned upon the completion of a debt financing transaction by Onity, with certain criteria (Debt Financing), to redeem all of the outstanding PMC Senior Secured Notes due 2026 and, the Onity Senior Secured Notes to the extent of any remaining proceeds. Oaktree also agreed to participate as an anchor investor in the Debt Financing at different levels depending upon its size and pricing. Closing of the MAV sale is also subject to the receipt of necessary regulatory consents and approvals, and other customary closing conditions.</w:t>
      </w:r>
    </w:p>
    <w:p>
      <w:pPr>
        <w:spacing w:after="0" w:line="83" w:lineRule="exact"/>
        <w:rPr>
          <w:rFonts w:ascii="Times New Roman" w:cs="Times New Roman" w:eastAsia="Times New Roman" w:hAnsi="Times New Roman"/>
          <w:sz w:val="17"/>
          <w:szCs w:val="17"/>
          <w:color w:val="auto"/>
        </w:rPr>
      </w:pPr>
    </w:p>
    <w:p>
      <w:pPr>
        <w:ind w:left="620" w:right="40" w:hanging="307"/>
        <w:spacing w:after="0" w:line="26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to Subservicing Agreement - </w:t>
      </w:r>
      <w:r>
        <w:rPr>
          <w:rFonts w:ascii="Times New Roman" w:cs="Times New Roman" w:eastAsia="Times New Roman" w:hAnsi="Times New Roman"/>
          <w:sz w:val="17"/>
          <w:szCs w:val="17"/>
          <w:color w:val="auto"/>
        </w:rPr>
        <w:t>Upon closing of the MAV sale, PHH and MAV will amend their current subservicing agreement,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PHH will have the right to be the exclusive subservicer for an initial term of five years subject to certain extensions of all MSRs that MAV currently owns, which had a UPB of $41.9 billion as of September 30, 2024, for all future MSRs that MAV acquires from PHH, and for the majority of MAV’s MSR portfolio overall, as defined. PHH will have an obligation to provide MAV with a right of first offer for any GSE MSRs that PHH desires to sell that meet certain criteria.</w:t>
      </w:r>
    </w:p>
    <w:p>
      <w:pPr>
        <w:spacing w:after="0" w:line="65" w:lineRule="exact"/>
        <w:rPr>
          <w:rFonts w:ascii="Times New Roman" w:cs="Times New Roman" w:eastAsia="Times New Roman" w:hAnsi="Times New Roman"/>
          <w:sz w:val="17"/>
          <w:szCs w:val="17"/>
          <w:color w:val="auto"/>
        </w:rPr>
      </w:pPr>
    </w:p>
    <w:p>
      <w:pPr>
        <w:ind w:left="620" w:right="20" w:hanging="307"/>
        <w:spacing w:after="0" w:line="27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MSR Sale Lockout Period - </w:t>
      </w:r>
      <w:r>
        <w:rPr>
          <w:rFonts w:ascii="Times New Roman" w:cs="Times New Roman" w:eastAsia="Times New Roman" w:hAnsi="Times New Roman"/>
          <w:sz w:val="17"/>
          <w:szCs w:val="17"/>
          <w:color w:val="auto"/>
        </w:rPr>
        <w:t>Upon closing of the MAV sale, the Transaction Agreement provides for a six-month lockout during which MAV shall not sell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otherwise transfer any MSRs owned by MAV at the effective date without the prior consent of PHH. Following this initial six-month period, this lockout restriction is subject to reduction in 25% increments through September 30, 2027. MAV may freely sell or transfer any MSRs thereafter.</w:t>
      </w:r>
    </w:p>
    <w:p>
      <w:pPr>
        <w:spacing w:after="0" w:line="56" w:lineRule="exact"/>
        <w:rPr>
          <w:rFonts w:ascii="Times New Roman" w:cs="Times New Roman" w:eastAsia="Times New Roman" w:hAnsi="Times New Roman"/>
          <w:sz w:val="17"/>
          <w:szCs w:val="17"/>
          <w:color w:val="auto"/>
        </w:rPr>
      </w:pPr>
    </w:p>
    <w:p>
      <w:pPr>
        <w:ind w:left="620" w:right="40" w:hanging="307"/>
        <w:spacing w:after="0" w:line="29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Warrant Amendments - </w:t>
      </w:r>
      <w:r>
        <w:rPr>
          <w:rFonts w:ascii="Times New Roman" w:cs="Times New Roman" w:eastAsia="Times New Roman" w:hAnsi="Times New Roman"/>
          <w:sz w:val="17"/>
          <w:szCs w:val="17"/>
          <w:color w:val="auto"/>
        </w:rPr>
        <w:t>Upon the pricing of the Debt Financing, the warrants were amended to provide that upon their exercise Oaktree can elect the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option only with the consent of Onity and, without the consent of Onity,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37" w:name="page38"/>
    <w:bookmarkEnd w:id="37"/>
    <w:p>
      <w:pPr>
        <w:ind w:left="620" w:right="80"/>
        <w:spacing w:after="0" w:line="288" w:lineRule="auto"/>
        <w:rPr>
          <w:sz w:val="20"/>
          <w:szCs w:val="20"/>
          <w:color w:val="auto"/>
        </w:rPr>
      </w:pPr>
      <w:r>
        <w:rPr>
          <w:rFonts w:ascii="Times New Roman" w:cs="Times New Roman" w:eastAsia="Times New Roman" w:hAnsi="Times New Roman"/>
          <w:sz w:val="17"/>
          <w:szCs w:val="17"/>
          <w:color w:val="auto"/>
        </w:rPr>
        <w:t>the exercise price can only be paid via the net share settlement option. Currently, Oaktree has the option to pay the exercise price either in cash or via net share settlement.</w:t>
      </w:r>
    </w:p>
    <w:p>
      <w:pPr>
        <w:spacing w:after="0" w:line="44" w:lineRule="exact"/>
        <w:rPr>
          <w:sz w:val="20"/>
          <w:szCs w:val="20"/>
          <w:color w:val="auto"/>
        </w:rPr>
      </w:pPr>
    </w:p>
    <w:p>
      <w:pPr>
        <w:ind w:left="620" w:right="20" w:hanging="307"/>
        <w:spacing w:after="0" w:line="26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Note Purchase Agreement (NPA) Amendment; Oaktree Parties’ Participation in a Debt Financing - </w:t>
      </w:r>
      <w:r>
        <w:rPr>
          <w:rFonts w:ascii="Times New Roman" w:cs="Times New Roman" w:eastAsia="Times New Roman" w:hAnsi="Times New Roman"/>
          <w:sz w:val="17"/>
          <w:szCs w:val="17"/>
          <w:color w:val="auto"/>
        </w:rPr>
        <w:t>The Onity Senior Secured Notes agreement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to (i) permit a Debt Financing by Onity, (ii) waive the make-whole premium, which is currently due in connection with any optional redemption of the Onity Senior Secured Notes on or prior to March 4, 2026, in connection with the redemptions described in this paragraph and (iii) require Onity to redeem the Onity Senior Secured Notes with the cash proceeds from the following transactions at reduced redemption prices.</w:t>
      </w:r>
    </w:p>
    <w:p>
      <w:pPr>
        <w:spacing w:after="0" w:line="67" w:lineRule="exact"/>
        <w:rPr>
          <w:rFonts w:ascii="Times New Roman" w:cs="Times New Roman" w:eastAsia="Times New Roman" w:hAnsi="Times New Roman"/>
          <w:sz w:val="17"/>
          <w:szCs w:val="17"/>
          <w:color w:val="auto"/>
        </w:rPr>
      </w:pPr>
    </w:p>
    <w:p>
      <w:pPr>
        <w:ind w:left="1240" w:right="680" w:hanging="306"/>
        <w:spacing w:after="0" w:line="288" w:lineRule="auto"/>
        <w:tabs>
          <w:tab w:leader="none" w:pos="123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Onity is required to redeem a principal amount of Onity Senior Secured Notes equal to the cash proceeds from the MAV Sale at a redemption price equal to 100% of the principal amount of Onity Senior Secured Notes so redeemed plus accrued interest.</w:t>
      </w:r>
    </w:p>
    <w:p>
      <w:pPr>
        <w:spacing w:after="0" w:line="47" w:lineRule="exact"/>
        <w:rPr>
          <w:rFonts w:ascii="Times New Roman" w:cs="Times New Roman" w:eastAsia="Times New Roman" w:hAnsi="Times New Roman"/>
          <w:sz w:val="17"/>
          <w:szCs w:val="17"/>
          <w:color w:val="auto"/>
        </w:rPr>
      </w:pPr>
    </w:p>
    <w:p>
      <w:pPr>
        <w:ind w:left="1240" w:hanging="306"/>
        <w:spacing w:after="0" w:line="262" w:lineRule="auto"/>
        <w:tabs>
          <w:tab w:leader="none" w:pos="123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Onity is required to redeem a principal amount of Onity Senior Secured Notes equal to (x) any remaining net proceeds from a Debt Financing, after repurchasing, redeeming or defeasing the PMC Notes in full, (y) the cash proceeds from the MAM Asset Acquisition and the proceeds from any debt financing secured with the assets acquired in the MAM Asset Acquisition, and (z) the net cash proceeds from the reverse mortgage asset OLIT securitization completed in September 2024 (see Note 13 – Borrowings, footnote 13), in each case, at a redemption price equal to 102.5% of the principal amount of Onity Senior Secured Notes so redeemed plus accrued interest.</w:t>
      </w:r>
    </w:p>
    <w:p>
      <w:pPr>
        <w:spacing w:after="0" w:line="70" w:lineRule="exact"/>
        <w:rPr>
          <w:rFonts w:ascii="Times New Roman" w:cs="Times New Roman" w:eastAsia="Times New Roman" w:hAnsi="Times New Roman"/>
          <w:sz w:val="17"/>
          <w:szCs w:val="17"/>
          <w:color w:val="auto"/>
        </w:rPr>
      </w:pPr>
    </w:p>
    <w:p>
      <w:pPr>
        <w:ind w:left="1240" w:right="80" w:hanging="306"/>
        <w:spacing w:after="0" w:line="288" w:lineRule="auto"/>
        <w:tabs>
          <w:tab w:leader="none" w:pos="123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Finally, Onity has the option to redeem up to an additional $50.0 million principal amount of Onity Senior Secured Notes prior to December 31, 2024 at a redemption price equal to 102.5% of the principal amount of Onity Senior Secured Notes so redeemed plus accrued interest.</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effectiveness of the amendments in the NPA Amendment is subject to the pricing of a Debt Financing .</w:t>
      </w:r>
    </w:p>
    <w:p>
      <w:pPr>
        <w:spacing w:after="0" w:line="115" w:lineRule="exact"/>
        <w:rPr>
          <w:sz w:val="20"/>
          <w:szCs w:val="20"/>
          <w:color w:val="auto"/>
        </w:rPr>
      </w:pPr>
    </w:p>
    <w:p>
      <w:pPr>
        <w:ind w:left="620" w:right="20"/>
        <w:spacing w:after="0" w:line="265" w:lineRule="auto"/>
        <w:rPr>
          <w:sz w:val="20"/>
          <w:szCs w:val="20"/>
          <w:color w:val="auto"/>
        </w:rPr>
      </w:pPr>
      <w:r>
        <w:rPr>
          <w:rFonts w:ascii="Times New Roman" w:cs="Times New Roman" w:eastAsia="Times New Roman" w:hAnsi="Times New Roman"/>
          <w:sz w:val="17"/>
          <w:szCs w:val="17"/>
          <w:color w:val="auto"/>
        </w:rPr>
        <w:t>In return for Oaktree agreeing to undertake the MAV sale, participate as an anchor investor in a Debt Financing, amend the Onity Senior Secured Notes NPA to permit a Debt Financing and amend the terms of the redemption provisions of the Oaktree Notes to waive the make-whole premium and make the other changes described above, Onity has agreed to pay Oaktree a transaction fee that is dependent on the size and pricing of the financing (See Note 22 – Subsequent Events).</w:t>
      </w:r>
    </w:p>
    <w:p>
      <w:pPr>
        <w:spacing w:after="0" w:line="63" w:lineRule="exact"/>
        <w:rPr>
          <w:sz w:val="20"/>
          <w:szCs w:val="20"/>
          <w:color w:val="auto"/>
        </w:rPr>
      </w:pPr>
    </w:p>
    <w:p>
      <w:pPr>
        <w:ind w:left="620" w:right="120" w:hanging="307"/>
        <w:spacing w:after="0" w:line="261" w:lineRule="auto"/>
        <w:tabs>
          <w:tab w:leader="none" w:pos="616"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Termination - </w:t>
      </w:r>
      <w:r>
        <w:rPr>
          <w:rFonts w:ascii="Times New Roman" w:cs="Times New Roman" w:eastAsia="Times New Roman" w:hAnsi="Times New Roman"/>
          <w:sz w:val="17"/>
          <w:szCs w:val="17"/>
          <w:color w:val="auto"/>
        </w:rPr>
        <w:t>The Transaction Agreement may be terminated prior to the consummation of the MAV Sale (i) by mutual agreement of the parties, (ii)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either party, if any governmental approval has been denied or if any governmental authority has enjoined or otherwise prohibited the consummation of the MAV Sale, (iii) subject to certain conditions and cure periods, by either party, upon the breach of the representations, warranties or covenants by the other party or (iv) by either party, subject to certain limitations, if the closing of the MAV Sale has not occurred on or before February 1, 2025 (the Outside Date), or thirty (30) days after the Outside Date, if, as of five (5) business days prior to the Outside Date, all conditions, other than the obtaining of any required regulatory consent and approvals, have been satisfied or are reasonably capable of being satisfied on or prior to the Outside Date.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Note 12 – Other Assets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810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(including prepaid lender fees)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representation, warranty and indemnification claims - Agency MSR sale</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 (net of accumulated amortization of $12.4 million and $10.1 million)</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 net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margin deposit</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35</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8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8" w:name="page39"/>
    <w:bookmarkEnd w:id="38"/>
    <w:tbl>
      <w:tblPr>
        <w:tblLayout w:type="fixed"/>
        <w:tblInd w:w="37" w:type="dxa"/>
        <w:tblCellMar>
          <w:top w:w="0" w:type="dxa"/>
          <w:left w:w="0" w:type="dxa"/>
          <w:bottom w:w="0" w:type="dxa"/>
          <w:right w:w="0" w:type="dxa"/>
        </w:tblCellMar>
      </w:tblPr>
      <w:tr>
        <w:trPr>
          <w:trHeight w:val="227"/>
        </w:trPr>
        <w:tc>
          <w:tcPr>
            <w:tcW w:w="320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Note 13 – Borrowings</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8"/>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tc>
        <w:tc>
          <w:tcPr>
            <w:tcW w:w="1780" w:type="dxa"/>
            <w:vAlign w:val="bottom"/>
          </w:tcPr>
          <w:p>
            <w:pPr>
              <w:spacing w:after="0"/>
              <w:rPr>
                <w:sz w:val="24"/>
                <w:szCs w:val="24"/>
                <w:color w:val="auto"/>
              </w:rPr>
            </w:pPr>
          </w:p>
        </w:tc>
        <w:tc>
          <w:tcPr>
            <w:tcW w:w="30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03"/>
        </w:trPr>
        <w:tc>
          <w:tcPr>
            <w:tcW w:w="3200" w:type="dxa"/>
            <w:vAlign w:val="bottom"/>
          </w:tcPr>
          <w:p>
            <w:pPr>
              <w:spacing w:after="0"/>
              <w:rPr>
                <w:sz w:val="8"/>
                <w:szCs w:val="8"/>
                <w:color w:val="auto"/>
              </w:rPr>
            </w:pPr>
          </w:p>
        </w:tc>
        <w:tc>
          <w:tcPr>
            <w:tcW w:w="178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3000" w:type="dxa"/>
            <w:vAlign w:val="bottom"/>
            <w:gridSpan w:val="3"/>
            <w:vMerge w:val="continue"/>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ind w:left="12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780" w:type="dxa"/>
            <w:vAlign w:val="bottom"/>
          </w:tcPr>
          <w:p>
            <w:pPr>
              <w:jc w:val="center"/>
              <w:ind w:left="334"/>
              <w:spacing w:after="0" w:line="168" w:lineRule="exact"/>
              <w:rPr>
                <w:sz w:val="20"/>
                <w:szCs w:val="20"/>
                <w:color w:val="auto"/>
              </w:rPr>
            </w:pPr>
            <w:r>
              <w:rPr>
                <w:rFonts w:ascii="Times New Roman" w:cs="Times New Roman" w:eastAsia="Times New Roman" w:hAnsi="Times New Roman"/>
                <w:sz w:val="17"/>
                <w:szCs w:val="17"/>
                <w:b w:val="1"/>
                <w:bCs w:val="1"/>
                <w:color w:val="auto"/>
              </w:rPr>
              <w:t>Repayment</w:t>
            </w:r>
          </w:p>
        </w:tc>
        <w:tc>
          <w:tcPr>
            <w:tcW w:w="15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Committed</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September 30, 2024</w:t>
            </w:r>
            <w:r>
              <w:rPr>
                <w:rFonts w:ascii="Times New Roman" w:cs="Times New Roman" w:eastAsia="Times New Roman" w:hAnsi="Times New Roman"/>
                <w:sz w:val="17"/>
                <w:szCs w:val="17"/>
                <w:b w:val="1"/>
                <w:bCs w:val="1"/>
                <w:color w:val="auto"/>
              </w:rPr>
              <w:t xml:space="preserve">   December 31, 2023</w:t>
            </w:r>
          </w:p>
        </w:tc>
        <w:tc>
          <w:tcPr>
            <w:tcW w:w="0" w:type="dxa"/>
            <w:vAlign w:val="bottom"/>
          </w:tcPr>
          <w:p>
            <w:pPr>
              <w:spacing w:after="0"/>
              <w:rPr>
                <w:sz w:val="1"/>
                <w:szCs w:val="1"/>
                <w:color w:val="auto"/>
              </w:rPr>
            </w:pPr>
          </w:p>
        </w:tc>
      </w:tr>
      <w:tr>
        <w:trPr>
          <w:trHeight w:val="233"/>
        </w:trPr>
        <w:tc>
          <w:tcPr>
            <w:tcW w:w="3200" w:type="dxa"/>
            <w:vAlign w:val="bottom"/>
            <w:vMerge w:val="continue"/>
          </w:tcPr>
          <w:p>
            <w:pPr>
              <w:spacing w:after="0"/>
              <w:rPr>
                <w:sz w:val="20"/>
                <w:szCs w:val="20"/>
                <w:color w:val="auto"/>
              </w:rPr>
            </w:pPr>
          </w:p>
        </w:tc>
        <w:tc>
          <w:tcPr>
            <w:tcW w:w="1780" w:type="dxa"/>
            <w:vAlign w:val="bottom"/>
          </w:tcPr>
          <w:p>
            <w:pPr>
              <w:jc w:val="center"/>
              <w:ind w:left="314"/>
              <w:spacing w:after="0"/>
              <w:rPr>
                <w:sz w:val="20"/>
                <w:szCs w:val="20"/>
                <w:color w:val="auto"/>
              </w:rPr>
            </w:pPr>
            <w:r>
              <w:rPr>
                <w:rFonts w:ascii="Times New Roman" w:cs="Times New Roman" w:eastAsia="Times New Roman" w:hAnsi="Times New Roman"/>
                <w:sz w:val="17"/>
                <w:szCs w:val="17"/>
                <w:b w:val="1"/>
                <w:bCs w:val="1"/>
                <w:color w:val="auto"/>
                <w:w w:val="99"/>
              </w:rPr>
              <w:t>Date (1)</w:t>
            </w:r>
          </w:p>
        </w:tc>
        <w:tc>
          <w:tcPr>
            <w:tcW w:w="1500" w:type="dxa"/>
            <w:vAlign w:val="bottom"/>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3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7121525"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368935"/>
                    </a:xfrm>
                    <a:prstGeom prst="rect">
                      <a:avLst/>
                    </a:prstGeom>
                    <a:noFill/>
                  </pic:spPr>
                </pic:pic>
              </a:graphicData>
            </a:graphic>
          </wp:anchor>
        </w:drawing>
      </w:r>
    </w:p>
    <w:p>
      <w:pPr>
        <w:sectPr>
          <w:pgSz w:w="11900" w:h="16838" w:orient="portrait"/>
          <w:cols w:equalWidth="0" w:num="1">
            <w:col w:w="11237"/>
          </w:cols>
          <w:pgMar w:left="323" w:top="1204" w:right="339" w:bottom="1440" w:gutter="0" w:footer="0" w:header="0"/>
        </w:sectPr>
      </w:pPr>
    </w:p>
    <w:p>
      <w:pPr>
        <w:spacing w:after="0" w:line="9" w:lineRule="exact"/>
        <w:rPr>
          <w:sz w:val="20"/>
          <w:szCs w:val="20"/>
          <w:color w:val="auto"/>
        </w:rPr>
      </w:pPr>
    </w:p>
    <w:p>
      <w:pPr>
        <w:ind w:left="37" w:right="220"/>
        <w:spacing w:after="0" w:line="228" w:lineRule="auto"/>
        <w:rPr>
          <w:sz w:val="20"/>
          <w:szCs w:val="20"/>
          <w:color w:val="auto"/>
        </w:rPr>
      </w:pPr>
      <w:r>
        <w:rPr>
          <w:rFonts w:ascii="Times New Roman" w:cs="Times New Roman" w:eastAsia="Times New Roman" w:hAnsi="Times New Roman"/>
          <w:sz w:val="17"/>
          <w:szCs w:val="17"/>
          <w:color w:val="auto"/>
        </w:rPr>
        <w:t>$500 million Ocwen Master Advance Receivables Trust (OMART) - Advance Receivables Backed Notes - Series 2015-Variable Funding (VF) 5 (2)</w:t>
      </w:r>
    </w:p>
    <w:p>
      <w:pPr>
        <w:spacing w:after="0" w:line="11" w:lineRule="exact"/>
        <w:rPr>
          <w:sz w:val="20"/>
          <w:szCs w:val="20"/>
          <w:color w:val="auto"/>
        </w:rPr>
      </w:pPr>
    </w:p>
    <w:p>
      <w:pPr>
        <w:ind w:left="37"/>
        <w:spacing w:after="0" w:line="228" w:lineRule="auto"/>
        <w:rPr>
          <w:sz w:val="20"/>
          <w:szCs w:val="20"/>
          <w:color w:val="auto"/>
        </w:rPr>
      </w:pPr>
      <w:r>
        <w:rPr>
          <w:rFonts w:ascii="Times New Roman" w:cs="Times New Roman" w:eastAsia="Times New Roman" w:hAnsi="Times New Roman"/>
          <w:sz w:val="17"/>
          <w:szCs w:val="17"/>
          <w:color w:val="auto"/>
        </w:rPr>
        <w:t>$200 million Ocwen GSE Advance Funding (OGAF) - Advance Receivables Backed Notes, Series 2015-VF1 (2)</w:t>
      </w:r>
    </w:p>
    <w:p>
      <w:pPr>
        <w:spacing w:after="0" w:line="11" w:lineRule="exact"/>
        <w:rPr>
          <w:sz w:val="20"/>
          <w:szCs w:val="20"/>
          <w:color w:val="auto"/>
        </w:rPr>
      </w:pPr>
    </w:p>
    <w:p>
      <w:pPr>
        <w:ind w:left="37"/>
        <w:spacing w:after="0"/>
        <w:rPr>
          <w:sz w:val="20"/>
          <w:szCs w:val="20"/>
          <w:color w:val="auto"/>
        </w:rPr>
      </w:pPr>
      <w:r>
        <w:rPr>
          <w:rFonts w:ascii="Times New Roman" w:cs="Times New Roman" w:eastAsia="Times New Roman" w:hAnsi="Times New Roman"/>
          <w:sz w:val="17"/>
          <w:szCs w:val="17"/>
          <w:color w:val="auto"/>
        </w:rPr>
        <w:t>$14.4 million EBO Advance facility (3)</w:t>
      </w:r>
    </w:p>
    <w:p>
      <w:pPr>
        <w:spacing w:after="0" w:line="59" w:lineRule="exact"/>
        <w:rPr>
          <w:sz w:val="20"/>
          <w:szCs w:val="20"/>
          <w:color w:val="auto"/>
        </w:rPr>
      </w:pPr>
    </w:p>
    <w:p>
      <w:pPr>
        <w:ind w:left="137"/>
        <w:spacing w:after="0"/>
        <w:rPr>
          <w:sz w:val="20"/>
          <w:szCs w:val="20"/>
          <w:color w:val="auto"/>
        </w:rPr>
      </w:pPr>
      <w:r>
        <w:rPr>
          <w:rFonts w:ascii="Times New Roman" w:cs="Times New Roman" w:eastAsia="Times New Roman" w:hAnsi="Times New Roman"/>
          <w:sz w:val="17"/>
          <w:szCs w:val="17"/>
          <w:b w:val="1"/>
          <w:bCs w:val="1"/>
          <w:color w:val="auto"/>
        </w:rPr>
        <w:t>Total Advance match funded liabilities</w:t>
      </w:r>
    </w:p>
    <w:p>
      <w:pPr>
        <w:spacing w:after="0" w:line="132" w:lineRule="exact"/>
        <w:rPr>
          <w:sz w:val="20"/>
          <w:szCs w:val="20"/>
          <w:color w:val="auto"/>
        </w:rPr>
      </w:pPr>
    </w:p>
    <w:p>
      <w:pPr>
        <w:ind w:left="37"/>
        <w:spacing w:after="0"/>
        <w:rPr>
          <w:sz w:val="20"/>
          <w:szCs w:val="20"/>
          <w:color w:val="auto"/>
        </w:rPr>
      </w:pPr>
      <w:r>
        <w:rPr>
          <w:rFonts w:ascii="Times New Roman" w:cs="Times New Roman" w:eastAsia="Times New Roman" w:hAnsi="Times New Roman"/>
          <w:sz w:val="17"/>
          <w:szCs w:val="17"/>
          <w:color w:val="auto"/>
        </w:rPr>
        <w:t>Weighted average interest rate (4)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August 2025</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332.8</w:t>
            </w:r>
          </w:p>
        </w:tc>
        <w:tc>
          <w:tcPr>
            <w:tcW w:w="8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409.8</w:t>
            </w:r>
          </w:p>
        </w:tc>
      </w:tr>
      <w:tr>
        <w:trPr>
          <w:trHeight w:val="565"/>
        </w:trPr>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August 2025</w:t>
            </w:r>
          </w:p>
        </w:tc>
        <w:tc>
          <w:tcPr>
            <w:tcW w:w="5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89.1</w:t>
            </w:r>
          </w:p>
        </w:tc>
      </w:tr>
      <w:tr>
        <w:trPr>
          <w:trHeight w:val="223"/>
        </w:trPr>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May 2026</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r>
      <w:tr>
        <w:trPr>
          <w:trHeight w:val="213"/>
        </w:trPr>
        <w:tc>
          <w:tcPr>
            <w:tcW w:w="1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377.2</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499.7</w:t>
            </w:r>
          </w:p>
        </w:tc>
      </w:tr>
      <w:tr>
        <w:trPr>
          <w:trHeight w:val="20"/>
        </w:trPr>
        <w:tc>
          <w:tcPr>
            <w:tcW w:w="1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9"/>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7.85 %</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-508000</wp:posOffset>
            </wp:positionV>
            <wp:extent cx="7121525" cy="139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-204470</wp:posOffset>
            </wp:positionV>
            <wp:extent cx="7121525" cy="6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6540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717" w:space="160"/>
            <w:col w:w="7360"/>
          </w:cols>
          <w:pgMar w:left="323" w:top="1204" w:right="339" w:bottom="1440" w:gutter="0" w:footer="0" w:header="0"/>
          <w:type w:val="continuous"/>
        </w:sectPr>
      </w:pPr>
    </w:p>
    <w:p>
      <w:pPr>
        <w:ind w:left="317" w:right="200" w:hanging="317"/>
        <w:spacing w:after="0" w:line="254" w:lineRule="auto"/>
        <w:tabs>
          <w:tab w:leader="none" w:pos="31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w:t>
      </w:r>
    </w:p>
    <w:p>
      <w:pPr>
        <w:spacing w:after="0" w:line="1" w:lineRule="exact"/>
        <w:rPr>
          <w:rFonts w:ascii="Times New Roman" w:cs="Times New Roman" w:eastAsia="Times New Roman" w:hAnsi="Times New Roman"/>
          <w:sz w:val="16"/>
          <w:szCs w:val="16"/>
          <w:color w:val="auto"/>
        </w:rPr>
      </w:pPr>
    </w:p>
    <w:p>
      <w:pPr>
        <w:ind w:left="317" w:right="220" w:hanging="317"/>
        <w:spacing w:after="0" w:line="272" w:lineRule="auto"/>
        <w:tabs>
          <w:tab w:leader="none" w:pos="3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committed borrowing capacity under the OMART and OGAF facilities is available to us provided that we have sufficient eligible collateral to pledge. At September 30, 2024, none of the available borrowing capacity of the OMART and OGAF advance financing notes could be used based on the amount of eligible collateral.</w:t>
      </w:r>
    </w:p>
    <w:p>
      <w:pPr>
        <w:ind w:left="317" w:hanging="317"/>
        <w:spacing w:after="0"/>
        <w:tabs>
          <w:tab w:leader="none" w:pos="31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2024, none of the available borrowing capacity of the facility could be used based on the amount of eligible collateral.</w:t>
      </w:r>
    </w:p>
    <w:p>
      <w:pPr>
        <w:spacing w:after="0" w:line="6" w:lineRule="exact"/>
        <w:rPr>
          <w:rFonts w:ascii="Times New Roman" w:cs="Times New Roman" w:eastAsia="Times New Roman" w:hAnsi="Times New Roman"/>
          <w:sz w:val="16"/>
          <w:szCs w:val="16"/>
          <w:color w:val="auto"/>
        </w:rPr>
      </w:pPr>
    </w:p>
    <w:p>
      <w:pPr>
        <w:ind w:left="317" w:right="200" w:hanging="317"/>
        <w:spacing w:after="0" w:line="244" w:lineRule="auto"/>
        <w:tabs>
          <w:tab w:leader="none" w:pos="31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prepaid lender fees. At September 30, 2024 and December 31, 2023, the balance of unamortized prepaid lender fees was $2.9 million and $5.5 million, respectively, and are included in Other assets in our consolidated balance sheets. At September 30, 2024 and December 31, 2023, 1-Month (1M) Term Secured Overnight Financing Rate (SOFR) was 4.85% and 5.35%, respectively.</w:t>
      </w:r>
    </w:p>
    <w:p>
      <w:pPr>
        <w:spacing w:after="0" w:line="99" w:lineRule="exact"/>
        <w:rPr>
          <w:sz w:val="20"/>
          <w:szCs w:val="20"/>
          <w:color w:val="auto"/>
        </w:rPr>
      </w:pPr>
    </w:p>
    <w:tbl>
      <w:tblPr>
        <w:tblLayout w:type="fixed"/>
        <w:tblInd w:w="17"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00" w:type="dxa"/>
            <w:vAlign w:val="bottom"/>
          </w:tcPr>
          <w:p>
            <w:pPr>
              <w:spacing w:after="0"/>
              <w:rPr>
                <w:sz w:val="19"/>
                <w:szCs w:val="19"/>
                <w:color w:val="auto"/>
              </w:rPr>
            </w:pPr>
          </w:p>
        </w:tc>
        <w:tc>
          <w:tcPr>
            <w:tcW w:w="29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740" w:type="dxa"/>
            <w:vAlign w:val="bottom"/>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0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5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u w:val="single" w:color="auto"/>
                <w:color w:val="auto"/>
              </w:rPr>
              <w:t>December 31, 2023</w:t>
            </w:r>
          </w:p>
        </w:tc>
        <w:tc>
          <w:tcPr>
            <w:tcW w:w="0" w:type="dxa"/>
            <w:vAlign w:val="bottom"/>
          </w:tcPr>
          <w:p>
            <w:pPr>
              <w:spacing w:after="0"/>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38035" cy="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17"/>
        <w:spacing w:after="0"/>
        <w:rPr>
          <w:sz w:val="20"/>
          <w:szCs w:val="20"/>
          <w:color w:val="auto"/>
        </w:rPr>
      </w:pPr>
      <w:r>
        <w:rPr>
          <w:rFonts w:ascii="Times New Roman" w:cs="Times New Roman" w:eastAsia="Times New Roman" w:hAnsi="Times New Roman"/>
          <w:sz w:val="17"/>
          <w:szCs w:val="17"/>
          <w:b w:val="1"/>
          <w:bCs w:val="1"/>
          <w:color w:val="auto"/>
        </w:rPr>
        <w:t>Financing Agreements</w:t>
      </w:r>
    </w:p>
    <w:p>
      <w:pPr>
        <w:sectPr>
          <w:pgSz w:w="11900" w:h="16838" w:orient="portrait"/>
          <w:cols w:equalWidth="0" w:num="1">
            <w:col w:w="11237"/>
          </w:cols>
          <w:pgMar w:left="323" w:top="1204" w:right="339" w:bottom="1440" w:gutter="0" w:footer="0" w:header="0"/>
          <w:type w:val="continuous"/>
        </w:sectPr>
      </w:pPr>
    </w:p>
    <w:p>
      <w:pPr>
        <w:spacing w:after="0" w:line="356" w:lineRule="exact"/>
        <w:rPr>
          <w:sz w:val="20"/>
          <w:szCs w:val="20"/>
          <w:color w:val="auto"/>
        </w:rPr>
      </w:pPr>
    </w:p>
    <w:p>
      <w:pPr>
        <w:ind w:left="117" w:right="180"/>
        <w:spacing w:after="0"/>
        <w:rPr>
          <w:sz w:val="20"/>
          <w:szCs w:val="20"/>
          <w:color w:val="auto"/>
        </w:rPr>
      </w:pPr>
      <w:r>
        <w:rPr>
          <w:rFonts w:ascii="Times New Roman" w:cs="Times New Roman" w:eastAsia="Times New Roman" w:hAnsi="Times New Roman"/>
          <w:sz w:val="17"/>
          <w:szCs w:val="17"/>
          <w:color w:val="auto"/>
        </w:rPr>
        <w:t>$175 million Master repurchase agreement (2)</w:t>
      </w:r>
    </w:p>
    <w:p>
      <w:pPr>
        <w:spacing w:after="0" w:line="10" w:lineRule="exact"/>
        <w:rPr>
          <w:sz w:val="20"/>
          <w:szCs w:val="20"/>
          <w:color w:val="auto"/>
        </w:rPr>
      </w:pPr>
    </w:p>
    <w:p>
      <w:pPr>
        <w:ind w:left="117" w:right="80"/>
        <w:spacing w:after="0"/>
        <w:rPr>
          <w:sz w:val="20"/>
          <w:szCs w:val="20"/>
          <w:color w:val="auto"/>
        </w:rPr>
      </w:pPr>
      <w:r>
        <w:rPr>
          <w:rFonts w:ascii="Times New Roman" w:cs="Times New Roman" w:eastAsia="Times New Roman" w:hAnsi="Times New Roman"/>
          <w:sz w:val="17"/>
          <w:szCs w:val="17"/>
          <w:color w:val="auto"/>
        </w:rPr>
        <w:t>$40 million Mortgage warehouse agreement (3)</w:t>
      </w:r>
    </w:p>
    <w:p>
      <w:pPr>
        <w:spacing w:after="0" w:line="10" w:lineRule="exact"/>
        <w:rPr>
          <w:sz w:val="20"/>
          <w:szCs w:val="20"/>
          <w:color w:val="auto"/>
        </w:rPr>
      </w:pPr>
    </w:p>
    <w:p>
      <w:pPr>
        <w:ind w:left="117" w:right="180"/>
        <w:spacing w:after="0"/>
        <w:rPr>
          <w:sz w:val="20"/>
          <w:szCs w:val="20"/>
          <w:color w:val="auto"/>
        </w:rPr>
      </w:pPr>
      <w:r>
        <w:rPr>
          <w:rFonts w:ascii="Times New Roman" w:cs="Times New Roman" w:eastAsia="Times New Roman" w:hAnsi="Times New Roman"/>
          <w:sz w:val="17"/>
          <w:szCs w:val="17"/>
          <w:color w:val="auto"/>
        </w:rPr>
        <w:t>$500 million Master repurchase agreement (4)</w:t>
      </w:r>
    </w:p>
    <w:p>
      <w:pPr>
        <w:spacing w:after="0" w:line="10" w:lineRule="exact"/>
        <w:rPr>
          <w:sz w:val="20"/>
          <w:szCs w:val="20"/>
          <w:color w:val="auto"/>
        </w:rPr>
      </w:pPr>
    </w:p>
    <w:p>
      <w:pPr>
        <w:ind w:left="117"/>
        <w:spacing w:after="0"/>
        <w:rPr>
          <w:sz w:val="20"/>
          <w:szCs w:val="20"/>
          <w:color w:val="auto"/>
        </w:rPr>
      </w:pPr>
      <w:r>
        <w:rPr>
          <w:rFonts w:ascii="Times New Roman" w:cs="Times New Roman" w:eastAsia="Times New Roman" w:hAnsi="Times New Roman"/>
          <w:sz w:val="17"/>
          <w:szCs w:val="17"/>
          <w:color w:val="auto"/>
        </w:rPr>
        <w:t>$205 million Mortgage warehouse agreement (5)</w:t>
      </w:r>
    </w:p>
    <w:p>
      <w:pPr>
        <w:spacing w:after="0" w:line="190" w:lineRule="exact"/>
        <w:rPr>
          <w:sz w:val="20"/>
          <w:szCs w:val="20"/>
          <w:color w:val="auto"/>
        </w:rPr>
      </w:pPr>
    </w:p>
    <w:p>
      <w:pPr>
        <w:ind w:left="117"/>
        <w:spacing w:after="0"/>
        <w:rPr>
          <w:sz w:val="20"/>
          <w:szCs w:val="20"/>
          <w:color w:val="auto"/>
        </w:rPr>
      </w:pPr>
      <w:r>
        <w:rPr>
          <w:rFonts w:ascii="Times New Roman" w:cs="Times New Roman" w:eastAsia="Times New Roman" w:hAnsi="Times New Roman"/>
          <w:sz w:val="17"/>
          <w:szCs w:val="17"/>
          <w:color w:val="auto"/>
        </w:rPr>
        <w:t>Master repurchase agreement (6)</w:t>
      </w:r>
    </w:p>
    <w:p>
      <w:pPr>
        <w:spacing w:after="0" w:line="28" w:lineRule="exact"/>
        <w:rPr>
          <w:sz w:val="20"/>
          <w:szCs w:val="20"/>
          <w:color w:val="auto"/>
        </w:rPr>
      </w:pPr>
    </w:p>
    <w:p>
      <w:pPr>
        <w:ind w:left="117" w:right="560"/>
        <w:spacing w:after="0" w:line="237" w:lineRule="auto"/>
        <w:rPr>
          <w:sz w:val="20"/>
          <w:szCs w:val="20"/>
          <w:color w:val="auto"/>
        </w:rPr>
      </w:pPr>
      <w:r>
        <w:rPr>
          <w:rFonts w:ascii="Times New Roman" w:cs="Times New Roman" w:eastAsia="Times New Roman" w:hAnsi="Times New Roman"/>
          <w:sz w:val="17"/>
          <w:szCs w:val="17"/>
          <w:color w:val="auto"/>
        </w:rPr>
        <w:t>$500 million Participation agreement (7)</w:t>
      </w:r>
    </w:p>
    <w:p>
      <w:pPr>
        <w:spacing w:after="0" w:line="11" w:lineRule="exact"/>
        <w:rPr>
          <w:sz w:val="20"/>
          <w:szCs w:val="20"/>
          <w:color w:val="auto"/>
        </w:rPr>
      </w:pPr>
    </w:p>
    <w:p>
      <w:pPr>
        <w:ind w:left="117" w:right="180"/>
        <w:spacing w:after="0"/>
        <w:rPr>
          <w:sz w:val="20"/>
          <w:szCs w:val="20"/>
          <w:color w:val="auto"/>
        </w:rPr>
      </w:pPr>
      <w:r>
        <w:rPr>
          <w:rFonts w:ascii="Times New Roman" w:cs="Times New Roman" w:eastAsia="Times New Roman" w:hAnsi="Times New Roman"/>
          <w:sz w:val="17"/>
          <w:szCs w:val="17"/>
          <w:color w:val="auto"/>
        </w:rPr>
        <w:t>$250 million Master repurchase agreement (8)</w:t>
      </w:r>
    </w:p>
    <w:p>
      <w:pPr>
        <w:spacing w:after="0" w:line="10" w:lineRule="exact"/>
        <w:rPr>
          <w:sz w:val="20"/>
          <w:szCs w:val="20"/>
          <w:color w:val="auto"/>
        </w:rPr>
      </w:pPr>
    </w:p>
    <w:p>
      <w:pPr>
        <w:ind w:left="117" w:right="300"/>
        <w:spacing w:after="0"/>
        <w:rPr>
          <w:sz w:val="20"/>
          <w:szCs w:val="20"/>
          <w:color w:val="auto"/>
        </w:rPr>
      </w:pPr>
      <w:r>
        <w:rPr>
          <w:rFonts w:ascii="Times New Roman" w:cs="Times New Roman" w:eastAsia="Times New Roman" w:hAnsi="Times New Roman"/>
          <w:sz w:val="17"/>
          <w:szCs w:val="17"/>
          <w:color w:val="auto"/>
        </w:rPr>
        <w:t>$40 million Loan and security agreement (9)</w:t>
      </w:r>
    </w:p>
    <w:p>
      <w:pPr>
        <w:spacing w:after="0" w:line="178" w:lineRule="exact"/>
        <w:rPr>
          <w:sz w:val="20"/>
          <w:szCs w:val="20"/>
          <w:color w:val="auto"/>
        </w:rPr>
      </w:pPr>
    </w:p>
    <w:p>
      <w:pPr>
        <w:ind w:left="117" w:right="380"/>
        <w:spacing w:after="0"/>
        <w:rPr>
          <w:sz w:val="20"/>
          <w:szCs w:val="20"/>
          <w:color w:val="auto"/>
        </w:rPr>
      </w:pPr>
      <w:r>
        <w:rPr>
          <w:rFonts w:ascii="Times New Roman" w:cs="Times New Roman" w:eastAsia="Times New Roman" w:hAnsi="Times New Roman"/>
          <w:sz w:val="17"/>
          <w:szCs w:val="17"/>
          <w:color w:val="auto"/>
        </w:rPr>
        <w:t>Securities Master repurchase agreement (10)</w:t>
      </w:r>
    </w:p>
    <w:p>
      <w:pPr>
        <w:spacing w:after="0" w:line="10" w:lineRule="exact"/>
        <w:rPr>
          <w:sz w:val="20"/>
          <w:szCs w:val="20"/>
          <w:color w:val="auto"/>
        </w:rPr>
      </w:pPr>
    </w:p>
    <w:p>
      <w:pPr>
        <w:ind w:left="117"/>
        <w:spacing w:after="0"/>
        <w:rPr>
          <w:sz w:val="20"/>
          <w:szCs w:val="20"/>
          <w:color w:val="auto"/>
        </w:rPr>
      </w:pPr>
      <w:r>
        <w:rPr>
          <w:rFonts w:ascii="Times New Roman" w:cs="Times New Roman" w:eastAsia="Times New Roman" w:hAnsi="Times New Roman"/>
          <w:sz w:val="17"/>
          <w:szCs w:val="17"/>
          <w:color w:val="auto"/>
        </w:rPr>
        <w:t>$350 million Mortgage warehouse agreement (11)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jc w:val="center"/>
              <w:ind w:right="14"/>
              <w:spacing w:after="0" w:line="192" w:lineRule="exact"/>
              <w:rPr>
                <w:sz w:val="20"/>
                <w:szCs w:val="20"/>
                <w:color w:val="auto"/>
              </w:rPr>
            </w:pPr>
            <w:r>
              <w:rPr>
                <w:rFonts w:ascii="Times New Roman" w:cs="Times New Roman" w:eastAsia="Times New Roman" w:hAnsi="Times New Roman"/>
                <w:sz w:val="17"/>
                <w:szCs w:val="17"/>
                <w:color w:val="auto"/>
              </w:rPr>
              <w:t>Loans held for sale</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420" w:type="dxa"/>
            <w:vAlign w:val="bottom"/>
          </w:tcPr>
          <w:p>
            <w:pPr>
              <w:jc w:val="center"/>
              <w:ind w:right="34"/>
              <w:spacing w:after="0" w:line="177" w:lineRule="exact"/>
              <w:rPr>
                <w:sz w:val="20"/>
                <w:szCs w:val="20"/>
                <w:color w:val="auto"/>
              </w:rPr>
            </w:pPr>
            <w:r>
              <w:rPr>
                <w:rFonts w:ascii="Times New Roman" w:cs="Times New Roman" w:eastAsia="Times New Roman" w:hAnsi="Times New Roman"/>
                <w:sz w:val="17"/>
                <w:szCs w:val="17"/>
                <w:color w:val="auto"/>
              </w:rPr>
              <w:t>(LHFS),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2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Receivables and</w:t>
            </w:r>
          </w:p>
        </w:tc>
        <w:tc>
          <w:tcPr>
            <w:tcW w:w="1140" w:type="dxa"/>
            <w:vAlign w:val="bottom"/>
            <w:vMerge w:val="continue"/>
          </w:tcPr>
          <w:p>
            <w:pPr>
              <w:spacing w:after="0"/>
              <w:rPr>
                <w:sz w:val="14"/>
                <w:szCs w:val="14"/>
                <w:color w:val="auto"/>
              </w:rPr>
            </w:pPr>
          </w:p>
        </w:tc>
        <w:tc>
          <w:tcPr>
            <w:tcW w:w="6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rPr>
              <w:t>125.0</w:t>
            </w:r>
          </w:p>
        </w:tc>
        <w:tc>
          <w:tcPr>
            <w:tcW w:w="6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6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6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REO</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December</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LHFI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1"/>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 and LHFI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2025</w:t>
            </w:r>
          </w:p>
        </w:tc>
        <w:tc>
          <w:tcPr>
            <w:tcW w:w="62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240.0</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397"/>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 and LHFI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2025</w:t>
            </w:r>
          </w:p>
        </w:tc>
        <w:tc>
          <w:tcPr>
            <w:tcW w:w="62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65.8</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September</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September</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355.5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0" w:type="dxa"/>
            <w:vAlign w:val="bottom"/>
          </w:tcPr>
          <w:p>
            <w:pPr>
              <w:spacing w:after="0"/>
              <w:rPr>
                <w:sz w:val="1"/>
                <w:szCs w:val="1"/>
                <w:color w:val="auto"/>
              </w:rPr>
            </w:pPr>
          </w:p>
        </w:tc>
      </w:tr>
      <w:tr>
        <w:trPr>
          <w:trHeight w:val="171"/>
        </w:trPr>
        <w:tc>
          <w:tcPr>
            <w:tcW w:w="142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rPr>
              <w:t>LHFS, LHFI and</w:t>
            </w:r>
          </w:p>
        </w:tc>
        <w:tc>
          <w:tcPr>
            <w:tcW w:w="11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September</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Receivables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September</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142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rPr>
              <w:t>Reverse LHFS,</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420" w:type="dxa"/>
            <w:vAlign w:val="bottom"/>
          </w:tcPr>
          <w:p>
            <w:pPr>
              <w:jc w:val="center"/>
              <w:ind w:right="14"/>
              <w:spacing w:after="0" w:line="177" w:lineRule="exact"/>
              <w:rPr>
                <w:sz w:val="20"/>
                <w:szCs w:val="20"/>
                <w:color w:val="auto"/>
              </w:rPr>
            </w:pPr>
            <w:r>
              <w:rPr>
                <w:rFonts w:ascii="Times New Roman" w:cs="Times New Roman" w:eastAsia="Times New Roman" w:hAnsi="Times New Roman"/>
                <w:sz w:val="17"/>
                <w:szCs w:val="17"/>
                <w:color w:val="auto"/>
              </w:rPr>
              <w:t>Receivables and</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REO</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1"/>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2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350.0</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-2395220</wp:posOffset>
            </wp:positionV>
            <wp:extent cx="7138035" cy="254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-1886585</wp:posOffset>
            </wp:positionV>
            <wp:extent cx="7138035" cy="254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-1377950</wp:posOffset>
            </wp:positionV>
            <wp:extent cx="7138035" cy="254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-869315</wp:posOffset>
            </wp:positionV>
            <wp:extent cx="7138035" cy="254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-254000</wp:posOffset>
            </wp:positionV>
            <wp:extent cx="7138035" cy="254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97" w:space="80"/>
            <w:col w:w="8660"/>
          </w:cols>
          <w:pgMar w:left="323" w:top="120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37"/>
          </w:cols>
          <w:pgMar w:left="323" w:top="1204" w:right="339" w:bottom="1440" w:gutter="0" w:footer="0" w:header="0"/>
          <w:type w:val="continuous"/>
        </w:sectPr>
      </w:pPr>
    </w:p>
    <w:bookmarkStart w:id="39" w:name="page40"/>
    <w:bookmarkEnd w:id="39"/>
    <w:p>
      <w:pPr>
        <w:ind w:left="20"/>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p>
      <w:pPr>
        <w:spacing w:after="0" w:line="37" w:lineRule="exact"/>
        <w:rPr>
          <w:sz w:val="20"/>
          <w:szCs w:val="20"/>
          <w:color w:val="auto"/>
        </w:rPr>
      </w:pPr>
    </w:p>
    <w:p>
      <w:pPr>
        <w:ind w:left="600"/>
        <w:spacing w:after="0"/>
        <w:tabs>
          <w:tab w:leader="none" w:pos="2700" w:val="left"/>
        </w:tabs>
        <w:rPr>
          <w:sz w:val="20"/>
          <w:szCs w:val="20"/>
          <w:color w:val="auto"/>
        </w:rPr>
      </w:pPr>
      <w:r>
        <w:rPr>
          <w:rFonts w:ascii="Times New Roman" w:cs="Times New Roman" w:eastAsia="Times New Roman" w:hAnsi="Times New Roman"/>
          <w:sz w:val="17"/>
          <w:szCs w:val="17"/>
          <w:b w:val="1"/>
          <w:bCs w:val="1"/>
          <w:color w:val="auto"/>
        </w:rPr>
        <w:t>Borrowing Type</w:t>
      </w:r>
      <w:r>
        <w:rPr>
          <w:sz w:val="20"/>
          <w:szCs w:val="20"/>
          <w:color w:val="auto"/>
        </w:rPr>
        <w:tab/>
      </w:r>
      <w:r>
        <w:rPr>
          <w:rFonts w:ascii="Times New Roman" w:cs="Times New Roman" w:eastAsia="Times New Roman" w:hAnsi="Times New Roman"/>
          <w:sz w:val="17"/>
          <w:szCs w:val="17"/>
          <w:b w:val="1"/>
          <w:bCs w:val="1"/>
          <w:color w:val="auto"/>
        </w:rPr>
        <w:t>Collateral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Financing Agreements</w:t>
      </w:r>
    </w:p>
    <w:tbl>
      <w:tblPr>
        <w:tblLayout w:type="fixed"/>
        <w:tblInd w:w="20" w:type="dxa"/>
        <w:tblCellMar>
          <w:top w:w="0" w:type="dxa"/>
          <w:left w:w="0" w:type="dxa"/>
          <w:bottom w:w="0" w:type="dxa"/>
          <w:right w:w="0" w:type="dxa"/>
        </w:tblCellMar>
      </w:tblPr>
      <w:tr>
        <w:trPr>
          <w:trHeight w:val="192"/>
        </w:trPr>
        <w:tc>
          <w:tcPr>
            <w:tcW w:w="2400" w:type="dxa"/>
            <w:vAlign w:val="bottom"/>
          </w:tcPr>
          <w:p>
            <w:pPr>
              <w:ind w:left="100"/>
              <w:spacing w:after="0" w:line="192" w:lineRule="exact"/>
              <w:rPr>
                <w:sz w:val="20"/>
                <w:szCs w:val="20"/>
                <w:color w:val="auto"/>
              </w:rPr>
            </w:pPr>
            <w:r>
              <w:rPr>
                <w:rFonts w:ascii="Times New Roman" w:cs="Times New Roman" w:eastAsia="Times New Roman" w:hAnsi="Times New Roman"/>
                <w:sz w:val="17"/>
                <w:szCs w:val="17"/>
                <w:color w:val="auto"/>
              </w:rPr>
              <w:t>$230 million Mortgage</w:t>
            </w:r>
          </w:p>
        </w:tc>
        <w:tc>
          <w:tcPr>
            <w:tcW w:w="1220" w:type="dxa"/>
            <w:vAlign w:val="bottom"/>
          </w:tcPr>
          <w:p>
            <w:pPr>
              <w:jc w:val="center"/>
              <w:ind w:left="14"/>
              <w:spacing w:after="0" w:line="192" w:lineRule="exact"/>
              <w:rPr>
                <w:sz w:val="20"/>
                <w:szCs w:val="20"/>
                <w:color w:val="auto"/>
              </w:rPr>
            </w:pPr>
            <w:r>
              <w:rPr>
                <w:rFonts w:ascii="Times New Roman" w:cs="Times New Roman" w:eastAsia="Times New Roman" w:hAnsi="Times New Roman"/>
                <w:sz w:val="17"/>
                <w:szCs w:val="17"/>
                <w:color w:val="auto"/>
              </w:rPr>
              <w:t>LHFS and</w:t>
            </w:r>
          </w:p>
        </w:tc>
        <w:tc>
          <w:tcPr>
            <w:tcW w:w="0" w:type="dxa"/>
            <w:vAlign w:val="bottom"/>
          </w:tcPr>
          <w:p>
            <w:pPr>
              <w:spacing w:after="0"/>
              <w:rPr>
                <w:sz w:val="1"/>
                <w:szCs w:val="1"/>
                <w:color w:val="auto"/>
              </w:rPr>
            </w:pPr>
          </w:p>
        </w:tc>
      </w:tr>
      <w:tr>
        <w:trPr>
          <w:trHeight w:val="223"/>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warehouse agreement (12)</w:t>
            </w:r>
          </w:p>
        </w:tc>
        <w:tc>
          <w:tcPr>
            <w:tcW w:w="12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Receivables</w:t>
            </w:r>
          </w:p>
        </w:tc>
        <w:tc>
          <w:tcPr>
            <w:tcW w:w="0" w:type="dxa"/>
            <w:vAlign w:val="bottom"/>
          </w:tcPr>
          <w:p>
            <w:pPr>
              <w:spacing w:after="0"/>
              <w:rPr>
                <w:sz w:val="1"/>
                <w:szCs w:val="1"/>
                <w:color w:val="auto"/>
              </w:rPr>
            </w:pPr>
          </w:p>
        </w:tc>
      </w:tr>
      <w:tr>
        <w:trPr>
          <w:trHeight w:val="177"/>
        </w:trPr>
        <w:tc>
          <w:tcPr>
            <w:tcW w:w="240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Master repurchase agreement</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(13)</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LHFS</w:t>
            </w:r>
          </w:p>
        </w:tc>
        <w:tc>
          <w:tcPr>
            <w:tcW w:w="0" w:type="dxa"/>
            <w:vAlign w:val="bottom"/>
          </w:tcPr>
          <w:p>
            <w:pPr>
              <w:spacing w:after="0"/>
              <w:rPr>
                <w:sz w:val="1"/>
                <w:szCs w:val="1"/>
                <w:color w:val="auto"/>
              </w:rPr>
            </w:pPr>
          </w:p>
        </w:tc>
      </w:tr>
      <w:tr>
        <w:trPr>
          <w:trHeight w:val="171"/>
        </w:trPr>
        <w:tc>
          <w:tcPr>
            <w:tcW w:w="24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$200 million Master repurchase</w:t>
            </w:r>
          </w:p>
        </w:tc>
        <w:tc>
          <w:tcPr>
            <w:tcW w:w="1220" w:type="dxa"/>
            <w:vAlign w:val="bottom"/>
          </w:tcPr>
          <w:p>
            <w:pPr>
              <w:jc w:val="center"/>
              <w:ind w:left="34"/>
              <w:spacing w:after="0" w:line="172" w:lineRule="exact"/>
              <w:rPr>
                <w:sz w:val="20"/>
                <w:szCs w:val="20"/>
                <w:color w:val="auto"/>
              </w:rPr>
            </w:pPr>
            <w:r>
              <w:rPr>
                <w:rFonts w:ascii="Times New Roman" w:cs="Times New Roman" w:eastAsia="Times New Roman" w:hAnsi="Times New Roman"/>
                <w:sz w:val="17"/>
                <w:szCs w:val="17"/>
                <w:color w:val="auto"/>
              </w:rPr>
              <w:t>LHFS,</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220" w:type="dxa"/>
            <w:vAlign w:val="bottom"/>
          </w:tcPr>
          <w:p>
            <w:pPr>
              <w:jc w:val="center"/>
              <w:ind w:left="14"/>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0" w:type="dxa"/>
            <w:vAlign w:val="bottom"/>
          </w:tcPr>
          <w:p>
            <w:pPr>
              <w:spacing w:after="0"/>
              <w:rPr>
                <w:sz w:val="1"/>
                <w:szCs w:val="1"/>
                <w:color w:val="auto"/>
              </w:rPr>
            </w:pPr>
          </w:p>
        </w:tc>
      </w:tr>
      <w:tr>
        <w:trPr>
          <w:trHeight w:val="223"/>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agreement (14)</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9"/>
              </w:rPr>
              <w:t>REO</w:t>
            </w:r>
          </w:p>
        </w:tc>
        <w:tc>
          <w:tcPr>
            <w:tcW w:w="0" w:type="dxa"/>
            <w:vAlign w:val="bottom"/>
          </w:tcPr>
          <w:p>
            <w:pPr>
              <w:spacing w:after="0"/>
              <w:rPr>
                <w:sz w:val="1"/>
                <w:szCs w:val="1"/>
                <w:color w:val="auto"/>
              </w:rPr>
            </w:pPr>
          </w:p>
        </w:tc>
      </w:tr>
      <w:tr>
        <w:trPr>
          <w:trHeight w:val="177"/>
        </w:trPr>
        <w:tc>
          <w:tcPr>
            <w:tcW w:w="240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$50 million Loan and security</w:t>
            </w:r>
          </w:p>
        </w:tc>
        <w:tc>
          <w:tcPr>
            <w:tcW w:w="1220" w:type="dxa"/>
            <w:vAlign w:val="bottom"/>
          </w:tcPr>
          <w:p>
            <w:pPr>
              <w:jc w:val="center"/>
              <w:ind w:left="14"/>
              <w:spacing w:after="0" w:line="177" w:lineRule="exact"/>
              <w:rPr>
                <w:sz w:val="20"/>
                <w:szCs w:val="20"/>
                <w:color w:val="auto"/>
              </w:rPr>
            </w:pPr>
            <w:r>
              <w:rPr>
                <w:rFonts w:ascii="Times New Roman" w:cs="Times New Roman" w:eastAsia="Times New Roman" w:hAnsi="Times New Roman"/>
                <w:sz w:val="17"/>
                <w:szCs w:val="17"/>
                <w:color w:val="auto"/>
              </w:rPr>
              <w:t>LHFS and</w:t>
            </w:r>
          </w:p>
        </w:tc>
        <w:tc>
          <w:tcPr>
            <w:tcW w:w="0" w:type="dxa"/>
            <w:vAlign w:val="bottom"/>
          </w:tcPr>
          <w:p>
            <w:pPr>
              <w:spacing w:after="0"/>
              <w:rPr>
                <w:sz w:val="1"/>
                <w:szCs w:val="1"/>
                <w:color w:val="auto"/>
              </w:rPr>
            </w:pPr>
          </w:p>
        </w:tc>
      </w:tr>
      <w:tr>
        <w:trPr>
          <w:trHeight w:val="223"/>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agreement (15)</w:t>
            </w:r>
          </w:p>
        </w:tc>
        <w:tc>
          <w:tcPr>
            <w:tcW w:w="12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Receivables</w:t>
            </w:r>
          </w:p>
        </w:tc>
        <w:tc>
          <w:tcPr>
            <w:tcW w:w="0" w:type="dxa"/>
            <w:vAlign w:val="bottom"/>
          </w:tcPr>
          <w:p>
            <w:pPr>
              <w:spacing w:after="0"/>
              <w:rPr>
                <w:sz w:val="1"/>
                <w:szCs w:val="1"/>
                <w:color w:val="auto"/>
              </w:rPr>
            </w:pPr>
          </w:p>
        </w:tc>
      </w:tr>
      <w:tr>
        <w:trPr>
          <w:trHeight w:val="462"/>
        </w:trPr>
        <w:tc>
          <w:tcPr>
            <w:tcW w:w="2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Securitization Notes</w:t>
            </w:r>
          </w:p>
        </w:tc>
        <w:tc>
          <w:tcPr>
            <w:tcW w:w="122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color w:val="auto"/>
              </w:rPr>
              <w:t>Reverse LHFS,</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OLIT Asset-Backed Notes,</w:t>
            </w:r>
          </w:p>
        </w:tc>
        <w:tc>
          <w:tcPr>
            <w:tcW w:w="1220" w:type="dxa"/>
            <w:vAlign w:val="bottom"/>
          </w:tcPr>
          <w:p>
            <w:pPr>
              <w:jc w:val="center"/>
              <w:ind w:left="14"/>
              <w:spacing w:after="0" w:line="181" w:lineRule="exact"/>
              <w:rPr>
                <w:sz w:val="20"/>
                <w:szCs w:val="20"/>
                <w:color w:val="auto"/>
              </w:rPr>
            </w:pPr>
            <w:r>
              <w:rPr>
                <w:rFonts w:ascii="Times New Roman" w:cs="Times New Roman" w:eastAsia="Times New Roman" w:hAnsi="Times New Roman"/>
                <w:sz w:val="17"/>
                <w:szCs w:val="17"/>
                <w:color w:val="auto"/>
              </w:rPr>
              <w:t>Receivables and</w:t>
            </w:r>
          </w:p>
        </w:tc>
        <w:tc>
          <w:tcPr>
            <w:tcW w:w="0" w:type="dxa"/>
            <w:vAlign w:val="bottom"/>
          </w:tcPr>
          <w:p>
            <w:pPr>
              <w:spacing w:after="0"/>
              <w:rPr>
                <w:sz w:val="1"/>
                <w:szCs w:val="1"/>
                <w:color w:val="auto"/>
              </w:rPr>
            </w:pPr>
          </w:p>
        </w:tc>
      </w:tr>
      <w:tr>
        <w:trPr>
          <w:trHeight w:val="223"/>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Series 2023-HB1 (16)</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9"/>
              </w:rPr>
              <w:t>REO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0" w:type="dxa"/>
            <w:vAlign w:val="bottom"/>
          </w:tcPr>
          <w:p>
            <w:pPr>
              <w:spacing w:after="0"/>
              <w:rPr>
                <w:sz w:val="19"/>
                <w:szCs w:val="19"/>
                <w:color w:val="auto"/>
              </w:rPr>
            </w:pPr>
          </w:p>
        </w:tc>
        <w:tc>
          <w:tcPr>
            <w:tcW w:w="2980" w:type="dxa"/>
            <w:vAlign w:val="bottom"/>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3180" w:type="dxa"/>
            <w:vAlign w:val="bottom"/>
            <w:gridSpan w:val="3"/>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Outstanding Balance</w:t>
            </w:r>
          </w:p>
        </w:tc>
      </w:tr>
      <w:tr>
        <w:trPr>
          <w:trHeight w:val="213"/>
        </w:trPr>
        <w:tc>
          <w:tcPr>
            <w:tcW w:w="100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4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601"/>
        </w:trPr>
        <w:tc>
          <w:tcPr>
            <w:tcW w:w="100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8"/>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220.2</w:t>
            </w: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24"/>
                <w:szCs w:val="24"/>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12.2</w:t>
            </w:r>
          </w:p>
        </w:tc>
      </w:tr>
      <w:tr>
        <w:trPr>
          <w:trHeight w:val="401"/>
        </w:trPr>
        <w:tc>
          <w:tcPr>
            <w:tcW w:w="100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8"/>
              </w:rPr>
              <w:t>(13)</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24"/>
                <w:szCs w:val="24"/>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151.7</w:t>
            </w:r>
          </w:p>
        </w:tc>
      </w:tr>
      <w:tr>
        <w:trPr>
          <w:trHeight w:val="569"/>
        </w:trPr>
        <w:tc>
          <w:tcPr>
            <w:tcW w:w="100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April 2024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400"/>
        </w:trPr>
        <w:tc>
          <w:tcPr>
            <w:tcW w:w="100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June 2024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10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837.2</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567.2</w:t>
            </w:r>
          </w:p>
        </w:tc>
      </w:tr>
      <w:tr>
        <w:trPr>
          <w:trHeight w:val="768"/>
        </w:trPr>
        <w:tc>
          <w:tcPr>
            <w:tcW w:w="100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June 2036</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tcPr>
          <w:p>
            <w:pPr>
              <w:spacing w:after="0"/>
              <w:rPr>
                <w:sz w:val="24"/>
                <w:szCs w:val="24"/>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-1911350</wp:posOffset>
            </wp:positionV>
            <wp:extent cx="713803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-1517650</wp:posOffset>
            </wp:positionV>
            <wp:extent cx="7138035" cy="25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-902335</wp:posOffset>
            </wp:positionV>
            <wp:extent cx="7138035" cy="254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25463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-499745</wp:posOffset>
            </wp:positionV>
            <wp:extent cx="7138035"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0</wp:posOffset>
            </wp:positionV>
            <wp:extent cx="7138035" cy="361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36131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640" w:space="440"/>
            <w:col w:w="7160"/>
          </w:cols>
          <w:pgMar w:left="320" w:top="985" w:right="339" w:bottom="1440" w:gutter="0" w:footer="0" w:header="0"/>
        </w:sectPr>
      </w:pPr>
    </w:p>
    <w:p>
      <w:pPr>
        <w:ind w:left="2560"/>
        <w:spacing w:after="0" w:line="219" w:lineRule="auto"/>
        <w:rPr>
          <w:sz w:val="20"/>
          <w:szCs w:val="20"/>
          <w:color w:val="auto"/>
        </w:rPr>
      </w:pPr>
      <w:r>
        <w:rPr>
          <w:rFonts w:ascii="Times New Roman" w:cs="Times New Roman" w:eastAsia="Times New Roman" w:hAnsi="Times New Roman"/>
          <w:sz w:val="17"/>
          <w:szCs w:val="17"/>
          <w:color w:val="auto"/>
        </w:rPr>
        <w:t>Reverse LHFS,</w:t>
      </w:r>
    </w:p>
    <w:tbl>
      <w:tblPr>
        <w:tblLayout w:type="fixed"/>
        <w:tblInd w:w="0" w:type="dxa"/>
        <w:tblCellMar>
          <w:top w:w="0" w:type="dxa"/>
          <w:left w:w="0" w:type="dxa"/>
          <w:bottom w:w="0" w:type="dxa"/>
          <w:right w:w="0" w:type="dxa"/>
        </w:tblCellMar>
      </w:tblPr>
      <w:tr>
        <w:trPr>
          <w:trHeight w:val="167"/>
        </w:trPr>
        <w:tc>
          <w:tcPr>
            <w:tcW w:w="248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OLIT Asset-Backed Notes,</w:t>
            </w:r>
          </w:p>
        </w:tc>
        <w:tc>
          <w:tcPr>
            <w:tcW w:w="132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rPr>
              <w:t>Receivables and</w:t>
            </w:r>
          </w:p>
        </w:tc>
        <w:tc>
          <w:tcPr>
            <w:tcW w:w="1740" w:type="dxa"/>
            <w:vAlign w:val="bottom"/>
            <w:gridSpan w:val="2"/>
            <w:vMerge w:val="restart"/>
          </w:tcPr>
          <w:p>
            <w:pPr>
              <w:jc w:val="center"/>
              <w:ind w:right="334"/>
              <w:spacing w:after="0"/>
              <w:rPr>
                <w:sz w:val="20"/>
                <w:szCs w:val="20"/>
                <w:color w:val="auto"/>
              </w:rPr>
            </w:pPr>
            <w:r>
              <w:rPr>
                <w:rFonts w:ascii="Times New Roman" w:cs="Times New Roman" w:eastAsia="Times New Roman" w:hAnsi="Times New Roman"/>
                <w:sz w:val="17"/>
                <w:szCs w:val="17"/>
                <w:color w:val="auto"/>
              </w:rPr>
              <w:t>February 2037</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4"/>
                <w:szCs w:val="14"/>
                <w:color w:val="auto"/>
              </w:rPr>
            </w:pPr>
          </w:p>
        </w:tc>
        <w:tc>
          <w:tcPr>
            <w:tcW w:w="1420" w:type="dxa"/>
            <w:vAlign w:val="bottom"/>
            <w:gridSpan w:val="3"/>
            <w:vMerge w:val="restart"/>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172.0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Series 2024-HB1 (16)</w:t>
            </w: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9"/>
              </w:rPr>
              <w:t>REO</w:t>
            </w:r>
          </w:p>
        </w:tc>
        <w:tc>
          <w:tcPr>
            <w:tcW w:w="17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320" w:type="dxa"/>
            <w:vAlign w:val="bottom"/>
          </w:tcPr>
          <w:p>
            <w:pPr>
              <w:jc w:val="center"/>
              <w:ind w:right="14"/>
              <w:spacing w:after="0" w:line="172" w:lineRule="exact"/>
              <w:rPr>
                <w:sz w:val="20"/>
                <w:szCs w:val="20"/>
                <w:color w:val="auto"/>
              </w:rPr>
            </w:pPr>
            <w:r>
              <w:rPr>
                <w:rFonts w:ascii="Times New Roman" w:cs="Times New Roman" w:eastAsia="Times New Roman" w:hAnsi="Times New Roman"/>
                <w:sz w:val="17"/>
                <w:szCs w:val="17"/>
                <w:color w:val="auto"/>
              </w:rPr>
              <w:t>Reverse LHFS,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8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OLIT Asset-Backed Notes,</w:t>
            </w:r>
          </w:p>
        </w:tc>
        <w:tc>
          <w:tcPr>
            <w:tcW w:w="132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Receivables and</w:t>
            </w:r>
          </w:p>
        </w:tc>
        <w:tc>
          <w:tcPr>
            <w:tcW w:w="1740" w:type="dxa"/>
            <w:vAlign w:val="bottom"/>
            <w:gridSpan w:val="2"/>
            <w:vMerge w:val="restart"/>
          </w:tcPr>
          <w:p>
            <w:pPr>
              <w:jc w:val="center"/>
              <w:ind w:right="334"/>
              <w:spacing w:after="0"/>
              <w:rPr>
                <w:sz w:val="20"/>
                <w:szCs w:val="20"/>
                <w:color w:val="auto"/>
              </w:rPr>
            </w:pPr>
            <w:r>
              <w:rPr>
                <w:rFonts w:ascii="Times New Roman" w:cs="Times New Roman" w:eastAsia="Times New Roman" w:hAnsi="Times New Roman"/>
                <w:sz w:val="17"/>
                <w:szCs w:val="17"/>
                <w:color w:val="auto"/>
              </w:rPr>
              <w:t>August 2037</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5"/>
                <w:szCs w:val="15"/>
                <w:color w:val="auto"/>
              </w:rPr>
            </w:pPr>
          </w:p>
        </w:tc>
        <w:tc>
          <w:tcPr>
            <w:tcW w:w="1420" w:type="dxa"/>
            <w:vAlign w:val="bottom"/>
            <w:gridSpan w:val="3"/>
            <w:vMerge w:val="restart"/>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270.8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Series 2024-HB2 (16)</w:t>
            </w: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9"/>
              </w:rPr>
              <w:t>REO</w:t>
            </w:r>
          </w:p>
        </w:tc>
        <w:tc>
          <w:tcPr>
            <w:tcW w:w="17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164.4</w:t>
            </w:r>
          </w:p>
        </w:tc>
        <w:tc>
          <w:tcPr>
            <w:tcW w:w="0" w:type="dxa"/>
            <w:vAlign w:val="bottom"/>
          </w:tcPr>
          <w:p>
            <w:pPr>
              <w:spacing w:after="0"/>
              <w:rPr>
                <w:sz w:val="1"/>
                <w:szCs w:val="1"/>
                <w:color w:val="auto"/>
              </w:rPr>
            </w:pPr>
          </w:p>
        </w:tc>
      </w:tr>
      <w:tr>
        <w:trPr>
          <w:trHeight w:val="213"/>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w:t>
            </w:r>
          </w:p>
        </w:tc>
        <w:tc>
          <w:tcPr>
            <w:tcW w:w="12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1,397.0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731.6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80" w:type="dxa"/>
            <w:vAlign w:val="bottom"/>
            <w:gridSpan w:val="3"/>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Unamortized discount and debt issuance costs - OLIT Notes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3"/>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 net</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1,355.9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710.6</w:t>
            </w:r>
          </w:p>
        </w:tc>
        <w:tc>
          <w:tcPr>
            <w:tcW w:w="0" w:type="dxa"/>
            <w:vAlign w:val="bottom"/>
          </w:tcPr>
          <w:p>
            <w:pPr>
              <w:spacing w:after="0"/>
              <w:rPr>
                <w:sz w:val="1"/>
                <w:szCs w:val="1"/>
                <w:color w:val="auto"/>
              </w:rPr>
            </w:pPr>
          </w:p>
        </w:tc>
      </w:tr>
      <w:tr>
        <w:trPr>
          <w:trHeight w:val="81"/>
        </w:trPr>
        <w:tc>
          <w:tcPr>
            <w:tcW w:w="248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8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(17)</w:t>
            </w:r>
          </w:p>
        </w:tc>
        <w:tc>
          <w:tcPr>
            <w:tcW w:w="13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5.64 %</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6.15 %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right="80" w:hanging="317"/>
        <w:spacing w:after="0" w:line="273"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financing facilities extended on a committed basis, none of the available borrowing capacity could be used at September 30, 2024 based on the amount of eligible collateral that could be pledged on a committed basis.</w:t>
      </w:r>
    </w:p>
    <w:p>
      <w:pPr>
        <w:spacing w:after="0" w:line="7"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2024, the maturity date was extended to November 29, 2024.</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 the maturity date was extended to December 31, 2024.</w:t>
      </w: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maturity date was extended to January 3, 2025.</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2024, the maturity date was extended to May 31, 2025 and the total maximum borrowing under this agreement was increased to $205.0 million.</w:t>
      </w: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2024,the maturity date was extended to September 20, 2025.</w:t>
      </w:r>
    </w:p>
    <w:p>
      <w:pPr>
        <w:spacing w:after="0" w:line="6" w:lineRule="exact"/>
        <w:rPr>
          <w:rFonts w:ascii="Times New Roman" w:cs="Times New Roman" w:eastAsia="Times New Roman" w:hAnsi="Times New Roman"/>
          <w:sz w:val="16"/>
          <w:szCs w:val="16"/>
          <w:color w:val="auto"/>
        </w:rPr>
      </w:pPr>
    </w:p>
    <w:p>
      <w:pPr>
        <w:ind w:left="320" w:right="20" w:hanging="317"/>
        <w:spacing w:after="0" w:line="238"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 the maturity date was extended to September 20, 2025 and the total maximum borrowing under this agreement was temporarily increased to $500.0 million through December 31, 2024.</w:t>
      </w: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 the maturity date was extended to September 20, 2025 and the total maximum borrowing under this agreement was increased to $250.0 million.</w:t>
      </w:r>
    </w:p>
    <w:p>
      <w:pPr>
        <w:spacing w:after="0" w:line="6"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2024, the maturity date was extended to September 20, 2025 and the total maximum borrowing under this agreement was increased to $40.0 million.</w:t>
      </w:r>
    </w:p>
    <w:p>
      <w:pPr>
        <w:ind w:left="320" w:right="100" w:hanging="317"/>
        <w:spacing w:after="0" w:line="224"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2024, we entered into a repurchase agreement which provides borrowing at our discretion up to a certain maximum amount of capacity on a rolling 30-day uncommitted basis. This facility is structured as a repurchase facility whereby the retained notes of the OLIT 2023 transaction are pledged as collateral for the borrowings and this agreement has no stated maturity date. Also see (16) below and Note 2 – Securitizations and Variable Interest Entities.</w:t>
      </w:r>
    </w:p>
    <w:p>
      <w:pPr>
        <w:spacing w:after="0" w:line="1" w:lineRule="exact"/>
        <w:rPr>
          <w:rFonts w:ascii="Times New Roman" w:cs="Times New Roman" w:eastAsia="Times New Roman" w:hAnsi="Times New Roman"/>
          <w:sz w:val="16"/>
          <w:szCs w:val="16"/>
          <w:color w:val="auto"/>
        </w:rPr>
      </w:pPr>
    </w:p>
    <w:p>
      <w:pPr>
        <w:ind w:left="340" w:hanging="337"/>
        <w:spacing w:after="0" w:line="219"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no stated maturity date.</w:t>
      </w:r>
    </w:p>
    <w:p>
      <w:pPr>
        <w:ind w:left="360" w:hanging="357"/>
        <w:spacing w:after="0" w:line="235"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has no stated maturity date, however each transaction has a maximum duration of four years.</w:t>
      </w:r>
    </w:p>
    <w:p>
      <w:pPr>
        <w:ind w:left="320" w:right="20" w:hanging="317"/>
        <w:spacing w:after="0" w:line="227" w:lineRule="auto"/>
        <w:tabs>
          <w:tab w:leader="none" w:pos="35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repurchase agreement provides borrowing at our discretion up to a certain maximum amount of capacity on a rolling 90-day committed basis. This facility is structured as a gestation repurchase facility whereby dry Agency mortgage loans are transferred to a trust which issues a trust certificate that is pledged as the collateral for the borrowings. Each certificate is renewed monthly. In April 2024, we voluntarily increased the trust certificates by $50.0 million to $200.0 million. See Note 2 – Securitizations and Variable Interest Entities for additional information.</w:t>
      </w:r>
    </w:p>
    <w:p>
      <w:pPr>
        <w:spacing w:after="0" w:line="1" w:lineRule="exact"/>
        <w:rPr>
          <w:rFonts w:ascii="Times New Roman" w:cs="Times New Roman" w:eastAsia="Times New Roman" w:hAnsi="Times New Roman"/>
          <w:sz w:val="16"/>
          <w:szCs w:val="16"/>
          <w:color w:val="auto"/>
        </w:rPr>
      </w:pPr>
    </w:p>
    <w:p>
      <w:pPr>
        <w:ind w:left="360" w:hanging="357"/>
        <w:spacing w:after="0" w:line="219"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2024, we voluntarily allowed the facility to mature.</w:t>
      </w:r>
    </w:p>
    <w:p>
      <w:pPr>
        <w:ind w:left="360" w:hanging="357"/>
        <w:spacing w:after="0"/>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28,2024, we voluntarily allowed the facility to mature.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0" w:name="page41"/>
    <w:bookmarkEnd w:id="40"/>
    <w:p>
      <w:pPr>
        <w:ind w:left="320" w:right="60" w:hanging="317"/>
        <w:spacing w:after="0" w:line="269" w:lineRule="auto"/>
        <w:tabs>
          <w:tab w:leader="none" w:pos="35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June 2023, February 2024 and September 2024, OLIT issued different classes of Asset-Backed Notes with an initial principal amount of $264.9 million, $268.6 million and </w:t>
      </w:r>
      <w:r>
        <w:rPr>
          <w:rFonts w:ascii="Times New Roman" w:cs="Times New Roman" w:eastAsia="Times New Roman" w:hAnsi="Times New Roman"/>
          <w:sz w:val="16"/>
          <w:szCs w:val="16"/>
          <w:color w:val="auto"/>
        </w:rPr>
        <w:t xml:space="preserve">$330.6 million </w:t>
      </w:r>
      <w:r>
        <w:rPr>
          <w:rFonts w:ascii="Times New Roman" w:cs="Times New Roman" w:eastAsia="Times New Roman" w:hAnsi="Times New Roman"/>
          <w:sz w:val="14"/>
          <w:szCs w:val="14"/>
          <w:color w:val="auto"/>
        </w:rPr>
        <w:t>at a discount and a mandatory call date of June 2026, February 2027 and August 2027, respectively. The notes have a stated interest rate of 3.0%, 3.0%, and</w:t>
      </w:r>
    </w:p>
    <w:p>
      <w:pPr>
        <w:ind w:left="320" w:right="6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5.0%, respectively. Payments of interest and principal are made from available funds from a pool of reverse mortgage buyout loans and REOs in accordance with the indenture priority of payments. Also see Note 2 – Securitizations and Variable Interest Entities.</w:t>
      </w:r>
    </w:p>
    <w:p>
      <w:pPr>
        <w:spacing w:after="0" w:line="1" w:lineRule="exact"/>
        <w:rPr>
          <w:rFonts w:ascii="Times New Roman" w:cs="Times New Roman" w:eastAsia="Times New Roman" w:hAnsi="Times New Roman"/>
          <w:sz w:val="15"/>
          <w:szCs w:val="15"/>
          <w:color w:val="auto"/>
        </w:rPr>
      </w:pPr>
    </w:p>
    <w:p>
      <w:pPr>
        <w:ind w:left="320" w:right="180" w:hanging="317"/>
        <w:spacing w:after="0" w:line="323" w:lineRule="auto"/>
        <w:tabs>
          <w:tab w:leader="none" w:pos="35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excludes the effect of the amortization of discount, debt issuance costs and prepaid lender fees. At September 30, 2024 and December 31, 2023, unamortized prepaid lender fees were $1.3 million and $1.0 million, respectively, and are included in Other assets in our consolidated balance sheets.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88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4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60" w:type="dxa"/>
            <w:vAlign w:val="bottom"/>
          </w:tcPr>
          <w:p>
            <w:pPr>
              <w:spacing w:after="0"/>
              <w:rPr>
                <w:sz w:val="13"/>
                <w:szCs w:val="13"/>
                <w:color w:val="auto"/>
              </w:rPr>
            </w:pPr>
          </w:p>
        </w:tc>
        <w:tc>
          <w:tcPr>
            <w:tcW w:w="138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28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8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$500 million GSE MSR financing</w:t>
            </w:r>
          </w:p>
        </w:tc>
        <w:tc>
          <w:tcPr>
            <w:tcW w:w="10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7"/>
                <w:szCs w:val="17"/>
                <w:color w:val="auto"/>
              </w:rPr>
              <w:t>September</w:t>
            </w: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$300 million Ginnie Mae MSR</w:t>
            </w:r>
          </w:p>
        </w:tc>
        <w:tc>
          <w:tcPr>
            <w:tcW w:w="10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MSRs,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facility (3)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Advances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Ocwen Excess Spread-Collateralized</w:t>
            </w:r>
          </w:p>
        </w:tc>
        <w:tc>
          <w:tcPr>
            <w:tcW w:w="1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Series 2022-PLS1 (4)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2022-PLS1 Notes Issuer Membership</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Master repurchase agreement</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$400 million GSE MSR financing</w:t>
            </w:r>
          </w:p>
        </w:tc>
        <w:tc>
          <w:tcPr>
            <w:tcW w:w="104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December</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Series Notes, Series 2014-1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2028</w:t>
            </w: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bottom w:val="single" w:sz="8" w:color="CCEEFF"/>
            </w:tcBorders>
            <w:shd w:val="clear" w:color="auto" w:fill="CCEEFF"/>
          </w:tcPr>
          <w:p>
            <w:pPr>
              <w:ind w:left="120"/>
              <w:spacing w:after="0" w:line="187" w:lineRule="exact"/>
              <w:rPr>
                <w:sz w:val="20"/>
                <w:szCs w:val="20"/>
                <w:color w:val="auto"/>
              </w:rPr>
            </w:pPr>
            <w:r>
              <w:rPr>
                <w:rFonts w:ascii="Times New Roman" w:cs="Times New Roman" w:eastAsia="Times New Roman" w:hAnsi="Times New Roman"/>
                <w:sz w:val="17"/>
                <w:szCs w:val="17"/>
                <w:b w:val="1"/>
                <w:bCs w:val="1"/>
                <w:color w:val="auto"/>
              </w:rPr>
              <w:t>Total MSR financing facilities</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163.5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318.5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805.0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916.6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PLS facilities (7)</w:t>
            </w: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line="20" w:lineRule="exact"/>
              <w:rPr>
                <w:sz w:val="1"/>
                <w:szCs w:val="1"/>
                <w:color w:val="auto"/>
              </w:rPr>
            </w:pPr>
          </w:p>
        </w:tc>
      </w:tr>
      <w:tr>
        <w:trPr>
          <w:trHeight w:val="165"/>
        </w:trPr>
        <w:tc>
          <w:tcPr>
            <w:tcW w:w="3920" w:type="dxa"/>
            <w:vAlign w:val="bottom"/>
            <w:tcBorders>
              <w:bottom w:val="single" w:sz="8" w:color="CCEEFF"/>
            </w:tcBorders>
            <w:gridSpan w:val="2"/>
            <w:vMerge w:val="continue"/>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 net</w:t>
            </w:r>
          </w:p>
        </w:tc>
        <w:tc>
          <w:tcPr>
            <w:tcW w:w="10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(8)</w:t>
            </w:r>
          </w:p>
        </w:tc>
        <w:tc>
          <w:tcPr>
            <w:tcW w:w="10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120" w:hanging="317"/>
        <w:spacing w:after="0" w:line="25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$27.1 million of the available borrowing capacity could be used at September 30, 2024 based on the amount of eligible collateral that could be pledged on a committed basis.</w:t>
      </w:r>
    </w:p>
    <w:p>
      <w:pPr>
        <w:spacing w:after="0" w:line="1" w:lineRule="exact"/>
        <w:rPr>
          <w:rFonts w:ascii="Times New Roman" w:cs="Times New Roman" w:eastAsia="Times New Roman" w:hAnsi="Times New Roman"/>
          <w:sz w:val="16"/>
          <w:szCs w:val="16"/>
          <w:color w:val="auto"/>
        </w:rPr>
      </w:pPr>
    </w:p>
    <w:p>
      <w:pPr>
        <w:jc w:val="both"/>
        <w:ind w:left="320" w:right="220" w:hanging="317"/>
        <w:spacing w:after="0" w:line="241"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certain related MSRs. Onity guarantees the obligations of PHH under this facility. See Note 2 – Securitizations and Variable Interest Entities for additional information. We are subject to daily margining requirements under the terms of the facility. In September 2024, the maturity date was extended to September 11, 2025 and the borrowing capacity was increased to $500.0 million.</w:t>
      </w:r>
    </w:p>
    <w:p>
      <w:pPr>
        <w:spacing w:after="0" w:line="1" w:lineRule="exact"/>
        <w:rPr>
          <w:rFonts w:ascii="Times New Roman" w:cs="Times New Roman" w:eastAsia="Times New Roman" w:hAnsi="Times New Roman"/>
          <w:sz w:val="16"/>
          <w:szCs w:val="16"/>
          <w:color w:val="auto"/>
        </w:rPr>
      </w:pPr>
    </w:p>
    <w:p>
      <w:pPr>
        <w:ind w:left="320" w:right="40" w:hanging="317"/>
        <w:spacing w:after="0" w:line="241"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the related Ginnie Mae MSRs and servicing advances. Onity guarantees the obligations of PHH under the facility. We are subject to daily margining requirements under the terms of the facility. In March 2024, the maturity date was extended to February 25, 2025 and the uncommitted borrowing capacity was increased to $300.0 million.</w:t>
      </w:r>
    </w:p>
    <w:p>
      <w:pPr>
        <w:spacing w:after="0" w:line="1" w:lineRule="exact"/>
        <w:rPr>
          <w:rFonts w:ascii="Times New Roman" w:cs="Times New Roman" w:eastAsia="Times New Roman" w:hAnsi="Times New Roman"/>
          <w:sz w:val="16"/>
          <w:szCs w:val="16"/>
          <w:color w:val="auto"/>
        </w:rPr>
      </w:pPr>
    </w:p>
    <w:p>
      <w:pPr>
        <w:ind w:left="320" w:right="80" w:hanging="317"/>
        <w:spacing w:after="0" w:line="24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Onity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1" w:lineRule="exact"/>
        <w:rPr>
          <w:rFonts w:ascii="Times New Roman" w:cs="Times New Roman" w:eastAsia="Times New Roman" w:hAnsi="Times New Roman"/>
          <w:sz w:val="16"/>
          <w:szCs w:val="16"/>
          <w:color w:val="auto"/>
        </w:rPr>
      </w:pPr>
    </w:p>
    <w:p>
      <w:pPr>
        <w:ind w:left="320" w:right="60" w:hanging="317"/>
        <w:spacing w:after="0" w:line="275" w:lineRule="auto"/>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PHH entered into a $34.0 million repurchase agreement pursuant to which PHH sold the membership interest certificate representing 100% of the limited liability company interests in PLS Issuer and has agreed to repurchase such membership interest certificate at a specified future date at the price set forth in the repurchase agreement. Onity guarantees the obligations of PHH under the facility subject to the terms and conditions set forth in the guaranty. We are subject to daily margining requirements under the terms of the facility. Refer to Note 2 – Securitizations and Variable Interest Entities for additional information regarding PLS Issuer and the PLS Notes.</w:t>
      </w:r>
    </w:p>
    <w:p>
      <w:pPr>
        <w:spacing w:after="0" w:line="1" w:lineRule="exact"/>
        <w:rPr>
          <w:rFonts w:ascii="Times New Roman" w:cs="Times New Roman" w:eastAsia="Times New Roman" w:hAnsi="Times New Roman"/>
          <w:sz w:val="14"/>
          <w:szCs w:val="14"/>
          <w:color w:val="auto"/>
        </w:rPr>
      </w:pPr>
    </w:p>
    <w:p>
      <w:pPr>
        <w:ind w:left="320" w:right="320" w:hanging="317"/>
        <w:spacing w:after="0" w:line="242"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is secured by a lien on certain of PHH’s Agency MSRs and is subject to daily margining requirements. Any outstanding borrowings on the revolving loan will convert into a term loan on February 27, 2025.</w:t>
      </w:r>
    </w:p>
    <w:p>
      <w:pPr>
        <w:ind w:left="320" w:right="520" w:hanging="317"/>
        <w:spacing w:after="0" w:line="24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2024 and December 31, 2023, unamortized prepaid lender fees related to revolving-type MSR financing facilities were $2.7 million and $3.6 million, respectively, and are included in Other assets in our consolidated balance sheets.</w:t>
      </w:r>
    </w:p>
    <w:p>
      <w:pPr>
        <w:ind w:left="320" w:hanging="317"/>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excludes the effect of the amortization of debt issuance costs and prepaid lender fees.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27"/>
        </w:trPr>
        <w:tc>
          <w:tcPr>
            <w:tcW w:w="5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0" w:type="dxa"/>
            <w:vAlign w:val="bottom"/>
          </w:tcPr>
          <w:p>
            <w:pPr>
              <w:spacing w:after="0"/>
              <w:rPr>
                <w:sz w:val="13"/>
                <w:szCs w:val="13"/>
                <w:color w:val="auto"/>
              </w:rPr>
            </w:pPr>
          </w:p>
        </w:tc>
        <w:tc>
          <w:tcPr>
            <w:tcW w:w="14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5160" w:type="dxa"/>
            <w:vAlign w:val="bottom"/>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PMC Senior Secured Notes (2)</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7.875%</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5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12% paid in cash or</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5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13.25% paid-in-</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Onity Senior Secured Notes (due to related parties) (3)</w:t>
            </w:r>
          </w:p>
        </w:tc>
        <w:tc>
          <w:tcPr>
            <w:tcW w:w="15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kind (see below)</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March 2027</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Principal balance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574.1</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Onity Senior Secured Notes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0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effect of the amortization of debt issuance costs and discount.</w:t>
      </w:r>
    </w:p>
    <w:p>
      <w:pPr>
        <w:spacing w:after="0" w:line="16" w:lineRule="exact"/>
        <w:rPr>
          <w:rFonts w:ascii="Times New Roman" w:cs="Times New Roman" w:eastAsia="Times New Roman" w:hAnsi="Times New Roman"/>
          <w:sz w:val="16"/>
          <w:szCs w:val="16"/>
          <w:color w:val="auto"/>
        </w:rPr>
      </w:pPr>
    </w:p>
    <w:p>
      <w:pPr>
        <w:ind w:left="320" w:right="40" w:hanging="317"/>
        <w:spacing w:after="0" w:line="243"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101.969% before March 15, 2025, at par thereafter. The Indenture contains customary covenants for debt securities of this type that limit the ability of PHH Corporation and its restricted subsidiaries (including PHH) to, among other things, (i) incur or guarantee additional indebtedness, (ii) incur liens, (iii) pay dividends on or make distributions in respect of PHH Corporation’s capital stock or make other restricted payments, (iv) make investments, (v) consolidate, merge, sell or otherwise dispose of certain assets, and (vi) enter into transactions with Onity’s affiliates.</w:t>
      </w:r>
    </w:p>
    <w:p>
      <w:pPr>
        <w:spacing w:after="0" w:line="1" w:lineRule="exact"/>
        <w:rPr>
          <w:rFonts w:ascii="Times New Roman" w:cs="Times New Roman" w:eastAsia="Times New Roman" w:hAnsi="Times New Roman"/>
          <w:sz w:val="16"/>
          <w:szCs w:val="16"/>
          <w:color w:val="auto"/>
        </w:rPr>
      </w:pPr>
    </w:p>
    <w:p>
      <w:pPr>
        <w:ind w:left="320" w:right="120" w:hanging="317"/>
        <w:spacing w:after="0" w:line="244"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par plus a make-whole premium prior to March 4, 2026, at par thereafter. The make-whole premium represents the present value of all scheduled interest payments due through March 4, 2026. The Notes are solely the obligation of Onity and are secured by a pledge of substantially all of the assets of Onity, including a pledge of the equity of Onity’s directly held subsidiaries. See Note 11 - Investment in Equity Method Investee and Related Party Transactions.</w:t>
      </w:r>
    </w:p>
    <w:p>
      <w:pPr>
        <w:spacing w:after="0" w:line="7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During March and September 2024, we repurchased a total of $47.4 million and $23.5 million, respectively, of the PMC Senior Secured Notes for a price of $45.5 million and $23.0 million, and recognized a gain of $1.4 million and $0.3 million on debt extinguishment, net of the associated write-off of unamortized discount and debt issuance costs.</w:t>
      </w:r>
    </w:p>
    <w:p>
      <w:pPr>
        <w:spacing w:after="0" w:line="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On November 6, 2024, Onity issued $500 million aggregate principal amount of 9.875% Senior Notes due 2029 at a price of 99.556% of the principal amount. Upon release of funds from escrow, the net proceeds from the offering will be used, together with the net proceeds from the MAV Sale and available liquidity, to redeem all of the outstanding PMC Senior Secured Notes and Onity Senior Secured Notes described above, refer to Note 22 – Subsequent Events.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On October 21, 2024, Moody’s assigned a Caa1 rating to the new $500 million PHH Corporation Senior Notes due in 2029 (See Note 22 – Subsequent Events). Moody’s also assigned a B3 corporate family rating to Onity and withdrew the B3 corporate family rating of PHH Mortgage Corporation. The entities’ outlooks are stable.</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October 21, 2024, S&amp;P assigned a B- rating to the new $500 million PHH Corporation Senior Notes due in 2029 (See Note 22 – Subsequent Events). S&amp;P also affirmed the B- rating of Onity with a Stable Outlook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Under the terms of our debt agreements in effect as of September 30, 2024, we are subject to various affirmative and negative covenants. Collectively, these covenants include:</w:t>
      </w:r>
    </w:p>
    <w:p>
      <w:pPr>
        <w:spacing w:after="0" w:line="48"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2" w:name="page43"/>
    <w:bookmarkEnd w:id="42"/>
    <w:p>
      <w:pPr>
        <w:ind w:left="620"/>
        <w:spacing w:after="0" w:line="264" w:lineRule="auto"/>
        <w:rPr>
          <w:sz w:val="20"/>
          <w:szCs w:val="20"/>
          <w:color w:val="auto"/>
        </w:rPr>
      </w:pPr>
      <w:r>
        <w:rPr>
          <w:rFonts w:ascii="Times New Roman" w:cs="Times New Roman" w:eastAsia="Times New Roman" w:hAnsi="Times New Roman"/>
          <w:sz w:val="17"/>
          <w:szCs w:val="17"/>
          <w:color w:val="auto"/>
        </w:rPr>
        <w:t>its subsidiaries or of PHH Corporation or PHH and their respective subsidiaries, creating liens on assets to secure debt, and entering into transactions with affiliates;</w:t>
      </w:r>
    </w:p>
    <w:p>
      <w:pPr>
        <w:ind w:left="620" w:right="60" w:hanging="307"/>
        <w:spacing w:after="0" w:line="25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500" w:hanging="307"/>
        <w:spacing w:after="0" w:line="267"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Onity’s financial statements and the related audit report be unqualified as to going concern.</w:t>
      </w:r>
    </w:p>
    <w:p>
      <w:pPr>
        <w:spacing w:after="0" w:line="6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September 30, 2024, excluding additional Agency minimum requirements, is a minimum of $275.0 million and $300.0 million, tangible net worth for Onity and PHH, respectively. The most restrictive liquidity requirement under our debt agreements with borrowings outstanding at September 30, 2024, excluding additional Agency minimum requirements, is for a minimum of $75.0 million for both Onity and PHH consolidated liquidity. The minimum tangible net worth and liquidity requirements at PHH contained in some debt agreements are also subject to the minimum requirements set forth by the Agencies. See Note 19 – Regulatory Requirements.</w:t>
      </w:r>
    </w:p>
    <w:p>
      <w:pPr>
        <w:spacing w:after="0" w:line="70"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We believe we were in compliance with all of the covenants in our debt agreements as of the date of these unaudited consolidated financial statements. </w:t>
      </w:r>
      <w:r>
        <w:rPr>
          <w:rFonts w:ascii="Times New Roman" w:cs="Times New Roman" w:eastAsia="Times New Roman" w:hAnsi="Times New Roman"/>
          <w:sz w:val="17"/>
          <w:szCs w:val="17"/>
          <w:b w:val="1"/>
          <w:bCs w:val="1"/>
          <w:color w:val="auto"/>
        </w:rPr>
        <w:t>Collateral</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Our assets held as collateral for secured borrowings and other unencumbered assets which may be subject to a lien under various collateralized borrowings are as follows at September 30, 2024:</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160" w:type="dxa"/>
            <w:vAlign w:val="bottom"/>
          </w:tcPr>
          <w:p>
            <w:pPr>
              <w:spacing w:after="0"/>
              <w:rPr>
                <w:sz w:val="17"/>
                <w:szCs w:val="17"/>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Unencumbered</w:t>
            </w:r>
          </w:p>
        </w:tc>
        <w:tc>
          <w:tcPr>
            <w:tcW w:w="0" w:type="dxa"/>
            <w:vAlign w:val="bottom"/>
          </w:tcPr>
          <w:p>
            <w:pPr>
              <w:spacing w:after="0"/>
              <w:rPr>
                <w:sz w:val="1"/>
                <w:szCs w:val="1"/>
                <w:color w:val="auto"/>
              </w:rPr>
            </w:pPr>
          </w:p>
        </w:tc>
      </w:tr>
      <w:tr>
        <w:trPr>
          <w:trHeight w:val="233"/>
        </w:trPr>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 w:type="dxa"/>
            <w:vAlign w:val="bottom"/>
          </w:tcPr>
          <w:p>
            <w:pPr>
              <w:spacing w:after="0"/>
              <w:rPr>
                <w:sz w:val="20"/>
                <w:szCs w:val="20"/>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securitized (2)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3"/>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are pledged as collateral to the PMC Senior Secured Notes and Onity Senior Secured (second lien) Notes.</w:t>
      </w:r>
    </w:p>
    <w:p>
      <w:pPr>
        <w:spacing w:after="0" w:line="16" w:lineRule="exact"/>
        <w:rPr>
          <w:rFonts w:ascii="Times New Roman" w:cs="Times New Roman" w:eastAsia="Times New Roman" w:hAnsi="Times New Roman"/>
          <w:sz w:val="16"/>
          <w:szCs w:val="16"/>
          <w:color w:val="auto"/>
        </w:rPr>
      </w:pPr>
    </w:p>
    <w:p>
      <w:pPr>
        <w:ind w:left="320" w:right="60" w:hanging="317"/>
        <w:spacing w:after="0" w:line="243"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PHH’s default on its servicing obligations, or if the proceeds realized on HECMs are insufficient to repay all outstanding HMBS related obligations. Ginnie Mae has recourse to PHH in connection with certain claims relating to the performance and obligations of PHH as both issuer of HMBS and servicer of HECMs underlying HMBS.</w:t>
      </w:r>
    </w:p>
    <w:p>
      <w:pPr>
        <w:spacing w:after="0" w:line="1" w:lineRule="exact"/>
        <w:rPr>
          <w:rFonts w:ascii="Times New Roman" w:cs="Times New Roman" w:eastAsia="Times New Roman" w:hAnsi="Times New Roman"/>
          <w:sz w:val="16"/>
          <w:szCs w:val="16"/>
          <w:color w:val="auto"/>
        </w:rPr>
      </w:pPr>
    </w:p>
    <w:p>
      <w:pPr>
        <w:ind w:left="320" w:right="140" w:hanging="317"/>
        <w:spacing w:after="0" w:line="244"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transferred to MAV, Rithm and others, and associated Pledged MSR liability recorded as sale accounting criteria are not met. Pledged assets exceed the MSR asset balance primarily due to the netting of certain PLS MSR portfolios with negative and positive fair values as eligible collateral.</w:t>
      </w:r>
    </w:p>
    <w:p>
      <w:pPr>
        <w:ind w:left="320" w:right="200" w:hanging="317"/>
        <w:spacing w:after="0" w:line="238"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Onity. For example, the total excludes premises and equipment and certain other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3" w:name="page44"/>
    <w:bookmarkEnd w:id="43"/>
    <w:p>
      <w:pPr>
        <w:ind w:right="180"/>
        <w:spacing w:after="0" w:line="268" w:lineRule="auto"/>
        <w:rPr>
          <w:sz w:val="20"/>
          <w:szCs w:val="20"/>
          <w:color w:val="auto"/>
        </w:rPr>
      </w:pPr>
      <w:r>
        <w:rPr>
          <w:rFonts w:ascii="Times New Roman" w:cs="Times New Roman" w:eastAsia="Times New Roman" w:hAnsi="Times New Roman"/>
          <w:sz w:val="17"/>
          <w:szCs w:val="17"/>
          <w:color w:val="auto"/>
        </w:rPr>
        <w:t>The Onity Senior Secured Notes due 2027 have a second lien priority on specified security interests, as defined under the Onity Senior Secured Note Agreement and summarized in the table below, and have a priority lien on the following assets: investments by Onity in subsidiaries not guaranteeing the PMC Senior Secured Notes, including PHH Corporation and MAV; cash and investment accounts at Onity; and certain other assets, including receivables.</w:t>
      </w:r>
    </w:p>
    <w:tbl>
      <w:tblPr>
        <w:tblLayout w:type="fixed"/>
        <w:tblInd w:w="0" w:type="dxa"/>
        <w:tblCellMar>
          <w:top w:w="0" w:type="dxa"/>
          <w:left w:w="0" w:type="dxa"/>
          <w:bottom w:w="0" w:type="dxa"/>
          <w:right w:w="0" w:type="dxa"/>
        </w:tblCellMar>
      </w:tblPr>
      <w:tr>
        <w:trPr>
          <w:trHeight w:val="227"/>
        </w:trPr>
        <w:tc>
          <w:tcPr>
            <w:tcW w:w="97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0" w:type="dxa"/>
            <w:vAlign w:val="bottom"/>
          </w:tcPr>
          <w:p>
            <w:pPr>
              <w:spacing w:after="0"/>
              <w:rPr>
                <w:sz w:val="1"/>
                <w:szCs w:val="1"/>
                <w:color w:val="auto"/>
              </w:rPr>
            </w:pPr>
          </w:p>
        </w:tc>
      </w:tr>
      <w:tr>
        <w:trPr>
          <w:trHeight w:val="21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net servicing advances</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156.4</w:t>
            </w:r>
          </w:p>
        </w:tc>
        <w:tc>
          <w:tcPr>
            <w:tcW w:w="0" w:type="dxa"/>
            <w:vAlign w:val="bottom"/>
          </w:tcPr>
          <w:p>
            <w:pPr>
              <w:spacing w:after="0"/>
              <w:rPr>
                <w:sz w:val="1"/>
                <w:szCs w:val="1"/>
                <w:color w:val="auto"/>
              </w:rPr>
            </w:pPr>
          </w:p>
        </w:tc>
      </w:tr>
      <w:tr>
        <w:trPr>
          <w:trHeight w:val="220"/>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deferred servicing fee</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MSR value less borrowings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720.3</w:t>
            </w:r>
          </w:p>
        </w:tc>
        <w:tc>
          <w:tcPr>
            <w:tcW w:w="0" w:type="dxa"/>
            <w:vAlign w:val="bottom"/>
          </w:tcPr>
          <w:p>
            <w:pPr>
              <w:spacing w:after="0"/>
              <w:rPr>
                <w:sz w:val="1"/>
                <w:szCs w:val="1"/>
                <w:color w:val="auto"/>
              </w:rPr>
            </w:pPr>
          </w:p>
        </w:tc>
      </w:tr>
      <w:tr>
        <w:trPr>
          <w:trHeight w:val="220"/>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unrestricted cash balances</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22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advance facility reserves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0"/>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loan value</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2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residual value</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9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1,045.1</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Note 14 – Other Liabilities</w:t>
            </w: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97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to Rithm - Advance collections and servicing fees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Checks held for escheat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Servicing-related obligations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for indemnification obligations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fees and settlements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uncertain tax positions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payable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related payables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unfunded pension obligation and India gratuity plan</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insurance premium payable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purchase price holdback</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Excess servicing fee spread payable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3"/>
        </w:trPr>
        <w:tc>
          <w:tcPr>
            <w:tcW w:w="8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0"/>
        </w:trPr>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7"/>
          <w:szCs w:val="17"/>
          <w:b w:val="1"/>
          <w:bCs w:val="1"/>
          <w:color w:val="auto"/>
        </w:rPr>
        <w:t>Note 15 – Derivative Financial Instruments and Hedging Activities</w:t>
      </w:r>
    </w:p>
    <w:p>
      <w:pPr>
        <w:spacing w:after="0" w:line="31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nine months ended September 30, 2024 and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 (Other assets)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 2024 -</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 May 2024</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 2024 -</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1,818.6</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 2024 -</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Forward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2024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shd w:val="clear" w:color="auto" w:fill="CCEEFF"/>
          </w:tcPr>
          <w:p>
            <w:pPr>
              <w:ind w:left="12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3,171.1</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3,978.7</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 (Other liabilities)</w:t>
            </w: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 2024 -</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854.9</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Forward loans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8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unaudited consolidated statements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7"/>
                <w:szCs w:val="17"/>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2500" w:type="dxa"/>
            <w:vAlign w:val="bottom"/>
            <w:gridSpan w:val="5"/>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c>
          <w:tcPr>
            <w:tcW w:w="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c>
          <w:tcPr>
            <w:tcW w:w="0" w:type="dxa"/>
            <w:vAlign w:val="bottom"/>
          </w:tcPr>
          <w:p>
            <w:pPr>
              <w:spacing w:after="0"/>
              <w:rPr>
                <w:sz w:val="1"/>
                <w:szCs w:val="1"/>
                <w:color w:val="auto"/>
              </w:rPr>
            </w:pPr>
          </w:p>
        </w:tc>
      </w:tr>
      <w:tr>
        <w:trPr>
          <w:trHeight w:val="20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Forward trades (economically hedging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 (Economic</w:t>
            </w:r>
          </w:p>
        </w:tc>
        <w:tc>
          <w:tcPr>
            <w:tcW w:w="0" w:type="dxa"/>
            <w:vAlign w:val="bottom"/>
          </w:tcPr>
          <w:p>
            <w:pPr>
              <w:spacing w:after="0"/>
              <w:rPr>
                <w:sz w:val="1"/>
                <w:szCs w:val="1"/>
                <w:color w:val="auto"/>
              </w:rPr>
            </w:pPr>
          </w:p>
        </w:tc>
      </w:tr>
      <w:tr>
        <w:trPr>
          <w:trHeight w:val="168"/>
        </w:trPr>
        <w:tc>
          <w:tcPr>
            <w:tcW w:w="2920" w:type="dxa"/>
            <w:vAlign w:val="bottom"/>
          </w:tcPr>
          <w:p>
            <w:pPr>
              <w:ind w:left="100"/>
              <w:spacing w:after="0" w:line="168" w:lineRule="exact"/>
              <w:rPr>
                <w:sz w:val="20"/>
                <w:szCs w:val="20"/>
                <w:color w:val="auto"/>
              </w:rPr>
            </w:pPr>
            <w:r>
              <w:rPr>
                <w:rFonts w:ascii="Times New Roman" w:cs="Times New Roman" w:eastAsia="Times New Roman" w:hAnsi="Times New Roman"/>
                <w:sz w:val="17"/>
                <w:szCs w:val="17"/>
                <w:color w:val="auto"/>
              </w:rPr>
              <w:t>forward pipeline trades and EBO</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pipeline)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hedge)</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 (Economic</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7"/>
                <w:szCs w:val="17"/>
                <w:color w:val="auto"/>
              </w:rPr>
              <w:t>forward pipeline trades and EBO</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pipeline)</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hedge)</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rate futures, TBA trades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2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interest rate option contracts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(economically hedging MSR)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0" w:type="dxa"/>
            <w:vAlign w:val="bottom"/>
          </w:tcPr>
          <w:p>
            <w:pPr>
              <w:spacing w:after="0"/>
              <w:rPr>
                <w:sz w:val="1"/>
                <w:szCs w:val="1"/>
                <w:color w:val="auto"/>
              </w:rPr>
            </w:pPr>
          </w:p>
        </w:tc>
      </w:tr>
      <w:tr>
        <w:trPr>
          <w:trHeight w:val="23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16"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 In April 2024, we changed the risk measure to a dollar DV01 that resulted in an equivalent range of approximately 90% to 110%.</w:t>
      </w:r>
    </w:p>
    <w:p>
      <w:pPr>
        <w:spacing w:after="0" w:line="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6" w:name="page47"/>
    <w:bookmarkEnd w:id="46"/>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p>
    <w:p>
      <w:pPr>
        <w:spacing w:after="0" w:line="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18 – Business Segment Reporting for the amount of such reclassification). Such inter-segment derivatives are eliminated in our consolidated financial statements.</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60" w:firstLine="3"/>
        <w:spacing w:after="0" w:line="256" w:lineRule="auto"/>
        <w:tabs>
          <w:tab w:leader="none" w:pos="20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16 – Interest Expense</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672"/>
        </w:trPr>
        <w:tc>
          <w:tcPr>
            <w:tcW w:w="4840" w:type="dxa"/>
            <w:vAlign w:val="bottom"/>
          </w:tcPr>
          <w:p>
            <w:pPr>
              <w:spacing w:after="0"/>
              <w:rPr>
                <w:sz w:val="24"/>
                <w:szCs w:val="24"/>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24"/>
                <w:szCs w:val="24"/>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Onity Senior Secured Notes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right="40" w:hanging="317"/>
        <w:spacing w:after="0" w:line="273"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issued to Oaktree affiliates, inclusive of amortization of debt issuance costs and discount of $2.9 million and $8.5 million for the three and nine months ended September 30, 2024, respectively, and $2.4 million and $7.1 million for the three and nine months ended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-36195</wp:posOffset>
            </wp:positionV>
            <wp:extent cx="24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7"/>
          <w:szCs w:val="17"/>
          <w:b w:val="1"/>
          <w:bCs w:val="1"/>
          <w:color w:val="auto"/>
        </w:rPr>
        <w:t>Note 17 – Basic and Diluted Earnings (Loss) per Share</w:t>
      </w:r>
    </w:p>
    <w:p>
      <w:pPr>
        <w:spacing w:after="0" w:line="2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Onity common stockholders by the weighted average number of common shares outstanding during the period. We calculate diluted earnings or loss per share by dividing net income or loss attributable to Onity by the weighted average number of common shares outstanding including the potential dilutive common shares related to outstanding restricted stock awards, stock options and warrants as determined using the treasury stock method. For the nine months ended September 30, 2023, we have excluded the effect of all stock options, common stock awards, and warrants from the computation of diluted loss per share because of the anti-dilutive effect of our reported net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(loss) per share</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155"/>
        </w:trPr>
        <w:tc>
          <w:tcPr>
            <w:tcW w:w="4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7,860,572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7,621,569</w:t>
            </w:r>
          </w:p>
        </w:tc>
      </w:tr>
      <w:tr>
        <w:trPr>
          <w:trHeight w:val="155"/>
        </w:trPr>
        <w:tc>
          <w:tcPr>
            <w:tcW w:w="4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55"/>
        </w:trPr>
        <w:tc>
          <w:tcPr>
            <w:tcW w:w="4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(loss) per share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155"/>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7,621,569</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warrants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8,055,393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8,060,078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8,006,981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7,621,569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55"/>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4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computation of diluted earnings (loss) per share</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Anti-dilutive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61,425</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Market-based (2)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61,354</w:t>
            </w:r>
          </w:p>
        </w:tc>
      </w:tr>
    </w:tbl>
    <w:p>
      <w:pPr>
        <w:spacing w:after="0" w:line="117" w:lineRule="exact"/>
        <w:rPr>
          <w:sz w:val="20"/>
          <w:szCs w:val="20"/>
          <w:color w:val="auto"/>
        </w:rPr>
      </w:pPr>
    </w:p>
    <w:p>
      <w:pPr>
        <w:ind w:left="320" w:hanging="317"/>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Onity’s stock price.</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18 – Business Segment Reporting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segments reflect the internal reporting that our Chief Executive Officer uses to evaluate our operating and financial performance and to assess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allocation of our resources. Our current reportable business segments consist of Servicing, Originations, and Corporate Items and Other. During the three months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September 30, 2024, there have been no changes to our business segments as disclosed in our Annual Report on Form 10-K for the year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Effective in the fourth quarter of 2023, the Servicing segment includes CR Limited (CRL), our wholly-owned captive reinsurance subsidiary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previously included in the Corporate Items and Other segment. Segment results for the three and nine months ended September 30, 2023 have been recast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conform to the current segment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3"/>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103"/>
        </w:trPr>
        <w:tc>
          <w:tcPr>
            <w:tcW w:w="4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83"/>
        </w:trPr>
        <w:tc>
          <w:tcPr>
            <w:tcW w:w="48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8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626.5</w:t>
            </w:r>
          </w:p>
        </w:tc>
        <w:tc>
          <w:tcPr>
            <w:tcW w:w="0" w:type="dxa"/>
            <w:vAlign w:val="bottom"/>
          </w:tcPr>
          <w:p>
            <w:pPr>
              <w:spacing w:after="0"/>
              <w:rPr>
                <w:sz w:val="1"/>
                <w:szCs w:val="1"/>
                <w:color w:val="auto"/>
              </w:rPr>
            </w:pPr>
          </w:p>
        </w:tc>
      </w:tr>
      <w:tr>
        <w:trPr>
          <w:trHeight w:val="168"/>
        </w:trPr>
        <w:tc>
          <w:tcPr>
            <w:tcW w:w="488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707.5</w:t>
            </w:r>
          </w:p>
        </w:tc>
        <w:tc>
          <w:tcPr>
            <w:tcW w:w="0" w:type="dxa"/>
            <w:vAlign w:val="bottom"/>
          </w:tcPr>
          <w:p>
            <w:pPr>
              <w:spacing w:after="0"/>
              <w:rPr>
                <w:sz w:val="1"/>
                <w:szCs w:val="1"/>
                <w:color w:val="auto"/>
              </w:rPr>
            </w:pPr>
          </w:p>
        </w:tc>
      </w:tr>
      <w:tr>
        <w:trPr>
          <w:trHeight w:val="168"/>
        </w:trPr>
        <w:tc>
          <w:tcPr>
            <w:tcW w:w="488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Gain (loss)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20"/>
        </w:trPr>
        <w:tc>
          <w:tcPr>
            <w:tcW w:w="4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789.4</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2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80" w:type="dxa"/>
            <w:vAlign w:val="bottom"/>
          </w:tcPr>
          <w:p>
            <w:pPr>
              <w:spacing w:after="0"/>
              <w:rPr>
                <w:sz w:val="16"/>
                <w:szCs w:val="16"/>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06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19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13,226.7</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Regulatory Requirements</w:t>
      </w:r>
    </w:p>
    <w:p>
      <w:pPr>
        <w:spacing w:after="0" w:line="3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the Department of Housing and Urban Development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Home Mortgage Disclosure Act (HMDA), the Federal Trade Commission Act,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60"/>
        <w:spacing w:after="0" w:line="258" w:lineRule="auto"/>
        <w:rPr>
          <w:sz w:val="20"/>
          <w:szCs w:val="20"/>
          <w:color w:val="auto"/>
        </w:rPr>
      </w:pPr>
      <w:r>
        <w:rPr>
          <w:rFonts w:ascii="Times New Roman" w:cs="Times New Roman" w:eastAsia="Times New Roman" w:hAnsi="Times New Roman"/>
          <w:sz w:val="17"/>
          <w:szCs w:val="17"/>
          <w:color w:val="auto"/>
        </w:rPr>
        <w:t>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w:t>
      </w:r>
    </w:p>
    <w:p>
      <w:pPr>
        <w:spacing w:after="0" w:line="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64"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We are also subject to seller/servicer obligations under agreements with the GSEs, HUD, FHA, VA and Ginnie Mae, including capital requirements related to tangible net worth, as defined by the applicable agency, liquidity requirements, an obligation to provide audited financial statements within 90 days of the applicable entity’s fiscal year end as well as extensive requirements regarding servicing, selling and other matters. PHH’s minimum financial eligibility requirements for GSE seller/servicers and Ginnie Mae issuers were updated by the GSEs and Ginnie Mae effective September 30, 2023.</w:t>
      </w:r>
    </w:p>
    <w:p>
      <w:pPr>
        <w:spacing w:after="0" w:line="67"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We believe our licensed entities were in compliance with all of their minimum net worth and liquidity requirements at September 30, 2024. Our non-Agency servicing agreements also contain requirements regarding servicing practices and other matters, and a failure to comply with these requirements could have a material adverse impact on our business.</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most restrictive of the various net worth and liquidity requirements for licensing and seller/servicer obligations referenced above are mostly based on the UPB of assets serviced by PHH. Under the applicable formula, the required minimum net worth was $431.7 million at September 30, 2024. PHH’s adjusted net worth was $578.1 million at September 30, 2024. The most restrictive of the various liquidity requirements for licensing and seller/servicer obligations referenced above pertains to PHH and the required minimum liquidity was $118.8 million at September 30, 2024. PHH’s eligible liquidity, as defined, for licensing and seller/servicer obligations was $244.3 million at September 30, 2024.</w:t>
      </w:r>
    </w:p>
    <w:p>
      <w:pPr>
        <w:spacing w:after="0" w:line="7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September 30, 2024. On September 26, 2024, Ginnie Mae issued a waiver extending the deadline by which PHH must meet the risk-based capital ratio requirements to May 1, 2025. We are currently implementing certain actions intended to achieve compliance with the requirements.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We operate pursuant to certain regulatory requirements with the NY DFS, including obligations arising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 consent order entered into in March 2017 (the NY Consent Order) and the terms of the NY DFS’ conditional approval in September 2018 of our acquisition of PHH Corporation. The conditional approval restricts our ability to acquire MSRs with respect to New York loans, so that Onity may not increase its aggregate portfolio of New York loans serviced or subserviced by Onity by more than 2% per year. This restriction will remain in place until the NY DFS determines that all loans serviced on the Onity legacy REALServicing system have been successfully migrated to Black Knight MSP and that Onity has developed a satisfactory infrastructure to board sizable portfolios of MSRs. We transferred all loans onto Black Knight MSP in 2019 and have not serviced any loans on the REALServicing system since then. We continue to work with the NY DFS to address matters they raise with us as well as to fulfill our commitments under the NY Consent Order and PHH Corporation acquisition conditional approval. We believe we have complied with all terms of the PHH Corporation acquisition conditional approval and the NY Consent Order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7"/>
          <w:szCs w:val="17"/>
          <w:b w:val="1"/>
          <w:bCs w:val="1"/>
          <w:color w:val="auto"/>
        </w:rPr>
        <w:t>Note 20 — Commitments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$1.8 billion at September 30,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additional borrowing capacity is available on a scheduled or unscheduled payment basis. During the nine months ended September 30, 2024, we funded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$179.1 million out of the $1.8 billion borrowing capacity as of December 31, 2023. We also had short-term commitments to lend $1.7 billion and $26.9 million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connection with our forward and reverse mortgage loan IRLCs, respectively, outstanding at September 30, 2024. We finance originated and purchased forward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reverse mortgage loans with repurchase and participation agreements, also referred to as warehouse lines, prior to their respective securitization.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September 30,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less than 92% MCA</w:t>
            </w: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7,236.1</w:t>
            </w:r>
          </w:p>
        </w:tc>
      </w:tr>
      <w:tr>
        <w:trPr>
          <w:trHeight w:val="220"/>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92% and less than 95% MCA</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95% MCA and less than 98% MCA</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r>
      <w:tr>
        <w:trPr>
          <w:trHeight w:val="213"/>
        </w:trPr>
        <w:tc>
          <w:tcPr>
            <w:tcW w:w="9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Securitized HECM loans UPB</w:t>
            </w: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7,772.9</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For the nine months ended September 30, 2024 and 2023, we repurchased HECM loans from Ginnie Mae securitizations in the amount of $125.0 million and $224.9 million, respectively. Activity with regard to HMBS repurchases for the nine months ended September 30, 2024 is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Active</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Recoveries, net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134.4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w:t>
            </w:r>
          </w:p>
        </w:tc>
      </w:tr>
      <w:tr>
        <w:trPr>
          <w:trHeight w:val="20"/>
        </w:trPr>
        <w:tc>
          <w:tcPr>
            <w:tcW w:w="6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Includes amounts received upon assignment of loan to HUD, loan payoff, REO liquidation and claim proceeds less any amounts charged off as unrecoverable.</w:t>
      </w:r>
    </w:p>
    <w:p>
      <w:pPr>
        <w:spacing w:after="0" w:line="96"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subservicing clients bear the financial obligation and risks associated with purchasing loans out of securitization pools within the portfolio of loans we subservice.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Concentration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For the nine months ended September 30, 2024, servicing and subservicing fees from Rithm amounted to $73.5 million, or 16% of total servicing and subservicing fees (excluding ancillary income). In addition, the related Rithm Pledged MSR liability expense amounted to $27.6 million for the nine months ended September 30, 2024. As of September 30, 2024, Rithm represented $42.2 billion, or 14% of the UPB and 25% of the loan count of our total servicing and subservicing portfolio, and approximately 64% of all delinquent loans that Onity services. Our Subservicing Agreements and Servicing Addendum with Rithm provide for automatic one-year renewals, unless Onity or Rithm provide advance notice of termination. Onity and Rithm did not provide their respective notice of termination by July 1, 2024 and October 1, 2024. Onity and Rithm agreed to extend Rithm’s termination rights with respect to its subservicing agreements ($32.9 billion UPB) from October 1, 2024 through November 15, 2024. In addition, Onity and Rithm agreed to extend the current terms of the subservicing agreements with Rithm through February 1, 2025, with subsequent, automatic one-year renewals. Rithm’s termination rights with respect to the RMSR agreement were not extended; accordingly, as Rithm did not give notice of termination by October 1, 2024, the RMSR agreement ($9.3 billion UPB) will continue for an additional one-year term ending December 31, 2025. In connection with the RSMR agreement, we reported $38.8 million servicing fees and $27.6 million of Pledged MSR liability expense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54" w:name="page55"/>
    <w:bookmarkEnd w:id="54"/>
    <w:p>
      <w:pPr>
        <w:ind w:right="140"/>
        <w:spacing w:after="0" w:line="262" w:lineRule="auto"/>
        <w:rPr>
          <w:sz w:val="20"/>
          <w:szCs w:val="20"/>
          <w:color w:val="auto"/>
        </w:rPr>
      </w:pPr>
      <w:r>
        <w:rPr>
          <w:rFonts w:ascii="Times New Roman" w:cs="Times New Roman" w:eastAsia="Times New Roman" w:hAnsi="Times New Roman"/>
          <w:sz w:val="17"/>
          <w:szCs w:val="17"/>
          <w:color w:val="auto"/>
        </w:rPr>
        <w:t>If Rithm exercises its right to terminate the subservicing agreements for convenience by November 15, 2024 or any of the agreements for cause at any time, we might need to right-size certain aspects of our servicing business as well as the related corporate support functions, and we may need to adjust our daily liquidity management due to the reduction of servicing float balances associated with the Rithm servicing agreements. The impacts to our consolidated statements of operations in connection with our Rithm agreements are disclosed in Note 8 — Other Financing Liabilities, at Fair Value. Other liabilities recorded on our consolidated balance sheets are disclosed in Note 14 – Other Liabilities. Also refer to Note 22 – Subsequent Events.</w:t>
      </w:r>
    </w:p>
    <w:p>
      <w:pPr>
        <w:spacing w:after="0" w:line="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addition, for the nine months ended September 30, 2024, servicing and subservicing fees from MAV amounted to $56.0 million or 12% of total servicing and subservicing fees (excluding ancillary income). In addition, the related MAV Pledged MSR liability expense amounted to $42.1 million for the nine months ended September 30, 2024. As of September 30, 2024, our servicing and subservicing portfolio with MAV represented $41.9 billion UPB, or 14% of the UPB and 11% of the loan count in our total servicing and subservicing portfolio. While our servicing agreement with MAV is non-cancellable and provides us with exclusivity, MAV is permitted to sell the underlying MSR without Onity’s consent. See Note 11 - Investment in Equity Method Investee and Related Party Transactions, Note 8 — Other Financing Liabilities, at Fair Value and Note 22 – Subsequent Events.</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Contingencies</w:t>
      </w:r>
    </w:p>
    <w:p>
      <w:pPr>
        <w:spacing w:after="0" w:line="3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Onity against certain current or former officers and directors or others, and those brought under the False Claims Act by private citizens on behalf of the U.S. In addition, we may be a party or potential party to threatened or pending legal proceedings involving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applicable taxing authorities, and parties who provide or provided consulting, subservicing, or other services to Onity.</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claims related to untimely recording of mortgage satisfactions, and claims related to tax deficiencies owed by and tax refunds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55" w:name="page56"/>
    <w:bookmarkEnd w:id="55"/>
    <w:p>
      <w:pPr>
        <w:spacing w:after="0" w:line="259" w:lineRule="auto"/>
        <w:rPr>
          <w:sz w:val="20"/>
          <w:szCs w:val="20"/>
          <w:color w:val="auto"/>
        </w:rPr>
      </w:pPr>
      <w:r>
        <w:rPr>
          <w:rFonts w:ascii="Times New Roman" w:cs="Times New Roman" w:eastAsia="Times New Roman" w:hAnsi="Times New Roman"/>
          <w:sz w:val="17"/>
          <w:szCs w:val="17"/>
          <w:color w:val="auto"/>
        </w:rPr>
        <w:t>due to us.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(5) we failed to subservice loans appropriately pursuant to subservicing and other agreements, and (6) we did not comply with specific state and federal wage and hour laws for certain non-exempt employees. In the future, we are likely to become subject to other private legal proceedings alleging failures to comply with applicable laws and regulations, including putative class actions, in the ordinary course of our business.</w:t>
      </w:r>
    </w:p>
    <w:p>
      <w:pPr>
        <w:spacing w:after="0" w:line="74"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$16.3 million at September 30, 2024. We cannot currently estimate the amount, if any, of reasonably possible losses above amounts that have been recorded at September 30, 2024.</w:t>
      </w:r>
    </w:p>
    <w:p>
      <w:pPr>
        <w:spacing w:after="0" w:line="7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 xml:space="preserve">As previously disclosed, we are subject to individual lawsuits relating to our FDCPA compliance and putative state law class actions based on the FDCPA and similar state statutes. We are currently defending a class action lawsuit challenging, under state and federal law, our practice of charging borrowers a fee to use certain optional payment methods, in </w:t>
      </w:r>
      <w:r>
        <w:rPr>
          <w:rFonts w:ascii="Times New Roman" w:cs="Times New Roman" w:eastAsia="Times New Roman" w:hAnsi="Times New Roman"/>
          <w:sz w:val="17"/>
          <w:szCs w:val="17"/>
          <w:i w:val="1"/>
          <w:iCs w:val="1"/>
          <w:color w:val="auto"/>
        </w:rPr>
        <w:t>Jones v. PHH Mortg. Corp., et al.</w:t>
      </w:r>
      <w:r>
        <w:rPr>
          <w:rFonts w:ascii="Times New Roman" w:cs="Times New Roman" w:eastAsia="Times New Roman" w:hAnsi="Times New Roman"/>
          <w:sz w:val="17"/>
          <w:szCs w:val="17"/>
          <w:color w:val="auto"/>
        </w:rPr>
        <w:t xml:space="preserve"> (D. NJ), which we have filed a motion to dismiss. On July 23, 2024, the court granted the motion in part, dismissing the majority of the claims. Onity filed an answer to the surviving claims on August 14, 2024. In addition, between November 2022 and June 2023, we settled the previously disclosed cases of </w:t>
      </w:r>
      <w:r>
        <w:rPr>
          <w:rFonts w:ascii="Times New Roman" w:cs="Times New Roman" w:eastAsia="Times New Roman" w:hAnsi="Times New Roman"/>
          <w:sz w:val="17"/>
          <w:szCs w:val="17"/>
          <w:i w:val="1"/>
          <w:iCs w:val="1"/>
          <w:color w:val="auto"/>
        </w:rPr>
        <w:t>Morris v. PHH Mortg. Corp., et al.</w:t>
      </w:r>
      <w:r>
        <w:rPr>
          <w:rFonts w:ascii="Times New Roman" w:cs="Times New Roman" w:eastAsia="Times New Roman" w:hAnsi="Times New Roman"/>
          <w:sz w:val="17"/>
          <w:szCs w:val="17"/>
          <w:color w:val="auto"/>
        </w:rPr>
        <w:t xml:space="preserve"> (S.D. FL), </w:t>
      </w:r>
      <w:r>
        <w:rPr>
          <w:rFonts w:ascii="Times New Roman" w:cs="Times New Roman" w:eastAsia="Times New Roman" w:hAnsi="Times New Roman"/>
          <w:sz w:val="17"/>
          <w:szCs w:val="17"/>
          <w:i w:val="1"/>
          <w:iCs w:val="1"/>
          <w:color w:val="auto"/>
        </w:rPr>
        <w:t>Torliatt v. PHH Mortg. Corp., et al.</w:t>
      </w:r>
      <w:r>
        <w:rPr>
          <w:rFonts w:ascii="Times New Roman" w:cs="Times New Roman" w:eastAsia="Times New Roman" w:hAnsi="Times New Roman"/>
          <w:sz w:val="17"/>
          <w:szCs w:val="17"/>
          <w:color w:val="auto"/>
        </w:rPr>
        <w:t xml:space="preserve"> (N.D. CA), </w:t>
      </w:r>
      <w:r>
        <w:rPr>
          <w:rFonts w:ascii="Times New Roman" w:cs="Times New Roman" w:eastAsia="Times New Roman" w:hAnsi="Times New Roman"/>
          <w:sz w:val="17"/>
          <w:szCs w:val="17"/>
          <w:i w:val="1"/>
          <w:iCs w:val="1"/>
          <w:color w:val="auto"/>
        </w:rPr>
        <w:t>Thacker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PHH Mortg. Corp., et al. </w:t>
      </w:r>
      <w:r>
        <w:rPr>
          <w:rFonts w:ascii="Times New Roman" w:cs="Times New Roman" w:eastAsia="Times New Roman" w:hAnsi="Times New Roman"/>
          <w:sz w:val="17"/>
          <w:szCs w:val="17"/>
          <w:color w:val="auto"/>
        </w:rPr>
        <w:t>(N.D. WV),</w:t>
      </w:r>
      <w:r>
        <w:rPr>
          <w:rFonts w:ascii="Times New Roman" w:cs="Times New Roman" w:eastAsia="Times New Roman" w:hAnsi="Times New Roman"/>
          <w:sz w:val="17"/>
          <w:szCs w:val="17"/>
          <w:i w:val="1"/>
          <w:iCs w:val="1"/>
          <w:color w:val="auto"/>
        </w:rPr>
        <w:t xml:space="preserve"> Forest v. PHH Mortg. Corp., et al. </w:t>
      </w:r>
      <w:r>
        <w:rPr>
          <w:rFonts w:ascii="Times New Roman" w:cs="Times New Roman" w:eastAsia="Times New Roman" w:hAnsi="Times New Roman"/>
          <w:sz w:val="17"/>
          <w:szCs w:val="17"/>
          <w:color w:val="auto"/>
        </w:rPr>
        <w:t>(D. RI), and</w:t>
      </w:r>
      <w:r>
        <w:rPr>
          <w:rFonts w:ascii="Times New Roman" w:cs="Times New Roman" w:eastAsia="Times New Roman" w:hAnsi="Times New Roman"/>
          <w:sz w:val="17"/>
          <w:szCs w:val="17"/>
          <w:i w:val="1"/>
          <w:iCs w:val="1"/>
          <w:color w:val="auto"/>
        </w:rPr>
        <w:t xml:space="preserve"> Williams v. PHH Mortg. Corp., et al. </w:t>
      </w:r>
      <w:r>
        <w:rPr>
          <w:rFonts w:ascii="Times New Roman" w:cs="Times New Roman" w:eastAsia="Times New Roman" w:hAnsi="Times New Roman"/>
          <w:sz w:val="17"/>
          <w:szCs w:val="17"/>
          <w:color w:val="auto"/>
        </w:rPr>
        <w:t>(S.D. TX).</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addition, we continue to be involved in legacy matters arising prior to Onity’s October 2018 acquisition of PHH Corporation, including a putative class action filed in 2008 in the United States District Court for the Eastern District of California against PHH and related entities alleging that PHH Corporation’s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 xml:space="preserve">Munoz v. PHH Mortgage Corp. et al. </w:t>
      </w:r>
      <w:r>
        <w:rPr>
          <w:rFonts w:ascii="Times New Roman" w:cs="Times New Roman" w:eastAsia="Times New Roman" w:hAnsi="Times New Roman"/>
          <w:sz w:val="17"/>
          <w:szCs w:val="17"/>
          <w:color w:val="auto"/>
        </w:rPr>
        <w:t>(Eastern District of California). In June 2015, the court certified a class of borrowers who obtained loans with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 Corporation’s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Onity will continue to vigorously defend itself. Our current accrual with respect to this matter is included in the $16.3 million legal and regulatory accrual referenced above. At this time, Onity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 xml:space="preserve">Onity is a defendant in a certified class action in the U.S. District Court in the Eastern District of California where the plaintiffs claim Onity marked up fees for property valuations and title searches in violation of California state law. See </w:t>
      </w:r>
      <w:r>
        <w:rPr>
          <w:rFonts w:ascii="Times New Roman" w:cs="Times New Roman" w:eastAsia="Times New Roman" w:hAnsi="Times New Roman"/>
          <w:sz w:val="17"/>
          <w:szCs w:val="17"/>
          <w:i w:val="1"/>
          <w:iCs w:val="1"/>
          <w:color w:val="auto"/>
        </w:rPr>
        <w:t>Weiner v. Ocwen Financial Corp., et al</w:t>
      </w:r>
      <w:r>
        <w:rPr>
          <w:rFonts w:ascii="Times New Roman" w:cs="Times New Roman" w:eastAsia="Times New Roman" w:hAnsi="Times New Roman"/>
          <w:sz w:val="17"/>
          <w:szCs w:val="17"/>
          <w:color w:val="auto"/>
        </w:rPr>
        <w:t xml:space="preserve">. In May 2020, the court ruled that plaintiff’s recoverable damages are limited to out-of-pocket costs,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amount of marked-up fees actually paid, rather than the entire cost of the valuation that plaintiffs sought. In October 2023, the parties reached a tentative settlement to resolve the lawsuit prior to trial. A hearing on the parties’ motion for preliminary approval was scheduled for February 29, 2024, but the court postponed that hearing pending the submission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certain additional briefing, which the parties filed on March 8, 2024. On March 29, 2024, the district court entered an order granting preliminary approval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 settlement agreement, and directing notice to the settlement class. The notice process began on April 29, 2024, and continues until September 29,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Court held a Final Fairness Hearing on September 19, 2024, and on October 10, 2024, the Court entered an order approving the settlement.</w:t>
      </w:r>
    </w:p>
    <w:p>
      <w:pPr>
        <w:spacing w:after="0" w:line="81"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7"/>
          <w:szCs w:val="17"/>
          <w:color w:val="auto"/>
        </w:rPr>
        <w:t xml:space="preserve">We have settled in principle a dispute with a former subservicing client, HSBC Bank USA, N.A. (HSBC). See </w:t>
      </w:r>
      <w:r>
        <w:rPr>
          <w:rFonts w:ascii="Times New Roman" w:cs="Times New Roman" w:eastAsia="Times New Roman" w:hAnsi="Times New Roman"/>
          <w:sz w:val="17"/>
          <w:szCs w:val="17"/>
          <w:i w:val="1"/>
          <w:iCs w:val="1"/>
          <w:color w:val="auto"/>
        </w:rPr>
        <w:t>HSBC Bank USA, N.A. v. PHH Mortgage Corp.</w:t>
      </w:r>
      <w:r>
        <w:rPr>
          <w:rFonts w:ascii="Times New Roman" w:cs="Times New Roman" w:eastAsia="Times New Roman" w:hAnsi="Times New Roman"/>
          <w:sz w:val="17"/>
          <w:szCs w:val="17"/>
          <w:color w:val="auto"/>
        </w:rPr>
        <w:t xml:space="preserve"> (Supreme Court of the State of New York). HSBC’s claims related to alleged breaches of agreements entered into under a prior subservicing arrangement and origination assistance agreement. In its complaint, HSBC also asserted a claim for fraud, which was dismissed by the Court. PHH answered the complaint and asserted counterclaims against HSBC for breach of contract. PHH filed a motion for summary judgment on December 19, 2022. In June 2024, PHH and HSBC agreed to settle HSBC’s claims for $3.0 million, which amount was previously accrued.</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Onity has received several letters from trustees and master servicers purporting to put Onity on notice that the trustees and master servicers may ultimately seek indemnification from Onity in connection with the litigations. Onity has not yet been impleaded into any of these cases, but it has produced and continues to produce documents to the parties in response to third-party subpoenas.</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Onity has, however, been impleaded as a third-party defendant into five consolidated loan repurchase cases first filed against Nomura Credit &amp; Capital, Inc. in 2012 and 2013. Onity is vigorously defending itself in those cases against allegations by the mortgage loan seller-defendant that Onity failed to inform its contractual counterparties that it had discovered defective loans in the course of servicing them and had otherwise failed to service the loans in accordance with accepted standards. In September 2023, the Court granted in part Onity’s motion for summary judgment, dismissing Nomura’s “failure to notify” claim in its entirety; the Court, however, denied Onity’s motion with respect to Nomura’s second claim alleging failure to service loans in accordance with accepted standards. In May 2024, Onity filed an appeal of the Court’s partial denial of Onity’s summary judgment motion related to the “negligent servicing” claim. Briefing on that appeal concluded in September 2024. The scope of any resulting trial is uncertain, and thus Onity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Onity has not been sued by an RMBS trustee in response to an event of default notice, there is a risk that Onity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Onity,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Onity were to be terminated as servicer, or other related legal actions were pursued against Onity, it could have an adverse effect on Onity’s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7" w:name="page58"/>
    <w:bookmarkEnd w:id="57"/>
    <w:p>
      <w:pPr>
        <w:ind w:right="20"/>
        <w:spacing w:after="0" w:line="260" w:lineRule="auto"/>
        <w:rPr>
          <w:sz w:val="20"/>
          <w:szCs w:val="20"/>
          <w:color w:val="auto"/>
        </w:rPr>
      </w:pPr>
      <w:r>
        <w:rPr>
          <w:rFonts w:ascii="Times New Roman" w:cs="Times New Roman" w:eastAsia="Times New Roman" w:hAnsi="Times New Roman"/>
          <w:sz w:val="17"/>
          <w:szCs w:val="17"/>
          <w:color w:val="auto"/>
        </w:rPr>
        <w:t>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HUD and various inspectors general. For example, we have received requests regarding the charging of certain fees to borrowers (including our practice of charging borrowers a fee to use certain optional payment methods, or “convenience fees”);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For example, we are currently engaged with several regulators on guidance and applicable law related to borrower convenience fees.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Our current accrual with respect to these matters is included in the $16.3 million legal and regulatory accrual referenced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lending, loan sales and securitization activities, and servicing practices. 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spacing w:after="0" w:line="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At September 30, 2024 and September 30, 2023, we had outstanding representation and warranty repurchase demands of $20.5 million UPB (70 loans) and $47.7 million UPB (176 loans), respectively. We review each demand and monitor through resolution, primarily through rescission, loan repurchase or make-whole payment.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(1)</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representation and warranty obligations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representation and warranty obligations - New production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Charge-offs and other (2)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240" w:hanging="317"/>
        <w:spacing w:after="0" w:line="254" w:lineRule="auto"/>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Times New Roman" w:cs="Times New Roman" w:eastAsia="Times New Roman" w:hAnsi="Times New Roman"/>
          <w:sz w:val="16"/>
          <w:szCs w:val="16"/>
          <w:color w:val="auto"/>
        </w:rPr>
      </w:pPr>
    </w:p>
    <w:p>
      <w:pPr>
        <w:ind w:left="320" w:right="20" w:hanging="317"/>
        <w:spacing w:after="0" w:line="238" w:lineRule="auto"/>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reclassification of principal and interest losses in connection with repurchased loans, make-whole, indemnification and fee payments and settlements net of recoveries, if any.</w:t>
      </w:r>
    </w:p>
    <w:p>
      <w:pPr>
        <w:spacing w:after="0" w:line="9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2024</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parties from whom we purchased MSRs or other assets, investors or other parties. Although we pursue these claims, we cannot currently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8" w:name="page59"/>
    <w:bookmarkEnd w:id="58"/>
    <w:p>
      <w:pPr>
        <w:ind w:right="40"/>
        <w:spacing w:after="0" w:line="270" w:lineRule="auto"/>
        <w:rPr>
          <w:sz w:val="20"/>
          <w:szCs w:val="20"/>
          <w:color w:val="auto"/>
        </w:rPr>
      </w:pPr>
      <w:r>
        <w:rPr>
          <w:rFonts w:ascii="Times New Roman" w:cs="Times New Roman" w:eastAsia="Times New Roman" w:hAnsi="Times New Roman"/>
          <w:sz w:val="17"/>
          <w:szCs w:val="17"/>
          <w:color w:val="auto"/>
        </w:rPr>
        <w:t>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Subsequent Events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Extension of Rithm Servicing Termination Rights</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On October 14, 2024, Onity and Rithm agreed to extend Rithm’s termination rights with respect to its subservicing agreements from October 1, 2024 through November 15, 2024. In addition, Onity and Rithm agreed to extend the current terms of the subservicing agreements through February 1, 2025. Onity and Rithm continue to discuss extending their current servicing arrangements. The subservicing UPB subject to termination rights on November 15, 2024 amounted to $32.9 billion as of September 30, 2024, and the related subservicing fees amounted to $34.6 million for the nine months ended September 30, 2024. Also refer to Note 20 — Commitments, Client Concentration.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Oaktree Warrant Amendment</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October 23, 2024, pursuant to the Transaction Agreement with Oaktree described in Note 11 - Investment in Equity Method Investee and Related Party Transactions, the warrants held by Oaktree were amended to provide that upon their exercise Oaktree can elect the cash exercise option only with the consent of Onity and, without the consent of Onity, the exercise price can only be paid via the net share settlement option. Previously, Oaktree had the option to pay the exercise price either in cash or via net share settlement. As of September 30, 2024, Oaktree holds 1,184,768 and 261,248 warrants to purchase shares of Onity’s common stock at an exercise price of $26.82 and $24.31 per share, respectively, subject to anti-dilution adjustments. The amendment will not result in any change in the accounting or presentation of the warrants.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MAM Asset Acquisition and Financing, Preferred Stock Issuance</w:t>
      </w:r>
    </w:p>
    <w:p>
      <w:pPr>
        <w:spacing w:after="0" w:line="11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On October 9, 2024, Onity and PHH entered into a definitive agreement with Mortgage Assets Management, LLC (MAM), a mortgage servicer, and certain investment funds managed by Waterfall Asset Management, LLC that own MAM (collectively “Waterfall”) to acquire certain assets of MAM and Waterfall that are currently subserviced by PHH with an estimated book value of $55.1 million, subject to certain post-closing adjustments (“MAM Asset Acquisition”). Onity had previously entered into a letter of intent with Waterfall on July 26, 2024 in connection with this transaction. The acquired assets include HECM reverse mortgage loans and mortgage servicing rights with a projected UPB of approximately $3.0 billion (which assets will be reflected on Onity’s balance sheet as Loans held for investment, at fair value along with the related borrowings, at fair value), $20 million in cash, and reverse mortgage buyouts, advances, tails and other related assets.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consideration of the MAM Asset Acquisition, Onity issued to Waterfall shares of a new series of non-convertible, perpetual preferred stock ("Series B Preferred Stock”) with an aggregate liquidation preference amount of $52.8 million, subject to certain post-closing adjustments. The Series B Preferred Stock will accrue cumulative dividends initially at a rate of 7.875% per year for the first five years, increasing 2.5% each year thereafter up to a maximum rate of 15% per year, which dividends will be payable in cash and in arrears on a quarterly basis when, as and if declared by the board of directors of Onity. After September 15, 2028, Onity will be able to redeem the Series B Preferred Stock, in whole or in part, for cash at a redemption price equal to the liquidation preference plus an amount equal to any accumulated and unpaid dividends thereon. If Onity experiences a change of control, as defined, it would be required to offer to repurchase all of the shares of Series B Preferred Stock at a purchase price equal to 100% of the liquidation preference plus an amount equal to any accumulated and unpaid dividends thereon. The issued shares of Series B Preferred Stock are subject to a Registration Rights Agreement pursuant to which Onity agreed to file a resale registration statement with the Securities and Exchange Commission within 180 days. The preferred stock will be accounted for at their initial fair value less issuance costs and classified as mezzanine equity on our consolidated balance sheet as it is contingently redeemable in the event of a change of control. Net income attributable to Onity common stockholders will be measured as Net income (attributable to Onity stockholders) less Preferred stock dividends.</w:t>
      </w:r>
    </w:p>
    <w:p>
      <w:pPr>
        <w:spacing w:after="0" w:line="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Concurrently, Onity entered into a Loan and Security Agreement with an entity managed by Waterfall pursuant to which PHH may borrow against certain eligible reverse mortgage assets, as defined, on a revolving basis for two years up to a maximum committed amount (“WAM Financing Agreement”). The maximum committed amount decreases from an initial $45 million to $15 million after the first securitization of HECM tails. The obligations of PHH under the Loan and Security Agreement are guaranteed by Onity.</w:t>
      </w:r>
    </w:p>
    <w:p>
      <w:pPr>
        <w:spacing w:after="0" w:line="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consummation of the MAM Asset Acquisition, WAM Financing Agreement and Series B Preferred Stock issuance occurred on November 1, 2024. Due to the timing of the transaction, the fair value of the assets acquired and the preferred stock issued on November 1, 2024 has not yet been determined as of the date of issuance of these financial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Issuance of $500 million PHH Senior Notes due 2029</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November 6, 2024, Onity issued $500 million aggregate principal amount of 9.875% Senior Notes due 2029 at a price of 99.556% of the principal amount in a syndicated private placement to redeem all of the outstanding $289.1 million 7.875% PMC Senior Secured Notes due 2026 and $285.0 million 12% Onity Senior Secured Notes due 2027 subject to certain conditions described below.</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PHH Senior Notes were issued by PHH Escrow Issuer LLC, a special purpose entity wholly-owned and consolidated by PHH Corporation and Onity. Oaktree was allocated $50 million of the PHH Senior Notes principal amount. The net proceeds from the sale of the PHH Senior Notes, together with approximately</w:t>
      </w:r>
    </w:p>
    <w:p>
      <w:pPr>
        <w:ind w:right="20"/>
        <w:spacing w:after="0" w:line="256" w:lineRule="auto"/>
        <w:rPr>
          <w:sz w:val="20"/>
          <w:szCs w:val="20"/>
          <w:color w:val="auto"/>
        </w:rPr>
      </w:pPr>
      <w:r>
        <w:rPr>
          <w:rFonts w:ascii="Times New Roman" w:cs="Times New Roman" w:eastAsia="Times New Roman" w:hAnsi="Times New Roman"/>
          <w:sz w:val="17"/>
          <w:szCs w:val="17"/>
          <w:color w:val="auto"/>
        </w:rPr>
        <w:t>$23 million additional cash from Onity, are placed into escrow pending the satisfaction of certain conditions, including, but not limited to, the consummation of the sale by Onity of its 15% ownership interest in MAV to Oaktree, pursuant to the Transaction Agreement with Oaktree discussed in Note 11 - Investment in Equity Method Investee and Related Party Transactions. We expect to consummate the MAV sale during the fourth quarter of 2024, subject to regulatory approval and customary closing conditions. The total cash proceeds to be received by Onity upon consummation of the MAV Sale are currently expected to be approximately $49 million resulting in the recognition of a gain on sale of its investment of approximately $19 million (based on values as of September 30, 2024), excluding transaction costs.</w:t>
      </w:r>
    </w:p>
    <w:p>
      <w:pPr>
        <w:spacing w:after="0" w:line="7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Upon completion of the MAV sale and satisfaction of all escrow conditions, the escrowed proceeds will be released to PHH Corporation as co-issuer and will be used, together with the net proceeds from the MAV sale and available liquidity, to redeem all of the outstanding PMC Senior Secured Notes due 2026 and all of the outstanding Onity Senior Secured Notes due 2027. The PHH Senior Notes will be guaranteed by Onity and certain subsidiaries.</w:t>
      </w:r>
    </w:p>
    <w:p>
      <w:pPr>
        <w:spacing w:after="0" w:line="6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redemption of all of the outstanding PMC Senior Secured Notes due 2026 and all of the outstanding Onity Senior Secured Notes due 2027 is currently expected to result in the recognition of an estimated $53 million loss on debt extinguishment due to the accelerated write-off of $37 million unamortized discount and debt issuance costs, the payment of an $12 million make-whole redemption premium and $5 million transaction fee to Oaktree. In addition, a total estimated $10 million of new debt issuance costs (underwriting, legal and other fees) will be amortized over the life of the PHH Senior Secured Notes due 2029.</w:t>
      </w:r>
    </w:p>
    <w:p>
      <w:pPr>
        <w:spacing w:after="0" w:line="200" w:lineRule="exact"/>
        <w:rPr>
          <w:sz w:val="20"/>
          <w:szCs w:val="20"/>
          <w:color w:val="auto"/>
        </w:rPr>
      </w:pPr>
    </w:p>
    <w:p>
      <w:pPr>
        <w:spacing w:after="0" w:line="30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(Dollars in millions, except per share amounts and unless otherwise indicated. Amounts may not add in certain tables due to rounding.)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a leading non-bank mortgage servicer and originator providing solutions through our primary brands, PHH Mortgage and Liberty Reverse Mortgage. PHH is one of the largest non-bank servicers in the country based on UPB, focused on delivering a variety of servicing and lending programs, and is also one of the largest correspondent lenders in the U.S. based on origination UPB. Liberty is one of the nation’s largest reverse mortgage lenders and servicer based on origination and securitization UPB, dedicated to education and providing loans that help customers meet their personal and financial needs by drawing upon their home equity. We serviced or subserviced 1.4 million loans with a total UPB of $298.9 billion on behalf of more than 4,000 investors and 120 subservicing clients as of September 30, 2024.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 On June 10, 2024, Ocwen Financial Corporation changed its name to Onity Group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59" w:right="379" w:bottom="1440" w:gutter="0" w:footer="0" w:header="0"/>
        </w:sectPr>
      </w:pPr>
    </w:p>
    <w:bookmarkStart w:id="60" w:name="page61"/>
    <w:bookmarkEnd w:id="60"/>
    <w:p>
      <w:pPr>
        <w:ind w:right="40"/>
        <w:spacing w:after="0" w:line="265" w:lineRule="auto"/>
        <w:rPr>
          <w:sz w:val="20"/>
          <w:szCs w:val="20"/>
          <w:color w:val="auto"/>
        </w:rPr>
      </w:pPr>
      <w:r>
        <w:rPr>
          <w:rFonts w:ascii="Times New Roman" w:cs="Times New Roman" w:eastAsia="Times New Roman" w:hAnsi="Times New Roman"/>
          <w:sz w:val="17"/>
          <w:szCs w:val="17"/>
          <w:color w:val="auto"/>
        </w:rPr>
        <w:t>The table below summarizes the volume of Originations by channel on a current and comparative basis. The volume of Originations is a key driver of the profitability of our Originations segment, along with margins, and also a key driver of the replenishment and growth of our Servicing segment. In the third quarter of 2024, we added $18.5 billion of new volume, mainly $8.4 billion of new subservicing and $8.5 billion of new Originations production, as further detailed in the below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UPB</w:t>
            </w: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5"/>
        </w:trPr>
        <w:tc>
          <w:tcPr>
            <w:tcW w:w="514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5140" w:type="dxa"/>
            <w:vAlign w:val="bottom"/>
          </w:tcPr>
          <w:p>
            <w:pPr>
              <w:spacing w:after="0"/>
              <w:rPr>
                <w:sz w:val="19"/>
                <w:szCs w:val="19"/>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45"/>
        </w:trPr>
        <w:tc>
          <w:tcPr>
            <w:tcW w:w="51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Retail - Consumer Direct MSR (1)</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 MSR (1)</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Flow and Agency Cash Window MSR purchases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Reverse mortgage servicing (2)</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Originations production</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Bulk MSR purchases (3)</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13"/>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Interim forward subservicing</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new forward subservicing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5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Total Subservicing additions (4)</w:t>
            </w: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38"/>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500" w:hanging="317"/>
        <w:spacing w:after="0" w:line="246"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during the respective periods and for which we recognize a new MSR on our consolidated balance sheets upon sale or securitization.</w:t>
      </w:r>
    </w:p>
    <w:p>
      <w:pPr>
        <w:ind w:left="320" w:right="380" w:hanging="317"/>
        <w:spacing w:after="0" w:line="244"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right="220" w:hanging="317"/>
        <w:spacing w:after="0" w:line="244"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Bulk MSR purchases include $0.9 billion UPB for which PHH was previously performing the subservicing that were purchased from third parties during the third quarter of 2024.</w:t>
      </w:r>
    </w:p>
    <w:p>
      <w:pPr>
        <w:ind w:left="320" w:hanging="317"/>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interim subservicing, including the volume of UPB associated with short-term interim subservicing for certain clients as a support to their originate-to-sell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color w:val="auto"/>
        </w:rPr>
        <w:t>Volume Overview</w:t>
      </w:r>
    </w:p>
    <w:p>
      <w:pPr>
        <w:spacing w:after="0" w:line="11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a key driver of the profitability of our Servicing segment, on a current and comparative basis. The relative weight of performing and delinquent loans or servicing and subservicing also drive the amount and timing of gross revenue and expenses. Our average total servicing and subservicing UPB remained flat during the third quarter of 2024 compared to prior quarter.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Average UPB</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800" w:type="dxa"/>
            <w:vAlign w:val="bottom"/>
          </w:tcPr>
          <w:p>
            <w:pPr>
              <w:spacing w:after="0"/>
              <w:rPr>
                <w:sz w:val="19"/>
                <w:szCs w:val="19"/>
                <w:color w:val="auto"/>
              </w:rPr>
            </w:pPr>
          </w:p>
        </w:tc>
        <w:tc>
          <w:tcPr>
            <w:tcW w:w="24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5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Q3 2024 vs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YTD 2024 vs</w:t>
            </w:r>
          </w:p>
        </w:tc>
        <w:tc>
          <w:tcPr>
            <w:tcW w:w="0" w:type="dxa"/>
            <w:vAlign w:val="bottom"/>
          </w:tcPr>
          <w:p>
            <w:pPr>
              <w:spacing w:after="0"/>
              <w:rPr>
                <w:sz w:val="1"/>
                <w:szCs w:val="1"/>
                <w:color w:val="auto"/>
              </w:rPr>
            </w:pPr>
          </w:p>
        </w:tc>
      </w:tr>
      <w:tr>
        <w:trPr>
          <w:trHeight w:val="233"/>
        </w:trPr>
        <w:tc>
          <w:tcPr>
            <w:tcW w:w="2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Q2 2024</w:t>
            </w:r>
          </w:p>
        </w:tc>
        <w:tc>
          <w:tcPr>
            <w:tcW w:w="1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YTD 2023</w:t>
            </w:r>
          </w:p>
        </w:tc>
        <w:tc>
          <w:tcPr>
            <w:tcW w:w="0" w:type="dxa"/>
            <w:vAlign w:val="bottom"/>
          </w:tcPr>
          <w:p>
            <w:pPr>
              <w:spacing w:after="0"/>
              <w:rPr>
                <w:sz w:val="1"/>
                <w:szCs w:val="1"/>
                <w:color w:val="auto"/>
              </w:rPr>
            </w:pPr>
          </w:p>
        </w:tc>
      </w:tr>
      <w:tr>
        <w:trPr>
          <w:trHeight w:val="21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MSR</w:t>
            </w:r>
          </w:p>
        </w:tc>
        <w:tc>
          <w:tcPr>
            <w:tcW w:w="92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Subservicing (including reverse</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subservicing)</w:t>
            </w:r>
          </w:p>
        </w:tc>
        <w:tc>
          <w:tcPr>
            <w:tcW w:w="92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Rithm</w:t>
            </w:r>
          </w:p>
        </w:tc>
        <w:tc>
          <w:tcPr>
            <w:tcW w:w="92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MSR capital partners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0"/>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loans (owned)</w:t>
            </w:r>
          </w:p>
        </w:tc>
        <w:tc>
          <w:tcPr>
            <w:tcW w:w="92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servicing (including whole loans)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48"/>
        </w:trPr>
        <w:tc>
          <w:tcPr>
            <w:tcW w:w="280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Total servicing and subservicing UPB</w:t>
            </w:r>
          </w:p>
        </w:tc>
        <w:tc>
          <w:tcPr>
            <w:tcW w:w="920" w:type="dxa"/>
            <w:vAlign w:val="bottom"/>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304.2</w:t>
            </w:r>
          </w:p>
        </w:tc>
        <w:tc>
          <w:tcPr>
            <w:tcW w:w="80" w:type="dxa"/>
            <w:vAlign w:val="bottom"/>
          </w:tcPr>
          <w:p>
            <w:pPr>
              <w:spacing w:after="0"/>
              <w:rPr>
                <w:sz w:val="12"/>
                <w:szCs w:val="12"/>
                <w:color w:val="auto"/>
              </w:rPr>
            </w:pPr>
          </w:p>
        </w:tc>
        <w:tc>
          <w:tcPr>
            <w:tcW w:w="920" w:type="dxa"/>
            <w:vAlign w:val="bottom"/>
            <w:vMerge w:val="restart"/>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304.8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299.5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292.9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7"/>
        </w:trPr>
        <w:tc>
          <w:tcPr>
            <w:tcW w:w="2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w:t>
            </w:r>
          </w:p>
        </w:tc>
        <w:tc>
          <w:tcPr>
            <w:tcW w:w="9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As of September 30, 2024 and June 30, 2024, the total servicing and subservicing UPB amounted to $298.9 billion and $304.5 billion, respectively, a net decrease of $5.6 billion or 2%.</w:t>
      </w:r>
    </w:p>
    <w:p>
      <w:pPr>
        <w:spacing w:after="0" w:line="4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following table presents key market interest rates which are important drivers of our businesses. As further discussed, the 30-year fixed rate mortgage is a key driver of Originations volume, the 10-year Treasury rate is a key benchmark for MSR valuation and hedging activities, and the 1-month SOFR is a key benchmark for the profitability of our Servicing segment (including float earnings and asset-backed financing cost).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3100" w:type="dxa"/>
            <w:vAlign w:val="bottom"/>
            <w:gridSpan w:val="4"/>
          </w:tcPr>
          <w:p>
            <w:pPr>
              <w:ind w:lef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05"/>
        </w:trPr>
        <w:tc>
          <w:tcPr>
            <w:tcW w:w="5140" w:type="dxa"/>
            <w:vAlign w:val="bottom"/>
          </w:tcPr>
          <w:p>
            <w:pPr>
              <w:spacing w:after="0"/>
              <w:rPr>
                <w:sz w:val="17"/>
                <w:szCs w:val="17"/>
                <w:color w:val="auto"/>
              </w:rPr>
            </w:pPr>
          </w:p>
        </w:tc>
        <w:tc>
          <w:tcPr>
            <w:tcW w:w="15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7"/>
                <w:szCs w:val="17"/>
                <w:color w:val="auto"/>
              </w:rPr>
            </w:pPr>
          </w:p>
        </w:tc>
        <w:tc>
          <w:tcPr>
            <w:tcW w:w="15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7"/>
        </w:trPr>
        <w:tc>
          <w:tcPr>
            <w:tcW w:w="51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30-year fixed rate mortgage (FRM) </w:t>
            </w:r>
            <w:r>
              <w:rPr>
                <w:rFonts w:ascii="Times New Roman" w:cs="Times New Roman" w:eastAsia="Times New Roman" w:hAnsi="Times New Roman"/>
                <w:sz w:val="17"/>
                <w:szCs w:val="17"/>
                <w:color w:val="auto"/>
              </w:rPr>
              <w:t>(1)</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Average</w:t>
            </w: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6.64%</w:t>
            </w:r>
          </w:p>
        </w:tc>
      </w:tr>
      <w:tr>
        <w:trPr>
          <w:trHeight w:val="220"/>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 of period</w:t>
            </w: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7.31%</w:t>
            </w:r>
          </w:p>
        </w:tc>
      </w:tr>
      <w:tr>
        <w:trPr>
          <w:trHeight w:val="220"/>
        </w:trPr>
        <w:tc>
          <w:tcPr>
            <w:tcW w:w="5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10-year Treasury rate </w:t>
            </w:r>
            <w:r>
              <w:rPr>
                <w:rFonts w:ascii="Times New Roman" w:cs="Times New Roman" w:eastAsia="Times New Roman" w:hAnsi="Times New Roman"/>
                <w:sz w:val="17"/>
                <w:szCs w:val="17"/>
                <w:color w:val="auto"/>
              </w:rPr>
              <w:t>(end of period)</w:t>
            </w: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4.59%</w:t>
            </w:r>
          </w:p>
        </w:tc>
      </w:tr>
      <w:tr>
        <w:trPr>
          <w:trHeight w:val="155"/>
        </w:trPr>
        <w:tc>
          <w:tcPr>
            <w:tcW w:w="5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1-month Term SOFR </w:t>
            </w:r>
            <w:r>
              <w:rPr>
                <w:rFonts w:ascii="Times New Roman" w:cs="Times New Roman" w:eastAsia="Times New Roman" w:hAnsi="Times New Roman"/>
                <w:sz w:val="17"/>
                <w:szCs w:val="17"/>
                <w:color w:val="auto"/>
              </w:rPr>
              <w:t>(average)</w:t>
            </w: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4.99%</w:t>
            </w:r>
          </w:p>
        </w:tc>
      </w:tr>
    </w:tbl>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Source: Freddie Mac PMMS - Primary Mortgage Market Survey</w:t>
      </w:r>
    </w:p>
    <w:p>
      <w:pPr>
        <w:spacing w:after="0" w:line="10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Quarter over quarter, the average 30-year fixed rate mortgage rate declined 45 basis points, the 10-year Treasury rate declined by 55 basis points, and the average 1-month term SOFR declined by 11 basis points. When comparing the nine months ended September 30, 2024 to the nine months ended September 30, 2023, the average 30-year fixed rate mortgage rate increased 11 basis points, the 10-year Treasury rate declined by 78 basis points, and the average 1-month term SOFR increased by 30 basis points.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The following graph compares market interest rates over the current and comparative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83185</wp:posOffset>
            </wp:positionV>
            <wp:extent cx="4241800" cy="233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41800" cy="233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third quarter of 2024</w:t>
      </w:r>
    </w:p>
    <w:p>
      <w:pPr>
        <w:spacing w:after="0" w:line="119"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$21.4 million, or $2.72 per share basic and $2.65 per share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and subservicing fee revenue of $211.1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$16.4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 million MSR valuation gain attributable to rate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September 30, 2024</w:t>
      </w:r>
    </w:p>
    <w:p>
      <w:pPr>
        <w:spacing w:after="0" w:line="119"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$468.2 million, or $59.50 book value per common share</w:t>
      </w:r>
    </w:p>
    <w:p>
      <w:pPr>
        <w:spacing w:after="0" w:line="83"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MSR investment of $2.2 billion, and $298.9 billion total servicing and subservicing UPB</w:t>
      </w:r>
    </w:p>
    <w:p>
      <w:pPr>
        <w:spacing w:after="0" w:line="34" w:lineRule="exact"/>
        <w:rPr>
          <w:rFonts w:ascii="Arial" w:cs="Arial" w:eastAsia="Arial" w:hAnsi="Arial"/>
          <w:sz w:val="21"/>
          <w:szCs w:val="21"/>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position of $201.6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$13.2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established the following strategy to return to sustainable profitability and create long-term value for shareholders:</w:t>
      </w:r>
    </w:p>
    <w:p>
      <w:pPr>
        <w:spacing w:after="0" w:line="57"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Balance and diversification: </w:t>
      </w:r>
      <w:r>
        <w:rPr>
          <w:rFonts w:ascii="Times New Roman" w:cs="Times New Roman" w:eastAsia="Times New Roman" w:hAnsi="Times New Roman"/>
          <w:sz w:val="17"/>
          <w:szCs w:val="17"/>
          <w:color w:val="auto"/>
        </w:rPr>
        <w:t>Maintain a scale position in origination and servicing to address market-cycle opportunities;</w:t>
      </w:r>
    </w:p>
    <w:p>
      <w:pPr>
        <w:spacing w:after="0" w:line="62" w:lineRule="exact"/>
        <w:rPr>
          <w:rFonts w:ascii="Times New Roman" w:cs="Times New Roman" w:eastAsia="Times New Roman" w:hAnsi="Times New Roman"/>
          <w:sz w:val="17"/>
          <w:szCs w:val="17"/>
          <w:color w:val="auto"/>
        </w:rPr>
      </w:pPr>
    </w:p>
    <w:p>
      <w:pPr>
        <w:ind w:left="620" w:hanging="307"/>
        <w:spacing w:after="0" w:line="285"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Prudent capital-light growth: </w:t>
      </w:r>
      <w:r>
        <w:rPr>
          <w:rFonts w:ascii="Times New Roman" w:cs="Times New Roman" w:eastAsia="Times New Roman" w:hAnsi="Times New Roman"/>
          <w:sz w:val="17"/>
          <w:szCs w:val="17"/>
          <w:color w:val="auto"/>
        </w:rPr>
        <w:t>Emphasize on capital-light subservicing to drive servicing portfolio UPB growth and emphasize higher margin origination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channels and products to drive accretive MSR investments;</w:t>
      </w:r>
    </w:p>
    <w:p>
      <w:pPr>
        <w:ind w:left="620" w:right="60" w:hanging="307"/>
        <w:spacing w:after="0" w:line="285"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Industry-leading cost structure: </w:t>
      </w:r>
      <w:r>
        <w:rPr>
          <w:rFonts w:ascii="Times New Roman" w:cs="Times New Roman" w:eastAsia="Times New Roman" w:hAnsi="Times New Roman"/>
          <w:sz w:val="17"/>
          <w:szCs w:val="17"/>
          <w:color w:val="auto"/>
        </w:rPr>
        <w:t>Optimize cost structure across the organization to achieve industry cost leadership through continuous cost and process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improvement, optimizing technology, global operations, and scale;</w:t>
      </w:r>
    </w:p>
    <w:p>
      <w:pPr>
        <w:ind w:left="620" w:right="280" w:hanging="307"/>
        <w:spacing w:after="0" w:line="285"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Top-tier operating performance and capabilities: </w:t>
      </w:r>
      <w:r>
        <w:rPr>
          <w:rFonts w:ascii="Times New Roman" w:cs="Times New Roman" w:eastAsia="Times New Roman" w:hAnsi="Times New Roman"/>
          <w:sz w:val="17"/>
          <w:szCs w:val="17"/>
          <w:color w:val="auto"/>
        </w:rPr>
        <w:t>Delivering industry top-tier servicing operational performance and driving increased borrower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client satisfaction;</w:t>
      </w:r>
    </w:p>
    <w:p>
      <w:pPr>
        <w:ind w:left="620" w:right="220" w:hanging="307"/>
        <w:spacing w:after="0" w:line="295"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Dynamic asset management: </w:t>
      </w:r>
      <w:r>
        <w:rPr>
          <w:rFonts w:ascii="Times New Roman" w:cs="Times New Roman" w:eastAsia="Times New Roman" w:hAnsi="Times New Roman"/>
          <w:sz w:val="17"/>
          <w:szCs w:val="17"/>
          <w:color w:val="auto"/>
        </w:rPr>
        <w:t>Optimize investment returns and liquidity through opportunistic asset purchases and sales, leveraging third party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sources, including our multi-investor partnership model to fund new MSR origination to deliver value for shareholders, including deleveraging.</w:t>
      </w:r>
    </w:p>
    <w:p>
      <w:pPr>
        <w:spacing w:after="0" w:line="4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growth and asset management strategy includes purchasing assets and/or operations of complementary businesses, by means of acquisition, merger or other transaction forms. Our strategy may also include pursuing large transactions, including bulk purchases or sales of MSRs</w:t>
      </w:r>
      <w:r>
        <w:rPr>
          <w:rFonts w:ascii="Times New Roman" w:cs="Times New Roman" w:eastAsia="Times New Roman" w:hAnsi="Times New Roman"/>
          <w:sz w:val="17"/>
          <w:szCs w:val="17"/>
          <w:color w:val="293849"/>
        </w:rPr>
        <w:t>.</w:t>
      </w:r>
      <w:r>
        <w:rPr>
          <w:rFonts w:ascii="Times New Roman" w:cs="Times New Roman" w:eastAsia="Times New Roman" w:hAnsi="Times New Roman"/>
          <w:sz w:val="17"/>
          <w:szCs w:val="17"/>
          <w:color w:val="auto"/>
        </w:rPr>
        <w:t xml:space="preserve"> We have engaged in such transactions in the past, and we continue to explore opportunities that may be accretive to our business and stockholders’ value.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3"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appearing elsewhere in this Quarterly Report on Form 10-Q and with our audited consolidated financial statements and related notes and management’s discussion and analysis of financial condition and results of operations appearing in our Annual Report filed on Form 10-K for the fiscal year ended December 31, 2023. In our discussion of results of operations, we compare our current quarterly results to the immediately preceding quarter, and current year-to-date results to the corresponding year-to-date results of the preceding year.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789.4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(134.2)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104.0</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308.4</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(96.2)</w:t>
            </w:r>
          </w:p>
        </w:tc>
        <w:tc>
          <w:tcPr>
            <w:tcW w:w="9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(359.2)</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9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(686)</w:t>
            </w:r>
          </w:p>
        </w:tc>
      </w:tr>
      <w:tr>
        <w:trPr>
          <w:trHeight w:val="220"/>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9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189</w:t>
            </w:r>
          </w:p>
        </w:tc>
      </w:tr>
      <w:tr>
        <w:trPr>
          <w:trHeight w:val="212"/>
        </w:trPr>
        <w:tc>
          <w:tcPr>
            <w:tcW w:w="3200" w:type="dxa"/>
            <w:vAlign w:val="bottom"/>
            <w:tcBorders>
              <w:bottom w:val="single" w:sz="8" w:color="CCEEFF"/>
            </w:tcBorders>
            <w:shd w:val="clear" w:color="auto" w:fill="CCEEFF"/>
          </w:tcPr>
          <w:p>
            <w:pPr>
              <w:ind w:left="24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10.5</w:t>
            </w:r>
          </w:p>
        </w:tc>
        <w:tc>
          <w:tcPr>
            <w:tcW w:w="960" w:type="dxa"/>
            <w:vAlign w:val="bottom"/>
            <w:tcBorders>
              <w:bottom w:val="single" w:sz="8" w:color="CCEEFF"/>
            </w:tcBorders>
            <w:gridSpan w:val="2"/>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(16.2)</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(482)%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income (loss) before income 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2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9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116</w:t>
            </w:r>
          </w:p>
        </w:tc>
      </w:tr>
      <w:tr>
        <w:trPr>
          <w:trHeight w:val="238"/>
        </w:trPr>
        <w:tc>
          <w:tcPr>
            <w:tcW w:w="3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205"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7"/>
          <w:szCs w:val="17"/>
          <w:color w:val="auto"/>
        </w:rPr>
        <w:t>Onity reported $21.4 million net income in the third quarter of 2024, an increase of $10.9 million compared to the second quarter of 2024, mostly driven by the following:</w:t>
      </w:r>
    </w:p>
    <w:p>
      <w:pPr>
        <w:spacing w:after="0" w:line="1" w:lineRule="exact"/>
        <w:rPr>
          <w:sz w:val="20"/>
          <w:szCs w:val="20"/>
          <w:color w:val="auto"/>
        </w:rPr>
      </w:pPr>
    </w:p>
    <w:p>
      <w:pPr>
        <w:ind w:left="320" w:right="40" w:hanging="317"/>
        <w:spacing w:after="0" w:line="265" w:lineRule="auto"/>
        <w:tabs>
          <w:tab w:leader="none" w:pos="310" w:val="left"/>
        </w:tabs>
        <w:numPr>
          <w:ilvl w:val="0"/>
          <w:numId w:val="4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7"/>
          <w:szCs w:val="17"/>
          <w:color w:val="auto"/>
        </w:rPr>
        <w:t>A $19.3 million increase in revenue, mostly attributed to our Servicing segment due to a $9.6 million favorable change in fair value of loans held for sale attributed to market interest rate declines and favorable assumption updates on reverse buyouts and $9.1 million additional gains on our reverse mortgage portfolio of loans held for investment and HMBS-related borrowings. The reverse portfolio gains in the third quarter are driven by a decline in market interest rates (vs. an increase in the second quarter) and are part of our MSR hedge strategy.</w:t>
      </w:r>
    </w:p>
    <w:p>
      <w:pPr>
        <w:spacing w:after="0" w:line="15" w:lineRule="exact"/>
        <w:rPr>
          <w:rFonts w:ascii="Times New Roman" w:cs="Times New Roman" w:eastAsia="Times New Roman" w:hAnsi="Times New Roman"/>
          <w:sz w:val="16"/>
          <w:szCs w:val="16"/>
          <w:i w:val="1"/>
          <w:iCs w:val="1"/>
          <w:color w:val="auto"/>
        </w:rPr>
      </w:pPr>
    </w:p>
    <w:p>
      <w:pPr>
        <w:ind w:left="320" w:right="400" w:hanging="317"/>
        <w:spacing w:after="0" w:line="285" w:lineRule="auto"/>
        <w:tabs>
          <w:tab w:leader="none" w:pos="3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Mostly flat MSR valuation adjustments, net with the net loss in both quarters driven by the MSR realization of expected cash flows or runoff. In both the second and third quarters of 2024, the fair value changes of the MSR exposure due to interest rates were largely offset with hedging derivatives.</w:t>
      </w:r>
    </w:p>
    <w:p>
      <w:pPr>
        <w:ind w:left="320" w:right="60" w:hanging="317"/>
        <w:spacing w:after="0" w:line="270" w:lineRule="auto"/>
        <w:tabs>
          <w:tab w:leader="none" w:pos="310" w:val="left"/>
        </w:tabs>
        <w:numPr>
          <w:ilvl w:val="0"/>
          <w:numId w:val="4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An $8.5 million increase in Operating expenses, primarily due to reimbursements received in the second quarter of 2024 from mortgage loan investors related to prior year legal expenses and payments following resolution of legacy litigation matters, and a higher estimated annual cash awards expense based on our year-to-date financial performance.</w:t>
      </w:r>
    </w:p>
    <w:p>
      <w:pPr>
        <w:spacing w:after="0" w:line="12" w:lineRule="exact"/>
        <w:rPr>
          <w:rFonts w:ascii="Times New Roman" w:cs="Times New Roman" w:eastAsia="Times New Roman" w:hAnsi="Times New Roman"/>
          <w:sz w:val="16"/>
          <w:szCs w:val="16"/>
          <w:b w:val="1"/>
          <w:bCs w:val="1"/>
          <w:i w:val="1"/>
          <w:iCs w:val="1"/>
          <w:color w:val="auto"/>
        </w:rPr>
      </w:pPr>
    </w:p>
    <w:p>
      <w:pPr>
        <w:ind w:left="300" w:hanging="297"/>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$3.3 million increase in Income tax expense, mostly due to the increase in pre-tax earnings.</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When comparing to the nine months ended September 30, 2024, the statement of operations for the nine months ended September 30, 2023 reflects $95.3 million servicing fees collected on behalf of and remitted to Rithm and reported gross, both as Revenue (Servicing and subservicing fees) and as Other income (expense), net (Pledged MSR liability expense) associated with the MSR that achieved sale accounting treatment on December 31, 2023, with no impact on Net income (loss). On December 31, 2023, we derecognized from our balance sheet $421.7 million non-Agency MSRs and Pledged MSR liability associated with Rithm servicing agreements with a UPB of $33.4 billion for which MSR sale accounting criteria was met. As PHH continues to subservice the portfolio, our statement of operations in 2024 reflects subservicing fee revenue as opposed to the gross presentation of servicing fee revenue and offsetting servicing fee remittances within Pledged MSR liability expense, a component of Other income (expense), net, prior to December 31, 2023. These required presentation changes do not affect the amount of net fee retained by Onity in connection with the Rithm servicing agreements.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0"/>
        </w:trPr>
        <w:tc>
          <w:tcPr>
            <w:tcW w:w="4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below table presents total revenue by type and segment:</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4"/>
        </w:trPr>
        <w:tc>
          <w:tcPr>
            <w:tcW w:w="3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Pr>
          <w:p>
            <w:pPr>
              <w:spacing w:after="0"/>
              <w:rPr>
                <w:sz w:val="21"/>
                <w:szCs w:val="21"/>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0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707.5</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3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0"/>
        </w:trPr>
        <w:tc>
          <w:tcPr>
            <w:tcW w:w="3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24.0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38"/>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265.7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751.2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789.4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91"/>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236.1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672.3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734.3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29.2</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55.2</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43</w:t>
            </w:r>
          </w:p>
        </w:tc>
      </w:tr>
      <w:tr>
        <w:trPr>
          <w:trHeight w:val="22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n/m</w:t>
            </w:r>
          </w:p>
        </w:tc>
      </w:tr>
      <w:tr>
        <w:trPr>
          <w:trHeight w:val="187"/>
        </w:trPr>
        <w:tc>
          <w:tcPr>
            <w:tcW w:w="3000" w:type="dxa"/>
            <w:vAlign w:val="bottom"/>
          </w:tcPr>
          <w:p>
            <w:pPr>
              <w:ind w:left="220"/>
              <w:spacing w:after="0" w:line="187" w:lineRule="exact"/>
              <w:rPr>
                <w:sz w:val="20"/>
                <w:szCs w:val="20"/>
                <w:color w:val="auto"/>
              </w:rPr>
            </w:pPr>
            <w:r>
              <w:rPr>
                <w:rFonts w:ascii="Times New Roman" w:cs="Times New Roman" w:eastAsia="Times New Roman" w:hAnsi="Times New Roman"/>
                <w:sz w:val="17"/>
                <w:szCs w:val="17"/>
                <w:color w:val="auto"/>
              </w:rPr>
              <w:t>Total segment revenue</w:t>
            </w:r>
          </w:p>
        </w:tc>
        <w:tc>
          <w:tcPr>
            <w:tcW w:w="1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265.7</w:t>
            </w: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246.4</w:t>
            </w:r>
          </w:p>
        </w:tc>
        <w:tc>
          <w:tcPr>
            <w:tcW w:w="10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8 %</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751.2</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rPr>
              <w:t>789.4</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(5)%</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5"/>
        </w:trPr>
        <w:tc>
          <w:tcPr>
            <w:tcW w:w="3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n/m: not meaningful</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17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7"/>
          <w:szCs w:val="17"/>
          <w:color w:val="auto"/>
        </w:rPr>
        <w:t>Total segment revenue for the three months ended September 30, 2024 increased $19.3 million, or 8% compared to the three months ended June 30, 2024 due to an $18.9 million increase in Servicing revenue and a $0.4 million increase in Originations revenue. The increase in Servicing revenue is driven by a $9.6 million increase in Gain on loans held for sale, net mostly attributed to reverse mortgage loan buyouts in the third quarter of 2024, and a $9.1 million increase in Gain on reverse loans held for investment and HMBS-related borrowings, net driven by a favorable decline in market rates (vs. an increase in the second quarter), partially offset by unfavorable yield spread widening (vs. favorable tightening in the second quarter). In addition, servicing and subservicing fees increased by $0.1 million with offsetting factors as float earnings increased with seasonally higher average float balances, offset by a decrease in servicing fees mostly due to MAV’s sale of MSRs (previously sold by Onity to MAV in a transaction which did not qualify for sale accounting treatment) during the three months ended June 30, 2024.</w:t>
      </w:r>
    </w:p>
    <w:p>
      <w:pPr>
        <w:spacing w:after="0" w:line="74"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7"/>
          <w:szCs w:val="17"/>
          <w:color w:val="auto"/>
        </w:rPr>
        <w:t>Compared to the nine months ended September 30, 2023, total segment revenue for the nine months ended September 30, 2024 was $38.2 million or 5% lower, due to a $62.0 million decline in Servicing revenue offset by a $23.7 million increase in Originations revenue.</w:t>
      </w:r>
    </w:p>
    <w:p>
      <w:pPr>
        <w:spacing w:after="0" w:line="1" w:lineRule="exact"/>
        <w:rPr>
          <w:sz w:val="20"/>
          <w:szCs w:val="20"/>
          <w:color w:val="auto"/>
        </w:rPr>
      </w:pPr>
    </w:p>
    <w:p>
      <w:pPr>
        <w:ind w:left="620" w:right="20" w:hanging="307"/>
        <w:spacing w:after="0" w:line="262"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decline in Servicing revenue is mostly due to an $81.4 million decrease in servicing and subservicing fees largely due to the effects of our accounting derecognition of MSRs previously sold to Rithm for which the sale accounting criteria were met effective December 31, 2023, as discussed above ($95.3 million fees collected and remitted to Rithm recognized in the nine months ended September 30, 2023). Partially offsetting this decrease, Gain on reverse loans held for investment and HMBS-related borrowings, net increased $19.4 million due to a decrease in market rates vs. an increase in the prior year period and yield spread tightening vs. widening in the prior year period.</w:t>
      </w:r>
    </w:p>
    <w:p>
      <w:pPr>
        <w:spacing w:after="0" w:line="18" w:lineRule="exact"/>
        <w:rPr>
          <w:rFonts w:ascii="Times New Roman" w:cs="Times New Roman" w:eastAsia="Times New Roman" w:hAnsi="Times New Roman"/>
          <w:sz w:val="17"/>
          <w:szCs w:val="17"/>
          <w:color w:val="auto"/>
        </w:rPr>
      </w:pPr>
    </w:p>
    <w:p>
      <w:pPr>
        <w:ind w:left="620" w:right="120" w:hanging="307"/>
        <w:spacing w:after="0" w:line="265"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Originations revenue is primarily driven by an $18.9 million increase in Gain on loans held for sale, net (forward loans) due to an increase in volume and margin for both our Correspondent and Consumer Direct channel. The increase in Correspondent volume is mostly attributed to our owned MSR replenishment strategy after the opportunistic MSR bulk sales in 2024. The increase in Consumer Direct volume is driven by the recent decline in interest rates generating additional recapture opportunities.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0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 which include MSRs, MSR pledged liabilities and ESS financing liabilities at fair value, together with MSR hedging derivatives: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4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45"/>
        </w:trPr>
        <w:tc>
          <w:tcPr>
            <w:tcW w:w="5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Realization of expected cash flows (runoff)</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(107.0)</w:t>
            </w:r>
          </w:p>
        </w:tc>
      </w:tr>
      <w:tr>
        <w:trPr>
          <w:trHeight w:val="220"/>
        </w:trPr>
        <w:tc>
          <w:tcPr>
            <w:tcW w:w="5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Fair value gains (losses) due to rate and assumption changes</w:t>
            </w:r>
          </w:p>
        </w:tc>
        <w:tc>
          <w:tcPr>
            <w:tcW w:w="14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92.5</w:t>
            </w:r>
          </w:p>
        </w:tc>
      </w:tr>
      <w:tr>
        <w:trPr>
          <w:trHeight w:val="22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MSR hedging derivative fair value gain (loss)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(119.7)</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(134.2)</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right="340" w:hanging="317"/>
        <w:spacing w:after="0" w:line="254"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fair value changes of reverse mortgage loans held-for-investment and HMBS related borrowing due to rates and assumptions that are part of the MSR hedging strategy. Refer to MSR Hedging Strategy section of Item 3. Quantitative and Qualitative Disclosures about Market Risks for further detail and the discussion below within Servicing.</w:t>
      </w:r>
    </w:p>
    <w:p>
      <w:pPr>
        <w:spacing w:after="0" w:line="7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$31.5 million loss on MSR valuation adjustments, net for the three months ended September 30, 2024 is comprised of $40.2 million runoff, $45.6 million fair value loss attributed to rate and assumption changes and $54.3 million gain on MSR hedging derivatives. As we maintained a high hedge coverage ratio in both quarters, the $1.2 million lower loss in MSR valuation adjustments, net in the three months ended September 30, 2024 compared to the three months ended June 30, 2024 is largely driven by lower hedge costs in the third quarter of 2024 and certain favorable assumption updates to reflect actual market trade pricing levels.</w:t>
      </w:r>
    </w:p>
    <w:p>
      <w:pPr>
        <w:spacing w:after="0" w:line="15" w:lineRule="exact"/>
        <w:rPr>
          <w:sz w:val="20"/>
          <w:szCs w:val="20"/>
          <w:color w:val="auto"/>
        </w:rPr>
      </w:pPr>
    </w:p>
    <w:p>
      <w:pPr>
        <w:ind w:left="620" w:right="180" w:hanging="307"/>
        <w:spacing w:after="0" w:line="270"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MSRs are subject to runoff, a fair value decline due to the realization of expected cash flows and yield based on projected borrower behavior, including scheduled amortization of the loan UPB together with projected voluntary and involuntary prepayments. The unfavorable $2.2 million higher runoff quarter-over-quarter is mostly due to the impact of lower market rates on expected cash flows.</w:t>
      </w:r>
    </w:p>
    <w:p>
      <w:pPr>
        <w:spacing w:after="0" w:line="12"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$45.6 million fair value loss due to rate and assumption changes is attributed to a decline in interest rates in the quarter, partially offset by favorable assumption updates to reflect market participant perspectives on MSRs and actual market trade pricing levels. The change from a $56.0 million fair value gain in the three months ended June 30, 2024 to a $45.6 million fair value loss in the three months ended September 30, 2024 is mostly driven by changes in market interest rates as the 10-year Treasury rate declined 55 basis points in the three months ended September 30, 2024 and increased 16 basis points in the three months ended June 30, 2024.</w:t>
      </w:r>
    </w:p>
    <w:p>
      <w:pPr>
        <w:spacing w:after="0" w:line="18" w:lineRule="exact"/>
        <w:rPr>
          <w:rFonts w:ascii="Times New Roman" w:cs="Times New Roman" w:eastAsia="Times New Roman" w:hAnsi="Times New Roman"/>
          <w:sz w:val="17"/>
          <w:szCs w:val="17"/>
          <w:color w:val="auto"/>
        </w:rPr>
      </w:pPr>
    </w:p>
    <w:p>
      <w:pPr>
        <w:ind w:left="620" w:right="20" w:hanging="307"/>
        <w:spacing w:after="0" w:line="265"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hedging derivative fair value gains or losses are designed to partially offset the expected fair value losses or gains, respectively, of the net MSR, MSR pledged liabilities and ESS exposure, commensurate with our target hedge coverage ratio. The $54.3 million derivative gain recognized in the three months ended September 30, 2024 is primarily driven by the rate decrease discussed above. Also refer to Item 3. Quantitative and Qualitative Disclosures about Market Risk for further detail on our hedging strategy and its effectiveness.</w:t>
      </w:r>
    </w:p>
    <w:p>
      <w:pPr>
        <w:spacing w:after="0" w:line="6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For the nine months ended September 30, 2024, the $75.8 million loss on MSR valuation adjustments, net is comprised of $118.2 million runoff, $92.4 million fair value gain attributed to rate and assumption changes and $50.0 million loss on MSR hedging derivatives.</w:t>
      </w:r>
    </w:p>
    <w:p>
      <w:pPr>
        <w:spacing w:after="0" w:line="48" w:lineRule="exact"/>
        <w:rPr>
          <w:sz w:val="20"/>
          <w:szCs w:val="20"/>
          <w:color w:val="auto"/>
        </w:rPr>
      </w:pPr>
    </w:p>
    <w:p>
      <w:pPr>
        <w:ind w:left="620" w:hanging="307"/>
        <w:spacing w:after="0" w:line="285"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unfavorable $11.2 million increase in runoff is mostly due to the impact of lower market rates on expected cash flows and our replenishment of lower note rate MSRs sold in 2023 with new higher note rate originations.</w:t>
      </w:r>
    </w:p>
    <w:p>
      <w:pPr>
        <w:ind w:left="620" w:right="140" w:hanging="307"/>
        <w:spacing w:after="0" w:line="270"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changes attributed to rates and assumptions remained flat. The market interest rate impact as the 10-year Treasury rate declined 7 basis points during the nine months ended September 30, 2024 compared to an increase of 71 basis points during the same period of 2023 was offset by certain favorable assumption updates in the nine months ended September 30, 2024 to reflect actual market trade pricing levels.</w:t>
      </w:r>
    </w:p>
    <w:p>
      <w:pPr>
        <w:spacing w:after="0" w:line="12"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$69.7 million lower loss from derivatives is mainly due to the market interest rate changes noted above, and the impact of our hedge coverage ratio. During the first nine months of 2023, we gradually increased our minimum hedge coverage ratio from 25% to 60%, with the minimum increasing to 95% in December 2023, adjusted to 90% in April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4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table below presents the key components of operating expenses: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4"/>
        </w:trPr>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306</w:t>
            </w: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38"/>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4"/>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350</w:t>
            </w:r>
          </w:p>
        </w:tc>
      </w:tr>
      <w:tr>
        <w:trPr>
          <w:trHeight w:val="213"/>
        </w:trPr>
        <w:tc>
          <w:tcPr>
            <w:tcW w:w="3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24"/>
        </w:trPr>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headcount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bl>
    <w:p>
      <w:pPr>
        <w:spacing w:after="0" w:line="17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September 30, 2024 increased $4.6 million, or 8% compared to the three months ended June 30, 2024, largely due to higher estimated annual cash awards expense based on our year-to-date financial performance.</w:t>
      </w:r>
    </w:p>
    <w:p>
      <w:pPr>
        <w:spacing w:after="0" w:line="4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Compared to the nine months ended September 30, 2023, Compensation and benefits expense for the nine months ended September 30, 2024 decreased $3.3 million, or 2% largely due to a decrease in salaries and benefits, offset in part by an increase in estimated annual cash awards expense discussed above. Our total average headcount declined 7%, mostly due to efficiencies in Servicing and runoff of our reverse subservicing portfolio.</w:t>
      </w:r>
    </w:p>
    <w:p>
      <w:pPr>
        <w:spacing w:after="0" w:line="64"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Servicing and origination expense for the three months ended September 30, 2024 decreased $2.9 million compared to the three months ended June 30, 2024, mostly driven by the reversal of a liability for representation and warranty indemnification obligations due to a favorable settlement in the third quarter of 2024 .</w:t>
      </w:r>
    </w:p>
    <w:p>
      <w:pPr>
        <w:spacing w:after="0" w:line="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Compared to the nine months ended September 30, 2023, Servicing and origination expenses for the nine months ended September 30, 2024 decreased $8.7 million mostly due to an $11.5 million decrease in Servicing, partially offset by $2.4 million incremental expenses in Originations. The decline in Servicing expense is primarily attributed to the release of indemnification obligations driven by recoveries and favorable resolutions in the nine months ended September 30, 2024, partially offset by higher provision expense on reverse servicing portfolio related advances and higher loss adjustment expense in line with higher reinsurance premiums assumed. The increase in Originations expense is mostly driven by higher production volume and a provision release for representation and warranty indemnification obligations recorded in the first nine months of 2023 due to favorable resolution of demands.</w:t>
      </w:r>
    </w:p>
    <w:p>
      <w:pPr>
        <w:spacing w:after="0" w:line="7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Professional services expense for the three months ended September 30, 2024 increased $6.6 million compared to the three months ended June 30, 2024 primarily due to reimbursements received in the second quarter of 2024 from mortgage loan investors related to prior year legal expenses and payments following favorable resolution of legacy litigation matters.</w:t>
      </w:r>
    </w:p>
    <w:p>
      <w:pPr>
        <w:spacing w:after="0" w:line="6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Compared to the nine months ended September 30, 2023, Professional services expense for the nine months ended September 30, 2024 increased $30.2 million primarily due to the reversal of our loss contingency accrual related to the CFPB matter resolved in our favor in the second quarter of 2023 and an increase in other litigation-related expenses recognized in the nine months ended September 30, 2024, largely offset by the reimbursements received in the second quarter of 2024 related to legacy litigation matters.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90"/>
        </w:trPr>
        <w:tc>
          <w:tcPr>
            <w:tcW w:w="3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251</w:t>
            </w:r>
          </w:p>
        </w:tc>
      </w:tr>
      <w:tr>
        <w:trPr>
          <w:trHeight w:val="238"/>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1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Net interest expense for the three months ended September 30, 2024 remained mostly flat compared to the three months ended June 30, 2024. Compared to the nine months ended September 30, 2023, Net interest expense for the nine months ended September 30, 2024 increased $5.5 million, mostly driven by the additional financing cost incurred in connection with our acquisition and securitization of reverse mortgage buyouts and the second lien PLS MSR financing facility entered into in March 2024. The increase in average short-term market interest rates in the first nine months of 2024 compared to the first nine months of 2023, on our variable rate borrowings was mostly offset by the decline in our average debt balances for servicing advances due to our collection efforts and lower Corporate debt interest expense attributed to our partial debt repayment.</w:t>
      </w:r>
    </w:p>
    <w:p>
      <w:pPr>
        <w:spacing w:after="0" w:line="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During March 2024 and September 2024, we repurchased a total of $47.4 million and $23.5 million, respectively, of the PMC Senior Secured Notes for a price of $45.5 million and $23.0 million, and recognized a gain of $1.4 million and $0.3 million on debt extinguishment, net of the associated write-off of unamortized discount and debt issuance costs. During September 2023, we repurchased a total of $13.9 million of the PMC Senior Secured Notes for a price of $12.5 million and recognized a $1.2 million gain on debt extinguishment, net of the associated write-off of unamortized discount and debt issuance costs.</w:t>
      </w:r>
    </w:p>
    <w:p>
      <w:pPr>
        <w:spacing w:after="0" w:line="6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Refer to Servicing segment for discussion of Pledged MSR liability expense (primarily impacted by the accounting presentation change of the derecognized Rithm MSR on December 31, 2023) and Earnings of equity method investee (predominantly impacted by the fair value changes of MAV’s MSR portfolio).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49"/>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189 %</w:t>
            </w: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13.5</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(12.5)</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(686)</w:t>
            </w: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22.2 %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9"/>
              </w:rPr>
              <w:t>15.0 %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(30.3)%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bl>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annual effective tax rate is generally lower than the 21% federal statutory income tax rate primarily due to the full valuation allowance recorded on our net U.S. federal and state deferred tax assets. We evaluated all positive and negative evidence to determine whether it is more likely than not that the deferred tax asset can be realized in future periods and determined that a full valuation allowance at September 30, 2024 remains appropriate.</w:t>
      </w:r>
    </w:p>
    <w:p>
      <w:pPr>
        <w:spacing w:after="0" w:line="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Our income tax expense is primarily driven by the jurisdictional mix of our earnings. The increase in the effective tax rate for the nine months ended September 30, 2024 compared to the same period of 2023 is primarily due to recognizing income tax expense in the U.S. driven by the increase in pre-tax earnings.</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4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2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(48.7)</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(156.1)</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520.4</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356.0</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17.4</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17.8</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13,226.7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713.0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81"/>
        </w:trPr>
        <w:tc>
          <w:tcPr>
            <w:tcW w:w="58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r>
      <w:tr>
        <w:trPr>
          <w:trHeight w:val="220"/>
        </w:trPr>
        <w:tc>
          <w:tcPr>
            <w:tcW w:w="5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11,687.6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304.7</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(14.3)</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58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13,226.7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713.0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69"/>
        </w:trPr>
        <w:tc>
          <w:tcPr>
            <w:tcW w:w="5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8,132.5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335.1</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liabilities, at fair value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(73.8)</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(122.5)</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 net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645.3</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(111.4)</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(60.7)</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17.8</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5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12,758.5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646.6</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135"/>
        </w:trPr>
        <w:tc>
          <w:tcPr>
            <w:tcW w:w="5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66.4</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r>
      <w:tr>
        <w:trPr>
          <w:trHeight w:val="155"/>
        </w:trPr>
        <w:tc>
          <w:tcPr>
            <w:tcW w:w="58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13,226.7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713.0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81"/>
        </w:trPr>
        <w:tc>
          <w:tcPr>
            <w:tcW w:w="58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r>
      <w:tr>
        <w:trPr>
          <w:trHeight w:val="220"/>
        </w:trPr>
        <w:tc>
          <w:tcPr>
            <w:tcW w:w="5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11,276.5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366.9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305.4</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(25.6)</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58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12,758.5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646.6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59.50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52.29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7.21</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pacing w:after="0" w:line="1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Total assets increased $713.0 million, or 6%, between December 31, 2023 and September 30, 2024 with a $520.4 million increase in our Loans held for sale portfolio driven by the growth our Originations pipeline and our acquisition of reverse mortgage buyouts and a $356.0 million fair value increase in reverse Loans held for investment mostly driven by capitalization of interest. These increases were offset in part by a $156.1 million decline in servicing advances that was largely driven by seasonal reduction of balances and a $48.7 million decrease in our MSR portfolio due to MSR sales and derecognition of MSRs previously sold to MAV, offset in part by fair value gains attributed to rates and assumptions and new additions in excess of runoff.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69" w:name="page70"/>
    <w:bookmarkEnd w:id="69"/>
    <w:p>
      <w:pPr>
        <w:ind w:right="20"/>
        <w:spacing w:after="0" w:line="259" w:lineRule="auto"/>
        <w:rPr>
          <w:sz w:val="20"/>
          <w:szCs w:val="20"/>
          <w:color w:val="auto"/>
        </w:rPr>
      </w:pPr>
      <w:r>
        <w:rPr>
          <w:rFonts w:ascii="Times New Roman" w:cs="Times New Roman" w:eastAsia="Times New Roman" w:hAnsi="Times New Roman"/>
          <w:sz w:val="17"/>
          <w:szCs w:val="17"/>
          <w:color w:val="auto"/>
        </w:rPr>
        <w:t>Total liabilities increased by $646.6 million, or 5%, compared to December 31, 2023, due largely to factors described above. Our borrowings under Mortgage loan financing facilities increased $645.3 million due to the higher loans held for sale balance at September 30, 2024, including the issuance of OLIT Notes in 2024 in connection with the securitization of reverse mortgage loan buyouts. Our HMBS-related borrowings increased by $335.1 million mostly due to fair value changes attributable to interest. Partially offsetting these increases, Advance match funded liabilities decreased $122.5 million consistent with the decline in servicing advances driven by our collection efforts, and Senior notes, net decreased $60.7 million mostly due to our repurchases of PMC Senior Secured Notes during the first and third quarters of 2024. MSR financing facilities declined $111.4 million with a decrease in our MSR portfolio and lower utilization of available borrowing capacity at September 30, 2024. Other financing liabilities declined by $73.8 million primarily due to the derecognition of MSRs previously sold to MAV.</w:t>
      </w:r>
    </w:p>
    <w:p>
      <w:pPr>
        <w:spacing w:after="0" w:line="28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Total equity increased $66.4 million during the nine months ended September 30, 2024, mainly due to $62.0 million net income for the period and $2.9 million compensation related to equity-classified awards.</w:t>
      </w:r>
    </w:p>
    <w:p>
      <w:pPr>
        <w:spacing w:after="0" w:line="48" w:lineRule="exact"/>
        <w:rPr>
          <w:sz w:val="20"/>
          <w:szCs w:val="20"/>
          <w:color w:val="auto"/>
        </w:rPr>
      </w:pPr>
    </w:p>
    <w:p>
      <w:pPr>
        <w:ind w:right="1000"/>
        <w:spacing w:after="0" w:line="380" w:lineRule="auto"/>
        <w:rPr>
          <w:sz w:val="20"/>
          <w:szCs w:val="20"/>
          <w:color w:val="auto"/>
        </w:rPr>
      </w:pPr>
      <w:r>
        <w:rPr>
          <w:rFonts w:ascii="Times New Roman" w:cs="Times New Roman" w:eastAsia="Times New Roman" w:hAnsi="Times New Roman"/>
          <w:sz w:val="17"/>
          <w:szCs w:val="17"/>
          <w:color w:val="auto"/>
        </w:rPr>
        <w:t xml:space="preserve">Also refer to Key Trends and Outlook below and Note 22 – Subsequent Events for discussion of recent asset acquisitions and financing transactions. </w:t>
      </w:r>
      <w:r>
        <w:rPr>
          <w:rFonts w:ascii="Times New Roman" w:cs="Times New Roman" w:eastAsia="Times New Roman" w:hAnsi="Times New Roman"/>
          <w:sz w:val="17"/>
          <w:szCs w:val="17"/>
          <w:b w:val="1"/>
          <w:bCs w:val="1"/>
          <w:color w:val="auto"/>
        </w:rPr>
        <w:t>Key Trends and Outlook</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following discussion provides information regarding certain key drivers of our financial performance and includes certain forward-looking statements that are based on the current beliefs and expectations of Onity’s management and are subject to significant risks and uncertainties. Refer to Forward-Looking Statements beginning on page 2 of this Form 10-Q and Part I, Item 1.A. of our Annual Report on Form 10-K for the year ended December 31, 2023, for discussion of certain of those risks and uncertainties and other factors that could cause Onity’s actual results to differ materially because of those risks and uncertainties. There is no assurance that actual results will be in line with the outlook information set forth below, and Onity does not undertake to update any forward-looking statements. Refer to the Segment results of operations section for further detail, the description of our business environment, initiatives and risks.</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Servicing and subservicing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subservicing fees. We expect we will continue to grow our servicing and subservicing portfolio through our multi-channel Originations platform and through MSR capital partners, with an emphasis on subservicing. We expect ancillary float income to trend with short-term interest rates considering seasonal changes in average float balances.</w:t>
      </w:r>
    </w:p>
    <w:p>
      <w:pPr>
        <w:spacing w:after="0" w:line="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volume and margin and is channel-sensitive. The updated industry forecasts suggest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loan origination in 2025 driven by lower interest rates. We anticipate growth in our Consumer Direct channel considering the updated industry forecast and our increased recapture capabilities. We expect to continue to prudently grow our Correspondent volume at margins that are accretive to the business as part of our MSR replenishment and growth strategy after the opportunistic MSR bulk sales in 2024. We expect continued competitive pressure on margins across all channels.</w:t>
      </w:r>
    </w:p>
    <w:p>
      <w:pPr>
        <w:spacing w:after="0" w:line="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Gain on reverse loans held for investment and HMBS-related borrowings, net </w:t>
      </w:r>
      <w:r>
        <w:rPr>
          <w:rFonts w:ascii="Times New Roman" w:cs="Times New Roman" w:eastAsia="Times New Roman" w:hAnsi="Times New Roman"/>
          <w:sz w:val="17"/>
          <w:szCs w:val="17"/>
          <w:color w:val="auto"/>
        </w:rPr>
        <w:t>- The reverse mortgage origination gain is driven by the same factors as gain on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 On November 1, 2024, we completed the acquisition of $3.0 billion UPB of HECM loans along with HMBS-related borrowings and other assets from MAM that we subserviced. We expect higher net interest income (reported as fair value changes) due to higher UPB and increased volatility in fair value changes that we expect would largely be offset with our MSR hedging strategy, refer to Note 22 – Subsequent Events and Item 3. Quantitative and Qualitative Disclosures About Market Risk for further detail on our hedge strategy.</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multiple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value of the MSR relative to the UPB, and prepayments. We expect the MSR realization of expected cash flows to generally follow the growth or size of our MSR portfolio net of ESS financing liabilities and pledged MSR liabilities with our MSR capital partners. Second, MSR fair value changes are driven by changes in interest rates and assumptions, such as forecasted prepayments. Third, the MSR fair value changes due to changes in interest rates are partially offset by derivative fair value changes that economically hedge the MSR portfolio to the extent of our hedge coverage ratio and hedge performance. Refer to the sensitivity analysis in Item 3. Quantitative and Qualitative Disclosures About Market Risk for further detail.</w:t>
      </w:r>
    </w:p>
    <w:p>
      <w:pPr>
        <w:spacing w:after="0" w:line="68"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0" w:name="page71"/>
    <w:bookmarkEnd w:id="70"/>
    <w:p>
      <w:pPr>
        <w:ind w:right="20"/>
        <w:spacing w:after="0" w:line="270" w:lineRule="auto"/>
        <w:rPr>
          <w:sz w:val="20"/>
          <w:szCs w:val="20"/>
          <w:color w:val="auto"/>
        </w:rPr>
      </w:pPr>
      <w:r>
        <w:rPr>
          <w:rFonts w:ascii="Times New Roman" w:cs="Times New Roman" w:eastAsia="Times New Roman" w:hAnsi="Times New Roman"/>
          <w:sz w:val="17"/>
          <w:szCs w:val="17"/>
          <w:color w:val="auto"/>
        </w:rPr>
        <w:t>expected to modestly increase (see above), we expect a stable workforce with productivity gains. We expect our Originations headcount and operating expenses to align with the expected growth in volume. Our operating expenses are expected to correlate with volumes, with some productivity and efficiencies expected through our technology and continuous improvement initiatives.</w:t>
      </w:r>
    </w:p>
    <w:p>
      <w:pPr>
        <w:spacing w:after="0" w:line="6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Net interest expense </w:t>
      </w:r>
      <w:r>
        <w:rPr>
          <w:rFonts w:ascii="Times New Roman" w:cs="Times New Roman" w:eastAsia="Times New Roman" w:hAnsi="Times New Roman"/>
          <w:sz w:val="17"/>
          <w:szCs w:val="17"/>
          <w:color w:val="auto"/>
        </w:rPr>
        <w:t>- Interest expense varies based on changes in average debt balance and changes in interest rate on our variable rate debt. The average balance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collateralized financing facilities trends with the balance of the underlying assets discussed above (including MSR, advances and loans). We expect interest expense on our collateralized financing facilities to trend with short-term interest rate changes. Interest expense on our warehouse loan facilities is expected to be largely offset by interest income on our Originations pipeline loans. We also expect interest expense on our corporate debt to decline upon the consummation of our refinancing transactions, refer to Note 22 – Subsequent Events.</w:t>
      </w:r>
    </w:p>
    <w:p>
      <w:pPr>
        <w:spacing w:after="0" w:line="6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With the above considerations, we expect our businesses to continue to generate net income and increase our equity in 2025, absent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adverse change in interest rates, hedge performance or other factors. We also expect our profitability in the fourth quarter of 2024 to be negatively affected by our refinancing transactions, partly offset by the expected gain on MAV sale. Conversely, we expect our profitability in 2025 to be favorably impacted by our refinancing transactions, with an overall lower interest expense on our corporate debt after consideration of preferred stock dividend. Refer to Note 22 – Subsequent Events.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earn contractual monthly servicing fees pursuant to servicing agreements pertaining to MSRs we own, which are typically payable as a fixed percentage of UPB, as well as ancillary fees that include float earnings, late fees, and other fees, where permitted. We also earn fees under subservicing arrangements with other institutions that own MSRs, which are typically on a per-loan basis and vary based on loan delinquency status.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we serviced 1.4 million mortgage loans with an aggregate UPB of $298.9 billion.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w:t>
      </w:r>
    </w:p>
    <w:p>
      <w:pPr>
        <w:spacing w:after="0" w:line="1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Rithm is one of our largest subservicing clients accounting for $42.2 billion, or 14% of the UPB and 25% of the loan count of our total servicing and subservicing portfolio as of September 30, 2024, and approximately 64% of all delinquent loans that Onity services. The servicing agreements automatically renew annually unless notice of termination is provided. Refer to Note 8 — Other Financing Liabilities, at Fair Value and Note 22 – Subsequent Events.</w:t>
      </w:r>
    </w:p>
    <w:p>
      <w:pPr>
        <w:spacing w:after="0" w:line="6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MAV represented $41.9 billion, or 14% of the UPB and 11% of the loan count of our total servicing and subservicing portfolio as of September 30, 2024. In May 2021, PHH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PHH. Refer to Note 11 - Investment in Equity Method Investee and Related Party Transactions and Note 22 – Subsequent Events.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and MAV, provide for prompt reimbursement of any advances from the owner of the servicing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report all fair value changes of our MSR portfolio and MSR hedges within MSR valuation adjustments, net. 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Originations business, under the guidelines of the HECM reverse mortgage insurance program of the FHA. Loans are generally insured by the FHA, which provides protection against risk of borrower default, and are securitized through the Ginnie Mae program. As the securitization of reverse mortgage loans does not achieve sale accounting treatment, the loans remain on our balance sheet as Loans held for investment, at fair value together with the securitization HMBS-related borrowings, at fair value.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activities of reverse loans are generally consistent with forward mortgage loan servicing as described above, with the following additional functions: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funding of borrower advances or draws under their approved borrowing capacity and the repurchase of loans upon reaching a limit:</w:t>
      </w:r>
    </w:p>
    <w:p>
      <w:pPr>
        <w:spacing w:after="0" w:line="93" w:lineRule="exact"/>
        <w:rPr>
          <w:sz w:val="20"/>
          <w:szCs w:val="20"/>
          <w:color w:val="auto"/>
        </w:rPr>
      </w:pPr>
    </w:p>
    <w:p>
      <w:pPr>
        <w:ind w:left="620" w:right="60" w:hanging="309"/>
        <w:spacing w:after="0" w:line="265" w:lineRule="auto"/>
        <w:tabs>
          <w:tab w:leader="none" w:pos="600" w:val="left"/>
        </w:tabs>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 xml:space="preserve">Borrower draw funding obligation </w:t>
      </w:r>
      <w:r>
        <w:rPr>
          <w:rFonts w:ascii="Times New Roman" w:cs="Times New Roman" w:eastAsia="Times New Roman" w:hAnsi="Times New Roman"/>
          <w:sz w:val="17"/>
          <w:szCs w:val="17"/>
          <w:color w:val="auto"/>
        </w:rPr>
        <w:t>- Under the terms of ARM-based HECM loan agreements, the borrowers have additional borrowing capacity.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 draws or tails are funded by the servicer and are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 Also refer to Liquidity and Capital Resources, Use of Funds.</w:t>
      </w:r>
    </w:p>
    <w:p>
      <w:pPr>
        <w:spacing w:after="0" w:line="274" w:lineRule="exact"/>
        <w:rPr>
          <w:sz w:val="20"/>
          <w:szCs w:val="20"/>
          <w:color w:val="auto"/>
        </w:rPr>
      </w:pPr>
    </w:p>
    <w:p>
      <w:pPr>
        <w:ind w:left="620" w:right="120" w:hanging="307"/>
        <w:spacing w:after="0" w:line="257" w:lineRule="auto"/>
        <w:tabs>
          <w:tab w:leader="none" w:pos="65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Loan repurchase obligation - </w:t>
      </w:r>
      <w:r>
        <w:rPr>
          <w:rFonts w:ascii="Times New Roman" w:cs="Times New Roman" w:eastAsia="Times New Roman" w:hAnsi="Times New Roman"/>
          <w:sz w:val="17"/>
          <w:szCs w:val="17"/>
          <w:color w:val="auto"/>
        </w:rPr>
        <w:t>As an HMBS issuer, we are required to purchase loans out of the Ginnie Mae securitization pools once they reach 98%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maximum claim amount (MCA buyouts). Active buyouts are assigned to HUD and payment is received from HUD through a claims process, generally within 30 days. HUD reimburses us for the outstanding principal balance on the loan up to the maximum claim amount; we bear the risk of exposure if the outstanding balance on a loan exceeds the maximum claim amount.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72" w:name="page73"/>
    <w:bookmarkEnd w:id="72"/>
    <w:p>
      <w:pPr>
        <w:jc w:val="both"/>
        <w:ind w:left="620" w:right="300"/>
        <w:spacing w:after="0" w:line="270" w:lineRule="auto"/>
        <w:rPr>
          <w:sz w:val="20"/>
          <w:szCs w:val="20"/>
          <w:color w:val="auto"/>
        </w:rPr>
      </w:pPr>
      <w:r>
        <w:rPr>
          <w:rFonts w:ascii="Times New Roman" w:cs="Times New Roman" w:eastAsia="Times New Roman" w:hAnsi="Times New Roman"/>
          <w:sz w:val="17"/>
          <w:szCs w:val="17"/>
          <w:color w:val="auto"/>
        </w:rPr>
        <w:t>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64"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Gain on reverse loans held for investment and HMBS-related borrowings, net reported within the Servicing segment includes the net fair value changes of securitized reverse mortgage loans held for investment and HMBS-related borrowings, that comprise the following:</w:t>
      </w:r>
    </w:p>
    <w:p>
      <w:pPr>
        <w:spacing w:after="0" w:line="48" w:lineRule="exact"/>
        <w:rPr>
          <w:sz w:val="20"/>
          <w:szCs w:val="20"/>
          <w:color w:val="auto"/>
        </w:rPr>
      </w:pPr>
    </w:p>
    <w:p>
      <w:pPr>
        <w:ind w:left="620" w:right="140" w:hanging="307"/>
        <w:spacing w:after="0" w:line="270"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w:t>
      </w:r>
    </w:p>
    <w:p>
      <w:pPr>
        <w:spacing w:after="0" w:line="12"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of the net balance of securitized loans held for investment and HMBS-related borrowings, that effectively represents servicing and tails. Tails are participations in previously securitized HECMs and are created by additions to principal for borrower draws on lines-of-credit (scheduled and unscheduled), interest, servicing fees, and mortgage insurance premiums.</w:t>
      </w:r>
    </w:p>
    <w:p>
      <w:pPr>
        <w:spacing w:after="0" w:line="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fair value of our Ginnie Mae securitized HECM loan portfolio net of HMBS-related Borrowings generally decreases as market interest rates rise and increases as market rates fall. The exposure is managed as part of our MSR hedging strategy (see Item 3 - Quantitative and qualitative disclosures about market risk, Loans Held for Investment and HMBS-related Borrowings and the associated interest rate sensitivity disclosure).</w:t>
      </w:r>
    </w:p>
    <w:p>
      <w:pPr>
        <w:spacing w:after="0" w:line="12"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w:t>
      </w:r>
    </w:p>
    <w:p>
      <w:pPr>
        <w:spacing w:after="0" w:line="6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Since 2023, we have opportunistically acquired reverse mortgage assets from financial institutions, including active and inactive reverse mortgage loan buyouts, advances, claim receivables from HUD and real estate properties. We finance our asset acquisitions together with the buyouts of our own portfolio through on-balance sheet private placement securitizations (referred to as OLIT). The financial performance of our reverse asset management is reported within the Servicing segment, primarily as Gains (losses) on loans held for sale, and is affected by multiple factors, including liquidation timeline and changes in market interest rates.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latest key servicer ratings: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PHH</w:t>
            </w:r>
          </w:p>
        </w:tc>
        <w:tc>
          <w:tcPr>
            <w:tcW w:w="1520" w:type="dxa"/>
            <w:vAlign w:val="bottom"/>
            <w:tcBorders>
              <w:bottom w:val="single" w:sz="8" w:color="auto"/>
            </w:tcBorders>
          </w:tcPr>
          <w:p>
            <w:pPr>
              <w:spacing w:after="0"/>
              <w:rPr>
                <w:sz w:val="19"/>
                <w:szCs w:val="19"/>
                <w:color w:val="auto"/>
              </w:rPr>
            </w:pPr>
          </w:p>
        </w:tc>
      </w:tr>
      <w:tr>
        <w:trPr>
          <w:trHeight w:val="213"/>
        </w:trPr>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S&amp;P</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0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RSS3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RMS3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r>
      <w:tr>
        <w:trPr>
          <w:trHeight w:val="155"/>
        </w:trPr>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10, 2023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October 11, 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15, 2024</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October 11, 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64"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 addition to servicer ratings, the agencies may from time to time assign an outlook to the rating status. A negative outlook is generally used to indicate that a rating “may be lowered,” while a positive outlook is generally used to indicate a rating “may be raised”.</w:t>
      </w:r>
    </w:p>
    <w:p>
      <w:pPr>
        <w:spacing w:after="0" w:line="4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On February 13, 2024, Fitch affirmed PHH’s residential servicer ratings and revised its outlook from Positive to Stable for Prime and Subprime products. The rating outlook remains Stable for the other products. The rating actions reflect PHH’s comprehensive enterprise-wide internal control environment, extensive industry experience and highly-developed global loan servicing platform, competitive loan servicing performance metrics, and effective technology platform. The ratings also consider the financial condition of PHH’s parent, Onity Group Inc. The affirmed ratings and Stable outlook on PHH’s residential servicer ratings are reflective of the company’s continued business growth, diversified sourcing strategies and overall loan servicing performance.</w:t>
      </w:r>
    </w:p>
    <w:p>
      <w:pPr>
        <w:spacing w:after="0" w:line="7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On February 15, 2024, Fitch affirmed PHH's Master Servicer rating and Stable outlook, reflecting the company's effective enterprise-wide risk environment and compliance management framework, satisfactory loan servicing performance metrics and efficient servicing technology. The ratings also consider the financial condition of PHH's parent, Onity Group Inc.</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October 11, 2024, S&amp;P affirmed the Above Average ratings and Stable outlook citing the company’s experienced management and team, effective systems and technology, sound control framework and good servicing performance metrics, among other factors.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0"/>
        </w:trPr>
        <w:tc>
          <w:tcPr>
            <w:tcW w:w="5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Servicing segment: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Selected Operating Statistics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29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1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500" w:type="dxa"/>
            <w:vAlign w:val="bottom"/>
            <w:gridSpan w:val="4"/>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158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288.2</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11.8</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14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40" w:type="dxa"/>
            <w:vAlign w:val="bottom"/>
          </w:tcPr>
          <w:p>
            <w:pPr>
              <w:spacing w:after="0"/>
              <w:rPr>
                <w:sz w:val="18"/>
                <w:szCs w:val="18"/>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298.9</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21"/>
        </w:trPr>
        <w:tc>
          <w:tcPr>
            <w:tcW w:w="29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to total %</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55"/>
        </w:trPr>
        <w:tc>
          <w:tcPr>
            <w:tcW w:w="29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158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196.9</w:t>
            </w: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203.7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35.4</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36.0</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14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65.4</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65.9</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295.7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01"/>
        </w:trPr>
        <w:tc>
          <w:tcPr>
            <w:tcW w:w="29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to total %</w:t>
            </w: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55"/>
        </w:trPr>
        <w:tc>
          <w:tcPr>
            <w:tcW w:w="2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 (3)</w:t>
            </w:r>
          </w:p>
        </w:tc>
        <w:tc>
          <w:tcPr>
            <w:tcW w:w="158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129.0</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128.2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20"/>
        </w:trPr>
        <w:tc>
          <w:tcPr>
            <w:tcW w:w="2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commercial</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0"/>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4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r>
      <w:tr>
        <w:trPr>
          <w:trHeight w:val="213"/>
        </w:trPr>
        <w:tc>
          <w:tcPr>
            <w:tcW w:w="2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68.1</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56.5</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 (4) (5)</w:t>
            </w: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52.9</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56.7</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Rithm (5) (6)</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43.1</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46.0</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MSR capital partners (5)</w:t>
            </w:r>
          </w:p>
        </w:tc>
        <w:tc>
          <w:tcPr>
            <w:tcW w:w="14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r>
      <w:tr>
        <w:trPr>
          <w:trHeight w:val="213"/>
        </w:trPr>
        <w:tc>
          <w:tcPr>
            <w:tcW w:w="2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40" w:type="dxa"/>
            <w:vAlign w:val="bottom"/>
          </w:tcPr>
          <w:p>
            <w:pPr>
              <w:spacing w:after="0"/>
              <w:rPr>
                <w:sz w:val="18"/>
                <w:szCs w:val="18"/>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298.9</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21"/>
        </w:trPr>
        <w:tc>
          <w:tcPr>
            <w:tcW w:w="29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413"/>
        </w:trPr>
        <w:tc>
          <w:tcPr>
            <w:tcW w:w="292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920" w:type="dxa"/>
            <w:vAlign w:val="bottom"/>
          </w:tcPr>
          <w:p>
            <w:pPr>
              <w:spacing w:after="0"/>
              <w:rPr>
                <w:sz w:val="19"/>
                <w:szCs w:val="19"/>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920" w:type="dxa"/>
            <w:vAlign w:val="bottom"/>
          </w:tcPr>
          <w:p>
            <w:pPr>
              <w:spacing w:after="0"/>
              <w:rPr>
                <w:sz w:val="21"/>
                <w:szCs w:val="21"/>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1060" w:type="dxa"/>
            <w:vAlign w:val="bottom"/>
            <w:gridSpan w:val="2"/>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Prepayment speed (CPR) (7):</w:t>
            </w:r>
          </w:p>
        </w:tc>
        <w:tc>
          <w:tcPr>
            <w:tcW w:w="1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Voluntary CPR</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9"/>
                <w:szCs w:val="19"/>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4.8 %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Involuntary CPR</w:t>
            </w:r>
          </w:p>
        </w:tc>
        <w:tc>
          <w:tcPr>
            <w:tcW w:w="14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Total CPR</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9.0 %</w:t>
            </w:r>
          </w:p>
        </w:tc>
        <w:tc>
          <w:tcPr>
            <w:tcW w:w="100" w:type="dxa"/>
            <w:vAlign w:val="bottom"/>
          </w:tcPr>
          <w:p>
            <w:pPr>
              <w:spacing w:after="0"/>
              <w:rPr>
                <w:sz w:val="19"/>
                <w:szCs w:val="19"/>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155"/>
        </w:trPr>
        <w:tc>
          <w:tcPr>
            <w:tcW w:w="29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w:t>
            </w: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3"/>
        </w:trPr>
        <w:tc>
          <w:tcPr>
            <w:tcW w:w="29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4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r>
    </w:tbl>
    <w:p>
      <w:pPr>
        <w:spacing w:after="0" w:line="117" w:lineRule="exact"/>
        <w:rPr>
          <w:sz w:val="20"/>
          <w:szCs w:val="20"/>
          <w:color w:val="auto"/>
        </w:rPr>
      </w:pPr>
    </w:p>
    <w:p>
      <w:pPr>
        <w:ind w:left="320" w:right="600" w:hanging="317"/>
        <w:spacing w:after="0" w:line="254" w:lineRule="auto"/>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Times New Roman" w:cs="Times New Roman" w:eastAsia="Times New Roman" w:hAnsi="Times New Roman"/>
          <w:sz w:val="16"/>
          <w:szCs w:val="16"/>
          <w:color w:val="auto"/>
        </w:rPr>
      </w:pPr>
    </w:p>
    <w:p>
      <w:pPr>
        <w:ind w:left="320" w:right="220" w:hanging="317"/>
        <w:spacing w:after="0" w:line="272" w:lineRule="auto"/>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Conventional loans include prime loans with a UPB of $10.2 billion and $10.5 billion at September 30, 2024 and June 30, 2024, respectively, that we service or subservice. This compares to prime loans with a UPB of $13.3 billion at September 30, 2023. Prime loans are generally good credit quality loans that meet GSE underwriting standards.</w:t>
      </w:r>
    </w:p>
    <w:p>
      <w:pPr>
        <w:ind w:left="320" w:hanging="317"/>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HECM reverse mortgage loans held for investment with a UPB of $7.9 billion that are recognized in our unaudited consolidated balance sheet at September 30, 2024.</w:t>
      </w:r>
    </w:p>
    <w:p>
      <w:pPr>
        <w:spacing w:after="0" w:line="16"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$20.1 billion UPB subserviced and $21.9 billion UPB of MSRs sold to MAV that did not achieve sale accounting treatment at September 30,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5" w:name="page76"/>
    <w:bookmarkEnd w:id="75"/>
    <w:p>
      <w:pPr>
        <w:ind w:left="320" w:hanging="317"/>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pursuant to our sale or transfer agreements with MAV, Rithm or others for which sale accounting is not achieved, and loans subserviced.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$32.9 billion UPB of subserviced loans on behalf of Rithm at September 30, 2024.</w:t>
      </w:r>
    </w:p>
    <w:p>
      <w:pPr>
        <w:ind w:left="320" w:hanging="317"/>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3-month % CPR includes voluntary and involuntary prepayments, as shown in the table, plus scheduled principal amortization.</w:t>
      </w:r>
    </w:p>
    <w:p>
      <w:pPr>
        <w:spacing w:after="0" w:line="9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 billions)</w:t>
            </w:r>
          </w:p>
        </w:tc>
        <w:tc>
          <w:tcPr>
            <w:tcW w:w="2040" w:type="dxa"/>
            <w:vAlign w:val="bottom"/>
            <w:gridSpan w:val="3"/>
          </w:tcPr>
          <w:p>
            <w:pPr>
              <w:ind w:left="100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960" w:type="dxa"/>
            <w:vAlign w:val="bottom"/>
          </w:tcPr>
          <w:p>
            <w:pPr>
              <w:spacing w:after="0"/>
              <w:rPr>
                <w:sz w:val="19"/>
                <w:szCs w:val="19"/>
                <w:color w:val="auto"/>
              </w:rPr>
            </w:pPr>
          </w:p>
        </w:tc>
      </w:tr>
      <w:tr>
        <w:trPr>
          <w:trHeight w:val="213"/>
        </w:trPr>
        <w:tc>
          <w:tcPr>
            <w:tcW w:w="5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1,378.9</w:t>
            </w: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 (1)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1,403.7</w:t>
            </w: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Additions (1)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sales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0"/>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June 30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1,359.1</w:t>
            </w: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(1) (2) (3) (4)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 (3)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September 30</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1,350.5</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340" w:hanging="317"/>
        <w:spacing w:after="0" w:line="254"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UPB associated with short-term interim subservicing for some clients as a support to their originate-to-sell business, where loans may be boarded and deboarded within the same quarter.</w:t>
      </w:r>
    </w:p>
    <w:p>
      <w:pPr>
        <w:spacing w:after="0" w:line="1" w:lineRule="exact"/>
        <w:rPr>
          <w:rFonts w:ascii="Times New Roman" w:cs="Times New Roman" w:eastAsia="Times New Roman" w:hAnsi="Times New Roman"/>
          <w:sz w:val="16"/>
          <w:szCs w:val="16"/>
          <w:color w:val="auto"/>
        </w:rPr>
      </w:pPr>
    </w:p>
    <w:p>
      <w:pPr>
        <w:ind w:left="320" w:right="320" w:hanging="317"/>
        <w:spacing w:after="0" w:line="241"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with a UPB of $472.9 million and $113.0 million that have not yet transferred to the PHH servicing system as of September 30, 2024 and September 30, 2023, respectively, but for which we have legal title. The seller continues to subservice the loans on an interim basis until servicing transfer.</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sold to an unrelated third party with a UPB of $8.5 billion for which PHH is performing interim subservicing.</w:t>
      </w:r>
    </w:p>
    <w:p>
      <w:pPr>
        <w:ind w:left="320" w:right="260" w:hanging="317"/>
        <w:spacing w:after="0" w:line="248"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and whole loans acquired from unrelated third parties in the third quarter of 2024 with a UPB of $0.9 billion for which PHH was previously performing the subservicing.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 net of allowance for losses: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4"/>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 type</w:t>
            </w:r>
          </w:p>
        </w:tc>
        <w:tc>
          <w:tcPr>
            <w:tcW w:w="1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517.7</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165.8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240.3</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522.7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343.2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reverse mortgage loans reported within our Servicing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00" w:type="dxa"/>
            <w:vAlign w:val="bottom"/>
          </w:tcPr>
          <w:p>
            <w:pPr>
              <w:spacing w:after="0"/>
              <w:rPr>
                <w:sz w:val="19"/>
                <w:szCs w:val="19"/>
                <w:color w:val="auto"/>
              </w:rPr>
            </w:pP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7,867.2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7,782.2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7,488.1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Active Buyouts (2)</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96.2</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62.6</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126</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Inactive Buyouts (2)</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286.9</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196.3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151</w:t>
            </w:r>
          </w:p>
        </w:tc>
      </w:tr>
      <w:tr>
        <w:trPr>
          <w:trHeight w:val="187"/>
        </w:trPr>
        <w:tc>
          <w:tcPr>
            <w:tcW w:w="4340" w:type="dxa"/>
            <w:vAlign w:val="bottom"/>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8,501.1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8,165.3</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7,747.1</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10 %</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Inactive buyouts % to total</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45"/>
        </w:trPr>
        <w:tc>
          <w:tcPr>
            <w:tcW w:w="4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1,822.7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1,799.3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45"/>
        </w:trPr>
        <w:tc>
          <w:tcPr>
            <w:tcW w:w="4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8,214.4</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8,109.4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7,671.1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HMBS related borrowings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8,132.5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8,035.4</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7,613.6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4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asset value (HECM or reverse MSR)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81.9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asset value to UPB</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130" w:lineRule="exact"/>
        <w:rPr>
          <w:sz w:val="20"/>
          <w:szCs w:val="20"/>
          <w:color w:val="auto"/>
        </w:rPr>
      </w:pPr>
    </w:p>
    <w:p>
      <w:pPr>
        <w:ind w:left="320" w:hanging="317"/>
        <w:spacing w:after="0"/>
        <w:tabs>
          <w:tab w:leader="none" w:pos="3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loans only; excludes unsecuritized loans reported within the Originations segment.</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Buyouts are reported as Loans held for sale, Accounts Receivable or REO depending on the loan and foreclosure status.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2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210.2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Pr>
          <w:p>
            <w:pPr>
              <w:spacing w:after="0"/>
              <w:rPr>
                <w:sz w:val="19"/>
                <w:szCs w:val="19"/>
                <w:color w:val="auto"/>
              </w:rPr>
            </w:pPr>
          </w:p>
        </w:tc>
        <w:tc>
          <w:tcPr>
            <w:tcW w:w="124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n/m</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71"/>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reverse loans held for</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3140" w:type="dxa"/>
            <w:vAlign w:val="bottom"/>
          </w:tcPr>
          <w:p>
            <w:pPr>
              <w:ind w:left="200"/>
              <w:spacing w:after="0" w:line="177" w:lineRule="exact"/>
              <w:rPr>
                <w:sz w:val="20"/>
                <w:szCs w:val="20"/>
                <w:color w:val="auto"/>
              </w:rPr>
            </w:pPr>
            <w:r>
              <w:rPr>
                <w:rFonts w:ascii="Times New Roman" w:cs="Times New Roman" w:eastAsia="Times New Roman" w:hAnsi="Times New Roman"/>
                <w:sz w:val="17"/>
                <w:szCs w:val="17"/>
                <w:color w:val="auto"/>
              </w:rPr>
              <w:t>investment and HMBS-related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borrowings, net</w:t>
            </w:r>
          </w:p>
        </w:tc>
        <w:tc>
          <w:tcPr>
            <w:tcW w:w="140" w:type="dxa"/>
            <w:vAlign w:val="bottom"/>
          </w:tcPr>
          <w:p>
            <w:pPr>
              <w:spacing w:after="0"/>
              <w:rPr>
                <w:sz w:val="19"/>
                <w:szCs w:val="19"/>
                <w:color w:val="auto"/>
              </w:rPr>
            </w:pPr>
          </w:p>
        </w:tc>
        <w:tc>
          <w:tcPr>
            <w:tcW w:w="1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2.8</w:t>
            </w:r>
          </w:p>
        </w:tc>
        <w:tc>
          <w:tcPr>
            <w:tcW w:w="108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323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11.4</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217.2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734.3</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19"/>
                <w:szCs w:val="19"/>
                <w:color w:val="auto"/>
              </w:rPr>
            </w:pPr>
          </w:p>
        </w:tc>
        <w:tc>
          <w:tcPr>
            <w:tcW w:w="124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11.2</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44.8</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6.2</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2.8</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10.8</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34.0</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63.1</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234.2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(47.0)</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(128.2)</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(46.1)</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5.9</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(85.7)</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(329.9)</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384 %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Loan servicing and subservicing fees: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Ancillary income</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416"/>
        </w:trPr>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108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80" w:type="dxa"/>
            <w:vAlign w:val="bottom"/>
            <w:gridSpan w:val="2"/>
          </w:tcPr>
          <w:p>
            <w:pPr>
              <w:jc w:val="center"/>
              <w:ind w:left="494"/>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705.9</w:t>
            </w:r>
          </w:p>
        </w:tc>
        <w:tc>
          <w:tcPr>
            <w:tcW w:w="108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-598170</wp:posOffset>
            </wp:positionV>
            <wp:extent cx="7138035" cy="139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-319405</wp:posOffset>
            </wp:positionV>
            <wp:extent cx="7138035" cy="139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380"/>
            <w:col w:w="8100"/>
          </w:cols>
          <w:pgMar w:left="320" w:top="1295" w:right="339" w:bottom="1440" w:gutter="0" w:footer="0" w:header="0"/>
        </w:sectPr>
      </w:pP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and discussion present the drivers of servicing and subservicing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fees</w:t>
            </w:r>
          </w:p>
        </w:tc>
        <w:tc>
          <w:tcPr>
            <w:tcW w:w="1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servicing UPB (1) (6)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164.2</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168.9</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168.0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servicing fee (2)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0.32</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Servicing fees (3)</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125.1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128.6</w:t>
            </w:r>
          </w:p>
        </w:tc>
        <w:tc>
          <w:tcPr>
            <w:tcW w:w="108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380.8</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491.4</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Subservicing fees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Average number of subserviced loans (4)</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0"/>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Average monthly fee per loan (5)</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3"/>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 fees (3)</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28.6</w:t>
            </w:r>
          </w:p>
        </w:tc>
        <w:tc>
          <w:tcPr>
            <w:tcW w:w="108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61.2</w:t>
            </w:r>
          </w:p>
        </w:tc>
        <w:tc>
          <w:tcPr>
            <w:tcW w:w="106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Servicing and subservicing fees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154.0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467.9</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552.6</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(excluding Ancillary income)</w:t>
            </w:r>
          </w:p>
        </w:tc>
        <w:tc>
          <w:tcPr>
            <w:tcW w:w="1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 $ billions, (2) In % of UPB, annualized, (3) In $ millions, (4) In thousands, (5) In dollars.</w:t>
      </w:r>
    </w:p>
    <w:p>
      <w:pPr>
        <w:spacing w:after="0" w:line="16" w:lineRule="exact"/>
        <w:rPr>
          <w:sz w:val="20"/>
          <w:szCs w:val="20"/>
          <w:color w:val="auto"/>
        </w:rPr>
      </w:pPr>
    </w:p>
    <w:p>
      <w:pPr>
        <w:ind w:left="240" w:right="80" w:hanging="237"/>
        <w:spacing w:after="0" w:line="249" w:lineRule="auto"/>
        <w:tabs>
          <w:tab w:leader="none" w:pos="22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w:t>
      </w:r>
      <w:r>
        <w:rPr>
          <w:rFonts w:ascii="Times New Roman" w:cs="Times New Roman" w:eastAsia="Times New Roman" w:hAnsi="Times New Roman"/>
          <w:sz w:val="17"/>
          <w:szCs w:val="17"/>
          <w:color w:val="auto"/>
        </w:rPr>
        <w:t>$35.3 billion</w:t>
      </w:r>
      <w:r>
        <w:rPr>
          <w:rFonts w:ascii="Times New Roman" w:cs="Times New Roman" w:eastAsia="Times New Roman" w:hAnsi="Times New Roman"/>
          <w:sz w:val="16"/>
          <w:szCs w:val="16"/>
          <w:color w:val="auto"/>
        </w:rPr>
        <w:t xml:space="preserve"> average UPB of MSRs in the nine months ended September 30, 2023, previously sold to Rithm for which the sale accounting criteria were met effective December 31, 2023.</w:t>
      </w:r>
    </w:p>
    <w:p>
      <w:pPr>
        <w:spacing w:after="0" w:line="1" w:lineRule="exact"/>
        <w:rPr>
          <w:rFonts w:ascii="Times New Roman" w:cs="Times New Roman" w:eastAsia="Times New Roman" w:hAnsi="Times New Roman"/>
          <w:sz w:val="16"/>
          <w:szCs w:val="16"/>
          <w:color w:val="auto"/>
        </w:rPr>
      </w:pPr>
    </w:p>
    <w:p>
      <w:pPr>
        <w:ind w:left="240" w:right="100" w:hanging="237"/>
        <w:spacing w:after="0" w:line="246" w:lineRule="auto"/>
        <w:tabs>
          <w:tab w:leader="none" w:pos="22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an average </w:t>
      </w:r>
      <w:r>
        <w:rPr>
          <w:rFonts w:ascii="Times New Roman" w:cs="Times New Roman" w:eastAsia="Times New Roman" w:hAnsi="Times New Roman"/>
          <w:sz w:val="17"/>
          <w:szCs w:val="17"/>
          <w:color w:val="auto"/>
        </w:rPr>
        <w:t>255 thousand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260 thousand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260 thousand</w:t>
      </w:r>
      <w:r>
        <w:rPr>
          <w:rFonts w:ascii="Times New Roman" w:cs="Times New Roman" w:eastAsia="Times New Roman" w:hAnsi="Times New Roman"/>
          <w:sz w:val="16"/>
          <w:szCs w:val="16"/>
          <w:color w:val="auto"/>
        </w:rPr>
        <w:t xml:space="preserve"> loans subserviced under Rithm agreements in the three months ended September 30, 2024, three months ended June 30, 2024 and nine months ended September 30, 2024, respectively, of MSRs previously sold to Rithm for which the sale accounting criteria were met effective December 31, 2023.</w:t>
      </w:r>
    </w:p>
    <w:p>
      <w:pPr>
        <w:spacing w:after="0" w:line="8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Servicing and subservicing fees (excluding Ancillary income) for the three months ended September 30, 2024 declined $3.2 million compared to the three months ended June 30, 2024, due to a 3% decrease in average servicing UPB, driven by MAV’s sale of MSRs (previously sold by Onity to MAV in a transaction which did not qualify for sale accounting treatment). Subservicing fees remained unchanged compared to the three months ended June 30, 2024.</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Compared to the nine months ended September 30, 2023, our servicing and subservicing fees (excluding Ancillary income) for the nine months ended September 30, 2024 decreased $84.7 million, or 15% with a $110.6 million decrease in servicing fees partially offset by a $25.9 million increase in subservicing fees. These variances are largely due to the effects of our accounting derecognition of MSRs previously sold to Rithm for which the sale accounting criteria were met effective December 31, 2023 ($95.3 million servicing fees remitted to Rithm recognized in the nine months ended September 30, 2023).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 (see further discussion below). These required accounting presentation changes do not affect the amount of net fee retained by Onity in connection with the Rithm servicing agreements (Loan servicing and subservicing fees less Pledged MSR liability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79" w:name="page80"/>
    <w:bookmarkEnd w:id="79"/>
    <w:p>
      <w:pPr>
        <w:ind w:right="140"/>
        <w:spacing w:after="0" w:line="260" w:lineRule="auto"/>
        <w:rPr>
          <w:sz w:val="20"/>
          <w:szCs w:val="20"/>
          <w:color w:val="auto"/>
        </w:rPr>
      </w:pPr>
      <w:r>
        <w:rPr>
          <w:rFonts w:ascii="Times New Roman" w:cs="Times New Roman" w:eastAsia="Times New Roman" w:hAnsi="Times New Roman"/>
          <w:sz w:val="17"/>
          <w:szCs w:val="17"/>
          <w:color w:val="auto"/>
        </w:rPr>
        <w:t>The $110.6 million decrease in servicing fees compared to the nine months ended September 30, 2023 is primarily attributed to $133.6 million servicing fees collected on behalf of Rithm recorded in the first nine months of 2023 related to the previously sold MSRs derecognized on December 31, 2023, offset in part by higher fees in the first nine months of 2024 attributed to other MSR capital partners and MAV, growth in Ginnie Mae servicing UPB and $8.2 million increased collection of previously deferred non-Agency servicing fees. The $25.9 million increase in subservicing fees is mostly due to the effects of our derecognition of MSRs previously sold to Rithm as discussed above, with $38.9 million higher forward subservicing fees, partially offset by a $13.0 million reduction in reverse mortgage subservicing fees due to portfolio runoff.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our ancillary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77.9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0"/>
        </w:trPr>
        <w:tc>
          <w:tcPr>
            <w:tcW w:w="3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Late charges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28.8</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20.5</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153.4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Ancillary income for the three months ended September 30, 2024 increased by $3.2 million, or 6% compared to the three months ended June 30, 2024 primarily due to a $3.6 million increase in float earnings mostly attributable to seasonally higher average float balances, offset in part by $1.0 million decrease in reverse subservicing related ancillary fees driven by portfolio runoff.</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Compared to the nine months ended September 30, 2023, ancillary income for the nine months ended September 30, 2024 increased by $3.2 million, or 2% largely driven by a $16.6 million increase in float earnings mostly due to higher short-term market interest rates, partially offset by an $8.0 million decline in reverse subservicing ancillary fees driven by portfolio runoff, a $3.3 million reduction in late charges and a $1.8 million decline in loan collection fees primarily driven by the Rithm portfolio derecognition.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recognized a $9.4 million gain on loans held for sale, net for the three months ended September 30, 2024, compared to a $0.2 million loss recognized in the three months ended June 30, 2024, mostly due to reverse mortgage buyouts in the third quarter of 2024, partly driven by market interest rate decline and favorable assumption updates.</w:t>
      </w:r>
    </w:p>
    <w:p>
      <w:pPr>
        <w:spacing w:after="0" w:line="6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Compared to the nine months ended September 30, 2023, Gain on loans held for sale, net for the nine months ended September 30, 2024 decreased by $2.0 million, mostly due to reverse mortgage buyouts in connection with our opportunistic acquisitions and securitization strategy.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Reverse Loans Held for Investment and HMBS-Related Borrowings,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the fair value change of reverse loans held for investment and HMBS-related borrowings, net.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168"/>
        </w:trPr>
        <w:tc>
          <w:tcPr>
            <w:tcW w:w="314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Other change in fair value of securitized</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auto"/>
              </w:rPr>
              <w:t>loans held for investment and HMBS-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related borrowings,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(13.8)</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51"/>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reverse loans held for</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14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investment and HMBS-related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borrowings, net (Servicing)</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increased $9.1 million for the three months ended September 30, 2024 compared to the three months ended June 30, 2024 largely driven by a favorable decline in market interest rates. While not the only benchmark for the reverse mortgage exposure, the 10-year Treasury rate declined 55 basis points during the three months ended September 30, 2024 and increased 16 basis points during the three months ended June 30, 2024. Net interest income remained mostly flat (+2%), consistent with the portfolio growth.</w:t>
      </w:r>
    </w:p>
    <w:p>
      <w:pPr>
        <w:spacing w:after="0" w:line="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Compared to the nine months ended September 30, 2023, Gain on reverse loans held for investment and HMBS-related borrowings, net for the nine months ended September 30, 2024 increased $19.4 million largely due to a decrease in market rates vs. an increase in the prior year period and yield spread tightening vs. widening in the prior year period. The 10-year Treasury rate declined 7 basis points during the nine months ended September 30, 2024 compared to an increase of 71 basis points during the nine months ended September 30, 2023. Net interest income remained mostly flat (+ 3%), consistent with the portfolio growth.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the discussion above within Overview-Results of Operations and Financial Condition-MSR Valuation Adjustments, Net.</w:t>
      </w:r>
    </w:p>
    <w:p>
      <w:pPr>
        <w:spacing w:after="0" w:line="11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following table summarizes the impact of our MSR interest rate hedging strategy on Servicing segment results. Refer to MSR Hedging Strategy section of Item 3. Quantitative and Qualitative Disclosures about Market Risks for further detail. Net MSR portfolio exposure gains (losses) comprise the fair value changes of the MSR portfolio attributable to rates and assumption changes, the MSR hedging derivative gains and losses, and other fair value changes of the HECM loans and HMBS-related borrowings used as a hedge for risk management purposes.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45"/>
        </w:trPr>
        <w:tc>
          <w:tcPr>
            <w:tcW w:w="48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48"/>
        </w:trPr>
        <w:tc>
          <w:tcPr>
            <w:tcW w:w="482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7"/>
                <w:szCs w:val="17"/>
                <w:color w:val="auto"/>
              </w:rPr>
              <w:t>MSR fair value gains (losses) due to rate and assumption changes (1)</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Servicing (2)</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(49.7)</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84.3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84.3</w:t>
            </w:r>
          </w:p>
        </w:tc>
      </w:tr>
      <w:tr>
        <w:trPr>
          <w:trHeight w:val="220"/>
        </w:trPr>
        <w:tc>
          <w:tcPr>
            <w:tcW w:w="4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MSR hedging derivative fair value gain (loss) (1)</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54.3</w:t>
            </w:r>
          </w:p>
        </w:tc>
        <w:tc>
          <w:tcPr>
            <w:tcW w:w="44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19"/>
                <w:szCs w:val="19"/>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(119.7)</w:t>
            </w:r>
          </w:p>
        </w:tc>
      </w:tr>
      <w:tr>
        <w:trPr>
          <w:trHeight w:val="168"/>
        </w:trPr>
        <w:tc>
          <w:tcPr>
            <w:tcW w:w="4820" w:type="dxa"/>
            <w:vAlign w:val="bottom"/>
            <w:shd w:val="clear" w:color="auto" w:fill="CCEEFF"/>
          </w:tcPr>
          <w:p>
            <w:pPr>
              <w:ind w:left="40"/>
              <w:spacing w:after="0" w:line="168" w:lineRule="exact"/>
              <w:rPr>
                <w:sz w:val="20"/>
                <w:szCs w:val="20"/>
                <w:color w:val="auto"/>
              </w:rPr>
            </w:pPr>
            <w:r>
              <w:rPr>
                <w:rFonts w:ascii="Times New Roman" w:cs="Times New Roman" w:eastAsia="Times New Roman" w:hAnsi="Times New Roman"/>
                <w:sz w:val="17"/>
                <w:szCs w:val="17"/>
                <w:color w:val="auto"/>
              </w:rPr>
              <w:t>Other change in fair value of securitized loans held for investment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3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HMBS-related borrowings, net (3)</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44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MSR portfolio exposure gains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10.3</w:t>
            </w:r>
          </w:p>
        </w:tc>
        <w:tc>
          <w:tcPr>
            <w:tcW w:w="440" w:type="dxa"/>
            <w:vAlign w:val="bottom"/>
          </w:tcPr>
          <w:p>
            <w:pPr>
              <w:spacing w:after="0"/>
              <w:rPr>
                <w:sz w:val="18"/>
                <w:szCs w:val="18"/>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39.3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(49.2)</w:t>
            </w: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MSR valuation adjustments, net within the Overview section of Item 2. Management’s Discussion and Analysis of Financial Condition and Results of Operations.</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 valuations adjustments, net reported within the Originations Segment.</w:t>
      </w:r>
    </w:p>
    <w:p>
      <w:pPr>
        <w:ind w:left="320" w:hanging="317"/>
        <w:spacing w:after="0"/>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“Other change in fair value of securitized loans held for investment and HMBS-related borrowings, net” in above table.</w:t>
      </w:r>
    </w:p>
    <w:p>
      <w:pPr>
        <w:spacing w:after="0" w:line="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Net MSR portfolio exposure gains of $10.3 million for the three months ended September 30, 2024 are largely driven by favorable assumption updates to reflect actual market trade pricing levels as our MSR hedge strategy was effective at reducing net fair value changes due to interest rate changes. With a 90-110% targeted hedge coverage ratio, the fair value losses of the MSR portfolio due to the decline in market interest rates in the third quarter of 2024 were largely offset by gains on MSR hedging derivatives and loans held for investment net of HMBS-related borrowings. The favorable change from the prior quarter is driven by favorable assumption updates, higher hedge performance and lower hedge costs despite volatile market conditions.</w:t>
      </w:r>
    </w:p>
    <w:p>
      <w:pPr>
        <w:spacing w:after="0" w:line="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favorable change of Net MSR portfolio exposure gains for the nine months ended September 30, 2024 compared to losses for the nine months ended September 30, 2023 is mainly driven by changes in interest rates, our adoption of a 95-105% hedge coverage ratio in December 2023 (revised to 90-110% in April 2024) and assumption updates that reflect market trade pricing levels in the respective periods.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1"/>
        </w:trPr>
        <w:tc>
          <w:tcPr>
            <w:tcW w:w="3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26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81.3</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Employment - Servicing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164"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September 30, 2024 increased $1.4 million or 6% compared to the three months ended June 30, 2024 primarily due to an increase in estimated annual cash awards based on our year-to-date financial performance.</w:t>
      </w:r>
    </w:p>
    <w:p>
      <w:pPr>
        <w:spacing w:after="0" w:line="4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Compared to the nine months ended September 30, 2023, Compensation and benefits expense for the nine months ended September 30, 2024 decreased $5.5 million or 7%, mostly driven by the headcount reduction. The average headcount decreased 8% driven by the integration of reverse servicing and the runoff of our reverse subservicing portfolio. The increase in the estimated annual cash awards in the third quarter of 2024 discussed above was offset by severance expense recorded in the nine months ended September 30,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2" w:name="page83"/>
    <w:bookmarkEnd w:id="82"/>
    <w:p>
      <w:pPr>
        <w:ind w:right="20"/>
        <w:spacing w:after="0" w:line="288" w:lineRule="auto"/>
        <w:rPr>
          <w:sz w:val="20"/>
          <w:szCs w:val="20"/>
          <w:color w:val="auto"/>
        </w:rPr>
      </w:pPr>
      <w:r>
        <w:rPr>
          <w:rFonts w:ascii="Times New Roman" w:cs="Times New Roman" w:eastAsia="Times New Roman" w:hAnsi="Times New Roman"/>
          <w:sz w:val="17"/>
          <w:szCs w:val="17"/>
          <w:color w:val="auto"/>
        </w:rPr>
        <w:t>Servicing expense declined $2.3 million in the three months ended September 30, 2024 compared to the three months ended June 30, 2024, primarily as a result of a release of representation and warranty indemnification obligations due to a favorable settlement in the third quarter of 2024.</w:t>
      </w:r>
    </w:p>
    <w:p>
      <w:pPr>
        <w:spacing w:after="0" w:line="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Compared to the nine months ended September 30, 2023, Servicing expense for the nine months ended September 30, 2024 declined $11.5 million. The decline in servicing expenses is primarily attributed to a $7.2 million favorable change in provision for indemnification obligations driven by recoveries and favorable resolutions in the nine months ended September 30, 2024 and new demands in the nine months ended September 30, 2023. In addition, the decline in servicing expense is due to lower claim loss on Ginnie Mae loan repurchases, driven by lower severity, partially offset by a higher insurance loss expense in line with higher quota share on reinsurance premiums assumed.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Professional services for the three months ended September 30, 2024 increased $6.7 million, compared to the three months ended June 30, 2024, mostly due to reimbursements received in the second quarter of 2024 from mortgage loan investors related to prior year legal expenses and payments following resolution of legacy litigation matters.</w:t>
      </w:r>
    </w:p>
    <w:p>
      <w:pPr>
        <w:spacing w:after="0" w:line="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Compared to the nine months ended September 30, 2023, Professional services expense for the nine months ended September 30, 2024 declined $7.9 million mostly due to the reimbursements received in the second quarter of 2024 from mortgage loan investors discussed above and a reduction in outsourcing costs in our reverse subservicing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pledged MSR liability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details related to interest expense and its drivers.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15.8</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19.6</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51.9</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Corporate debt interest expense allocation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22.8</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Escrow</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365.7</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347.8</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259.9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876.0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915.4</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878.9</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asset-backed financing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1,637.7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1,654.5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1,626.0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11.61</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8.58</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7.87</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1-month term SOFR</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for the three months ended September 30, 2024 remained mostly flat (decreased 1%), compared to the three months ended June 30, 2024.</w:t>
      </w:r>
    </w:p>
    <w:p>
      <w:pPr>
        <w:spacing w:after="0" w:line="11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Compared to the nine months ended September 30, 2023, interest expense for the nine months ended September 30, 2024 increased $11.3 million, or 9%, mostly driven by a $12.5 million increase in interest expense on the OLIT mortgage loan financing relating to our reverse buyouts. In addition, interest expense on MSR financing facilities increased $4.2 million, largely driven by a higher average funding cost, largely attributed to the second lien PLS MSR financing facility entered into in March 2024 and renegotiation of a GSE financing facility. In addition, average short-term market interest rates increased by 30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3" w:name="page84"/>
    <w:bookmarkEnd w:id="83"/>
    <w:p>
      <w:pPr>
        <w:ind w:right="220"/>
        <w:spacing w:after="0" w:line="265" w:lineRule="auto"/>
        <w:rPr>
          <w:sz w:val="20"/>
          <w:szCs w:val="20"/>
          <w:color w:val="auto"/>
        </w:rPr>
      </w:pPr>
      <w:r>
        <w:rPr>
          <w:rFonts w:ascii="Times New Roman" w:cs="Times New Roman" w:eastAsia="Times New Roman" w:hAnsi="Times New Roman"/>
          <w:sz w:val="17"/>
          <w:szCs w:val="17"/>
          <w:color w:val="auto"/>
        </w:rPr>
        <w:t>basis points in the first nine months of 2024 compared to the same period of 2023. These increases were partially offset by a $2.2 million decrease in interest on Advance funding liabilities, mostly driven by the decline in average debt balances for servicing advances due to our advance collection efforts, and $2.6 million lower corporate debt interest allocation due to our repurchase of $47.4 million and $23.5 million of the PMC Senior Secured Notes during March 2024 and September 2024, respectively.</w:t>
      </w:r>
    </w:p>
    <w:p>
      <w:pPr>
        <w:spacing w:after="0" w:line="6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Interest income for the three months ended September 30, 2024 increased $1.2 million compared to the three months ended June 30, 2024 primarily due to reverse mortgage buyouts acquired in the third quarter of 2024. Compared to the nine months ended September 30, 2023, interest income increased $6.3 million for the nine months ended September 30, 2024, primarily due to the reverse mortgage buyouts acquired in the first and third quarters of 2024 and the second quarter of 2023.</w:t>
      </w:r>
    </w:p>
    <w:p>
      <w:pPr>
        <w:spacing w:after="0" w:line="2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Pledged MSR liability expense includes the servicing fee remittance related to the MSR sales or transfers that do not meet sale accounting criteria and are presented on a gross basis in our consolidated financial statements, together with the servicing spread remittance associated with our ESS financing liability at fair value. See Note 8 — Other Financing Liabilities, at Fair Value to the Unaudited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components of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48"/>
        </w:trPr>
        <w:tc>
          <w:tcPr>
            <w:tcW w:w="32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Servicing fees collected on behalf of third</w:t>
            </w: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3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230.0</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(58.1)</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(65)</w:t>
            </w:r>
          </w:p>
        </w:tc>
      </w:tr>
      <w:tr>
        <w:trPr>
          <w:trHeight w:val="168"/>
        </w:trPr>
        <w:tc>
          <w:tcPr>
            <w:tcW w:w="32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(18)</w:t>
            </w: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servicing fee remittance (1)</w:t>
            </w: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181.8</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servicing spread remittance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38.1</w:t>
            </w:r>
          </w:p>
        </w:tc>
        <w:tc>
          <w:tcPr>
            <w:tcW w:w="1080" w:type="dxa"/>
            <w:vAlign w:val="bottom"/>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46.1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219.9</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For MSR transfers that do not meet sale accounting criteria. See Note 8 — Other Financing Liabilities, at Fair Value.</w:t>
      </w:r>
    </w:p>
    <w:p>
      <w:pPr>
        <w:spacing w:after="0" w:line="9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Pledged MSR liability expense for the three months ended September 30, 2024 decreased $3.7 million, or 8%, compared to the three months ended June 30, 2024, mostly driven by MAV’s sale of MSRs (previously sold by Onity to MAV in a transaction which did not qualify for sale accounting treatment) and resultant derecognition of the Pledged MSR liability during the three months ended September 30, 2024.</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Compared to the nine months ended September 30, 2023, Pledged MSR liability expense for the nine months ended September 30, 2024 decreased $86.5 million largely due to the accounting derecognition of MSRs previously sold to Rithm for which sale accounting criteria were met effective December 31, 2023 ($33.4 billion UPB), partially offset by the increase in the portfolio of MSRs sold to MSR capital partners.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w:t>
      </w:r>
    </w:p>
    <w:p>
      <w:pPr>
        <w:spacing w:after="0" w:line="7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Servicing fee and Pledged MSR liability expense continues to be presented on a gross basis for those MSRs sold to Rithm for which title has not transferred, also referred to as Right to MSR ($9.3 billion UPB at September 30, 2024). The following table presents a subset of the above table related to Rithm, specifically the subservicing fees retained by Onity together with the associated serviced UPB on behalf of Rithm: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Rithm Servicing and Subservicing Fees</w:t>
            </w: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175.1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(3)</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(50.8)</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Pledged MSR liability expense (Net</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2"/>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servicing fees remitted to Rithm) (1)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Rithm UPB ($ in billions)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168"/>
        </w:trPr>
        <w:tc>
          <w:tcPr>
            <w:tcW w:w="31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Average annualized retained subservicing</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3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fees as a % of Rithm UPB</w:t>
            </w: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r>
    </w:tbl>
    <w:p>
      <w:pPr>
        <w:spacing w:after="0" w:line="117" w:lineRule="exact"/>
        <w:rPr>
          <w:sz w:val="20"/>
          <w:szCs w:val="20"/>
          <w:color w:val="auto"/>
        </w:rPr>
      </w:pPr>
    </w:p>
    <w:p>
      <w:pPr>
        <w:ind w:left="320" w:hanging="317"/>
        <w:spacing w:after="0"/>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ancillary income.</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subservicing compensation of Onity retained and contractually agreed upon with Rithm.</w:t>
      </w:r>
    </w:p>
    <w:p>
      <w:pPr>
        <w:spacing w:after="0" w:line="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Earnings of equity method investee represents our 15% share of MAV Canopy. Earnings for the three months ended September 30, 2024 decreased $2.3 million compared to the three months ended June 30, 2024. Compared to the nine months ended September 30, 2023, earnings increased $0.8 million for the nine months ended September 30, 2024. The changes are largely attributed to the impact of changes in market interest rates on the underlying MSR portfolio held by MAV in the respective periods and actual trade prices.</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Loans conform to the underwriting standards of Fannie Mae or Freddie Mac (GSEs) or are government-insured (FHA, VA or USDA). We generally sell immediately the loans in the secondary mortgage market through GSE and Ginnie Mae securitizations on a servicing retained basis.</w:t>
      </w:r>
    </w:p>
    <w:p>
      <w:pPr>
        <w:spacing w:after="0" w:line="64" w:lineRule="exact"/>
        <w:rPr>
          <w:sz w:val="20"/>
          <w:szCs w:val="20"/>
          <w:color w:val="auto"/>
        </w:rPr>
      </w:pPr>
    </w:p>
    <w:p>
      <w:pPr>
        <w:ind w:right="960"/>
        <w:spacing w:after="0" w:line="288" w:lineRule="auto"/>
        <w:rPr>
          <w:sz w:val="20"/>
          <w:szCs w:val="20"/>
          <w:color w:val="auto"/>
        </w:rPr>
      </w:pPr>
      <w:r>
        <w:rPr>
          <w:rFonts w:ascii="Times New Roman" w:cs="Times New Roman" w:eastAsia="Times New Roman" w:hAnsi="Times New Roman"/>
          <w:sz w:val="17"/>
          <w:szCs w:val="17"/>
          <w:color w:val="auto"/>
        </w:rPr>
        <w:t>The Originations business generates a gain on sale of loans, which represents the difference between the origination or purchase value and the sale or securitization value of the loans, and fee revenue.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our Originations business through the following five channels: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 Consumer Direct</w:t>
      </w:r>
    </w:p>
    <w:p>
      <w:pPr>
        <w:spacing w:after="0" w:line="1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Within retail, our Consumer Direct channel for forward mortgage loans focuses on targeting existing servicing customers by offering them competitive mortgage refinance opportunities, where permitted by the governing servicing and pooling agreement.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 Correspondent Lending</w:t>
      </w:r>
    </w:p>
    <w:p>
      <w:pPr>
        <w:spacing w:after="0" w:line="1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Our correspondent lending channel drives the replenishment and growth of our MSR portfolio. We purchase closed loans that have been underwritten to investor guidelines from our network of correspondent sellers and sell and securitize them, on a servicing retained basis. We offer correspondent sellers the choice to take out mandatory or “best-efforts”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We provide customary origination representations and warranties to investors in connection with our loan sales and securitization activities. We receive customary origination representations and warranties from our network of approved correspondent lenders. As of September 30, 2024, we have relationships with 711 approved correspondent sellers.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 Reverse Originations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 As the securitizations of reverse mortgage loans do not achieve sale accounting treatment and the loans remain reported as Loans held for investment, at fair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5" w:name="page86"/>
    <w:bookmarkEnd w:id="85"/>
    <w:p>
      <w:pPr>
        <w:ind w:right="160"/>
        <w:spacing w:after="0" w:line="288" w:lineRule="auto"/>
        <w:rPr>
          <w:sz w:val="20"/>
          <w:szCs w:val="20"/>
          <w:color w:val="auto"/>
        </w:rPr>
      </w:pPr>
      <w:r>
        <w:rPr>
          <w:rFonts w:ascii="Times New Roman" w:cs="Times New Roman" w:eastAsia="Times New Roman" w:hAnsi="Times New Roman"/>
          <w:sz w:val="17"/>
          <w:szCs w:val="17"/>
          <w:color w:val="auto"/>
        </w:rPr>
        <w:t>value together with the securitization HMBS-related borrowings, revenue mostly include the fair value changes of the loan from lock date to securitization date that are reported in Gain on reverse loans held for investment and HMBS-related borrowings, 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 Co-Issue Programs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As of September 30, 2024, we have relationships with 496 approved sellers through the Agency Cash Window co-issue programs.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 Subservicing Growth</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with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963"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9"/>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 xml:space="preserve">Funded Loan UPB by Channel </w:t>
            </w:r>
            <w:r>
              <w:rPr>
                <w:rFonts w:ascii="Times New Roman" w:cs="Times New Roman" w:eastAsia="Times New Roman" w:hAnsi="Times New Roman"/>
                <w:sz w:val="17"/>
                <w:szCs w:val="17"/>
                <w:i w:val="1"/>
                <w:iCs w:val="1"/>
                <w:color w:val="auto"/>
              </w:rPr>
              <w:t>(in</w:t>
            </w: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billions)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0.26</w:t>
            </w:r>
          </w:p>
        </w:tc>
        <w:tc>
          <w:tcPr>
            <w:tcW w:w="10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Purchase production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Refinance production</w:t>
            </w: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loans (1)</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Wholesale</w:t>
            </w: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9"/>
                <w:szCs w:val="19"/>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0.13</w:t>
            </w:r>
          </w:p>
        </w:tc>
        <w:tc>
          <w:tcPr>
            <w:tcW w:w="10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Retail</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0.07</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0.51</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UPB of MSR Purchases by Channel</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(in billions)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6.58</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Bulk purchases</w:t>
            </w: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spacing w:after="0"/>
              <w:rPr>
                <w:sz w:val="19"/>
                <w:szCs w:val="19"/>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0.32</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Bulk reverse purchases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6.98</w:t>
            </w:r>
          </w:p>
        </w:tc>
        <w:tc>
          <w:tcPr>
            <w:tcW w:w="10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7.26</w:t>
            </w:r>
          </w:p>
        </w:tc>
        <w:tc>
          <w:tcPr>
            <w:tcW w:w="8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22.70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17.10</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 xml:space="preserve">Short-term loan commitment (2) </w:t>
            </w:r>
            <w:r>
              <w:rPr>
                <w:rFonts w:ascii="Times New Roman" w:cs="Times New Roman" w:eastAsia="Times New Roman" w:hAnsi="Times New Roman"/>
                <w:sz w:val="17"/>
                <w:szCs w:val="17"/>
                <w:i w:val="1"/>
                <w:iCs w:val="1"/>
                <w:color w:val="auto"/>
              </w:rPr>
              <w:t>(at</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period end; 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1,396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1,056</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Forward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Reverse loans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21</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Headcount - Originations</w:t>
            </w: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7"/>
        <w:spacing w:after="0"/>
        <w:tabs>
          <w:tab w:leader="none" w:pos="3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12" w:lineRule="exact"/>
        <w:rPr>
          <w:rFonts w:ascii="Times New Roman" w:cs="Times New Roman" w:eastAsia="Times New Roman" w:hAnsi="Times New Roman"/>
          <w:sz w:val="16"/>
          <w:szCs w:val="16"/>
          <w:color w:val="auto"/>
        </w:rPr>
      </w:pPr>
    </w:p>
    <w:p>
      <w:pPr>
        <w:ind w:left="320" w:right="160" w:hanging="317"/>
        <w:spacing w:after="0" w:line="238" w:lineRule="auto"/>
        <w:tabs>
          <w:tab w:leader="none" w:pos="3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interest rate lock commitments in Note 15 – Derivative Financial Instruments and Hedging Activities. The amounts are presented before application of any pull-through adjustment.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3"/>
        </w:trPr>
        <w:tc>
          <w:tcPr>
            <w:tcW w:w="3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revenue, net (1)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14.2</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MSR valuation adjustments,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r>
      <w:tr>
        <w:trPr>
          <w:trHeight w:val="155"/>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Origination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13"/>
        </w:trPr>
        <w:tc>
          <w:tcPr>
            <w:tcW w:w="3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(44.0)</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(88)</w:t>
            </w:r>
          </w:p>
        </w:tc>
      </w:tr>
      <w:tr>
        <w:trPr>
          <w:trHeight w:val="213"/>
        </w:trPr>
        <w:tc>
          <w:tcPr>
            <w:tcW w:w="31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w:t>
            </w: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35"/>
        </w:trPr>
        <w:tc>
          <w:tcPr>
            <w:tcW w:w="3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jc w:val="both"/>
        <w:ind w:left="320" w:right="240" w:hanging="317"/>
        <w:spacing w:after="0" w:line="255" w:lineRule="auto"/>
        <w:tabs>
          <w:tab w:leader="none" w:pos="3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ancillary fee income related to MSR acquisitions reported as Servicing and subservicing fees at the consolidated level of $1.0 million and $2.0 million for the three and nine months ended September 30,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respectively, $0.7 million for the three months ended June 30, 2024 and $1.6 million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 Net</w:t>
      </w:r>
    </w:p>
    <w:p>
      <w:pPr>
        <w:spacing w:after="0" w:line="121"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loans held for sale by channel and the related forward loan origination volumes and margins (excluding fees that are presented in Other revenue,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Origination UPB (1) </w:t>
            </w:r>
            <w:r>
              <w:rPr>
                <w:rFonts w:ascii="Times New Roman" w:cs="Times New Roman" w:eastAsia="Times New Roman" w:hAnsi="Times New Roman"/>
                <w:sz w:val="17"/>
                <w:szCs w:val="17"/>
                <w:i w:val="1"/>
                <w:iCs w:val="1"/>
                <w:color w:val="auto"/>
              </w:rPr>
              <w:t>(in billions)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20"/>
        </w:trPr>
        <w:tc>
          <w:tcPr>
            <w:tcW w:w="2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0.26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r>
      <w:tr>
        <w:trPr>
          <w:trHeight w:val="213"/>
        </w:trPr>
        <w:tc>
          <w:tcPr>
            <w:tcW w:w="29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11"/>
        </w:trPr>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Gain on Sale Margin (2)</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20"/>
        </w:trPr>
        <w:tc>
          <w:tcPr>
            <w:tcW w:w="2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3.45</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3.35</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2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2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8.8</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w:t>
            </w:r>
          </w:p>
        </w:tc>
      </w:tr>
      <w:tr>
        <w:trPr>
          <w:trHeight w:val="213"/>
        </w:trPr>
        <w:tc>
          <w:tcPr>
            <w:tcW w:w="29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funded UPB. Note that the ratio differs from the day-one gain on sale margin upon lock.</w:t>
      </w:r>
    </w:p>
    <w:p>
      <w:pPr>
        <w:spacing w:after="0" w:line="8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September 30, 2024 was flat compared to the three months ended June 30, 2024, with a $4.5 million decrease in our Correspondent channel offset by a $4.3 million increase in Consumer Direct. The decrease in our Correspondent channel is due to a 43% decrease in margin, driven by execution gains recognized in the second quarter and a more volatile pricing environment in the third quarter, including as a result of pricing changes by the GSEs. The increase in our Consumer Direct channel is primarily driven by the 52% increase in loan funded volume attributed to the interest rate decline in the third quarter, with a 78 basis point decline in the 30-year fixed rate mortgage. We recognize gains on loans held for sale at the time of the interest rate lock commitment in accordance with GAAP and the margin increase is mostly due to the increase in interest rate lock commitment at September 30, 2024.</w:t>
      </w:r>
    </w:p>
    <w:p>
      <w:pPr>
        <w:spacing w:after="0" w:line="7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Compared to the nine months ended September 30, 2023, Gain on loans held for sale, net for the nine months ended September 30, 2024 increased $18.9 million, with a $10.6 million increase in Consumer Direct and an $8.3 million increase in our Correspondent channel. The increase in Consumer Direct gain is primarily driven by a 94% increase in loan funded volume, attributed to the interest rate decline in the third quarter of 2024 discussed above and our increased recapture operational capability. 2023 was the lowest production year for refinance over the past 20 years. In our Correspondent channel, the $8.3 million increase is driven by the increased loan production volume, attributed to our MSR replenishment strategy following our opportunistic MSR bulk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Reverse Loans Held for Investment and HMBS-Related Borrowings, Net</w:t>
      </w:r>
    </w:p>
    <w:p>
      <w:pPr>
        <w:spacing w:after="0" w:line="1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(including loan fees):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Origination UPB (1) </w:t>
            </w:r>
            <w:r>
              <w:rPr>
                <w:rFonts w:ascii="Times New Roman" w:cs="Times New Roman" w:eastAsia="Times New Roman" w:hAnsi="Times New Roman"/>
                <w:sz w:val="17"/>
                <w:szCs w:val="17"/>
                <w:i w:val="1"/>
                <w:iCs w:val="1"/>
                <w:color w:val="auto"/>
              </w:rPr>
              <w:t>(in billions)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6"/>
              </w:rPr>
              <w:t>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0.51</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Origination margin (2)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3.09 %</w:t>
            </w:r>
          </w:p>
        </w:tc>
        <w:tc>
          <w:tcPr>
            <w:tcW w:w="106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9"/>
              </w:rPr>
              <w:t>3.42 %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3.49 %</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Gain on reverse loans held for</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7"/>
                <w:szCs w:val="17"/>
                <w:color w:val="auto"/>
              </w:rPr>
              <w:t>investment and HMBS-related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6"/>
              </w:rPr>
              <w:t>9 %</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17.7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CCEEFF"/>
            </w:tcBorders>
            <w:shd w:val="clear" w:color="auto" w:fill="CCEEFF"/>
          </w:tcPr>
          <w:p>
            <w:pPr>
              <w:ind w:left="100"/>
              <w:spacing w:after="0" w:line="194" w:lineRule="exact"/>
              <w:rPr>
                <w:sz w:val="20"/>
                <w:szCs w:val="20"/>
                <w:color w:val="auto"/>
              </w:rPr>
            </w:pPr>
            <w:r>
              <w:rPr>
                <w:rFonts w:ascii="Times New Roman" w:cs="Times New Roman" w:eastAsia="Times New Roman" w:hAnsi="Times New Roman"/>
                <w:sz w:val="17"/>
                <w:szCs w:val="17"/>
                <w:color w:val="auto"/>
              </w:rPr>
              <w:t>borrowings, net (Originations)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Defined as the UPB of loans funded in the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9" w:name="page90"/>
    <w:bookmarkEnd w:id="89"/>
    <w:p>
      <w:pPr>
        <w:spacing w:after="0"/>
        <w:tabs>
          <w:tab w:leader="none" w:pos="300" w:val="left"/>
        </w:tabs>
        <w:rPr>
          <w:sz w:val="20"/>
          <w:szCs w:val="20"/>
          <w:color w:val="auto"/>
        </w:rPr>
      </w:pP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4"/>
          <w:szCs w:val="14"/>
          <w:color w:val="auto"/>
        </w:rPr>
        <w:t>Ratio of origination gain to funded UPB. Note that the ratio includes loan fees.</w:t>
      </w:r>
    </w:p>
    <w:p>
      <w:pPr>
        <w:spacing w:after="0" w:line="9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remained mostly flat when comparing current periods with the prior quarter and the prior nine-month period, with both margins and volume relatively stable. The Reverse Originations production volume remains at a historical low level due to elevated interest rates.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Other revenue, net consists primarily of correspondent and broker fees, and also includes setup fees earned for loans boarded on our servicing platform. Changes in Other revenue, net for the periods presented are primarily attributed to production volume changes.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Changes in MSR valuation adjustments, net period over period are mostly due to volume changes.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for the three months ended September 30, 2024 remained mostly flat, compared to the three months ended June 30, 2024.</w:t>
      </w:r>
    </w:p>
    <w:p>
      <w:pPr>
        <w:spacing w:after="0" w:line="11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Compared to the nine months ended September 30, 2023, Operating expenses for the nine months ended September 30, 2024 increased $1.1 million. Originations expense increased $2.4 million and Compensation and benefits increased $1.2 million driven by higher production volume. The increase in Compensation and benefits was driven by higher commissions with higher production volume, partially offset by a decline in salaries and benefits, with a decrease in average U.S. based headcount as part of our cost-reduction efforts. Overhead allocations declined $2.0 million due to lower total corporate overhead expenses and a lower allocation percentage to Originations as a result of lower average headcount.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during the pipeline period prior to securitization or sale to investors. Interest expense is incurred to finance the mortgage loans during the same pipeline period, which is generally less than 30 days. Our net interest margin is driven by the difference between the average mortgage note rate and the average warehouse line cost of funds, and by the average number of days loans remain in the pipeline. There were no significant changes in our net interest margin, period-over-period.</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Items and Other includes expenses of corporate support services and activities that are not directly related to other reportable segments.</w:t>
      </w:r>
    </w:p>
    <w:p>
      <w:pPr>
        <w:spacing w:after="0" w:line="115" w:lineRule="exact"/>
        <w:rPr>
          <w:sz w:val="20"/>
          <w:szCs w:val="20"/>
          <w:color w:val="auto"/>
        </w:rPr>
      </w:pPr>
    </w:p>
    <w:p>
      <w:pPr>
        <w:ind w:left="320" w:right="280" w:hanging="317"/>
        <w:spacing w:after="0" w:line="288" w:lineRule="auto"/>
        <w:tabs>
          <w:tab w:leader="none" w:pos="3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expenses incurred by corporate support services, such as technology, risk and compliance are allocated to the Servicing and Originations segments using various methodologies intended to approximate the utilization of such services.</w:t>
      </w:r>
    </w:p>
    <w:p>
      <w:pPr>
        <w:spacing w:after="0" w:line="47" w:lineRule="exact"/>
        <w:rPr>
          <w:rFonts w:ascii="Times New Roman" w:cs="Times New Roman" w:eastAsia="Times New Roman" w:hAnsi="Times New Roman"/>
          <w:sz w:val="17"/>
          <w:szCs w:val="17"/>
          <w:color w:val="auto"/>
        </w:rPr>
      </w:pPr>
    </w:p>
    <w:p>
      <w:pPr>
        <w:ind w:left="320" w:hanging="317"/>
        <w:spacing w:after="0" w:line="265" w:lineRule="auto"/>
        <w:tabs>
          <w:tab w:leader="none" w:pos="3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on corporate debt is allocated to the Servicing and the Originations segments based on relative financing uses, with the exception of the Onity Senior Secured Notes issued by the holding company Onity Group Inc. Accordingly, the financing cost of the Servicing and Originations segments reflects and is consistent with the financing structure of the licensed entity PHH that carries out these businesses and does not depend on the financing structure strategy of its parent, as a holding company.</w:t>
      </w:r>
    </w:p>
    <w:p>
      <w:pPr>
        <w:spacing w:after="0" w:line="66" w:lineRule="exact"/>
        <w:rPr>
          <w:rFonts w:ascii="Times New Roman" w:cs="Times New Roman" w:eastAsia="Times New Roman" w:hAnsi="Times New Roman"/>
          <w:sz w:val="17"/>
          <w:szCs w:val="17"/>
          <w:color w:val="auto"/>
        </w:rPr>
      </w:pPr>
    </w:p>
    <w:p>
      <w:pPr>
        <w:ind w:left="320" w:right="160" w:hanging="317"/>
        <w:spacing w:after="0" w:line="288" w:lineRule="auto"/>
        <w:tabs>
          <w:tab w:leader="none" w:pos="3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in the fourth quarter of 2023, CRL, our wholly-owned captive reinsurance subsidiary, is reported in the Servicing segment. Segment results for the nine months ended September 30, 2023 have been recast to conform to the current segment presentation.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0" w:name="page91"/>
    <w:bookmarkEnd w:id="90"/>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Corporate Items and Other. The amounts presented are before the allocation and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2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3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4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19.2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7.4</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(19.0)</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(201)</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5.0</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148"/>
        </w:trPr>
        <w:tc>
          <w:tcPr>
            <w:tcW w:w="314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color w:val="auto"/>
              </w:rPr>
              <w:t>Total operating expenses before corporate</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3"/>
        </w:trPr>
        <w:tc>
          <w:tcPr>
            <w:tcW w:w="3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overhead allocations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(14.4)</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(11.2)</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4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n/m</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w:t>
            </w: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(26.0)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135"/>
        </w:trPr>
        <w:tc>
          <w:tcPr>
            <w:tcW w:w="3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116 %</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Operating expenses before corporate overhead allocations increased by $2.4 million, or 7%, for the three months ended September 30, 2024 compared to the three months ended June 30, 2024, primarily driven by Compensation and benefits, specifically incentive compensation. The increase in incentive compensation is mostly due to an increase in estimated annual cash awards based on our year-to-date financial performance.</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Operating expenses before corporate overhead allocations increased by $39.5 million for the nine months ended September 30, 2024 compared to the nine months ended September 30, 2023, primarily driven by Professional services. Professional services for the nine months ended September 30, 2023 reflected the reversal of our loss contingency accrual related to the CFPB matter resolved in our favor in the second quarter of 2023 and recoveries of prior years’ legal expenses from private mortgage insurers. In addition, legal fees and litigation-related expenses increased by $2.1 million in the nine months ended September 30, 2024.</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existing and potential lenders and as a result add, terminate, replace or extend our debt agreements to the extent necessary to finance our operations and growth and optimize our financing costs.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In addition, we completed the following transactions during the nine months ended September 30, 2024:</w:t>
      </w:r>
    </w:p>
    <w:p>
      <w:pPr>
        <w:spacing w:after="0" w:line="115" w:lineRule="exact"/>
        <w:rPr>
          <w:sz w:val="20"/>
          <w:szCs w:val="20"/>
          <w:color w:val="auto"/>
        </w:rPr>
      </w:pPr>
    </w:p>
    <w:p>
      <w:pPr>
        <w:ind w:left="620" w:hanging="307"/>
        <w:spacing w:after="0"/>
        <w:tabs>
          <w:tab w:leader="none" w:pos="62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Repurchased $70.9 million of our PMC Senior Secured Notes for a price of $68.5 million, and recognized a $1.8 million net gain on debt extinguishment;</w:t>
      </w:r>
    </w:p>
    <w:p>
      <w:pPr>
        <w:spacing w:after="0" w:line="27" w:lineRule="exact"/>
        <w:rPr>
          <w:rFonts w:ascii="Times New Roman" w:cs="Times New Roman" w:eastAsia="Times New Roman" w:hAnsi="Times New Roman"/>
          <w:sz w:val="16"/>
          <w:szCs w:val="16"/>
          <w:b w:val="1"/>
          <w:bCs w:val="1"/>
          <w:color w:val="auto"/>
        </w:rPr>
      </w:pPr>
    </w:p>
    <w:p>
      <w:pPr>
        <w:ind w:left="620" w:right="200" w:hanging="307"/>
        <w:spacing w:after="0" w:line="249" w:lineRule="auto"/>
        <w:tabs>
          <w:tab w:leader="none" w:pos="60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Completed two private placement securitizations of HECM loans, and related receivables and REO properties, also referred to as reverse mortgage buyouts. In February and September 2024, different classes of asset-backed notes with an initial principal amount of $268.6 million and $330.6 million were issued at a discount, with a stated interest rate of 3% and 5% respectively, and a three-year mandatory call date;</w:t>
      </w:r>
    </w:p>
    <w:p>
      <w:pPr>
        <w:ind w:left="620" w:right="40" w:hanging="307"/>
        <w:spacing w:after="0" w:line="237"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$34.0 million second-lien repurchase financing arrangement for the membership interest in our PLS MSR, pursuant to which PHH sold the membership interest certificate representing 100% of the limited liability company interests in PMC PLS ESR Issuer LLC (PLS Issuer) and agreed to repurchase such membership interest certificate at a specified future date at the price set forth in the repurchase agreement. The termination date of the facility is February 25, 2025.</w:t>
      </w:r>
    </w:p>
    <w:p>
      <w:pPr>
        <w:spacing w:after="0" w:line="3" w:lineRule="exact"/>
        <w:rPr>
          <w:rFonts w:ascii="Times New Roman" w:cs="Times New Roman" w:eastAsia="Times New Roman" w:hAnsi="Times New Roman"/>
          <w:sz w:val="17"/>
          <w:szCs w:val="17"/>
          <w:color w:val="auto"/>
        </w:rPr>
      </w:pPr>
    </w:p>
    <w:p>
      <w:pPr>
        <w:ind w:left="620" w:right="200" w:hanging="307"/>
        <w:spacing w:after="0" w:line="250"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repurchase agreement in June 2024 which provides borrowing at our discretion up to a certain maximum amount of capacity on a rolling 30-day uncommitted basis, with the retained notes of the OLIT 2023 transaction pledged as collateral.</w:t>
      </w:r>
    </w:p>
    <w:p>
      <w:pPr>
        <w:spacing w:after="0" w:line="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addition, on November 1, 2024, Onity acquired certain reverse mortgage assets of MAM that are currently subserviced by PHH. The acquired assets include HECM reverse mortgage loans and mortgage servicing rights with a projected UPB of approximately $3 billion (which assets will be reflected on Onity’s balance sheet as Loans held for investment, at fair value along with the related borrowings, at fair value), $20.0 million cash, and other related reverse mortgage assets. In consideration of the MAM asset acquisition, Onity issued to Waterfall shares of a new series of non-convertible, perpetual preferred stock ("Series B Preferred Stock”) with an aggregate liquidation preference amount of $52.8 million, subject to certain post-closing adjustments. Concurrently, Onity entered into a two-year revolving line of credit with Waterfall, collateralized by certain acquired assets. The maximum committed amount decreases from an initial $45 million to $15 million after the first securitization of HECM tails. Refer to Note 22 – Subsequent Events.</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Further, on November 6, 2024, we issued $500 million aggregate principal amount of 9.875% Senior Notes due 2029 at a price of 99.556%. The net proceeds from the sale of the notes, together with additional cash from Onity, are placed into escrow pending the satisfaction of certain conditions, including, but not limited to, the consummation of the sale by Onity of its 15% ownership interest in MAV Canopy to Oaktree. Upon satisfaction of the escrow conditions, the escrowed proceeds will be released and will be used, together with the net proceeds from the sale of the investment in MAV Canopy and available liquidity, to redeem all of the outstanding PMC Senior Secured Notes and Onity Senior Secured Notes. Refer to Note 22 – Subsequent Events.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 (see Note 13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to the Unaudited Consolidated Financial Statements for additional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220" w:type="dxa"/>
            <w:vAlign w:val="bottom"/>
          </w:tcPr>
          <w:p>
            <w:pPr>
              <w:spacing w:after="0"/>
              <w:rPr>
                <w:sz w:val="13"/>
                <w:szCs w:val="13"/>
                <w:color w:val="auto"/>
              </w:rPr>
            </w:pPr>
          </w:p>
        </w:tc>
        <w:tc>
          <w:tcPr>
            <w:tcW w:w="120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220" w:type="dxa"/>
            <w:vAlign w:val="bottom"/>
          </w:tcPr>
          <w:p>
            <w:pPr>
              <w:spacing w:after="0"/>
              <w:rPr>
                <w:sz w:val="13"/>
                <w:szCs w:val="13"/>
                <w:color w:val="auto"/>
              </w:rPr>
            </w:pPr>
          </w:p>
        </w:tc>
        <w:tc>
          <w:tcPr>
            <w:tcW w:w="122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4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line="168"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20" w:type="dxa"/>
            <w:vAlign w:val="bottom"/>
          </w:tcPr>
          <w:p>
            <w:pPr>
              <w:spacing w:after="0"/>
              <w:rPr>
                <w:sz w:val="14"/>
                <w:szCs w:val="14"/>
                <w:color w:val="auto"/>
              </w:rPr>
            </w:pPr>
          </w:p>
        </w:tc>
        <w:tc>
          <w:tcPr>
            <w:tcW w:w="1220" w:type="dxa"/>
            <w:vAlign w:val="bottom"/>
          </w:tcPr>
          <w:p>
            <w:pPr>
              <w:jc w:val="center"/>
              <w:ind w:right="134"/>
              <w:spacing w:after="0" w:line="168"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20" w:type="dxa"/>
            <w:vAlign w:val="bottom"/>
          </w:tcPr>
          <w:p>
            <w:pPr>
              <w:spacing w:after="0"/>
              <w:rPr>
                <w:sz w:val="14"/>
                <w:szCs w:val="14"/>
                <w:color w:val="auto"/>
              </w:rPr>
            </w:pPr>
          </w:p>
        </w:tc>
        <w:tc>
          <w:tcPr>
            <w:tcW w:w="1220" w:type="dxa"/>
            <w:vAlign w:val="bottom"/>
          </w:tcPr>
          <w:p>
            <w:pPr>
              <w:jc w:val="center"/>
              <w:ind w:right="134"/>
              <w:spacing w:after="0" w:line="168"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0" w:type="dxa"/>
            <w:vAlign w:val="bottom"/>
          </w:tcPr>
          <w:p>
            <w:pPr>
              <w:spacing w:after="0"/>
              <w:rPr>
                <w:sz w:val="1"/>
                <w:szCs w:val="1"/>
                <w:color w:val="auto"/>
              </w:rPr>
            </w:pPr>
          </w:p>
        </w:tc>
      </w:tr>
      <w:tr>
        <w:trPr>
          <w:trHeight w:val="233"/>
        </w:trPr>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0" w:type="dxa"/>
            <w:vAlign w:val="bottom"/>
          </w:tcPr>
          <w:p>
            <w:pPr>
              <w:spacing w:after="0"/>
              <w:rPr>
                <w:sz w:val="1"/>
                <w:szCs w:val="1"/>
                <w:color w:val="auto"/>
              </w:rPr>
            </w:pPr>
          </w:p>
        </w:tc>
      </w:tr>
      <w:tr>
        <w:trPr>
          <w:trHeight w:val="21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68"/>
        </w:trPr>
        <w:tc>
          <w:tcPr>
            <w:tcW w:w="22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Mortgage loan financing</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facilities</w:t>
            </w:r>
          </w:p>
        </w:tc>
        <w:tc>
          <w:tcPr>
            <w:tcW w:w="1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897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4,493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1,693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20" w:right="260" w:hanging="317"/>
        <w:spacing w:after="0" w:line="273" w:lineRule="auto"/>
        <w:tabs>
          <w:tab w:leader="none" w:pos="3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At September 30, 2024, none of the available borrowing capacity under our advance financing facilities could be funded based on the amount of eligible collateral that had been pledged to such facilities. We may utilize committed borrowing capacity under our mortgage loan financing facilities and MSR financing facilities to the extent we have sufficient eligible collateral to borrow against and otherwise satisfy the applicable conditions to funding. At September 30, 2024, we had no committed borrowing capacity and $3.5 million uncommitted borrowing capacity under our mortgage loan financing facilities, and $27.1 million committed borrowing capacity and $67.0 million uncommitted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2" w:name="page93"/>
    <w:bookmarkEnd w:id="92"/>
    <w:p>
      <w:pPr>
        <w:ind w:right="220"/>
        <w:spacing w:after="0" w:line="265" w:lineRule="auto"/>
        <w:rPr>
          <w:sz w:val="20"/>
          <w:szCs w:val="20"/>
          <w:color w:val="auto"/>
        </w:rPr>
      </w:pPr>
      <w:r>
        <w:rPr>
          <w:rFonts w:ascii="Times New Roman" w:cs="Times New Roman" w:eastAsia="Times New Roman" w:hAnsi="Times New Roman"/>
          <w:sz w:val="17"/>
          <w:szCs w:val="17"/>
          <w:color w:val="auto"/>
        </w:rPr>
        <w:t>At September 30, 2024, our $299.2 million total liquidity included $201.6 million unrestricted cash position and $97.6 million total available committed and uncommitted borrowing capacity based on the amount of eligible collateral as discussed above. With total liquidity of $241.6 million at December 31, 2023, the increase is primarily driven by bulk MSR sales, reverse buyout OLIT securitizations, second lien PLS financing, partly offset by $70.9 million corporate debt repurchases (PMC Senior Secured Notes).</w:t>
      </w:r>
    </w:p>
    <w:p>
      <w:pPr>
        <w:spacing w:after="0" w:line="6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Effective September 30, 2023, we implemented the revised minimum tangible net worth and liquidity requirements for GSE and Ginnie Mae seller/servicers. We believe that we are in compliance with these requirements as of September 30, 2024.</w:t>
      </w:r>
    </w:p>
    <w:p>
      <w:pPr>
        <w:spacing w:after="0" w:line="4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September 30, 2024. On September 26, 2024, Ginnie Mae issued a waiver extending the deadline by which PHH must meet the risk-based capital ratio requirements to May 1, 2025. We are currently implementing certain actions intended to achieve compliance with the requirements. Also refer to Note 19 – Regulatory Requirements.</w:t>
      </w:r>
    </w:p>
    <w:p>
      <w:pPr>
        <w:spacing w:after="0" w:line="6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stressed market interest rate conditions and operational risk.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servicing advances in excess of collections;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MSRs (purchased and originated), other asset acquisitions and MAV Canopy equity contributions;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purchased and repurchased loans, including reverse mortgage buyouts;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11" w:lineRule="exact"/>
        <w:rPr>
          <w:rFonts w:ascii="Times New Roman" w:cs="Times New Roman" w:eastAsia="Times New Roman" w:hAnsi="Times New Roman"/>
          <w:sz w:val="17"/>
          <w:szCs w:val="17"/>
          <w:color w:val="auto"/>
        </w:rPr>
      </w:pPr>
    </w:p>
    <w:p>
      <w:pPr>
        <w:ind w:left="620" w:right="320" w:hanging="307"/>
        <w:spacing w:after="0" w:line="253" w:lineRule="auto"/>
        <w:tabs>
          <w:tab w:leader="none" w:pos="61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repayments of borrowings, including under our MSR financing, advance financing and warehouse facilities, and payment of interest expense;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have short-term commitments to lend $1.7 billion in connection with our forward and reverse mortgage loan IRLCs outstanding at September 30, 2024. In addition, we have originated floating-rate reverse mortgage loans under which the borrowers have additional borrowing capacity of $1.8 billion at September 30, 2024. During the nine months ended September 30, 2024, we funded $179.1 million out of the $1.8 billion borrowing capacity available at December 31, 2023. We are able to immediately securitize these borrower draws or advances under the Ginnie Mae program.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w:t>
      </w:r>
    </w:p>
    <w:p>
      <w:pPr>
        <w:spacing w:after="0" w:line="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Regarding the current maturities of our borrowings, as of September 30, 2024, we have approximately $1.6 billion of debt outstanding that would either come due, begin amortizing or require partial repayment in the next 12 months. This amount is comprised of $837.2 million of borrowings under forward and reverse mortgage loan financing facilities, $376.6 million of notes under advance financing facilities based on expected repayment, $342.8 million outstanding under GSE and Ginnie Mae MSR financing facilities maturing in the next 12 months, $28.8 million of scheduled principal amortization on the PLS Notes secured by PLS MSRs and $34.0 million outstanding under a PHH repurchase agreement.</w:t>
      </w:r>
    </w:p>
    <w:p>
      <w:pPr>
        <w:spacing w:after="0" w:line="70"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With respect to liquidity management, we consider our servicing advance requirements during each investor remittance period and the uncertainties of daily margin calls on our collateralized debt facilities and derivative instruments due to interest rate fluctuations.</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3" w:name="page94"/>
    <w:bookmarkEnd w:id="93"/>
    <w:p>
      <w:pPr>
        <w:spacing w:after="0" w:line="262"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Refer to the sensitivity analysis in Item 3. Quantitative and Qualitative Disclosures About Market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63" w:lineRule="exact"/>
        <w:rPr>
          <w:sz w:val="20"/>
          <w:szCs w:val="20"/>
          <w:color w:val="auto"/>
        </w:rPr>
      </w:pPr>
    </w:p>
    <w:p>
      <w:pPr>
        <w:ind w:left="620" w:right="300" w:hanging="307"/>
        <w:spacing w:after="0" w:line="264" w:lineRule="auto"/>
        <w:tabs>
          <w:tab w:leader="none" w:pos="6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PLS Notes that mature in 2025, our PMC Senior Secured Notes that mature in 2026 and our Onity Senior Secured notes owed to Oaktree that mature in 2027;</w:t>
      </w:r>
    </w:p>
    <w:p>
      <w:pPr>
        <w:ind w:left="620" w:hanging="307"/>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OLIT securitization note issuances that have a three-year mandatory call date;</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w:t>
      </w:r>
    </w:p>
    <w:p>
      <w:pPr>
        <w:spacing w:after="0" w:line="98"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We continuously evaluate alternative financings to diversify our sources of funds, optimize maturities and reduce our funding cost. In addition, we evaluate investment and capital allocation opportunities for any excess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MSR financing facilities, MSR transfers and ESS financing;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purchased loans;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Additionally, certain of our financing and subservicing agreements permit us to retain advance collections for a period ranging from one to two business days before remittance, thus providing a source of short-term liquidity.</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w:t>
      </w:r>
    </w:p>
    <w:p>
      <w:pPr>
        <w:spacing w:after="0" w:line="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liquidity to support our lending operations. Substantially all of the mortgage loans that we originate or purchase are sold or securitized in the secondary mortgage market in the form of residential mortgage-backed securities guaranteed by Fannie Mae or Freddie Mac and, in the case of mortgage-backed securities guaranteed by Ginnie Mae, are mortgage loans insured or guaranteed by the FHA, VA or USDA. In June 2023, we issued a private placement securitization of reverse mortgage buyouts with an initial principal amount of $264.9 million and a three-year mandatory call date, expanding our access to capital markets and reducing our reliance on warehouse financing facilities. In February 2024 and September 2024, we issued a second and third private placement securitization of reverse mortgage buyouts with an initial principal amount of $268.6 million and $330.6 million, respectively, both with a three-year mandatory call date.</w:t>
      </w:r>
    </w:p>
    <w:p>
      <w:pPr>
        <w:spacing w:after="0" w:line="7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regularly evaluate financing structure options to support our investment plans, address upcoming debt maturities and accommodate our business needs. We strive to diversify our sources of funds and optimize asset-backed financing. We continuously evaluate the allocation of our capital to MSR and other investments, the related returns, funding and liquidity requirements. Accordingly, we may opportunistically acquire or sell MSRs or other investments. The relationships with MAV and other MSR capital partners continue to provide PHH with additional means to grow servicing volume and finance MSRs while maintaining capital and liquidity.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excluding additional Agency minimum liquidity requirements, is for a minimum of $75.0 million in consolidated liquidity, as defined, under certain of our mortgage loan financing and MSR financing facilities agreements. At September 30, 2024, we held unrestricted cash in excess of this minimum amount. The minimum liquidity requirements for PHH contained in some debt agreements are also subject to the minimum requirement set forth by the Agencies. Refer to Note 19 – Regulatory Requirements.</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September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current ratings and outlook by the respective nationally recognized rating agencies.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1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Rated Entity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c>
          <w:tcPr>
            <w:tcW w:w="0" w:type="dxa"/>
            <w:vAlign w:val="bottom"/>
          </w:tcPr>
          <w:p>
            <w:pPr>
              <w:spacing w:after="0"/>
              <w:rPr>
                <w:sz w:val="1"/>
                <w:szCs w:val="1"/>
                <w:color w:val="auto"/>
              </w:rPr>
            </w:pPr>
          </w:p>
        </w:tc>
      </w:tr>
      <w:tr>
        <w:trPr>
          <w:trHeight w:val="233"/>
        </w:trPr>
        <w:tc>
          <w:tcPr>
            <w:tcW w:w="350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Rating</w:t>
            </w:r>
          </w:p>
        </w:tc>
        <w:tc>
          <w:tcPr>
            <w:tcW w:w="1980" w:type="dxa"/>
            <w:vAlign w:val="bottom"/>
            <w:gridSpan w:val="2"/>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B3</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21, 2024</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B-</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21, 2024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On October 21, 2024, Moody’s assigned a Caa1 rating to the new PHH Corporation Senior Notes due in 2029 (See Note 22 – Subsequent Events). Moody’s also assigned a B3 corporate family rating to Onity and withdrew the B3 corporate family rating of PHH Mortgage Corporation. The entities’ outlooks are stable. Moody’s recognizes Onity's improving performance and return to profitability and adequate capitalization. At the same time, Moody’s explained the rating is constrained by Onity's modest scale compared to mortgage peers and history of uneven financial performance.</w:t>
      </w:r>
    </w:p>
    <w:p>
      <w:pPr>
        <w:spacing w:after="0" w:line="6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October 21, 2024, S&amp;P assigned a B- rating to the new PHH Corporation Senior Notes due in 2029 (See Note 22 – Subsequent Events). S&amp;P also affirmed the B- rating to Onity with a Stable Outlook. The Stable Outlook reflects S&amp;P’s expectations that Onity will maintain certain levels of debt ratio and debt-interest coverage while continuing to grow and diversify its servicing portfolio.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As one of the main differences between proceeds from sale and origination or purchase of loans held for sale, newly originated MSRs are effectively classified as operating cash flows. Purchases of MSRs through flow purchase agreements, Agency Cash Window and bulk acquisitions are classified as investing activity. MSR investments, whether originated or purchased, represent a key indicator of our ability to generate future income in our Servicing business.</w:t>
      </w:r>
    </w:p>
    <w:p>
      <w:pPr>
        <w:spacing w:after="0" w:line="7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We classify changes in HECM loans held for investment as investing activity and changes in the related HMBS borrowings as financing activity. Our MSR transfer agreements with MAV, Rithm and others have a significant impact on our consolidated statements of cash flows. Because the payments we received in connection with the HECM loan securitizations and MSR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95" w:name="page96"/>
    <w:bookmarkEnd w:id="95"/>
    <w:p>
      <w:pPr>
        <w:ind w:right="120"/>
        <w:spacing w:after="0" w:line="288" w:lineRule="auto"/>
        <w:rPr>
          <w:sz w:val="20"/>
          <w:szCs w:val="20"/>
          <w:color w:val="auto"/>
        </w:rPr>
      </w:pPr>
      <w:r>
        <w:rPr>
          <w:rFonts w:ascii="Times New Roman" w:cs="Times New Roman" w:eastAsia="Times New Roman" w:hAnsi="Times New Roman"/>
          <w:sz w:val="17"/>
          <w:szCs w:val="17"/>
          <w:color w:val="auto"/>
        </w:rPr>
        <w:t>transfer agreements are recorded as secured financings, additions to, and reductions in, the balance of those secured financings are presented as financing activity in our consolidated statements of cash flows, excluding the changes in fair value attributable to inputs and assumptions.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(271)</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266</w:t>
            </w: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2024</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operating activities used $355.8 million of cash primarily due to $620.1 million net cash paid on loans held for sale as loan production volume exceeded sales, including $245.9 million for the purchase of reverse mortgage buyouts, and $163.9 million originated MSRs. Offsetting operating cash inflows include net collections of servicing advances of $140.9 million driven by seasonal activity and our increased collection efforts on legacy advances, and earnings distributions of $6.7 million received from our equity method investee MAV Canopy.</w:t>
      </w:r>
    </w:p>
    <w:p>
      <w:pPr>
        <w:spacing w:after="0" w:line="6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Our investing activities provided $214.2 million of cash. Cash inflows primarily include $193.9 million proceeds from sales of MSRs, $133.2 million net cash received in connection with our HECM reverse mortgages, $18.0 million proceeds from sales of real estate as part of our asset recovery strategy, $10.2 million received from the sale of advances in connection with sales of MSRs, and $7.1 million of capital distributions received, net of contributions, from our equity method investee MAV Canopy. Offsetting cash outflows include $114.8 million to purchase MSRs and $32.9 million to purchase real estate primarily in connection with our reverse mortgage buyout transaction.</w:t>
      </w:r>
    </w:p>
    <w:p>
      <w:pPr>
        <w:spacing w:after="0" w:line="7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financing activities provided $166.6 million of cash. Financing cash inflows are primarily comprised of $636.1 million net from borrowings under our mortgage loan financing facilities due to the increase in loans held for sale, including $569.9 million with the issuances of the OLIT securitization of reverse mortgage buyouts and $22.8 million of proceeds from the sale of MSRs accounted for as a financing in connection with sales of MSRs. Offsetting cash outflows include $122.5 million of net repayments on advance match funded liabilities due to the decline in servicing advances, $110.0 million of net repayment on MSR financing facilities, and $54.3 million of net payments on the financing liabilities related to MSRs transferred and ESS financings due to runoff. We also paid $68.5 million to repurchase $70.9 million of our 7.875% PMC Senior Secured Notes. Cash inflows of $792.3 million received in connection with our reverse mortgage securitizations, which are accounted for as secured financings, were more than offset by repayments on the related financing liability of $922.8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2023</w:t>
      </w:r>
    </w:p>
    <w:p>
      <w:pPr>
        <w:spacing w:after="0" w:line="12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Our operating activities used $271.4 million of cash primarily due to net cash paid on loans held for sale of $488.7 million as loan production volume exceeded sales. Offsetting operating cash inflows include net collections of servicing advances of $147.7 million.</w:t>
      </w:r>
    </w:p>
    <w:p>
      <w:pPr>
        <w:spacing w:after="0" w:line="4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investing activities used $43.6 million of cash. The primary use of cash in our investing activities was $89.6 million to purchase MSRs. Offsetting cash inflows include $36.3 million net cash inflows in connection with our HECM reverse mortgages, $2.7 million of capital distributions, net of contributions, from our equity method investee MAV Canopy and $6.1 million proceeds from the sale of advances.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financing activities provided $306.7 million of cash. Financing cash inflows are primarily comprised of $332.9 million net from borrowings under our mortgage loan financing facilities, including the OLIT securitization, due to the increase in loans held for sale, $173.1 million of proceeds from the sale of MSRs accounted for as a financing in connection with sales of MSRs, and $68.7 million of proceeds from ESS financing. Offsetting cash outflows include $110.6 million of net repayments on advance match funded liabilities due to the decline in servicing advances, $51.0 million of net repayments on MSR financing facilities, and $70.3 million of net payments on the financing liabilities related to MSRs transferred and ESS financings due to runoff. We also paid $12.5 million to repurchase $13.9 million of our 7.875% PMC Senior Secured Notes. Cash inflows of $783.7 million received in connection with our reverse mortgage securitizations, which are accounted for as secured financings, were more than offset by repayments on the related financing liability of $802.4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Other financing liabilities, Loans held for sale, Loans held for investment-Reverse mortgages, and HMBS-related borrowings. As of September 30, 2024, 89% of our assets and 70% of our liabilities were reported at fair value, with fair value changes reported in our statement of operations. Substantially all our assets and liabilities at fair value were classified as Level 3 instruments due to unobservable inputs.</w:t>
      </w:r>
    </w:p>
    <w:p>
      <w:pPr>
        <w:spacing w:after="0" w:line="73"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Our significant accounting policies and critical accounting estimates are disclosed in our Annual Report on Form 10-K for the year ended December 31, 2023 in Note 1 to the Consolidated Financial Statements and in Management’s Discussion and Analysis of Financial Condition and Results of Operations under “Critical Accounting Policies and Estimates.”</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95" w:lineRule="exact"/>
        <w:rPr>
          <w:sz w:val="20"/>
          <w:szCs w:val="20"/>
          <w:color w:val="auto"/>
        </w:rPr>
      </w:pPr>
    </w:p>
    <w:p>
      <w:pPr>
        <w:ind w:right="72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spacing w:after="0" w:line="265"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6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09"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6"/>
          <w:szCs w:val="16"/>
          <w:b w:val="1"/>
          <w:bCs w:val="1"/>
          <w:i w:val="1"/>
          <w:iCs w:val="1"/>
          <w:color w:val="auto"/>
        </w:rPr>
      </w:pPr>
    </w:p>
    <w:p>
      <w:pPr>
        <w:ind w:left="620" w:right="120" w:hanging="307"/>
        <w:spacing w:after="0" w:line="253" w:lineRule="auto"/>
        <w:tabs>
          <w:tab w:leader="none" w:pos="61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(also referred to as HECM or reverse MSR for risk management purposes),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97" w:name="page98"/>
    <w:bookmarkEnd w:id="97"/>
    <w:p>
      <w:pPr>
        <w:ind w:right="80"/>
        <w:spacing w:after="0" w:line="262" w:lineRule="auto"/>
        <w:rPr>
          <w:sz w:val="20"/>
          <w:szCs w:val="20"/>
          <w:color w:val="auto"/>
        </w:rPr>
      </w:pPr>
      <w:r>
        <w:rPr>
          <w:rFonts w:ascii="Times New Roman" w:cs="Times New Roman" w:eastAsia="Times New Roman" w:hAnsi="Times New Roman"/>
          <w:sz w:val="17"/>
          <w:szCs w:val="17"/>
          <w:color w:val="auto"/>
        </w:rPr>
        <w:t>The hedge coverage ratio, defined as the ratio of hedge (including reverse MSR) to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 In April 2024, we changed the risk measure to a dollar DV01 that resulted in an equivalent range of approximately 90% to 110%.</w:t>
      </w:r>
    </w:p>
    <w:p>
      <w:pPr>
        <w:spacing w:after="0" w:line="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Chief Investment Office, and Risk Management function, as the second line of defense, monitor fair value changes due to interest rates against the target hedge coverage ratio range on a daily basis. Exceptions are generally pre-approved by Risk Management. The following graph compares the daily hedge coverage ratio (based on interest rate modeled values) with target range and demonstrates the discipline of a highly effective MSR interest rate hedging strategy in the nine months ended September 2024 despite market volatility. The graph also shows the change in the targeted risk metric range starting in April 2024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52705</wp:posOffset>
            </wp:positionV>
            <wp:extent cx="3150870" cy="20923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5087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With a less-than 100% hedge coverage ratio, the changes in fair value of our hedging instruments may not fully offset the changes in fair value of our net MSR portfolio exposure attributable to interest rate changes. In addition, while interest rate sensitivity measures (DV01)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continuously evaluate the use of hedging instruments with the objective of enhancing the effectiveness of our interest rate hedging strategy.</w:t>
      </w:r>
    </w:p>
    <w:p>
      <w:pPr>
        <w:spacing w:after="0" w:line="11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spacing w:after="0" w:line="7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HMBS-related Borrowings</w:t>
      </w:r>
    </w:p>
    <w:p>
      <w:pPr>
        <w:spacing w:after="0" w:line="119"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The fair value of our securitized HECM loan portfolio generally decreases as market interest rates rise and increases as market rates fall. As our HECM loan portfolio is predominantly comprised of ARMs, higher interest rates cause the loan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98" w:name="page99"/>
    <w:bookmarkEnd w:id="98"/>
    <w:p>
      <w:pPr>
        <w:ind w:right="40"/>
        <w:spacing w:after="0" w:line="291" w:lineRule="auto"/>
        <w:rPr>
          <w:sz w:val="20"/>
          <w:szCs w:val="20"/>
          <w:color w:val="auto"/>
        </w:rPr>
      </w:pPr>
      <w:r>
        <w:rPr>
          <w:rFonts w:ascii="Times New Roman" w:cs="Times New Roman" w:eastAsia="Times New Roman" w:hAnsi="Times New Roman"/>
          <w:sz w:val="17"/>
          <w:szCs w:val="17"/>
          <w:color w:val="auto"/>
        </w:rPr>
        <w:t>balance to accrue and reach a 98% maximum claim amount liquidation event more quickly, while lower interest rates extend the timeline to reach maximum claim amount liquidation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Additionally, portfolio value is heavily influenced by market spreads for fixed and discount margin for ARMs.</w:t>
      </w:r>
    </w:p>
    <w:p>
      <w:pPr>
        <w:spacing w:after="0" w:line="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fair value of our securitized HECM loan portfolio net of the fair value of the HMBS-related borrowings represent a reverse mortgage economic MSR (HMSR) for risk management purposes. The fair value of our HMSR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60" w:firstLine="3"/>
        <w:spacing w:after="0" w:line="255" w:lineRule="auto"/>
        <w:tabs>
          <w:tab w:leader="none" w:pos="20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pipeline, is monitored daily and its daily limit is +/-5%.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EBO and Loan Modification Hedging – Loans Held for Sale, at fair value</w:t>
      </w:r>
    </w:p>
    <w:p>
      <w:pPr>
        <w:spacing w:after="0" w:line="108"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Match Funded Liabilities</w:t>
      </w:r>
    </w:p>
    <w:p>
      <w:pPr>
        <w:spacing w:after="0" w:line="12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We monitor the effect of changes in interest rates on the interest paid on our variable-rate advance financing debt. Earnings on cash and float balances are a partial offset to our exposure to changes in interest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Loans Held for Investment and Related Derivatives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basis point parallel move in rates. Changes in fair value cannot be extrapolated because the relationship to the change in fair value may not be linear and other factors may apply, such as change in yield, spreads or other assumptions.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HECM loans held for investment and loans held for sale that we have elected to carry at fair value as well as any related derivatives at September 30, 2024, given 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 among other factors.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Change in Fair Value</w:t>
            </w:r>
          </w:p>
        </w:tc>
      </w:tr>
      <w:tr>
        <w:trPr>
          <w:trHeight w:val="213"/>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Down 25 bps</w:t>
            </w:r>
          </w:p>
        </w:tc>
        <w:tc>
          <w:tcPr>
            <w:tcW w:w="240" w:type="dxa"/>
            <w:vAlign w:val="bottom"/>
          </w:tcPr>
          <w:p>
            <w:pPr>
              <w:spacing w:after="0"/>
              <w:rPr>
                <w:sz w:val="18"/>
                <w:szCs w:val="18"/>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Up 25 bps</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 HECM loans and tails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IRLCs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180" w:hanging="317"/>
        <w:spacing w:after="0" w:line="257" w:lineRule="auto"/>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Rithm and MAV pledged MSR financing liabilities and ESS financing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spacing w:after="0" w:line="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Based on September 30, 2024 balances, if interest rates were to decrease by 100 bps, we estimate a net negative impact on our profitability of approximately $6.7 million resulting from a decrease of $26.3 million in annual interest income and other credits on cash deposits and float balances, and a decrease of $19.6 million in annual interest expense on our variable-rate debt.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nine months ended September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Prices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2024.</w:t>
      </w:r>
    </w:p>
    <w:p>
      <w:pPr>
        <w:spacing w:after="0" w:line="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September 30, 2024 were (1) designed and functioning effectively to ensure that material information relating to Onity,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Onity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3"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fiscal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See Note 21 – Contingencies to the Unaudited Consolidated Financial Statements for a description of our material legal proceedings.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2023.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to the risks described in our Annual Report on Form 10-K for the year ended December 31, 2023, other than the following:</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ability to conclude our refinancing transaction and redeem all of our PMC Senior Secured Notes and our Onity Senior Secured Notes depends on the closing of the MAV sale, the timing of which is uncertain due to the various required regulatory approvals. If we are not able to close the MAV sale by March 3, 2025, we will be required to repay the escrowed proceeds of the new PHH Senior Notes due 2029, including accrued interest, and our PMC Senior Secured Notes and Onity Senior Secured Notes will not be redeemed and will remain outstanding. If this were to happen, we cannot guarantee that we would be able to refinance the PMC Senior Secured Notes and Onity Senior Secured Notes on equally favorable terms prior to their maturity dates of March 2026 and March 2027, respectively, which could have a material adverse impact on our liquidity and financial condition and could raise concerns among investors, regulators, and current or potential contractual counterparties.</w:t>
      </w:r>
    </w:p>
    <w:p>
      <w:pPr>
        <w:spacing w:after="0" w:line="7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net proceeds of our PHH Senior Notes that closed on November 6, 2024 were placed into escrow, together with approximately $23 million additional cash from Onity. It is a condition to the release of funds from the escrow account that the MAV sale has been closed. Closing of the MAV sale requires the approval of various state regulators as well as the approval of the GSEs. Pursuant to the terms of our refinancing agreement, if the MAV sale does not occur on or prior to March 3, 2025, we will be required to redeem all of the new PHH Senior Notes at a redemption price equal to 100% of the initial issue price of the notes, plus accrued and unpaid interest. In addition, we will be unable to redeem our outstanding PMC Senior Secured Notes due March 2026 with a UPB of $289.1 million and our Onity Senior Secured Notes due March 2027 with a UPB of $285.0 million. As a result, we will need to seek an alternative refinancing solution for these notes and we cannot guarantee that we will be able to obtain such refinancing on favorable terms, or at all, prior to the notes’ respective maturity dates. In addition, we will be unable to capture the expected benefits of the refinancing and the MAV sale, and third parties such as future debt investors and other potential lending sources may be disincentivized to extend credit to us, potential clients and contractual counterparties may be less inclined to enter business arrangements with us, and regulators may raise concerns during licensing renewal, examinations and other discussions. If any of these events occur, our access to liquidity and financial condition could be materially adversely impacted.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400" w:type="dxa"/>
            <w:vAlign w:val="bottom"/>
          </w:tcPr>
          <w:p>
            <w:pPr>
              <w:spacing w:after="0"/>
              <w:rPr>
                <w:sz w:val="19"/>
                <w:szCs w:val="19"/>
                <w:color w:val="auto"/>
              </w:rPr>
            </w:pPr>
          </w:p>
        </w:tc>
      </w:tr>
      <w:tr>
        <w:trPr>
          <w:trHeight w:val="345"/>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w:t>
            </w: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Amended and Restated Articles of Incorporation, as amended (filed herewith)</w:t>
            </w:r>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3.2</w:t>
              </w:r>
            </w:hyperlink>
          </w:p>
        </w:tc>
        <w:tc>
          <w:tcPr>
            <w:tcW w:w="9400" w:type="dxa"/>
            <w:vAlign w:val="bottom"/>
          </w:tcPr>
          <w:p>
            <w:pPr>
              <w:ind w:left="140"/>
              <w:spacing w:after="0"/>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Amended and Restated Bylaws of Registrant (1)</w:t>
              </w:r>
            </w:hyperlink>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4.1</w:t>
            </w:r>
          </w:p>
        </w:tc>
        <w:tc>
          <w:tcPr>
            <w:tcW w:w="94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r>
      <w:tr>
        <w:trPr>
          <w:trHeight w:val="177"/>
        </w:trPr>
        <w:tc>
          <w:tcPr>
            <w:tcW w:w="1840" w:type="dxa"/>
            <w:vAlign w:val="bottom"/>
          </w:tcPr>
          <w:p>
            <w:pPr>
              <w:spacing w:after="0"/>
              <w:rPr>
                <w:sz w:val="15"/>
                <w:szCs w:val="15"/>
                <w:color w:val="auto"/>
              </w:rPr>
            </w:pP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r>
      <w:tr>
        <w:trPr>
          <w:trHeight w:val="220"/>
        </w:trPr>
        <w:tc>
          <w:tcPr>
            <w:tcW w:w="184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4.2</w:t>
            </w: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Series B Preferred Stock Certificate (filed herewith)</w:t>
            </w:r>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10.1†</w:t>
            </w:r>
          </w:p>
        </w:tc>
        <w:tc>
          <w:tcPr>
            <w:tcW w:w="94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Transaction Agreement dated September 30, 2024 among the Company, OCW MAV Holdings, LLC, MAV Canopy Holdco I, LLC,</w:t>
            </w:r>
          </w:p>
        </w:tc>
      </w:tr>
      <w:tr>
        <w:trPr>
          <w:trHeight w:val="223"/>
        </w:trPr>
        <w:tc>
          <w:tcPr>
            <w:tcW w:w="184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Asset Vehicle LLC and the other parties thereto (filed herewith)</w:t>
            </w:r>
          </w:p>
        </w:tc>
      </w:tr>
      <w:tr>
        <w:trPr>
          <w:trHeight w:val="177"/>
        </w:trPr>
        <w:tc>
          <w:tcPr>
            <w:tcW w:w="1840" w:type="dxa"/>
            <w:vAlign w:val="bottom"/>
          </w:tcPr>
          <w:p>
            <w:pPr>
              <w:ind w:left="1060"/>
              <w:spacing w:after="0" w:line="177" w:lineRule="exact"/>
              <w:rPr>
                <w:sz w:val="20"/>
                <w:szCs w:val="20"/>
                <w:color w:val="auto"/>
              </w:rPr>
            </w:pPr>
            <w:r>
              <w:rPr>
                <w:rFonts w:ascii="Times New Roman" w:cs="Times New Roman" w:eastAsia="Times New Roman" w:hAnsi="Times New Roman"/>
                <w:sz w:val="17"/>
                <w:szCs w:val="17"/>
                <w:color w:val="auto"/>
              </w:rPr>
              <w:t>10.2†</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Note Purchase Agreement Amendment effective October 23, 2024 among the Company, Oaktree Fund Administration, LLC, as</w:t>
            </w:r>
          </w:p>
        </w:tc>
      </w:tr>
      <w:tr>
        <w:trPr>
          <w:trHeight w:val="223"/>
        </w:trPr>
        <w:tc>
          <w:tcPr>
            <w:tcW w:w="184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collateral agent, and the other parties thereto (filed herewith)</w:t>
            </w:r>
          </w:p>
        </w:tc>
      </w:tr>
      <w:tr>
        <w:trPr>
          <w:trHeight w:val="229"/>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10.3†</w:t>
            </w:r>
          </w:p>
        </w:tc>
        <w:tc>
          <w:tcPr>
            <w:tcW w:w="9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Redemption Agreement among the Company, OCW MAV Holdings, LLC and MAV Canopy Holdco I, LLC (filed herewith)</w:t>
            </w:r>
          </w:p>
        </w:tc>
      </w:tr>
      <w:tr>
        <w:trPr>
          <w:trHeight w:val="879"/>
        </w:trPr>
        <w:tc>
          <w:tcPr>
            <w:tcW w:w="18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Times New Roman" w:cs="Times New Roman" w:eastAsia="Times New Roman" w:hAnsi="Times New Roman"/>
                <w:sz w:val="17"/>
                <w:szCs w:val="17"/>
                <w:color w:val="auto"/>
              </w:rPr>
              <w:t>98</w:t>
            </w:r>
          </w:p>
        </w:tc>
      </w:tr>
      <w:tr>
        <w:trPr>
          <w:trHeight w:val="109"/>
        </w:trPr>
        <w:tc>
          <w:tcPr>
            <w:tcW w:w="1840" w:type="dxa"/>
            <w:vAlign w:val="bottom"/>
            <w:tcBorders>
              <w:bottom w:val="single" w:sz="8" w:color="9A9A9A"/>
            </w:tcBorders>
          </w:tcPr>
          <w:p>
            <w:pPr>
              <w:spacing w:after="0"/>
              <w:rPr>
                <w:sz w:val="9"/>
                <w:szCs w:val="9"/>
                <w:color w:val="auto"/>
              </w:rPr>
            </w:pPr>
          </w:p>
        </w:tc>
        <w:tc>
          <w:tcPr>
            <w:tcW w:w="9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01" w:name="page102"/>
    <w:bookmarkEnd w:id="101"/>
    <w:tbl>
      <w:tblPr>
        <w:tblLayout w:type="fixed"/>
        <w:tblInd w:w="1060" w:type="dxa"/>
        <w:tblCellMar>
          <w:top w:w="0" w:type="dxa"/>
          <w:left w:w="0" w:type="dxa"/>
          <w:bottom w:w="0" w:type="dxa"/>
          <w:right w:w="0" w:type="dxa"/>
        </w:tblCellMar>
      </w:tblPr>
      <w:tr>
        <w:trPr>
          <w:trHeight w:val="220"/>
        </w:trPr>
        <w:tc>
          <w:tcPr>
            <w:tcW w:w="6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10.4</w:t>
            </w: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Form of Amendment effective October 23, 2024 to Warrants dated March 4, 2021 and May 3, 2021 (filed herewith)</w:t>
            </w:r>
          </w:p>
        </w:tc>
      </w:tr>
      <w:tr>
        <w:trPr>
          <w:trHeight w:val="171"/>
        </w:trPr>
        <w:tc>
          <w:tcPr>
            <w:tcW w:w="620" w:type="dxa"/>
            <w:vAlign w:val="bottom"/>
          </w:tcPr>
          <w:p>
            <w:pPr>
              <w:jc w:val="right"/>
              <w:ind w:right="234"/>
              <w:spacing w:after="0" w:line="172" w:lineRule="exact"/>
              <w:rPr>
                <w:sz w:val="20"/>
                <w:szCs w:val="20"/>
                <w:color w:val="auto"/>
              </w:rPr>
            </w:pPr>
            <w:r>
              <w:rPr>
                <w:rFonts w:ascii="Times New Roman" w:cs="Times New Roman" w:eastAsia="Times New Roman" w:hAnsi="Times New Roman"/>
                <w:sz w:val="17"/>
                <w:szCs w:val="17"/>
                <w:color w:val="auto"/>
                <w:w w:val="93"/>
              </w:rPr>
              <w:t>10.5</w:t>
            </w:r>
          </w:p>
        </w:tc>
        <w:tc>
          <w:tcPr>
            <w:tcW w:w="9360" w:type="dxa"/>
            <w:vAlign w:val="bottom"/>
          </w:tcPr>
          <w:p>
            <w:pPr>
              <w:ind w:left="300"/>
              <w:spacing w:after="0" w:line="172" w:lineRule="exact"/>
              <w:rPr>
                <w:sz w:val="20"/>
                <w:szCs w:val="20"/>
                <w:color w:val="auto"/>
              </w:rPr>
            </w:pPr>
            <w:r>
              <w:rPr>
                <w:rFonts w:ascii="Times New Roman" w:cs="Times New Roman" w:eastAsia="Times New Roman" w:hAnsi="Times New Roman"/>
                <w:sz w:val="17"/>
                <w:szCs w:val="17"/>
                <w:color w:val="auto"/>
              </w:rPr>
              <w:t>Letter Agreement dated October 14, 2024 regarding Rithm Capital Corp. affiliate subservicing agreement termination rights (filed</w:t>
            </w:r>
          </w:p>
        </w:tc>
      </w:tr>
      <w:tr>
        <w:trPr>
          <w:trHeight w:val="223"/>
        </w:trPr>
        <w:tc>
          <w:tcPr>
            <w:tcW w:w="620" w:type="dxa"/>
            <w:vAlign w:val="bottom"/>
          </w:tcPr>
          <w:p>
            <w:pPr>
              <w:spacing w:after="0"/>
              <w:rPr>
                <w:sz w:val="19"/>
                <w:szCs w:val="19"/>
                <w:color w:val="auto"/>
              </w:rPr>
            </w:pP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herewith)</w:t>
            </w:r>
          </w:p>
        </w:tc>
      </w:tr>
      <w:tr>
        <w:trPr>
          <w:trHeight w:val="177"/>
        </w:trPr>
        <w:tc>
          <w:tcPr>
            <w:tcW w:w="620" w:type="dxa"/>
            <w:vAlign w:val="bottom"/>
          </w:tcPr>
          <w:p>
            <w:pPr>
              <w:jc w:val="right"/>
              <w:ind w:right="234"/>
              <w:spacing w:after="0" w:line="177" w:lineRule="exact"/>
              <w:rPr>
                <w:sz w:val="20"/>
                <w:szCs w:val="20"/>
                <w:color w:val="auto"/>
              </w:rPr>
            </w:pPr>
            <w:r>
              <w:rPr>
                <w:rFonts w:ascii="Times New Roman" w:cs="Times New Roman" w:eastAsia="Times New Roman" w:hAnsi="Times New Roman"/>
                <w:sz w:val="17"/>
                <w:szCs w:val="17"/>
                <w:color w:val="auto"/>
                <w:w w:val="93"/>
              </w:rPr>
              <w:t>10.6</w:t>
            </w:r>
          </w:p>
        </w:tc>
        <w:tc>
          <w:tcPr>
            <w:tcW w:w="9360" w:type="dxa"/>
            <w:vAlign w:val="bottom"/>
          </w:tcPr>
          <w:p>
            <w:pPr>
              <w:ind w:left="300"/>
              <w:spacing w:after="0" w:line="177" w:lineRule="exact"/>
              <w:rPr>
                <w:sz w:val="20"/>
                <w:szCs w:val="20"/>
                <w:color w:val="auto"/>
              </w:rPr>
            </w:pPr>
            <w:r>
              <w:rPr>
                <w:rFonts w:ascii="Times New Roman" w:cs="Times New Roman" w:eastAsia="Times New Roman" w:hAnsi="Times New Roman"/>
                <w:sz w:val="17"/>
                <w:szCs w:val="17"/>
                <w:color w:val="auto"/>
              </w:rPr>
              <w:t>Registration Rights Agreement dated November 1, 2024 between the Company and affiliates of Waterfall Asset Management, LLC</w:t>
            </w:r>
          </w:p>
        </w:tc>
      </w:tr>
      <w:tr>
        <w:trPr>
          <w:trHeight w:val="223"/>
        </w:trPr>
        <w:tc>
          <w:tcPr>
            <w:tcW w:w="620" w:type="dxa"/>
            <w:vAlign w:val="bottom"/>
          </w:tcPr>
          <w:p>
            <w:pPr>
              <w:spacing w:after="0"/>
              <w:rPr>
                <w:sz w:val="19"/>
                <w:szCs w:val="19"/>
                <w:color w:val="auto"/>
              </w:rPr>
            </w:pP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(filed herewith)</w:t>
            </w:r>
          </w:p>
        </w:tc>
      </w:tr>
      <w:tr>
        <w:trPr>
          <w:trHeight w:val="225"/>
        </w:trPr>
        <w:tc>
          <w:tcPr>
            <w:tcW w:w="6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31.1</w:t>
            </w: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r>
      <w:tr>
        <w:trPr>
          <w:trHeight w:val="220"/>
        </w:trPr>
        <w:tc>
          <w:tcPr>
            <w:tcW w:w="6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31.2</w:t>
            </w: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r>
      <w:tr>
        <w:trPr>
          <w:trHeight w:val="171"/>
        </w:trPr>
        <w:tc>
          <w:tcPr>
            <w:tcW w:w="620" w:type="dxa"/>
            <w:vAlign w:val="bottom"/>
          </w:tcPr>
          <w:p>
            <w:pPr>
              <w:jc w:val="right"/>
              <w:ind w:right="234"/>
              <w:spacing w:after="0" w:line="172" w:lineRule="exact"/>
              <w:rPr>
                <w:sz w:val="20"/>
                <w:szCs w:val="20"/>
                <w:color w:val="auto"/>
              </w:rPr>
            </w:pPr>
            <w:r>
              <w:rPr>
                <w:rFonts w:ascii="Times New Roman" w:cs="Times New Roman" w:eastAsia="Times New Roman" w:hAnsi="Times New Roman"/>
                <w:sz w:val="17"/>
                <w:szCs w:val="17"/>
                <w:color w:val="auto"/>
                <w:w w:val="93"/>
              </w:rPr>
              <w:t>32.1</w:t>
            </w:r>
          </w:p>
        </w:tc>
        <w:tc>
          <w:tcPr>
            <w:tcW w:w="9360" w:type="dxa"/>
            <w:vAlign w:val="bottom"/>
          </w:tcPr>
          <w:p>
            <w:pPr>
              <w:ind w:left="300"/>
              <w:spacing w:after="0" w:line="172"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r>
      <w:tr>
        <w:trPr>
          <w:trHeight w:val="223"/>
        </w:trPr>
        <w:tc>
          <w:tcPr>
            <w:tcW w:w="620" w:type="dxa"/>
            <w:vAlign w:val="bottom"/>
          </w:tcPr>
          <w:p>
            <w:pPr>
              <w:spacing w:after="0"/>
              <w:rPr>
                <w:sz w:val="19"/>
                <w:szCs w:val="19"/>
                <w:color w:val="auto"/>
              </w:rPr>
            </w:pP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r>
        <w:trPr>
          <w:trHeight w:val="177"/>
        </w:trPr>
        <w:tc>
          <w:tcPr>
            <w:tcW w:w="620" w:type="dxa"/>
            <w:vAlign w:val="bottom"/>
          </w:tcPr>
          <w:p>
            <w:pPr>
              <w:jc w:val="right"/>
              <w:ind w:right="234"/>
              <w:spacing w:after="0" w:line="177" w:lineRule="exact"/>
              <w:rPr>
                <w:sz w:val="20"/>
                <w:szCs w:val="20"/>
                <w:color w:val="auto"/>
              </w:rPr>
            </w:pPr>
            <w:r>
              <w:rPr>
                <w:rFonts w:ascii="Times New Roman" w:cs="Times New Roman" w:eastAsia="Times New Roman" w:hAnsi="Times New Roman"/>
                <w:sz w:val="17"/>
                <w:szCs w:val="17"/>
                <w:color w:val="auto"/>
                <w:w w:val="93"/>
              </w:rPr>
              <w:t>32.2</w:t>
            </w:r>
          </w:p>
        </w:tc>
        <w:tc>
          <w:tcPr>
            <w:tcW w:w="9360" w:type="dxa"/>
            <w:vAlign w:val="bottom"/>
          </w:tcPr>
          <w:p>
            <w:pPr>
              <w:ind w:left="300"/>
              <w:spacing w:after="0" w:line="17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r>
      <w:tr>
        <w:trPr>
          <w:trHeight w:val="223"/>
        </w:trPr>
        <w:tc>
          <w:tcPr>
            <w:tcW w:w="620" w:type="dxa"/>
            <w:vAlign w:val="bottom"/>
          </w:tcPr>
          <w:p>
            <w:pPr>
              <w:spacing w:after="0"/>
              <w:rPr>
                <w:sz w:val="19"/>
                <w:szCs w:val="19"/>
                <w:color w:val="auto"/>
              </w:rPr>
            </w:pPr>
          </w:p>
        </w:tc>
        <w:tc>
          <w:tcPr>
            <w:tcW w:w="9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bl>
    <w:p>
      <w:pPr>
        <w:spacing w:after="0" w:line="6" w:lineRule="exact"/>
        <w:rPr>
          <w:sz w:val="20"/>
          <w:szCs w:val="20"/>
          <w:color w:val="auto"/>
        </w:rPr>
      </w:pPr>
    </w:p>
    <w:p>
      <w:pPr>
        <w:ind w:left="1980" w:right="200" w:hanging="861"/>
        <w:spacing w:after="0" w:line="227" w:lineRule="auto"/>
        <w:tabs>
          <w:tab w:leader="none" w:pos="19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September 30, 2024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1" w:lineRule="exact"/>
        <w:rPr>
          <w:sz w:val="20"/>
          <w:szCs w:val="20"/>
          <w:color w:val="auto"/>
        </w:rPr>
      </w:pPr>
    </w:p>
    <w:p>
      <w:pPr>
        <w:ind w:left="1980" w:right="160" w:hanging="861"/>
        <w:spacing w:after="0" w:line="237" w:lineRule="auto"/>
        <w:tabs>
          <w:tab w:leader="none" w:pos="19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September 30, 2024, formatted in Inline XBRL (Included as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5" w:lineRule="exact"/>
        <w:rPr>
          <w:rFonts w:ascii="Times New Roman" w:cs="Times New Roman" w:eastAsia="Times New Roman" w:hAnsi="Times New Roman"/>
          <w:sz w:val="17"/>
          <w:szCs w:val="17"/>
          <w:color w:val="auto"/>
        </w:rPr>
      </w:pPr>
    </w:p>
    <w:p>
      <w:pPr>
        <w:ind w:left="320" w:right="200" w:hanging="317"/>
        <w:spacing w:after="0" w:line="285" w:lineRule="auto"/>
        <w:tabs>
          <w:tab w:leader="none" w:pos="1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Onity Group Inc.</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Sean B. O’Neil</w:t>
      </w:r>
    </w:p>
    <w:p>
      <w:pPr>
        <w:spacing w:after="0" w:line="1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200"/>
          </w:cols>
          <w:pgMar w:left="320" w:top="989" w:right="379" w:bottom="1440" w:gutter="0" w:footer="0" w:header="0"/>
        </w:sectPr>
      </w:pPr>
    </w:p>
    <w:bookmarkStart w:id="102" w:name="page103"/>
    <w:bookmarkEnd w:id="102"/>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Exhibit 3.1</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INCORPORATION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CORPORATE NAME</w:t>
      </w: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name of this corporation is:</w:t>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PRINCIPAL OFFICE</w:t>
      </w: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address of the principal office and the mailing address of this corporation are: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1675 Palm Beach Lakes Boulevard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West Palm Beach, Florida 33401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STOCK</w:t>
      </w: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designations and the powers, preferences and rights, and the qualifications, limitations or restrictions thereof, of the Preferred Stock shall be as follows:</w:t>
      </w:r>
    </w:p>
    <w:p>
      <w:pPr>
        <w:spacing w:after="0" w:line="200" w:lineRule="exact"/>
        <w:rPr>
          <w:sz w:val="20"/>
          <w:szCs w:val="20"/>
          <w:color w:val="auto"/>
        </w:rPr>
      </w:pPr>
    </w:p>
    <w:p>
      <w:pPr>
        <w:spacing w:after="0" w:line="251" w:lineRule="exact"/>
        <w:rPr>
          <w:sz w:val="20"/>
          <w:szCs w:val="20"/>
          <w:color w:val="auto"/>
        </w:rPr>
      </w:pPr>
    </w:p>
    <w:p>
      <w:pPr>
        <w:jc w:val="both"/>
        <w:ind w:firstLine="3"/>
        <w:spacing w:after="0" w:line="270" w:lineRule="auto"/>
        <w:tabs>
          <w:tab w:leader="none" w:pos="29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providing for the issue thereof adopted by the Board of Directors, and as are not stated and expressed in these Articles of Incorporation, or any amendment thereto, including (but without limiting the generality of the foregoing) the following:</w:t>
      </w:r>
    </w:p>
    <w:p>
      <w:pPr>
        <w:spacing w:after="0" w:line="48" w:lineRule="exact"/>
        <w:rPr>
          <w:sz w:val="20"/>
          <w:szCs w:val="20"/>
          <w:color w:val="auto"/>
        </w:rPr>
      </w:pPr>
    </w:p>
    <w:p>
      <w:pPr>
        <w:ind w:left="240" w:hanging="237"/>
        <w:spacing w:after="0"/>
        <w:tabs>
          <w:tab w:leader="none" w:pos="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and number of shares constituting such series;</w:t>
      </w:r>
    </w:p>
    <w:p>
      <w:pPr>
        <w:spacing w:after="0" w:line="200" w:lineRule="exact"/>
        <w:rPr>
          <w:rFonts w:ascii="Times New Roman" w:cs="Times New Roman" w:eastAsia="Times New Roman" w:hAnsi="Times New Roman"/>
          <w:sz w:val="17"/>
          <w:szCs w:val="17"/>
          <w:color w:val="auto"/>
        </w:rPr>
      </w:pPr>
    </w:p>
    <w:p>
      <w:pPr>
        <w:spacing w:after="0" w:line="250" w:lineRule="exact"/>
        <w:rPr>
          <w:rFonts w:ascii="Times New Roman" w:cs="Times New Roman" w:eastAsia="Times New Roman" w:hAnsi="Times New Roman"/>
          <w:sz w:val="17"/>
          <w:szCs w:val="17"/>
          <w:color w:val="auto"/>
        </w:rPr>
      </w:pPr>
    </w:p>
    <w:p>
      <w:pPr>
        <w:jc w:val="both"/>
        <w:ind w:firstLine="3"/>
        <w:spacing w:after="0" w:line="281" w:lineRule="auto"/>
        <w:tabs>
          <w:tab w:leader="none" w:pos="24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firstLine="3"/>
        <w:spacing w:after="0" w:line="288" w:lineRule="auto"/>
        <w:tabs>
          <w:tab w:leader="none" w:pos="24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such series shall be subject to redemption by this corporation, and, if made subject to such redemption, the times, prices and other terms and conditions of such redemption;</w:t>
      </w:r>
    </w:p>
    <w:p>
      <w:pPr>
        <w:spacing w:after="0" w:line="383"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if any, provided for the purchase or redemption of the shares of such series;</w:t>
      </w:r>
    </w:p>
    <w:p>
      <w:pPr>
        <w:spacing w:after="0" w:line="200" w:lineRule="exact"/>
        <w:rPr>
          <w:rFonts w:ascii="Times New Roman" w:cs="Times New Roman" w:eastAsia="Times New Roman" w:hAnsi="Times New Roman"/>
          <w:sz w:val="17"/>
          <w:szCs w:val="17"/>
          <w:color w:val="auto"/>
        </w:rPr>
      </w:pPr>
    </w:p>
    <w:p>
      <w:pPr>
        <w:spacing w:after="0" w:line="250" w:lineRule="exact"/>
        <w:rPr>
          <w:rFonts w:ascii="Times New Roman" w:cs="Times New Roman" w:eastAsia="Times New Roman" w:hAnsi="Times New Roman"/>
          <w:sz w:val="17"/>
          <w:szCs w:val="17"/>
          <w:color w:val="auto"/>
        </w:rPr>
      </w:pPr>
    </w:p>
    <w:p>
      <w:pPr>
        <w:jc w:val="both"/>
        <w:ind w:firstLine="3"/>
        <w:spacing w:after="0" w:line="270" w:lineRule="auto"/>
        <w:tabs>
          <w:tab w:leader="none" w:pos="24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399" w:lineRule="exact"/>
        <w:rPr>
          <w:rFonts w:ascii="Times New Roman" w:cs="Times New Roman" w:eastAsia="Times New Roman" w:hAnsi="Times New Roman"/>
          <w:sz w:val="17"/>
          <w:szCs w:val="17"/>
          <w:color w:val="auto"/>
        </w:rPr>
      </w:pPr>
    </w:p>
    <w:p>
      <w:pPr>
        <w:ind w:firstLine="3"/>
        <w:spacing w:after="0" w:line="288" w:lineRule="auto"/>
        <w:tabs>
          <w:tab w:leader="none" w:pos="24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if any, to which the holders of the shares of such series shall be entitled to vote as a class or otherwise with respect to the election of the directors or otherwise;</w:t>
      </w:r>
    </w:p>
    <w:p>
      <w:pPr>
        <w:spacing w:after="0" w:line="383"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if any, on the issue or reissue of any additional Preferred Stock; and</w:t>
      </w:r>
    </w:p>
    <w:p>
      <w:pPr>
        <w:spacing w:after="0" w:line="200" w:lineRule="exact"/>
        <w:rPr>
          <w:rFonts w:ascii="Times New Roman" w:cs="Times New Roman" w:eastAsia="Times New Roman" w:hAnsi="Times New Roman"/>
          <w:sz w:val="17"/>
          <w:szCs w:val="17"/>
          <w:color w:val="auto"/>
        </w:rPr>
      </w:pPr>
    </w:p>
    <w:p>
      <w:pPr>
        <w:spacing w:after="0" w:line="250"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holders of the shares of such series upon the dissolution of, or upon the distribution of assets of, this corporation.</w:t>
      </w:r>
    </w:p>
    <w:p>
      <w:pPr>
        <w:spacing w:after="0" w:line="200" w:lineRule="exact"/>
        <w:rPr>
          <w:sz w:val="20"/>
          <w:szCs w:val="20"/>
          <w:color w:val="auto"/>
        </w:rPr>
      </w:pPr>
    </w:p>
    <w:p>
      <w:pPr>
        <w:spacing w:after="0" w:line="251" w:lineRule="exact"/>
        <w:rPr>
          <w:sz w:val="20"/>
          <w:szCs w:val="20"/>
          <w:color w:val="auto"/>
        </w:rPr>
      </w:pPr>
    </w:p>
    <w:p>
      <w:pPr>
        <w:ind w:right="580" w:firstLine="3"/>
        <w:spacing w:after="0" w:line="288" w:lineRule="auto"/>
        <w:tabs>
          <w:tab w:leader="none" w:pos="27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AFFILIATE TRANSACTIONS; CONTROL-SHARE ACQUISITIONS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corporation hereby expressly elects not to be governed by Fla. Stat. Section 607.0901, as the same may be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Fla. Stat. Section 607.0902, as amended or supplemented, shall not apply to control-share acquisitions of shares of this corporation.</w:t>
      </w:r>
    </w:p>
    <w:p>
      <w:pPr>
        <w:spacing w:after="0" w:line="1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ARTICLE V</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INDEMNIFICATION</w:t>
      </w:r>
    </w:p>
    <w:p>
      <w:pPr>
        <w:spacing w:after="0" w:line="200" w:lineRule="exact"/>
        <w:rPr>
          <w:sz w:val="20"/>
          <w:szCs w:val="20"/>
          <w:color w:val="auto"/>
        </w:rPr>
      </w:pP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corporation shall, to the fullest extent permitted by the provisions of Fla. Stat. Section 607.0850,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have executed, subscribed and acknowledged these Amended and Restated Articles of Incorporation on July 23, 1996.</w:t>
      </w:r>
    </w:p>
    <w:p>
      <w:pPr>
        <w:spacing w:after="0" w:line="1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/s/ William C. Erbey</w:t>
      </w:r>
    </w:p>
    <w:p>
      <w:pPr>
        <w:spacing w:after="0" w:line="1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William C. Erbey,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AMENDMENT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ARTICLES OF INCORPORATION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200" w:lineRule="exact"/>
        <w:rPr>
          <w:sz w:val="20"/>
          <w:szCs w:val="20"/>
          <w:color w:val="auto"/>
        </w:rPr>
      </w:pPr>
    </w:p>
    <w:p>
      <w:pPr>
        <w:spacing w:after="0" w:line="255"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The name of the Corporation is: Ocwen Financial Corporation.</w:t>
      </w:r>
    </w:p>
    <w:p>
      <w:pPr>
        <w:spacing w:after="0" w:line="200" w:lineRule="exact"/>
        <w:rPr>
          <w:sz w:val="20"/>
          <w:szCs w:val="20"/>
          <w:color w:val="auto"/>
        </w:rPr>
      </w:pPr>
    </w:p>
    <w:p>
      <w:pPr>
        <w:spacing w:after="0" w:line="251" w:lineRule="exact"/>
        <w:rPr>
          <w:sz w:val="20"/>
          <w:szCs w:val="20"/>
          <w:color w:val="auto"/>
        </w:rPr>
      </w:pPr>
    </w:p>
    <w:p>
      <w:pPr>
        <w:ind w:right="100" w:firstLine="620"/>
        <w:spacing w:after="0" w:line="293" w:lineRule="auto"/>
        <w:rPr>
          <w:sz w:val="20"/>
          <w:szCs w:val="20"/>
          <w:color w:val="auto"/>
        </w:rPr>
      </w:pPr>
      <w:r>
        <w:rPr>
          <w:rFonts w:ascii="Times New Roman" w:cs="Times New Roman" w:eastAsia="Times New Roman" w:hAnsi="Times New Roman"/>
          <w:sz w:val="17"/>
          <w:szCs w:val="17"/>
          <w:b w:val="1"/>
          <w:bCs w:val="1"/>
          <w:color w:val="auto"/>
        </w:rPr>
        <w:t>SECOND</w:t>
      </w:r>
      <w:r>
        <w:rPr>
          <w:rFonts w:ascii="Times New Roman" w:cs="Times New Roman" w:eastAsia="Times New Roman" w:hAnsi="Times New Roman"/>
          <w:sz w:val="17"/>
          <w:szCs w:val="17"/>
          <w:color w:val="auto"/>
        </w:rPr>
        <w:t>: That at a regular meeting of the members of the Board of Directors of the Corporation held on March 8, 2006, resolutions were duly adopted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proposing to amend Article III of the Amended and Restated Articles of Incorporation of the Corporation and declaring such amendment to be advisable.</w:t>
      </w:r>
    </w:p>
    <w:p>
      <w:pPr>
        <w:spacing w:after="0" w:line="375" w:lineRule="exact"/>
        <w:rPr>
          <w:sz w:val="20"/>
          <w:szCs w:val="20"/>
          <w:color w:val="auto"/>
        </w:rPr>
      </w:pPr>
    </w:p>
    <w:p>
      <w:pPr>
        <w:jc w:val="both"/>
        <w:ind w:right="40" w:firstLine="620"/>
        <w:spacing w:after="0" w:line="273" w:lineRule="auto"/>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The amendment to the Amended and Restated Articles of Incorporation set forth below does not adversely affect the rights or preferences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392" w:lineRule="exact"/>
        <w:rPr>
          <w:sz w:val="20"/>
          <w:szCs w:val="20"/>
          <w:color w:val="auto"/>
        </w:rPr>
      </w:pPr>
    </w:p>
    <w:p>
      <w:pPr>
        <w:ind w:firstLine="620"/>
        <w:spacing w:after="0" w:line="293" w:lineRule="auto"/>
        <w:rPr>
          <w:sz w:val="20"/>
          <w:szCs w:val="20"/>
          <w:color w:val="auto"/>
        </w:rPr>
      </w:pPr>
      <w:r>
        <w:rPr>
          <w:rFonts w:ascii="Times New Roman" w:cs="Times New Roman" w:eastAsia="Times New Roman" w:hAnsi="Times New Roman"/>
          <w:sz w:val="17"/>
          <w:szCs w:val="17"/>
          <w:b w:val="1"/>
          <w:bCs w:val="1"/>
          <w:color w:val="auto"/>
        </w:rPr>
        <w:t>FOURTH</w:t>
      </w:r>
      <w:r>
        <w:rPr>
          <w:rFonts w:ascii="Times New Roman" w:cs="Times New Roman" w:eastAsia="Times New Roman" w:hAnsi="Times New Roman"/>
          <w:sz w:val="17"/>
          <w:szCs w:val="17"/>
          <w:color w:val="auto"/>
        </w:rPr>
        <w:t>: Each ten (10) shares of issued common stock par value $0.01 per share of the Corporation (“Common Stock”) are to be combined into one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of Common Stock, provided that no fractional shares are to be issued to any holder of fewer than ten (10) shares of Common Stock.</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Article III of the Amended and Restated Articles of Incorporation shall be deleted in its entirety and replaced with the following: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00" w:lineRule="exact"/>
        <w:rPr>
          <w:sz w:val="20"/>
          <w:szCs w:val="20"/>
          <w:color w:val="auto"/>
        </w:rPr>
      </w:pPr>
    </w:p>
    <w:p>
      <w:pPr>
        <w:spacing w:after="0" w:line="255" w:lineRule="exact"/>
        <w:rPr>
          <w:sz w:val="20"/>
          <w:szCs w:val="20"/>
          <w:color w:val="auto"/>
        </w:rPr>
      </w:pPr>
    </w:p>
    <w:p>
      <w:pPr>
        <w:ind w:right="280" w:firstLine="620"/>
        <w:spacing w:after="0" w:line="270" w:lineRule="auto"/>
        <w:rPr>
          <w:sz w:val="20"/>
          <w:szCs w:val="20"/>
          <w:color w:val="auto"/>
        </w:rPr>
      </w:pPr>
      <w:r>
        <w:rPr>
          <w:rFonts w:ascii="Times New Roman" w:cs="Times New Roman" w:eastAsia="Times New Roman" w:hAnsi="Times New Roman"/>
          <w:sz w:val="17"/>
          <w:szCs w:val="17"/>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The Board of Directors is expressly authorized at any time, and from time to time, to provide for the issuance of shares of Preferred</w:t>
            </w:r>
          </w:p>
        </w:tc>
      </w:tr>
      <w:tr>
        <w:trPr>
          <w:trHeight w:val="245"/>
        </w:trPr>
        <w:tc>
          <w:tcPr>
            <w:tcW w:w="1020" w:type="dxa"/>
            <w:vAlign w:val="bottom"/>
          </w:tcPr>
          <w:p>
            <w:pPr>
              <w:spacing w:after="0"/>
              <w:rPr>
                <w:sz w:val="21"/>
                <w:szCs w:val="21"/>
                <w:color w:val="auto"/>
              </w:rPr>
            </w:pP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Stock in one or more series, with such voting powers, full or limited, or without voting powers, and with such designations, preferences</w:t>
            </w:r>
          </w:p>
        </w:tc>
      </w:tr>
      <w:tr>
        <w:trPr>
          <w:trHeight w:val="233"/>
        </w:trPr>
        <w:tc>
          <w:tcPr>
            <w:tcW w:w="102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and relative, participating, optional or other special rights, and qualifications, limitations or restrictions thereof, as shall be stated and</w:t>
            </w:r>
          </w:p>
        </w:tc>
      </w:tr>
      <w:tr>
        <w:trPr>
          <w:trHeight w:val="245"/>
        </w:trPr>
        <w:tc>
          <w:tcPr>
            <w:tcW w:w="1020" w:type="dxa"/>
            <w:vAlign w:val="bottom"/>
          </w:tcPr>
          <w:p>
            <w:pPr>
              <w:spacing w:after="0"/>
              <w:rPr>
                <w:sz w:val="21"/>
                <w:szCs w:val="21"/>
                <w:color w:val="auto"/>
              </w:rPr>
            </w:pP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expressed in the resolutions providing for the issue thereof adopted by the Board of Directors, and as are not stated and expressed in</w:t>
            </w:r>
          </w:p>
        </w:tc>
      </w:tr>
      <w:tr>
        <w:trPr>
          <w:trHeight w:val="233"/>
        </w:trPr>
        <w:tc>
          <w:tcPr>
            <w:tcW w:w="102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these Articles of Incorporation, or any amendment thereto, including (but without limiting the generality of the foregoing) the</w:t>
            </w:r>
          </w:p>
        </w:tc>
      </w:tr>
      <w:tr>
        <w:trPr>
          <w:trHeight w:val="245"/>
        </w:trPr>
        <w:tc>
          <w:tcPr>
            <w:tcW w:w="1020" w:type="dxa"/>
            <w:vAlign w:val="bottom"/>
          </w:tcPr>
          <w:p>
            <w:pPr>
              <w:spacing w:after="0"/>
              <w:rPr>
                <w:sz w:val="21"/>
                <w:szCs w:val="21"/>
                <w:color w:val="auto"/>
              </w:rPr>
            </w:pPr>
          </w:p>
        </w:tc>
        <w:tc>
          <w:tcPr>
            <w:tcW w:w="10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following:</w:t>
            </w:r>
          </w:p>
        </w:tc>
      </w:tr>
      <w:tr>
        <w:trPr>
          <w:trHeight w:val="109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designation of and number of shares constituting such series;</w:t>
            </w:r>
          </w:p>
        </w:tc>
      </w:tr>
      <w:tr>
        <w:trPr>
          <w:trHeight w:val="111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dividend rate of such series, the conditions and dates upon which such dividends shall be payable, the preference or</w:t>
            </w:r>
          </w:p>
        </w:tc>
      </w:tr>
      <w:tr>
        <w:trPr>
          <w:trHeight w:val="233"/>
        </w:trPr>
        <w:tc>
          <w:tcPr>
            <w:tcW w:w="1020" w:type="dxa"/>
            <w:vAlign w:val="bottom"/>
          </w:tcPr>
          <w:p>
            <w:pPr>
              <w:spacing w:after="0"/>
              <w:rPr>
                <w:sz w:val="20"/>
                <w:szCs w:val="20"/>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relation which such dividends shall bear to the dividends payable on any other class or classes or of any other series of</w:t>
            </w:r>
          </w:p>
        </w:tc>
      </w:tr>
      <w:tr>
        <w:trPr>
          <w:trHeight w:val="245"/>
        </w:trPr>
        <w:tc>
          <w:tcPr>
            <w:tcW w:w="1020" w:type="dxa"/>
            <w:vAlign w:val="bottom"/>
          </w:tcPr>
          <w:p>
            <w:pPr>
              <w:spacing w:after="0"/>
              <w:rPr>
                <w:sz w:val="21"/>
                <w:szCs w:val="21"/>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capital stock, and whether such dividends shall be cumulative or non-cumulative;</w:t>
            </w:r>
          </w:p>
        </w:tc>
      </w:tr>
      <w:tr>
        <w:trPr>
          <w:trHeight w:val="109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whether the shares of such series shall be subject to redemption by this corporation, and, if made subject to such</w:t>
            </w:r>
          </w:p>
        </w:tc>
      </w:tr>
      <w:tr>
        <w:trPr>
          <w:trHeight w:val="245"/>
        </w:trPr>
        <w:tc>
          <w:tcPr>
            <w:tcW w:w="1020" w:type="dxa"/>
            <w:vAlign w:val="bottom"/>
          </w:tcPr>
          <w:p>
            <w:pPr>
              <w:spacing w:after="0"/>
              <w:rPr>
                <w:sz w:val="21"/>
                <w:szCs w:val="21"/>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redemption, the times, prices and other terms and conditions of such redemption;</w:t>
            </w:r>
          </w:p>
        </w:tc>
      </w:tr>
      <w:tr>
        <w:trPr>
          <w:trHeight w:val="109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terms and amounts of any sinking fund, if any, provided for the purchase or redemption of the shares of such series;</w:t>
            </w:r>
          </w:p>
        </w:tc>
      </w:tr>
      <w:tr>
        <w:trPr>
          <w:trHeight w:val="111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whether or not the shares of such series shall be convertible into or exchangeable for shares of any other class or classes or</w:t>
            </w:r>
          </w:p>
        </w:tc>
      </w:tr>
      <w:tr>
        <w:trPr>
          <w:trHeight w:val="233"/>
        </w:trPr>
        <w:tc>
          <w:tcPr>
            <w:tcW w:w="1020" w:type="dxa"/>
            <w:vAlign w:val="bottom"/>
          </w:tcPr>
          <w:p>
            <w:pPr>
              <w:spacing w:after="0"/>
              <w:rPr>
                <w:sz w:val="20"/>
                <w:szCs w:val="20"/>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of any other series of any class or classes of capital stock of this corporation, and, if provision be made for conversion or</w:t>
            </w:r>
          </w:p>
        </w:tc>
      </w:tr>
      <w:tr>
        <w:trPr>
          <w:trHeight w:val="245"/>
        </w:trPr>
        <w:tc>
          <w:tcPr>
            <w:tcW w:w="1020" w:type="dxa"/>
            <w:vAlign w:val="bottom"/>
          </w:tcPr>
          <w:p>
            <w:pPr>
              <w:spacing w:after="0"/>
              <w:rPr>
                <w:sz w:val="21"/>
                <w:szCs w:val="21"/>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exchange, the times, prices, rates, adjustments and other terms and conditions of such conversion or exchange;</w:t>
            </w:r>
          </w:p>
        </w:tc>
      </w:tr>
      <w:tr>
        <w:trPr>
          <w:trHeight w:val="109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extent, if any, to which the holders of the shares of such series shall be entitled to vote as a class or otherwise with</w:t>
            </w:r>
          </w:p>
        </w:tc>
      </w:tr>
      <w:tr>
        <w:trPr>
          <w:trHeight w:val="245"/>
        </w:trPr>
        <w:tc>
          <w:tcPr>
            <w:tcW w:w="1020" w:type="dxa"/>
            <w:vAlign w:val="bottom"/>
          </w:tcPr>
          <w:p>
            <w:pPr>
              <w:spacing w:after="0"/>
              <w:rPr>
                <w:sz w:val="21"/>
                <w:szCs w:val="21"/>
                <w:color w:val="auto"/>
              </w:rPr>
            </w:pPr>
          </w:p>
        </w:tc>
        <w:tc>
          <w:tcPr>
            <w:tcW w:w="101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respect to the election of the directors or otherwise;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140"/>
          </w:cols>
          <w:pgMar w:left="340" w:top="1440" w:right="419" w:bottom="1440" w:gutter="0" w:footer="0" w:header="0"/>
        </w:sectPr>
      </w:pPr>
    </w:p>
    <w:bookmarkStart w:id="107" w:name="page108"/>
    <w:bookmarkEnd w:id="107"/>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1008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restrictions, if any, on the issue or reissue of any additional Preferred Stock; and</w:t>
            </w:r>
          </w:p>
        </w:tc>
      </w:tr>
      <w:tr>
        <w:trPr>
          <w:trHeight w:val="111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1008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the rights of the holders of the shares of such series upon the dissolution of, or upon the distribution of assets of, this</w:t>
            </w:r>
          </w:p>
        </w:tc>
      </w:tr>
      <w:tr>
        <w:trPr>
          <w:trHeight w:val="245"/>
        </w:trPr>
        <w:tc>
          <w:tcPr>
            <w:tcW w:w="1020" w:type="dxa"/>
            <w:vAlign w:val="bottom"/>
          </w:tcPr>
          <w:p>
            <w:pPr>
              <w:spacing w:after="0"/>
              <w:rPr>
                <w:sz w:val="21"/>
                <w:szCs w:val="21"/>
                <w:color w:val="auto"/>
              </w:rPr>
            </w:pPr>
          </w:p>
        </w:tc>
        <w:tc>
          <w:tcPr>
            <w:tcW w:w="1008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corporation.</w:t>
            </w:r>
          </w:p>
        </w:tc>
      </w:tr>
      <w:tr>
        <w:trPr>
          <w:trHeight w:val="109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10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Except as otherwise required by law and except for such voting powers with respect to the election of directors or other matters as may</w:t>
            </w:r>
          </w:p>
        </w:tc>
      </w:tr>
      <w:tr>
        <w:trPr>
          <w:trHeight w:val="233"/>
        </w:trPr>
        <w:tc>
          <w:tcPr>
            <w:tcW w:w="1020" w:type="dxa"/>
            <w:vAlign w:val="bottom"/>
          </w:tcPr>
          <w:p>
            <w:pPr>
              <w:spacing w:after="0"/>
              <w:rPr>
                <w:sz w:val="20"/>
                <w:szCs w:val="20"/>
                <w:color w:val="auto"/>
              </w:rPr>
            </w:pPr>
          </w:p>
        </w:tc>
        <w:tc>
          <w:tcPr>
            <w:tcW w:w="10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be stated in the resolutions of the Board of Directors creating any series of Preferred Stock, the holder of any such series shall have no</w:t>
            </w:r>
          </w:p>
        </w:tc>
      </w:tr>
      <w:tr>
        <w:trPr>
          <w:trHeight w:val="245"/>
        </w:trPr>
        <w:tc>
          <w:tcPr>
            <w:tcW w:w="1020" w:type="dxa"/>
            <w:vAlign w:val="bottom"/>
          </w:tcPr>
          <w:p>
            <w:pPr>
              <w:spacing w:after="0"/>
              <w:rPr>
                <w:sz w:val="21"/>
                <w:szCs w:val="21"/>
                <w:color w:val="auto"/>
              </w:rPr>
            </w:pPr>
          </w:p>
        </w:tc>
        <w:tc>
          <w:tcPr>
            <w:tcW w:w="10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voting power whatsoever.</w:t>
            </w:r>
          </w:p>
        </w:tc>
      </w:tr>
    </w:tbl>
    <w:p>
      <w:pPr>
        <w:spacing w:after="0" w:line="200" w:lineRule="exact"/>
        <w:rPr>
          <w:sz w:val="20"/>
          <w:szCs w:val="20"/>
          <w:color w:val="auto"/>
        </w:rPr>
      </w:pPr>
    </w:p>
    <w:p>
      <w:pPr>
        <w:spacing w:after="0" w:line="352"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200" w:lineRule="exact"/>
        <w:rPr>
          <w:sz w:val="20"/>
          <w:szCs w:val="20"/>
          <w:color w:val="auto"/>
        </w:rPr>
      </w:pPr>
    </w:p>
    <w:p>
      <w:pPr>
        <w:spacing w:after="0" w:line="206" w:lineRule="exact"/>
        <w:rPr>
          <w:sz w:val="20"/>
          <w:szCs w:val="20"/>
          <w:color w:val="auto"/>
        </w:rPr>
      </w:pPr>
    </w:p>
    <w:p>
      <w:pPr>
        <w:ind w:right="60" w:firstLine="620"/>
        <w:spacing w:after="0" w:line="293" w:lineRule="auto"/>
        <w:rPr>
          <w:sz w:val="20"/>
          <w:szCs w:val="20"/>
          <w:color w:val="auto"/>
        </w:rPr>
      </w:pPr>
      <w:r>
        <w:rPr>
          <w:rFonts w:ascii="Times New Roman" w:cs="Times New Roman" w:eastAsia="Times New Roman" w:hAnsi="Times New Roman"/>
          <w:sz w:val="17"/>
          <w:szCs w:val="17"/>
          <w:b w:val="1"/>
          <w:bCs w:val="1"/>
          <w:color w:val="auto"/>
        </w:rPr>
        <w:t>SIXTH</w:t>
      </w:r>
      <w:r>
        <w:rPr>
          <w:rFonts w:ascii="Times New Roman" w:cs="Times New Roman" w:eastAsia="Times New Roman" w:hAnsi="Times New Roman"/>
          <w:sz w:val="17"/>
          <w:szCs w:val="17"/>
          <w:color w:val="auto"/>
        </w:rPr>
        <w:t>: That at the annual meeting of shareholders held on May 4, 2006, said amendments were duly adopted by a sufficient number of shareholders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Section 1003 of the Florida Statutes.</w:t>
      </w:r>
    </w:p>
    <w:p>
      <w:pPr>
        <w:spacing w:after="0" w:line="375" w:lineRule="exact"/>
        <w:rPr>
          <w:sz w:val="20"/>
          <w:szCs w:val="20"/>
          <w:color w:val="auto"/>
        </w:rPr>
      </w:pPr>
    </w:p>
    <w:p>
      <w:pPr>
        <w:ind w:right="320" w:firstLine="620"/>
        <w:spacing w:after="0" w:line="293" w:lineRule="auto"/>
        <w:rPr>
          <w:sz w:val="20"/>
          <w:szCs w:val="20"/>
          <w:color w:val="auto"/>
        </w:rPr>
      </w:pPr>
      <w:r>
        <w:rPr>
          <w:rFonts w:ascii="Times New Roman" w:cs="Times New Roman" w:eastAsia="Times New Roman" w:hAnsi="Times New Roman"/>
          <w:sz w:val="17"/>
          <w:szCs w:val="17"/>
          <w:b w:val="1"/>
          <w:bCs w:val="1"/>
          <w:color w:val="auto"/>
        </w:rPr>
        <w:t>SEVENTH</w:t>
      </w:r>
      <w:r>
        <w:rPr>
          <w:rFonts w:ascii="Times New Roman" w:cs="Times New Roman" w:eastAsia="Times New Roman" w:hAnsi="Times New Roman"/>
          <w:sz w:val="17"/>
          <w:szCs w:val="17"/>
          <w:color w:val="auto"/>
        </w:rPr>
        <w:t>: That these Articles of Amendment shall become effective at 4:59 p.m. eastern time on May 12, 2006, in accordance with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Florida Statutes.</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Ocwen Financial Corporation has caused this certificate to be signed by its Corporate Secretary this 12th day of May, 2006.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Ronald M. Faris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Ronald M. Faris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180"/>
          </w:cols>
          <w:pgMar w:left="320" w:top="1440" w:right="399" w:bottom="1440" w:gutter="0" w:footer="0" w:header="0"/>
        </w:sectPr>
      </w:pPr>
    </w:p>
    <w:bookmarkStart w:id="108" w:name="page109"/>
    <w:bookmarkEnd w:id="108"/>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Amendment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Ocwen Financial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Name of Corporation as currently filed with the Florida Dept. of State</w:t>
      </w:r>
      <w:r>
        <w:rPr>
          <w:rFonts w:ascii="Times New Roman" w:cs="Times New Roman" w:eastAsia="Times New Roman" w:hAnsi="Times New Roman"/>
          <w:sz w:val="17"/>
          <w:szCs w:val="17"/>
          <w:b w:val="1"/>
          <w:bCs w:val="1"/>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S75556</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 Number of Corporation (if known)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the provisions of section 607.1006, Florida Statutes, this </w:t>
      </w:r>
      <w:r>
        <w:rPr>
          <w:rFonts w:ascii="Times New Roman" w:cs="Times New Roman" w:eastAsia="Times New Roman" w:hAnsi="Times New Roman"/>
          <w:sz w:val="17"/>
          <w:szCs w:val="17"/>
          <w:b w:val="1"/>
          <w:bCs w:val="1"/>
          <w:i w:val="1"/>
          <w:iCs w:val="1"/>
          <w:color w:val="auto"/>
        </w:rPr>
        <w:t>Florida Profit Corporation</w:t>
      </w:r>
      <w:r>
        <w:rPr>
          <w:rFonts w:ascii="Times New Roman" w:cs="Times New Roman" w:eastAsia="Times New Roman" w:hAnsi="Times New Roman"/>
          <w:sz w:val="17"/>
          <w:szCs w:val="17"/>
          <w:color w:val="auto"/>
        </w:rPr>
        <w:t xml:space="preserve"> adopts the following amendment(s) to its Articles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w:t>
      </w:r>
    </w:p>
    <w:p>
      <w:pPr>
        <w:spacing w:after="0" w:line="200" w:lineRule="exact"/>
        <w:rPr>
          <w:sz w:val="20"/>
          <w:szCs w:val="20"/>
          <w:color w:val="auto"/>
        </w:rPr>
      </w:pPr>
    </w:p>
    <w:p>
      <w:pPr>
        <w:spacing w:after="0" w:line="282" w:lineRule="exact"/>
        <w:rPr>
          <w:sz w:val="20"/>
          <w:szCs w:val="20"/>
          <w:color w:val="auto"/>
        </w:rPr>
      </w:pPr>
    </w:p>
    <w:p>
      <w:pPr>
        <w:ind w:left="600" w:hanging="579"/>
        <w:spacing w:after="0"/>
        <w:tabs>
          <w:tab w:leader="none" w:pos="60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If amending name, enter the new name of the corporation</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______________________________________________________________ The new name must be distinguishable and contain the word “corporation,”</w:t>
      </w:r>
    </w:p>
    <w:p>
      <w:pPr>
        <w:spacing w:after="0" w:line="3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“company,” or “incorporated” or the abbreviation “Corp.,” “Inc.,” or Co.,” or the designation “Corp,” “Inc,” or “Co”. A professional corporation name must contain the word “chartered,” “professional association,” or the abbreviation “P.A.”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600" w:right="600" w:hanging="579"/>
        <w:spacing w:after="0" w:line="388" w:lineRule="auto"/>
        <w:tabs>
          <w:tab w:leader="none" w:pos="6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principal office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(Principal office address </w:t>
      </w:r>
      <w:r>
        <w:rPr>
          <w:rFonts w:ascii="Times New Roman" w:cs="Times New Roman" w:eastAsia="Times New Roman" w:hAnsi="Times New Roman"/>
          <w:sz w:val="17"/>
          <w:szCs w:val="17"/>
          <w:b w:val="1"/>
          <w:bCs w:val="1"/>
          <w:i w:val="1"/>
          <w:iCs w:val="1"/>
          <w:u w:val="single" w:color="auto"/>
          <w:color w:val="auto"/>
        </w:rPr>
        <w:t>MUST BE A STREET ADDRESS</w:t>
      </w:r>
      <w:r>
        <w:rPr>
          <w:rFonts w:ascii="Times New Roman" w:cs="Times New Roman" w:eastAsia="Times New Roman" w:hAnsi="Times New Roman"/>
          <w:sz w:val="17"/>
          <w:szCs w:val="17"/>
          <w:b w:val="1"/>
          <w:bCs w:val="1"/>
          <w:color w:val="auto"/>
        </w:rPr>
        <w:t>)</w:t>
      </w:r>
    </w:p>
    <w:p>
      <w:pPr>
        <w:spacing w:after="0" w:line="200" w:lineRule="exact"/>
        <w:rPr>
          <w:rFonts w:ascii="Times New Roman" w:cs="Times New Roman" w:eastAsia="Times New Roman" w:hAnsi="Times New Roman"/>
          <w:sz w:val="17"/>
          <w:szCs w:val="17"/>
          <w:b w:val="1"/>
          <w:bCs w:val="1"/>
          <w:color w:val="auto"/>
        </w:rPr>
      </w:pPr>
    </w:p>
    <w:p>
      <w:pPr>
        <w:spacing w:after="0" w:line="292" w:lineRule="exact"/>
        <w:rPr>
          <w:rFonts w:ascii="Times New Roman" w:cs="Times New Roman" w:eastAsia="Times New Roman" w:hAnsi="Times New Roman"/>
          <w:sz w:val="17"/>
          <w:szCs w:val="17"/>
          <w:b w:val="1"/>
          <w:bCs w:val="1"/>
          <w:color w:val="auto"/>
        </w:rPr>
      </w:pPr>
    </w:p>
    <w:p>
      <w:pPr>
        <w:ind w:left="600" w:right="1220" w:hanging="579"/>
        <w:spacing w:after="0" w:line="388" w:lineRule="auto"/>
        <w:tabs>
          <w:tab w:leader="none" w:pos="6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mailing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(Mailing address </w:t>
      </w:r>
      <w:r>
        <w:rPr>
          <w:rFonts w:ascii="Times New Roman" w:cs="Times New Roman" w:eastAsia="Times New Roman" w:hAnsi="Times New Roman"/>
          <w:sz w:val="17"/>
          <w:szCs w:val="17"/>
          <w:b w:val="1"/>
          <w:bCs w:val="1"/>
          <w:i w:val="1"/>
          <w:iCs w:val="1"/>
          <w:u w:val="single" w:color="auto"/>
          <w:color w:val="auto"/>
        </w:rPr>
        <w:t>MAY BE A POST OFFICE BOX</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2002 Summit Boulevard, Suite 600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GA 30319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320802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208020" cy="16510"/>
                    </a:xfrm>
                    <a:prstGeom prst="rect">
                      <a:avLst/>
                    </a:prstGeom>
                    <a:noFill/>
                  </pic:spPr>
                </pic:pic>
              </a:graphicData>
            </a:graphic>
          </wp:anchor>
        </w:drawing>
      </w:r>
    </w:p>
    <w:p>
      <w:pPr>
        <w:spacing w:after="0" w:line="1459" w:lineRule="exact"/>
        <w:rPr>
          <w:sz w:val="20"/>
          <w:szCs w:val="20"/>
          <w:color w:val="auto"/>
        </w:rPr>
      </w:pPr>
    </w:p>
    <w:p>
      <w:pPr>
        <w:sectPr>
          <w:pgSz w:w="11900" w:h="16838" w:orient="portrait"/>
          <w:cols w:equalWidth="0" w:num="2">
            <w:col w:w="5480" w:space="720"/>
            <w:col w:w="5040"/>
          </w:cols>
          <w:pgMar w:left="320" w:top="1440" w:right="339" w:bottom="1440" w:gutter="0" w:footer="0" w:header="0"/>
          <w:type w:val="continuous"/>
        </w:sectPr>
      </w:pPr>
    </w:p>
    <w:p>
      <w:pPr>
        <w:spacing w:after="0" w:line="253"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D. </w:t>
      </w:r>
      <w:r>
        <w:rPr>
          <w:rFonts w:ascii="Times New Roman" w:cs="Times New Roman" w:eastAsia="Times New Roman" w:hAnsi="Times New Roman"/>
          <w:sz w:val="17"/>
          <w:szCs w:val="17"/>
          <w:b w:val="1"/>
          <w:bCs w:val="1"/>
          <w:u w:val="single" w:color="auto"/>
          <w:color w:val="auto"/>
        </w:rPr>
        <w:t>If amending the registered agent and/or registered office address in Florida, enter the name of the new registered agent and/or the new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office address: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u w:val="single" w:color="auto"/>
          <w:color w:val="auto"/>
        </w:rPr>
        <w:t>Name of New Registered Agent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52705</wp:posOffset>
            </wp:positionV>
            <wp:extent cx="192786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927860" cy="16510"/>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u w:val="single" w:color="auto"/>
          <w:color w:val="auto"/>
        </w:rPr>
        <w:t>New Registered Office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52705</wp:posOffset>
            </wp:positionV>
            <wp:extent cx="192786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927860" cy="16510"/>
                    </a:xfrm>
                    <a:prstGeom prst="rect">
                      <a:avLst/>
                    </a:prstGeom>
                    <a:noFill/>
                  </pic:spPr>
                </pic:pic>
              </a:graphicData>
            </a:graphic>
          </wp:anchor>
        </w:drawing>
      </w:r>
    </w:p>
    <w:p>
      <w:pPr>
        <w:spacing w:after="0" w:line="1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i w:val="1"/>
          <w:iCs w:val="1"/>
          <w:color w:val="auto"/>
        </w:rPr>
        <w:t>(Florida street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spacing w:after="0" w:line="157" w:lineRule="exact"/>
        <w:rPr>
          <w:sz w:val="20"/>
          <w:szCs w:val="20"/>
          <w:color w:val="auto"/>
        </w:rPr>
      </w:pPr>
    </w:p>
    <w:p>
      <w:pPr>
        <w:ind w:left="6680"/>
        <w:spacing w:after="0"/>
        <w:tabs>
          <w:tab w:leader="none" w:pos="6920" w:val="left"/>
        </w:tabs>
        <w:rPr>
          <w:sz w:val="20"/>
          <w:szCs w:val="20"/>
          <w:color w:val="auto"/>
        </w:rPr>
      </w:pPr>
      <w:r>
        <w:rPr>
          <w:rFonts w:ascii="Times New Roman" w:cs="Times New Roman" w:eastAsia="Times New Roman" w:hAnsi="Times New Roman"/>
          <w:sz w:val="17"/>
          <w:szCs w:val="17"/>
          <w:color w:val="auto"/>
        </w:rPr>
        <w:t>,</w:t>
        <w:tab/>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41910</wp:posOffset>
            </wp:positionV>
            <wp:extent cx="479171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791710" cy="16510"/>
                    </a:xfrm>
                    <a:prstGeom prst="rect">
                      <a:avLst/>
                    </a:prstGeom>
                    <a:noFill/>
                  </pic:spPr>
                </pic:pic>
              </a:graphicData>
            </a:graphic>
          </wp:anchor>
        </w:drawing>
      </w:r>
    </w:p>
    <w:p>
      <w:pPr>
        <w:spacing w:after="0" w:line="91" w:lineRule="exact"/>
        <w:rPr>
          <w:sz w:val="20"/>
          <w:szCs w:val="20"/>
          <w:color w:val="auto"/>
        </w:rPr>
      </w:pPr>
    </w:p>
    <w:p>
      <w:pPr>
        <w:ind w:left="3720"/>
        <w:spacing w:after="0"/>
        <w:tabs>
          <w:tab w:leader="none" w:pos="8060" w:val="left"/>
        </w:tabs>
        <w:rPr>
          <w:sz w:val="20"/>
          <w:szCs w:val="20"/>
          <w:color w:val="auto"/>
        </w:rPr>
      </w:pPr>
      <w:r>
        <w:rPr>
          <w:rFonts w:ascii="Times New Roman" w:cs="Times New Roman" w:eastAsia="Times New Roman" w:hAnsi="Times New Roman"/>
          <w:sz w:val="17"/>
          <w:szCs w:val="17"/>
          <w:i w:val="1"/>
          <w:iCs w:val="1"/>
          <w:color w:val="auto"/>
        </w:rPr>
        <w:t>(City)</w:t>
      </w:r>
      <w:r>
        <w:rPr>
          <w:sz w:val="20"/>
          <w:szCs w:val="20"/>
          <w:color w:val="auto"/>
        </w:rPr>
        <w:tab/>
      </w:r>
      <w:r>
        <w:rPr>
          <w:rFonts w:ascii="Times New Roman" w:cs="Times New Roman" w:eastAsia="Times New Roman" w:hAnsi="Times New Roman"/>
          <w:sz w:val="17"/>
          <w:szCs w:val="17"/>
          <w:i w:val="1"/>
          <w:iCs w:val="1"/>
          <w:color w:val="auto"/>
        </w:rPr>
        <w:t>(Zip Code)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New Registered Agent’s Signature, if changing Registered Agent: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 hereby accept the appointment as registered agent.  I am familiar with and accept the obligations of the position.</w:t>
      </w:r>
    </w:p>
    <w:p>
      <w:pPr>
        <w:spacing w:after="0" w:line="39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i w:val="1"/>
          <w:iCs w:val="1"/>
          <w:color w:val="auto"/>
        </w:rPr>
        <w:t>Signature of New Registered Agent, if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If amending the Officers and/or Directors, enter the title and name of each officer/director being removed and title, name, and address of each Officer and/or Director being added: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 additional sheets, if necessary)</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2840" w:val="left"/>
          <w:tab w:leader="none" w:pos="5640" w:val="left"/>
          <w:tab w:leader="none" w:pos="844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Type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03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8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39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39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247015</wp:posOffset>
            </wp:positionV>
            <wp:extent cx="141922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419225" cy="1651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If amending or adding additional Articles, enter change(s) here</w:t>
      </w:r>
      <w:r>
        <w:rPr>
          <w:rFonts w:ascii="Times New Roman" w:cs="Times New Roman" w:eastAsia="Times New Roman" w:hAnsi="Times New Roman"/>
          <w:sz w:val="17"/>
          <w:szCs w:val="17"/>
          <w:u w:val="single" w:color="auto"/>
          <w:color w:val="auto"/>
        </w:rPr>
        <w:t>:</w:t>
      </w:r>
    </w:p>
    <w:p>
      <w:pPr>
        <w:spacing w:after="0" w:line="115"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ttach additional sheets, if necessary).</w:t>
      </w:r>
      <w:r>
        <w:rPr>
          <w:sz w:val="20"/>
          <w:szCs w:val="20"/>
          <w:color w:val="auto"/>
        </w:rPr>
        <w:tab/>
      </w:r>
      <w:r>
        <w:rPr>
          <w:rFonts w:ascii="Times New Roman" w:cs="Times New Roman" w:eastAsia="Times New Roman" w:hAnsi="Times New Roman"/>
          <w:sz w:val="17"/>
          <w:szCs w:val="17"/>
          <w:i w:val="1"/>
          <w:iCs w:val="1"/>
          <w:color w:val="auto"/>
        </w:rPr>
        <w:t>(Be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1250950</wp:posOffset>
            </wp:positionV>
            <wp:extent cx="713803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873125</wp:posOffset>
            </wp:positionV>
            <wp:extent cx="713803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495935</wp:posOffset>
            </wp:positionV>
            <wp:extent cx="71380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If an amendment provides for an exchange, reclassification, or cancellation of issued shares, provisions for implementing the amendment if not contained in the amendment itself:</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if not applicable, indicate N/A</w:t>
      </w:r>
      <w:r>
        <w:rPr>
          <w:rFonts w:ascii="Times New Roman" w:cs="Times New Roman" w:eastAsia="Times New Roman" w:hAnsi="Times New Roman"/>
          <w:sz w:val="17"/>
          <w:szCs w:val="17"/>
          <w:color w:val="auto"/>
        </w:rPr>
        <w: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8</w:t>
      </w:r>
    </w:p>
    <w:p>
      <w:pPr>
        <w:sectPr>
          <w:pgSz w:w="11900" w:h="16838" w:orient="portrait"/>
          <w:cols w:equalWidth="0" w:num="1">
            <w:col w:w="11220"/>
          </w:cols>
          <w:pgMar w:left="320" w:top="1440" w:right="359" w:bottom="1440" w:gutter="0" w:footer="0" w:header="0"/>
          <w:type w:val="continuous"/>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2148205</wp:posOffset>
            </wp:positionV>
            <wp:extent cx="713803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1771015</wp:posOffset>
            </wp:positionV>
            <wp:extent cx="713803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1393825</wp:posOffset>
            </wp:positionV>
            <wp:extent cx="713803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date of each amendment(s) adoption: </w:t>
      </w:r>
      <w:r>
        <w:rPr>
          <w:rFonts w:ascii="Times New Roman" w:cs="Times New Roman" w:eastAsia="Times New Roman" w:hAnsi="Times New Roman"/>
          <w:sz w:val="17"/>
          <w:szCs w:val="17"/>
          <w:color w:val="auto"/>
        </w:rPr>
        <w:t>July 29, 2010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Effective date if applicable: </w:t>
      </w:r>
      <w:r>
        <w:rPr>
          <w:rFonts w:ascii="Times New Roman" w:cs="Times New Roman" w:eastAsia="Times New Roman" w:hAnsi="Times New Roman"/>
          <w:sz w:val="17"/>
          <w:szCs w:val="17"/>
          <w:color w:val="auto"/>
        </w:rPr>
        <w:t>December 28, 2010</w:t>
      </w:r>
    </w:p>
    <w:p>
      <w:pPr>
        <w:spacing w:after="0" w:line="1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(no more than 90 days after amendment file date)</w:t>
      </w:r>
    </w:p>
    <w:p>
      <w:pPr>
        <w:spacing w:after="0" w:line="200" w:lineRule="exact"/>
        <w:rPr>
          <w:sz w:val="20"/>
          <w:szCs w:val="20"/>
          <w:color w:val="auto"/>
        </w:rPr>
      </w:pPr>
    </w:p>
    <w:p>
      <w:pPr>
        <w:spacing w:after="0" w:line="251"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7"/>
          <w:szCs w:val="17"/>
          <w:b w:val="1"/>
          <w:bCs w:val="1"/>
          <w:color w:val="auto"/>
        </w:rPr>
        <w:t>Adoption of Amendment(s)</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CHECK ONE</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 The amendment(s) was/were adopted by the shareholders. The number of votes cast for the amendment(s) by the shareholders was/were sufficient for approval.</w:t>
      </w:r>
    </w:p>
    <w:p>
      <w:pPr>
        <w:spacing w:after="0" w:line="200" w:lineRule="exact"/>
        <w:rPr>
          <w:sz w:val="20"/>
          <w:szCs w:val="20"/>
          <w:color w:val="auto"/>
        </w:rPr>
      </w:pPr>
    </w:p>
    <w:p>
      <w:pPr>
        <w:spacing w:after="0" w:line="247"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7"/>
          <w:szCs w:val="17"/>
          <w:color w:val="auto"/>
        </w:rPr>
        <w:t xml:space="preserve">o The amendment(s) was/were approved by the shareholders through voting groups. </w:t>
      </w:r>
      <w:r>
        <w:rPr>
          <w:rFonts w:ascii="Times New Roman" w:cs="Times New Roman" w:eastAsia="Times New Roman" w:hAnsi="Times New Roman"/>
          <w:sz w:val="17"/>
          <w:szCs w:val="17"/>
          <w:i w:val="1"/>
          <w:iCs w:val="1"/>
          <w:color w:val="auto"/>
        </w:rPr>
        <w:t>The following statement must be separately provided for each voting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entitled to vote separately on the amendment(s):</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number of votes cast for the amendment(s) was/were sufficient for approval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tabs>
          <w:tab w:leader="none" w:pos="50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41910</wp:posOffset>
            </wp:positionV>
            <wp:extent cx="255968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559685" cy="16510"/>
                    </a:xfrm>
                    <a:prstGeom prst="rect">
                      <a:avLst/>
                    </a:prstGeom>
                    <a:noFill/>
                  </pic:spPr>
                </pic:pic>
              </a:graphicData>
            </a:graphic>
          </wp:anchor>
        </w:drawing>
      </w:r>
    </w:p>
    <w:p>
      <w:pPr>
        <w:spacing w:after="0" w:line="7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i w:val="1"/>
          <w:iCs w:val="1"/>
          <w:color w:val="auto"/>
        </w:rPr>
        <w:t>(voting group)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The amendment(s) was/were adopted by the board of directors without shareholder action and shareholder action was not required.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 The amendment(s) was/were adopted by the incorporators without shareholder action and shareholder action was not required.</w:t>
      </w:r>
    </w:p>
    <w:p>
      <w:pPr>
        <w:spacing w:after="0" w:line="200" w:lineRule="exact"/>
        <w:rPr>
          <w:sz w:val="20"/>
          <w:szCs w:val="20"/>
          <w:color w:val="auto"/>
        </w:rPr>
      </w:pPr>
    </w:p>
    <w:p>
      <w:pPr>
        <w:spacing w:after="0" w:line="3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Dated: December 28, 2010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tabs>
          <w:tab w:leader="none" w:pos="250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41910</wp:posOffset>
            </wp:positionV>
            <wp:extent cx="554672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546725" cy="16510"/>
                    </a:xfrm>
                    <a:prstGeom prst="rect">
                      <a:avLst/>
                    </a:prstGeom>
                    <a:noFill/>
                  </pic:spPr>
                </pic:pic>
              </a:graphicData>
            </a:graphic>
          </wp:anchor>
        </w:drawing>
      </w:r>
    </w:p>
    <w:p>
      <w:pPr>
        <w:spacing w:after="0" w:line="95" w:lineRule="exact"/>
        <w:rPr>
          <w:sz w:val="20"/>
          <w:szCs w:val="20"/>
          <w:color w:val="auto"/>
        </w:rPr>
      </w:pPr>
    </w:p>
    <w:p>
      <w:pPr>
        <w:ind w:left="2520" w:right="120"/>
        <w:spacing w:after="0" w:line="319" w:lineRule="auto"/>
        <w:rPr>
          <w:sz w:val="20"/>
          <w:szCs w:val="20"/>
          <w:color w:val="auto"/>
        </w:rPr>
      </w:pPr>
      <w:r>
        <w:rPr>
          <w:rFonts w:ascii="Times New Roman" w:cs="Times New Roman" w:eastAsia="Times New Roman" w:hAnsi="Times New Roman"/>
          <w:sz w:val="17"/>
          <w:szCs w:val="17"/>
          <w:color w:val="auto"/>
        </w:rPr>
        <w:t>(By a director, president or other officer – if directors or officers have not been selected, by an incorporator – if in the hands of a receiver, trustee, or other court appointed fiduciary by that fiduciary)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9</w:t>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Ronald M. Faris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(Typed or printed name of person signing)</w:t>
      </w:r>
    </w:p>
    <w:p>
      <w:pPr>
        <w:spacing w:after="0" w:line="3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President and Chief Operating Officer</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10</w:t>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ARTICLES OF CORRECTION</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for</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 Number (if known): S75556</w:t>
      </w: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provisions of Section 607.0124 or 617.0124, Florida Statutes, this corporation files these Articles of Correction within 30 days of the file date of the document being corrected.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articles of correction correct the Articles of Amendment to Articles of Incorporation, filed with the Department of State on December 28, 2010.</w:t>
      </w:r>
    </w:p>
    <w:p>
      <w:pPr>
        <w:spacing w:after="0" w:line="200" w:lineRule="exact"/>
        <w:rPr>
          <w:sz w:val="20"/>
          <w:szCs w:val="20"/>
          <w:color w:val="auto"/>
        </w:rPr>
      </w:pPr>
    </w:p>
    <w:p>
      <w:pPr>
        <w:spacing w:after="0" w:line="251" w:lineRule="exact"/>
        <w:rPr>
          <w:sz w:val="20"/>
          <w:szCs w:val="20"/>
          <w:color w:val="auto"/>
        </w:rPr>
      </w:pPr>
    </w:p>
    <w:p>
      <w:pPr>
        <w:ind w:right="1280"/>
        <w:spacing w:after="0" w:line="288" w:lineRule="auto"/>
        <w:rPr>
          <w:sz w:val="20"/>
          <w:szCs w:val="20"/>
          <w:color w:val="auto"/>
        </w:rPr>
      </w:pPr>
      <w:r>
        <w:rPr>
          <w:rFonts w:ascii="Times New Roman" w:cs="Times New Roman" w:eastAsia="Times New Roman" w:hAnsi="Times New Roman"/>
          <w:sz w:val="17"/>
          <w:szCs w:val="17"/>
          <w:color w:val="auto"/>
        </w:rPr>
        <w:t>Specify the inaccuracy, incorrect statement, or defect: The effective date of the Articles of Amendment to Articles of Incorporation of Ocwen Financial Corporation was incorrectly stated as December 28, 2010.</w:t>
      </w:r>
    </w:p>
    <w:p>
      <w:pPr>
        <w:spacing w:after="0" w:line="384"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Correct the inaccuracy, incorrect statement, or defect: The effective date of the Articles of Amendment to Articles of Incorporation of Ocwen Financial Corporation is January 1, 2011.</w:t>
      </w:r>
    </w:p>
    <w:p>
      <w:pPr>
        <w:spacing w:after="0" w:line="200" w:lineRule="exact"/>
        <w:rPr>
          <w:sz w:val="20"/>
          <w:szCs w:val="20"/>
          <w:color w:val="auto"/>
        </w:rPr>
      </w:pPr>
    </w:p>
    <w:p>
      <w:pPr>
        <w:spacing w:after="0" w:line="2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Kristen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36830</wp:posOffset>
            </wp:positionV>
            <wp:extent cx="299466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994660" cy="16510"/>
                    </a:xfrm>
                    <a:prstGeom prst="rect">
                      <a:avLst/>
                    </a:prstGeom>
                    <a:noFill/>
                  </pic:spPr>
                </pic:pic>
              </a:graphicData>
            </a:graphic>
          </wp:anchor>
        </w:drawing>
      </w:r>
    </w:p>
    <w:p>
      <w:pPr>
        <w:spacing w:after="0" w:line="8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(Signature of a director, president or other officer – if directors or</w:t>
      </w:r>
    </w:p>
    <w:p>
      <w:pPr>
        <w:spacing w:after="0" w:line="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officers have not been selected, by an incorporator - if in the hands</w:t>
      </w:r>
    </w:p>
    <w:p>
      <w:pPr>
        <w:spacing w:after="0" w:line="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of the receiver, trustee, or other court appointed fiduciary, by that</w:t>
      </w:r>
    </w:p>
    <w:p>
      <w:pPr>
        <w:spacing w:after="0" w:line="2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fiduciary.)</w:t>
      </w:r>
    </w:p>
    <w:p>
      <w:pPr>
        <w:spacing w:after="0" w:line="3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Kristen Wagner</w:t>
      </w:r>
    </w:p>
    <w:p>
      <w:pPr>
        <w:spacing w:after="0" w:line="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(Typed or printed name of person signing)</w:t>
      </w:r>
    </w:p>
    <w:p>
      <w:pPr>
        <w:spacing w:after="0" w:line="3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Assistant Secretary</w:t>
      </w:r>
    </w:p>
    <w:p>
      <w:pPr>
        <w:spacing w:after="0" w:line="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Calibri" w:cs="Calibri" w:eastAsia="Calibri" w:hAnsi="Calibri"/>
          <w:sz w:val="19"/>
          <w:szCs w:val="19"/>
          <w:color w:val="auto"/>
        </w:rPr>
        <w:t>11</w:t>
      </w:r>
    </w:p>
    <w:p>
      <w:pPr>
        <w:sectPr>
          <w:pgSz w:w="11900" w:h="16838" w:orient="portrait"/>
          <w:cols w:equalWidth="0" w:num="1">
            <w:col w:w="11020"/>
          </w:cols>
          <w:pgMar w:left="320" w:top="1440" w:right="559" w:bottom="1440" w:gutter="0" w:footer="0" w:header="0"/>
        </w:sectPr>
      </w:pPr>
    </w:p>
    <w:bookmarkStart w:id="113" w:name="page114"/>
    <w:bookmarkEnd w:id="113"/>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AMENDMENT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ARTICLES OF INCORPORATION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DESIGNATION, PREFERENCES, AND RIGHTS 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SERIES A PERPETUAL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468630</wp:posOffset>
            </wp:positionV>
            <wp:extent cx="7138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Sections 607.0602 and 607.1006</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468630</wp:posOffset>
            </wp:positionV>
            <wp:extent cx="71380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auto"/>
        </w:rPr>
        <w:t>Ocwen Financial Corporation, a Florida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certifies that pursuant to the authority contained in its Amended and Restated Articles of Incorporation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and in accordance with the provisions of Sections 607.0602 and 607.1006 of the Florida Business Corporation Act, the Board of Directors of the Company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at a meeting duly called and held on October 2, 2012 duly approved and adopted the following resolution, which resolution remains in full force and effect on the date hereof:</w:t>
      </w:r>
    </w:p>
    <w:p>
      <w:pPr>
        <w:spacing w:after="0" w:line="67" w:lineRule="exact"/>
        <w:rPr>
          <w:sz w:val="20"/>
          <w:szCs w:val="20"/>
          <w:color w:val="auto"/>
        </w:rPr>
      </w:pPr>
    </w:p>
    <w:p>
      <w:pPr>
        <w:jc w:val="both"/>
        <w:ind w:firstLine="422"/>
        <w:spacing w:after="0" w:line="263"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of Directors by the Articles of Incorporation, the Board of Directors does hereby designate, create, authorize and provide for the issue of a series of preferred stock having a par value of $0.01 per share, with a liquidation preference of $1,000 per share (the “</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which shall be designated as Series A Perpetual Convertible Preferred Stock, consisting of Two Hundred Thousand (200,000) shares having the following voting powers, preferences and relative, participating, optional and other special rights, and qualifications, limitations and restrictions:</w:t>
      </w:r>
    </w:p>
    <w:p>
      <w:pPr>
        <w:spacing w:after="0" w:line="280" w:lineRule="exact"/>
        <w:rPr>
          <w:sz w:val="20"/>
          <w:szCs w:val="20"/>
          <w:color w:val="auto"/>
        </w:rPr>
      </w:pPr>
    </w:p>
    <w:p>
      <w:pPr>
        <w:jc w:val="both"/>
        <w:ind w:firstLine="425"/>
        <w:spacing w:after="0" w:line="265" w:lineRule="auto"/>
        <w:tabs>
          <w:tab w:leader="none" w:pos="60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 of Shares</w:t>
      </w:r>
      <w:r>
        <w:rPr>
          <w:rFonts w:ascii="Times New Roman" w:cs="Times New Roman" w:eastAsia="Times New Roman" w:hAnsi="Times New Roman"/>
          <w:sz w:val="17"/>
          <w:szCs w:val="17"/>
          <w:color w:val="auto"/>
        </w:rPr>
        <w:t>. The series of preferred stock shall be designated as “Series A Perpetual Convertible Preferred Stock”, with a par value of $0.01 per share (the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and the number of shares so authorized and designated shall be Two Hundred Thousand (200,000). At all times the Company will have sufficient shares authorized and will take all actions necessary to authorize additional shares if required, in each case, to meet its obligations hereunder.</w:t>
      </w:r>
    </w:p>
    <w:p>
      <w:pPr>
        <w:spacing w:after="0" w:line="66" w:lineRule="exact"/>
        <w:rPr>
          <w:rFonts w:ascii="Times New Roman" w:cs="Times New Roman" w:eastAsia="Times New Roman" w:hAnsi="Times New Roman"/>
          <w:sz w:val="17"/>
          <w:szCs w:val="17"/>
          <w:color w:val="auto"/>
        </w:rPr>
      </w:pPr>
    </w:p>
    <w:p>
      <w:pPr>
        <w:jc w:val="both"/>
        <w:ind w:firstLine="425"/>
        <w:spacing w:after="0" w:line="257" w:lineRule="auto"/>
        <w:tabs>
          <w:tab w:leader="none" w:pos="60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 The Series A Preferred Stock shall, with respect to payment of dividends, redemption and distributions upon the liquidation, winding-up and dissolution of the Company, rank (i) senior to all classes of Common Stock of the Company and to each other class of capital stock or series of preferred stock established after the date hereof by the Board of Directors, the terms of which do not expressly provide that it ranks senior to or on a parity with the Series A Preferred Stock as to dividends, redemptions and distributions upon the liquidation, winding-up and dissolution of the Company (collectively referred to with the Common Stock of the Company as “</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(ii) on a parity with any additional shares of Series A Preferred Stock issued by the Company in the future (subject to compliance with Section 8) and any other class of capital stock or series of preferred stock issued by the Company, the terms of which expressly provide that such class or series will rank on a parity with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7"/>
          <w:szCs w:val="17"/>
          <w:u w:val="single" w:color="auto"/>
          <w:color w:val="auto"/>
        </w:rPr>
        <w:t>Parity Securities</w:t>
      </w:r>
      <w:r>
        <w:rPr>
          <w:rFonts w:ascii="Times New Roman" w:cs="Times New Roman" w:eastAsia="Times New Roman" w:hAnsi="Times New Roman"/>
          <w:sz w:val="17"/>
          <w:szCs w:val="17"/>
          <w:color w:val="auto"/>
        </w:rPr>
        <w:t>”); and (iii) junior to each class of capital stock or series of preferred stock issued by the Company (subject to compliance with Section 8), the terms of which expressly provide that such class or series will rank senior to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7"/>
          <w:szCs w:val="17"/>
          <w:u w:val="single" w:color="auto"/>
          <w:color w:val="auto"/>
        </w:rPr>
        <w:t>Senior Securities</w:t>
      </w:r>
      <w:r>
        <w:rPr>
          <w:rFonts w:ascii="Times New Roman" w:cs="Times New Roman" w:eastAsia="Times New Roman" w:hAnsi="Times New Roman"/>
          <w:sz w:val="17"/>
          <w:szCs w:val="17"/>
          <w:color w:val="auto"/>
        </w:rPr>
        <w:t>”). For the avoidance of doubt, 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security shall not be deemed a Parity Security unless the dividend is payable in kind when the dividend of the Series A Preferred Stock is paid in kind, and a security shall not be deemed not to be a Parity Security solely because the dividend on such security has a coupon equal to or greater than the Series A Preferred Stock.</w:t>
      </w:r>
    </w:p>
    <w:p>
      <w:pPr>
        <w:spacing w:after="0" w:line="266" w:lineRule="exact"/>
        <w:rPr>
          <w:sz w:val="20"/>
          <w:szCs w:val="20"/>
          <w:color w:val="auto"/>
        </w:rPr>
      </w:pPr>
    </w:p>
    <w:p>
      <w:pPr>
        <w:ind w:left="600" w:hanging="175"/>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Holders of Series A Preferred Stock shall be entitled to receive, to the fullest extent permitted by law, mandatory and cumulative dividends payable quarterly in arrears with respect to each dividend period ending on and including the last calendar day of each quarter ending December 31, March 31, June 30 and September 30, respectively (each such period, a “</w:t>
      </w:r>
      <w:r>
        <w:rPr>
          <w:rFonts w:ascii="Times New Roman" w:cs="Times New Roman" w:eastAsia="Times New Roman" w:hAnsi="Times New Roman"/>
          <w:sz w:val="17"/>
          <w:szCs w:val="17"/>
          <w:u w:val="single" w:color="auto"/>
          <w:color w:val="auto"/>
        </w:rPr>
        <w:t>Dividend Period</w:t>
      </w:r>
      <w:r>
        <w:rPr>
          <w:rFonts w:ascii="Times New Roman" w:cs="Times New Roman" w:eastAsia="Times New Roman" w:hAnsi="Times New Roman"/>
          <w:sz w:val="17"/>
          <w:szCs w:val="17"/>
          <w:color w:val="auto"/>
        </w:rPr>
        <w:t>” and each such date, a “</w:t>
      </w:r>
      <w:r>
        <w:rPr>
          <w:rFonts w:ascii="Times New Roman" w:cs="Times New Roman" w:eastAsia="Times New Roman" w:hAnsi="Times New Roman"/>
          <w:sz w:val="17"/>
          <w:szCs w:val="17"/>
          <w:u w:val="single" w:color="auto"/>
          <w:color w:val="auto"/>
        </w:rPr>
        <w:t>Dividend Payment Date</w:t>
      </w:r>
      <w:r>
        <w:rPr>
          <w:rFonts w:ascii="Times New Roman" w:cs="Times New Roman" w:eastAsia="Times New Roman" w:hAnsi="Times New Roman"/>
          <w:sz w:val="17"/>
          <w:szCs w:val="17"/>
          <w:color w:val="auto"/>
        </w:rPr>
        <w:t xml:space="preserve">”), at the rate per share equal to the greater of (x) 3.75% per annum multiplied by the Liquidation Preference and (y) in the event the Company pays a regular quarterly dividend on its Common Stock in such quarter, the rate per share payable in respect of such quarterly dividend (treating each holder of shares of Series A Preferred Stock as being the holder of the number of shares of Common Stock into which such holder’s shares would be converted if such shares were converted pursuant to the provisions of Section 5 hereof as of the record date for the determination of holders of Common Stock entitled to receive such dividend);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initial Dividend Period will commence on the Series A Preferred Stock Issue Date and end on the second Dividend Payment Date thereafter. The record date for payment of quarterly dividends on the Series A Preferred Stock will be the 15th day of the calendar month of the applicable Dividend Payment Date, whether or not such date is a Trading Day. If any Dividend Payment Date is not a Trading Day, the applicable payment shall be due on the next succeeding Trading Day.</w:t>
      </w:r>
    </w:p>
    <w:p>
      <w:pPr>
        <w:spacing w:after="0" w:line="77" w:lineRule="exact"/>
        <w:rPr>
          <w:sz w:val="20"/>
          <w:szCs w:val="20"/>
          <w:color w:val="auto"/>
        </w:rPr>
      </w:pPr>
    </w:p>
    <w:p>
      <w:pPr>
        <w:jc w:val="both"/>
        <w:ind w:firstLine="425"/>
        <w:spacing w:after="0" w:line="258" w:lineRule="auto"/>
        <w:tabs>
          <w:tab w:leader="none" w:pos="666"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Dividends</w:t>
      </w:r>
      <w:r>
        <w:rPr>
          <w:rFonts w:ascii="Times New Roman" w:cs="Times New Roman" w:eastAsia="Times New Roman" w:hAnsi="Times New Roman"/>
          <w:sz w:val="17"/>
          <w:szCs w:val="17"/>
          <w:color w:val="auto"/>
        </w:rPr>
        <w:t>. If and to the extent the Company intends to pay any dividend or make a distribution on shares of Common Stock (whether or not in the form of cash, but excluding any dividend which results in an adjustment to the Conversion Price as described below) other than a dividend as provided in 3(a) above (a “</w:t>
      </w:r>
      <w:r>
        <w:rPr>
          <w:rFonts w:ascii="Times New Roman" w:cs="Times New Roman" w:eastAsia="Times New Roman" w:hAnsi="Times New Roman"/>
          <w:sz w:val="17"/>
          <w:szCs w:val="17"/>
          <w:u w:val="single" w:color="auto"/>
          <w:color w:val="auto"/>
        </w:rPr>
        <w:t>Special Dividend</w:t>
      </w:r>
      <w:r>
        <w:rPr>
          <w:rFonts w:ascii="Times New Roman" w:cs="Times New Roman" w:eastAsia="Times New Roman" w:hAnsi="Times New Roman"/>
          <w:sz w:val="17"/>
          <w:szCs w:val="17"/>
          <w:color w:val="auto"/>
        </w:rPr>
        <w:t xml:space="preserve">”), then any such dividend shall be payable to the holders of shares of Common Stock and Series A Preferred Stock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pro rata basis (treating each holder of shares of Series A Preferred Stock as being the holder of the number of shares of Common Stock into which such holder’s shares of Series A Preferred Stock had been converted if such shares were converted pursuant to the provisions of Section 5 hereof as of the record date for the determination of holders of Common Stock entitled to receive such dividend). The record date for payment of any Special Dividend will be the same date as the record date for payment of the Special Dividend to holders of Common Stock, whether or not such date is a Trading Day. The payment date of any Special Dividend will be the same date on which payment of such dividend is made to holders of Common Stock (“</w:t>
      </w:r>
      <w:r>
        <w:rPr>
          <w:rFonts w:ascii="Times New Roman" w:cs="Times New Roman" w:eastAsia="Times New Roman" w:hAnsi="Times New Roman"/>
          <w:sz w:val="17"/>
          <w:szCs w:val="17"/>
          <w:u w:val="single" w:color="auto"/>
          <w:color w:val="auto"/>
        </w:rPr>
        <w:t>Special Dividend Payment Date</w:t>
      </w:r>
      <w:r>
        <w:rPr>
          <w:rFonts w:ascii="Times New Roman" w:cs="Times New Roman" w:eastAsia="Times New Roman" w:hAnsi="Times New Roman"/>
          <w:sz w:val="17"/>
          <w:szCs w:val="17"/>
          <w:color w:val="auto"/>
        </w:rPr>
        <w:t>”).</w:t>
      </w:r>
    </w:p>
    <w:p>
      <w:pPr>
        <w:spacing w:after="0" w:line="386" w:lineRule="exact"/>
        <w:rPr>
          <w:rFonts w:ascii="Times New Roman" w:cs="Times New Roman" w:eastAsia="Times New Roman" w:hAnsi="Times New Roman"/>
          <w:sz w:val="17"/>
          <w:szCs w:val="17"/>
          <w:color w:val="auto"/>
        </w:rPr>
      </w:pPr>
    </w:p>
    <w:p>
      <w:pPr>
        <w:jc w:val="both"/>
        <w:ind w:firstLine="425"/>
        <w:spacing w:after="0" w:line="260" w:lineRule="auto"/>
        <w:tabs>
          <w:tab w:leader="none" w:pos="66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Ability to Pay Dividends in Cash or Kind</w:t>
      </w:r>
      <w:r>
        <w:rPr>
          <w:rFonts w:ascii="Times New Roman" w:cs="Times New Roman" w:eastAsia="Times New Roman" w:hAnsi="Times New Roman"/>
          <w:sz w:val="17"/>
          <w:szCs w:val="17"/>
          <w:color w:val="auto"/>
        </w:rPr>
        <w:t>. Dividends shall be paid in full, in cash (“</w:t>
      </w:r>
      <w:r>
        <w:rPr>
          <w:rFonts w:ascii="Times New Roman" w:cs="Times New Roman" w:eastAsia="Times New Roman" w:hAnsi="Times New Roman"/>
          <w:sz w:val="17"/>
          <w:szCs w:val="17"/>
          <w:u w:val="single" w:color="auto"/>
          <w:color w:val="auto"/>
        </w:rPr>
        <w:t>Cash Dividend</w:t>
      </w:r>
      <w:r>
        <w:rPr>
          <w:rFonts w:ascii="Times New Roman" w:cs="Times New Roman" w:eastAsia="Times New Roman" w:hAnsi="Times New Roman"/>
          <w:sz w:val="17"/>
          <w:szCs w:val="17"/>
          <w:color w:val="auto"/>
        </w:rPr>
        <w:t>”) for each Dividend Period on the applicable Dividend Payment Date; provided, that at the Company’s option, the Company may pay all or any percentage of the dividends contemplated by paragraphs (a) and (b) above in cash or additional shares of Series A Preferred Stock (“</w:t>
      </w:r>
      <w:r>
        <w:rPr>
          <w:rFonts w:ascii="Times New Roman" w:cs="Times New Roman" w:eastAsia="Times New Roman" w:hAnsi="Times New Roman"/>
          <w:sz w:val="17"/>
          <w:szCs w:val="17"/>
          <w:u w:val="single" w:color="auto"/>
          <w:color w:val="auto"/>
        </w:rPr>
        <w:t>PIK Dividends</w:t>
      </w:r>
      <w:r>
        <w:rPr>
          <w:rFonts w:ascii="Times New Roman" w:cs="Times New Roman" w:eastAsia="Times New Roman" w:hAnsi="Times New Roman"/>
          <w:sz w:val="17"/>
          <w:szCs w:val="17"/>
          <w:color w:val="auto"/>
        </w:rPr>
        <w:t>”). The Company shall provide the holders with at least five</w:t>
      </w:r>
    </w:p>
    <w:p>
      <w:pPr>
        <w:spacing w:after="0" w:line="1" w:lineRule="exact"/>
        <w:rPr>
          <w:rFonts w:ascii="Times New Roman" w:cs="Times New Roman" w:eastAsia="Times New Roman" w:hAnsi="Times New Roman"/>
          <w:sz w:val="17"/>
          <w:szCs w:val="17"/>
          <w:color w:val="auto"/>
        </w:rPr>
      </w:pPr>
    </w:p>
    <w:p>
      <w:pPr>
        <w:jc w:val="both"/>
        <w:ind w:firstLine="3"/>
        <w:spacing w:after="0" w:line="256" w:lineRule="auto"/>
        <w:tabs>
          <w:tab w:leader="none" w:pos="25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notice of its election to pay all or any percentage of such dividend in shares of Series A Preferred Stock (the Company may indicate in such notice that the election contained in such notice shall continue for later periods until revised by a subsequent notice). If and to the extent that the Company does not for any reason pay the entire dividend payable for a particular Dividend Period either as a Cash Dividend, or a combination of Cash Dividend and PIK Dividend, on the applicable Dividend Payment Date for such period (whether or not the payment of dividends is permitted under applicable law or such dividends are declared by the Board of Directors of the Company), such unpaid dividends shall be paid in kind by issuance of additional Series A Preferred Stock (the “</w:t>
      </w:r>
      <w:r>
        <w:rPr>
          <w:rFonts w:ascii="Times New Roman" w:cs="Times New Roman" w:eastAsia="Times New Roman" w:hAnsi="Times New Roman"/>
          <w:sz w:val="17"/>
          <w:szCs w:val="17"/>
          <w:u w:val="single" w:color="auto"/>
          <w:color w:val="auto"/>
        </w:rPr>
        <w:t>Additional PIK Dividends</w:t>
      </w:r>
      <w:r>
        <w:rPr>
          <w:rFonts w:ascii="Times New Roman" w:cs="Times New Roman" w:eastAsia="Times New Roman" w:hAnsi="Times New Roman"/>
          <w:sz w:val="17"/>
          <w:szCs w:val="17"/>
          <w:color w:val="auto"/>
        </w:rPr>
        <w:t>”) to the holders of the Series A Preferred Stock as of the record date for the applicable Dividend Payment Date, on the first date on which such Additional PIK Dividend can be paid in accordance with applicable law.</w:t>
      </w:r>
    </w:p>
    <w:p>
      <w:pPr>
        <w:spacing w:after="0" w:line="74" w:lineRule="exact"/>
        <w:rPr>
          <w:rFonts w:ascii="Times New Roman" w:cs="Times New Roman" w:eastAsia="Times New Roman" w:hAnsi="Times New Roman"/>
          <w:sz w:val="17"/>
          <w:szCs w:val="17"/>
          <w:color w:val="auto"/>
        </w:rPr>
      </w:pPr>
    </w:p>
    <w:p>
      <w:pPr>
        <w:ind w:left="680" w:hanging="255"/>
        <w:spacing w:after="0"/>
        <w:tabs>
          <w:tab w:leader="none" w:pos="68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Calculations</w:t>
      </w:r>
      <w:r>
        <w:rPr>
          <w:rFonts w:ascii="Times New Roman" w:cs="Times New Roman" w:eastAsia="Times New Roman" w:hAnsi="Times New Roman"/>
          <w:sz w:val="17"/>
          <w:szCs w:val="17"/>
          <w:color w:val="auto"/>
        </w:rPr>
        <w:t>. Dividends on the Series A Preferred Stock shall be calculated on the basis of a 360-day year, consisting of twelve (12), thirty</w:t>
      </w:r>
    </w:p>
    <w:p>
      <w:pPr>
        <w:spacing w:after="0" w:line="27" w:lineRule="exact"/>
        <w:rPr>
          <w:rFonts w:ascii="Times New Roman" w:cs="Times New Roman" w:eastAsia="Times New Roman" w:hAnsi="Times New Roman"/>
          <w:sz w:val="17"/>
          <w:szCs w:val="17"/>
          <w:color w:val="auto"/>
        </w:rPr>
      </w:pPr>
    </w:p>
    <w:p>
      <w:pPr>
        <w:jc w:val="both"/>
        <w:ind w:firstLine="3"/>
        <w:spacing w:after="0" w:line="258" w:lineRule="auto"/>
        <w:tabs>
          <w:tab w:leader="none" w:pos="3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 periods, and shall accrue daily commencing on the Series A Preferred Stock Issue Date, and shall be deemed to accrue from such date whether or not earned or declared and whether or not there are profits, surplus or other funds of the Company legally available for the payment of dividends. Except as otherwise provided herein, if at any time the Company pays dividends partially in cash and partially in shares of Series A Preferred Stock, then such payment shall be distributed ratably among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holders of Series A Preferred Stock based upon the number of shares of Series A Preferred Stock held by each such holder on such Dividend Payment Date or Special Dividend Payment Date, as applicable. When a dividend or part thereof is paid in additional shares of Series A Preferred Stock, such number of additional shares shall be calculated by dividing the amount of such dividend or part thereof that would otherwise be paid in cash by the Liquidation Preference of a share of Series A Preferred Stock. For purposes of determining whether funds are legally available for any dividends pursuant to this Section 3, the assets of the Company shall, to the fullest extent permitted by law, be valued at the highest amount permissible under applicable law.</w:t>
      </w:r>
    </w:p>
    <w:p>
      <w:pPr>
        <w:spacing w:after="0" w:line="70" w:lineRule="exact"/>
        <w:rPr>
          <w:sz w:val="20"/>
          <w:szCs w:val="20"/>
          <w:color w:val="auto"/>
        </w:rPr>
      </w:pPr>
    </w:p>
    <w:p>
      <w:pPr>
        <w:jc w:val="both"/>
        <w:ind w:firstLine="425"/>
        <w:spacing w:after="0" w:line="260" w:lineRule="auto"/>
        <w:tabs>
          <w:tab w:leader="none" w:pos="656"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Prior to or Following a Record Date</w:t>
      </w:r>
      <w:r>
        <w:rPr>
          <w:rFonts w:ascii="Times New Roman" w:cs="Times New Roman" w:eastAsia="Times New Roman" w:hAnsi="Times New Roman"/>
          <w:sz w:val="17"/>
          <w:szCs w:val="17"/>
          <w:color w:val="auto"/>
        </w:rPr>
        <w:t>. If the Conversion Date for any shares of Series A Preferred Stock is prior to the close of business on the record date for a dividend as provided in paragraphs (a) or (b) above, the holder of such shares shall not be entitled to any dividend in respect of such record date. If the Conversion Date for any shares of Series A Preferred Stock is after the close of business on the record date for a dividend as provided in paragraphs (a) or</w:t>
      </w:r>
    </w:p>
    <w:p>
      <w:pPr>
        <w:spacing w:after="0" w:line="1" w:lineRule="exact"/>
        <w:rPr>
          <w:rFonts w:ascii="Times New Roman" w:cs="Times New Roman" w:eastAsia="Times New Roman" w:hAnsi="Times New Roman"/>
          <w:sz w:val="17"/>
          <w:szCs w:val="17"/>
          <w:color w:val="auto"/>
        </w:rPr>
      </w:pPr>
    </w:p>
    <w:p>
      <w:pPr>
        <w:jc w:val="both"/>
        <w:ind w:firstLine="3"/>
        <w:spacing w:after="0" w:line="260" w:lineRule="auto"/>
        <w:tabs>
          <w:tab w:leader="none" w:pos="25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but prior to the corresponding Dividend Payment Date or Special Dividend Payment Date, as applicable, the holder of such shares as of the applicable record date shall be entitled to receive such dividend, notwithstanding the conversion of such shares prior to the applicable Dividend Payment Date or Special Dividend Payment Date, as applicable.</w:t>
      </w:r>
    </w:p>
    <w:p>
      <w:pPr>
        <w:spacing w:after="0" w:line="382" w:lineRule="exact"/>
        <w:rPr>
          <w:sz w:val="20"/>
          <w:szCs w:val="20"/>
          <w:color w:val="auto"/>
        </w:rPr>
      </w:pPr>
    </w:p>
    <w:p>
      <w:pPr>
        <w:ind w:firstLine="425"/>
        <w:spacing w:after="0" w:line="288" w:lineRule="auto"/>
        <w:tabs>
          <w:tab w:leader="none" w:pos="60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holders of shares of Series A Preferred Stock shall only be permitted to Transfer such shares of Series A Preferred Stock to a Permitted Transferee.</w:t>
      </w:r>
    </w:p>
    <w:p>
      <w:pPr>
        <w:spacing w:after="0" w:line="47" w:lineRule="exact"/>
        <w:rPr>
          <w:rFonts w:ascii="Times New Roman" w:cs="Times New Roman" w:eastAsia="Times New Roman" w:hAnsi="Times New Roman"/>
          <w:sz w:val="17"/>
          <w:szCs w:val="17"/>
          <w:color w:val="auto"/>
        </w:rPr>
      </w:pPr>
    </w:p>
    <w:p>
      <w:pPr>
        <w:ind w:left="600" w:hanging="175"/>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Rights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jc w:val="both"/>
        <w:ind w:firstLine="425"/>
        <w:spacing w:after="0" w:line="259" w:lineRule="auto"/>
        <w:tabs>
          <w:tab w:leader="none" w:pos="66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option of the holder, each share of Series A Preferred Stock may be converted into Common Stock at any time, unless previously redeemed (the “</w:t>
      </w:r>
      <w:r>
        <w:rPr>
          <w:rFonts w:ascii="Times New Roman" w:cs="Times New Roman" w:eastAsia="Times New Roman" w:hAnsi="Times New Roman"/>
          <w:sz w:val="17"/>
          <w:szCs w:val="17"/>
          <w:u w:val="single" w:color="auto"/>
          <w:color w:val="auto"/>
        </w:rPr>
        <w:t>Conversion Right</w:t>
      </w:r>
      <w:r>
        <w:rPr>
          <w:rFonts w:ascii="Times New Roman" w:cs="Times New Roman" w:eastAsia="Times New Roman" w:hAnsi="Times New Roman"/>
          <w:sz w:val="17"/>
          <w:szCs w:val="17"/>
          <w:color w:val="auto"/>
        </w:rPr>
        <w:t>”). Upon exercise of the Conversion Right as provided in this Section 5, the Company shall deliver to the holder the number of shares of Common Stock equal to the quotient obtained by dividing (i) the value of a share of Series A Preferred Stock, which shall be the Liquidation Preference (plus any accrued but unpaid dividends thereon, whether or not declared) on the Conversion Date, by (ii) the Conversion Price in effect on the Conversion Date to determine the number of shares of Common Stock issuable upon conversion of each share of Series A Preferred Stock. Immediately following such conversion, the rights of the holders of converted Series A Preferred Stock shall cease and the persons entitled to receive the Common Stock upon the conversion of Series A Preferred Stock shall be treated for all purposes as having become the owners of such Common Stock.</w:t>
      </w:r>
    </w:p>
    <w:p>
      <w:pPr>
        <w:spacing w:after="0" w:line="73" w:lineRule="exact"/>
        <w:rPr>
          <w:rFonts w:ascii="Times New Roman" w:cs="Times New Roman" w:eastAsia="Times New Roman" w:hAnsi="Times New Roman"/>
          <w:sz w:val="17"/>
          <w:szCs w:val="17"/>
          <w:color w:val="auto"/>
        </w:rPr>
      </w:pPr>
    </w:p>
    <w:p>
      <w:pPr>
        <w:jc w:val="both"/>
        <w:ind w:firstLine="425"/>
        <w:spacing w:after="0" w:line="256" w:lineRule="auto"/>
        <w:tabs>
          <w:tab w:leader="none" w:pos="67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convert Series A Preferred Stock, a holder must (A) surrender the certificate or certificates evidencing the shares of Series A Preferred Stock to be converted, duly endorsed in a form satisfactory to the Company, at the office of the Company or Transfer Agent for the Series A Preferred Stock, (B) notify the Company at such office that he elects to convert Series A Preferred Stock and the number of shares he wishes to convert, (C) state in writing the name or names in which he wishes the certificate or certificates for shares of Common Stock to be issued, and (D) pay any transfer or similar tax required by clause (d) below to be paid by the holder. In the event that a holder fails to notify the Company of the number of shares of Series A Preferred Stock which he wishes to convert, he shall be deemed to have elected to convert all shares represented by the certificate or certificates surrendered for conversion. The date on which the holder satisfies all those requirements is the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As soon as practical following the Conversion Date, the Company shall deliver a certificate for the number of full shares of Common Stock issuable upon the conversion, and a new certificate representing the unconverted portion, if any, of the shares of Series A Preferred Stock represented by the certificate or certificates surrendered for conversion. The person in whose name the Common Stock certificate is registered shall be treated as the stockholder of record on and after the Conversion Date. The holder of record of a share of Series A Preferred Stock at the close of business on a record date with respect to the payment of dividends on the Series A Preferred Stock in accordance with Section 3 hereof will be entitled to receive such dividends with respect to such share of Series A Preferred Stock on the corresponding Dividend Payment Date, notwithstanding the conversion of such share after such record date and prior to such dividend payment date. If a holder of Series A Preferred Stock converts more than one share at a time, the number of full shares of Common Stock issuable upon conversion shall be based on the total Liquidation Preferences of all shares of Series A Preferred Stock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92" w:lineRule="exact"/>
        <w:rPr>
          <w:sz w:val="20"/>
          <w:szCs w:val="20"/>
          <w:color w:val="auto"/>
        </w:rPr>
      </w:pPr>
    </w:p>
    <w:p>
      <w:pPr>
        <w:jc w:val="both"/>
        <w:ind w:firstLine="425"/>
        <w:spacing w:after="0" w:line="270" w:lineRule="auto"/>
        <w:tabs>
          <w:tab w:leader="none" w:pos="656"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issue any fractional shares of Common Stock upon conversion of Series A Preferred Stock. Instead the Company shall pay a cash adjustment based upon the closing price of the Common Stock on the principal securities exchange on which the Common Stock is then listed on the Business Day prior to the Conversion Date.</w:t>
      </w:r>
    </w:p>
    <w:p>
      <w:pPr>
        <w:spacing w:after="0" w:line="63" w:lineRule="exact"/>
        <w:rPr>
          <w:rFonts w:ascii="Times New Roman" w:cs="Times New Roman" w:eastAsia="Times New Roman" w:hAnsi="Times New Roman"/>
          <w:sz w:val="17"/>
          <w:szCs w:val="17"/>
          <w:color w:val="auto"/>
        </w:rPr>
      </w:pPr>
    </w:p>
    <w:p>
      <w:pPr>
        <w:jc w:val="both"/>
        <w:ind w:firstLine="425"/>
        <w:spacing w:after="0" w:line="270" w:lineRule="auto"/>
        <w:tabs>
          <w:tab w:leader="none" w:pos="672"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holder converts shares of Series A Preferred Stock, the Company shall pay any documentary, stamp or similar issue or transfer tax due on the issue of shares of Common Stock upon the conversion. However, the holder shall pay any such tax that is due because the shares are issued in a name other than the holder’s name.</w:t>
      </w:r>
    </w:p>
    <w:p>
      <w:pPr>
        <w:spacing w:after="0" w:line="63" w:lineRule="exact"/>
        <w:rPr>
          <w:rFonts w:ascii="Times New Roman" w:cs="Times New Roman" w:eastAsia="Times New Roman" w:hAnsi="Times New Roman"/>
          <w:sz w:val="17"/>
          <w:szCs w:val="17"/>
          <w:color w:val="auto"/>
        </w:rPr>
      </w:pPr>
    </w:p>
    <w:p>
      <w:pPr>
        <w:jc w:val="both"/>
        <w:ind w:firstLine="425"/>
        <w:spacing w:after="0" w:line="258" w:lineRule="auto"/>
        <w:tabs>
          <w:tab w:leader="none" w:pos="66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reserved (and shall keep available and free from preemptive rights) and shall continue to reserve out of its authorized but unissued Common Stock or its Common Stock held in treasury a sufficient number of shares of Common Stock to permit the conversion of the Series A Preferred Stock in full. All shares of Common Stock that may be issued upon conversion of Series A Preferred Stock shall be fully paid and nonassessable. The Company shall use commercially reasonable efforts to comply with all securities laws regulating the offer and delivery of shares of Common Stock upon conversion of Series A Preferred Stock and shall endeavor to list such shares on each national securities exchange or automated quotation system on which the Common Stock is listed. All shares of Common Stock that are issued upon the exercise of Series A Preferred Stock shall, upon issuance, be validly issued, not subject to any preemptive rights, and, be free from all taxes, liens, security interests, charges, and other encumbrances with respect to the issuance thereof (collectively, “Encumbrances”), other than taxes in respect of any transfer occurring contemporaneously with such issue and Encumbrances created by the holder.</w:t>
      </w:r>
    </w:p>
    <w:p>
      <w:pPr>
        <w:spacing w:after="0" w:line="76" w:lineRule="exact"/>
        <w:rPr>
          <w:rFonts w:ascii="Times New Roman" w:cs="Times New Roman" w:eastAsia="Times New Roman" w:hAnsi="Times New Roman"/>
          <w:sz w:val="17"/>
          <w:szCs w:val="17"/>
          <w:color w:val="auto"/>
        </w:rPr>
      </w:pPr>
    </w:p>
    <w:p>
      <w:pPr>
        <w:jc w:val="both"/>
        <w:ind w:firstLine="425"/>
        <w:spacing w:after="0" w:line="258" w:lineRule="auto"/>
        <w:tabs>
          <w:tab w:leader="none" w:pos="64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pay or make a dividend or other distribution on any outstanding class of capital stock of the Company payable in Common Stock, the Conversion Price in effect at the opening of business on the day following the date fixed for the determination of stockholders entitled to receive such dividend or other distribution shall be reduced by multiplying such Conversion Price by a fraction the numerator of which shall be the number of shares of Common Stock outstanding at the close of business on the date fixed for such determination and the denominator of which shall be the sum of such number of shares outstanding at the close of business on the date fixed for such determination and the total number of shares constituting such dividend or other distribution, such reduction to become effective retroactively to a date immediately following the close of business on the record date for the determination of the holders entitled to such dividends and distributions. For the purposes of this Section 5(f),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282" w:lineRule="exact"/>
        <w:rPr>
          <w:rFonts w:ascii="Times New Roman" w:cs="Times New Roman" w:eastAsia="Times New Roman" w:hAnsi="Times New Roman"/>
          <w:sz w:val="17"/>
          <w:szCs w:val="17"/>
          <w:color w:val="auto"/>
        </w:rPr>
      </w:pPr>
    </w:p>
    <w:p>
      <w:pPr>
        <w:jc w:val="both"/>
        <w:ind w:firstLine="425"/>
        <w:spacing w:after="0" w:line="257" w:lineRule="auto"/>
        <w:tabs>
          <w:tab w:leader="none" w:pos="66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issue or sell Common Stock or Common Stock Equivalents at a price per share less than 95% of the Current Market Price per share of the Common Stock on the date fixed for the determination of stockholders entitled to receive such Common Stock or Common Stock Equivalents (treating the price per share of Common Stock, in the case of the issuance of any Common Stock Equivalent, as equal to (x) the sum of the price for such Common Stock Equivalent plus any additional consideration payable (without regard to any anti dilution adjustments) upon the conversion, exchange or exercise of such Common Stock Equivalent divided by (y) the number of shares of Common Stock initially underlying such Common Stock Equivalent), the Conversion Price in effect at the opening of business on the day following the date fixed for such determination shall be reduced by multiplying such Conversion Price by a fraction</w:t>
      </w:r>
    </w:p>
    <w:p>
      <w:pPr>
        <w:spacing w:after="0" w:line="1" w:lineRule="exact"/>
        <w:rPr>
          <w:rFonts w:ascii="Times New Roman" w:cs="Times New Roman" w:eastAsia="Times New Roman" w:hAnsi="Times New Roman"/>
          <w:sz w:val="17"/>
          <w:szCs w:val="17"/>
          <w:color w:val="auto"/>
        </w:rPr>
      </w:pPr>
    </w:p>
    <w:p>
      <w:pPr>
        <w:jc w:val="both"/>
        <w:ind w:firstLine="3"/>
        <w:spacing w:after="0" w:line="253" w:lineRule="auto"/>
        <w:tabs>
          <w:tab w:leader="none" w:pos="22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purchase or acquisition would purchase at such Current Market Price (or, in the case of Common Stock Equivalents, the number of shares of Common Stock which the aggregate consideration received by the Company upon the issuance of such Common Stock Equivalents and receivable by the Company upon the conversion, exchange or exercise of such Common Stock Equivalents would purchase at the Current Market Price of one share of Common Stock on the Relevant Date) and</w:t>
      </w:r>
    </w:p>
    <w:p>
      <w:pPr>
        <w:spacing w:after="0" w:line="3" w:lineRule="exact"/>
        <w:rPr>
          <w:rFonts w:ascii="Times New Roman" w:cs="Times New Roman" w:eastAsia="Times New Roman" w:hAnsi="Times New Roman"/>
          <w:sz w:val="17"/>
          <w:szCs w:val="17"/>
          <w:color w:val="auto"/>
        </w:rPr>
      </w:pPr>
    </w:p>
    <w:p>
      <w:pPr>
        <w:jc w:val="both"/>
        <w:ind w:firstLine="3"/>
        <w:spacing w:after="0" w:line="260" w:lineRule="auto"/>
        <w:tabs>
          <w:tab w:leader="none" w:pos="28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number of shares of Common Stock outstanding at the close of business on the date fixed for such determination plus the number of shares of Common Stock so offered for subscription, purchase or acquisition (or, in the case of Common Stock Equivalents, the maximum number of shares of Common Stock into which such Common Stock Equivalents initially may convert, exchange or be exercised).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92" w:lineRule="exact"/>
        <w:rPr>
          <w:sz w:val="20"/>
          <w:szCs w:val="20"/>
          <w:color w:val="auto"/>
        </w:rPr>
      </w:pPr>
    </w:p>
    <w:p>
      <w:pPr>
        <w:jc w:val="both"/>
        <w:ind w:firstLine="422"/>
        <w:spacing w:after="0" w:line="255" w:lineRule="auto"/>
        <w:rPr>
          <w:sz w:val="20"/>
          <w:szCs w:val="20"/>
          <w:color w:val="auto"/>
        </w:rPr>
      </w:pPr>
      <w:r>
        <w:rPr>
          <w:rFonts w:ascii="Times New Roman" w:cs="Times New Roman" w:eastAsia="Times New Roman" w:hAnsi="Times New Roman"/>
          <w:sz w:val="17"/>
          <w:szCs w:val="17"/>
          <w:color w:val="auto"/>
        </w:rPr>
        <w:t>Such reduction shall become effective immediately on the issuance or sale of such Common Stock or Common Stock Equivalents. However, upon the expiration of any Common Stock Equivalent to purchase Common Stock, the issuance of which resulted in an adjustment in the Conversion Price pursuant to this Section 5(g), if any such Common Stock Equivalent shall expire and shall not have been exercised, the Conversion Price shall be recomputed immediately upon such expiration and effective immediately upon such expiration shall be increased to the price it would have been (but reflecting any other adjustments to the Conversion Price made pursuant to the provisions of this Section 5 after the issuance of such Common Stock Equivalents) had the adjustment of the Conversion Price made upon the issuance of such Common Stock Equivalents been made on the basis of offering for subscription or purchase only that number of shares of Common Stock actually purchased upon the exercise of such Common Stock Equivalents. No further adjustment shall be made upon exercise of any Common Stock Equivalent if any adjustment shall be made upon the issuance of such security. For the purposes of this Section 5(g), the number of shares of Common Stock at any time outstanding shall not include shares held in the treasury of the Company. The Company will not issue any Common Stock Equivalents in respect of shares of Common Stock held in the treasury of the Company. In case at any time any shares of Common Stock or Common Stock Equivalents or any rights or options to purchase any shares of Common Stock or Common Stock Equivalents shall be issued or sold for cash, the consideration received therefor shall be deemed to be the amount received by the Company therefor, without deduction therefrom of any expenses incurred or any underwriting commissions or concessions or discounts paid or allowed by the Company in connection therewith. In case any shares of Common Stock or Common Stock Equivalents or any rights or options to purchase any Common Stock or Common Stock Equivalents shall be issued or sold for a consideration other than cash, the amount of the consideration other than cash received by the Company shall be deemed to be the fair market value of such consideration, without deduction therefrom of any expenses incurred or any underwriting commissions or concessions or discounts paid or allowed by the Company in connection therewith, as determined by a nationally recognized appraiser selected by the Board of Directors.</w:t>
      </w:r>
    </w:p>
    <w:p>
      <w:pPr>
        <w:spacing w:after="0" w:line="397" w:lineRule="exact"/>
        <w:rPr>
          <w:sz w:val="20"/>
          <w:szCs w:val="20"/>
          <w:color w:val="auto"/>
        </w:rPr>
      </w:pPr>
    </w:p>
    <w:p>
      <w:pPr>
        <w:jc w:val="both"/>
        <w:ind w:firstLine="425"/>
        <w:spacing w:after="0" w:line="258" w:lineRule="auto"/>
        <w:tabs>
          <w:tab w:leader="none" w:pos="68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outstanding shares of Common Stock shall be subdivided into a greater number of shares of Common Stock or the outstanding shares of Common Stock shall be combined into a smaller number of shares, then the Conversion Price in effect at the opening of business on the day following the day upon which such subdivision becomes effective shall be reduced, and, conversely, in case the outstanding shares of Common Stock shall each be combined into a smaller number of shares of Common Stock, the Conversion Price in effect at the opening of business on the day following the day upon which such combination becomes effective shall be increased to equal the product of the Conversion Price in effect on such date and a fraction the numerator of which shall be the number of shares of Common Stock outstanding immediately prior to such subdivision or combination, as the case may be, and the denominator of which shall be the number of shares of Common Stock outstanding immediately after such subdivision or combination, as the case may be. Such reduction or increase, as the case may be, shall become effective retroactively to the close of business on the day upon which such subdivision or combination becomes effective.</w:t>
      </w:r>
    </w:p>
    <w:p>
      <w:pPr>
        <w:spacing w:after="0" w:line="76" w:lineRule="exact"/>
        <w:rPr>
          <w:rFonts w:ascii="Times New Roman" w:cs="Times New Roman" w:eastAsia="Times New Roman" w:hAnsi="Times New Roman"/>
          <w:sz w:val="17"/>
          <w:szCs w:val="17"/>
          <w:color w:val="auto"/>
        </w:rPr>
      </w:pPr>
    </w:p>
    <w:p>
      <w:pPr>
        <w:jc w:val="both"/>
        <w:ind w:firstLine="425"/>
        <w:spacing w:after="0" w:line="257" w:lineRule="auto"/>
        <w:tabs>
          <w:tab w:leader="none" w:pos="63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 tender offer, exchange offer or other offer to repurchase made by the Company or any subsidiary of the Company for all or any portion of the Common Stock shall expire and such tender offer, exchange offer or other offer to repurchase shall involve the payment by the Company or such subsidiary of consideration per share of Common Stock having a fair market value (as determined by the Board of Directors or, to the extent permitted by applicable law, a duly authorized committee thereof, whose determination shall be conclusive and described in a resolution of the Board of Directors or such duly authorized committee thereof, as the case may be) at the last time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 tenders or exchanges may be made pursuant to such tender or exchange offer (as it shall have been amended) that exceeds by 5% or more the current market price per share of the Common Stock on the Trading Day next succeeding the Expiration Time, the Conversion Price shall be reduced so that the same shall equal the price determined by multiplying the Conversion Price in effect immediately prior to the Expiration Time by a fraction of which (I) the numerator shall be the number of shares of Common Stock outstanding (including any tendered or exchanged shares) on the Expiration Time multiplied by the Current Market Price per share of the Common Stock on the Trading Day next succeeding the Expiration Time and (II) the denominator shall be the sum of (x) the fair market value (determined as aforesaid) of the aggregate consideration payable to stockholders based on the acceptance (up to any maximum specified in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terms of the tender or exchange offer) of all shares validly tendered or exchanged and not withdrawn as of the Expiration Time (the shares deemed so accepted, up to any such maximum, being referred to as the “</w:t>
      </w:r>
      <w:r>
        <w:rPr>
          <w:rFonts w:ascii="Times New Roman" w:cs="Times New Roman" w:eastAsia="Times New Roman" w:hAnsi="Times New Roman"/>
          <w:sz w:val="17"/>
          <w:szCs w:val="17"/>
          <w:u w:val="single" w:color="auto"/>
          <w:color w:val="auto"/>
        </w:rPr>
        <w:t>Purchased Shares</w:t>
      </w:r>
      <w:r>
        <w:rPr>
          <w:rFonts w:ascii="Times New Roman" w:cs="Times New Roman" w:eastAsia="Times New Roman" w:hAnsi="Times New Roman"/>
          <w:sz w:val="17"/>
          <w:szCs w:val="17"/>
          <w:color w:val="auto"/>
        </w:rPr>
        <w:t>”) and (y) the product of the number of shares of Common Stock outstanding (less any Purchased Shares) on the Expiration Time and the Current Market Price per share of the Common Stock on the Trading Day next succeeding the Expiration Time, such reduction to become effective immediately prior to the opening of business on the day following the Expiration Time. For the purposes of this Section 5(i), the number of shares of Common Stock at any time outstanding shall not include shares held in the treasury of the Company.</w:t>
      </w:r>
    </w:p>
    <w:p>
      <w:pPr>
        <w:spacing w:after="0" w:line="70" w:lineRule="exact"/>
        <w:rPr>
          <w:sz w:val="20"/>
          <w:szCs w:val="20"/>
          <w:color w:val="auto"/>
        </w:rPr>
      </w:pPr>
    </w:p>
    <w:p>
      <w:pPr>
        <w:ind w:left="640" w:hanging="215"/>
        <w:spacing w:after="0"/>
        <w:tabs>
          <w:tab w:leader="none" w:pos="64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issue to one or more Affiliates (other than (a) persons or entities who become Affiliates only as a result of such issuance,</w:t>
      </w:r>
    </w:p>
    <w:p>
      <w:pPr>
        <w:spacing w:after="0" w:line="27" w:lineRule="exact"/>
        <w:rPr>
          <w:rFonts w:ascii="Times New Roman" w:cs="Times New Roman" w:eastAsia="Times New Roman" w:hAnsi="Times New Roman"/>
          <w:sz w:val="17"/>
          <w:szCs w:val="17"/>
          <w:color w:val="auto"/>
        </w:rPr>
      </w:pPr>
    </w:p>
    <w:p>
      <w:pPr>
        <w:jc w:val="both"/>
        <w:ind w:firstLine="3"/>
        <w:spacing w:after="0" w:line="255" w:lineRule="auto"/>
        <w:tabs>
          <w:tab w:leader="none" w:pos="25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officers or employees of the Company under bona fide compensation or benefit arrangements or (c) upon the exercise of options or warrants or the conversion of convertible securities, issued for fair value at the time of any such issuance of options, warrants or convertible securities) Common Stock at a price per share less than the Current Market Price per share of the Common Stock on the date of such issuance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the Conversion Price in effect at the opening of business on the day following the Issue Date shall be reduced by multiplying such Conversion Price by a fraction the numerator of which shall be the number of shares of Common Stock outstanding at the close of business on the Issue Date plus the number of shares of Common Stock which the aggregate of the offering price of the total number of shares of Common Stock so issued would purchase at such Current Market Price and the denominator of which shall be the number of shares of Common Stock outstanding at the close of business on the Issue Date plus the number of shares of Common Stock so issued, such reduction to become effective immediately after the opening of business on the day following the Issue Date. For the purposes of this Section 5(j),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76" w:lineRule="exact"/>
        <w:rPr>
          <w:rFonts w:ascii="Times New Roman" w:cs="Times New Roman" w:eastAsia="Times New Roman" w:hAnsi="Times New Roman"/>
          <w:sz w:val="17"/>
          <w:szCs w:val="17"/>
          <w:color w:val="auto"/>
        </w:rPr>
      </w:pPr>
    </w:p>
    <w:p>
      <w:pPr>
        <w:jc w:val="both"/>
        <w:ind w:firstLine="425"/>
        <w:spacing w:after="0" w:line="265" w:lineRule="auto"/>
        <w:tabs>
          <w:tab w:leader="none" w:pos="674"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at any time or from time to time shall take any action affecting its Common Stock similar to or having an effect similar to any of the actions described in any of Sections 5(f) through 5(j) (but not including any action described in any such Section) then, and in each such case, the Conversion Price shall be adjusted in such manner and at such time as determined in good faith by the Board of Directors (and, for so long as the Initial Holders constitute the Majority Holders, the Majority Holders).</w:t>
      </w:r>
    </w:p>
    <w:p>
      <w:pPr>
        <w:spacing w:after="0" w:line="66" w:lineRule="exact"/>
        <w:rPr>
          <w:rFonts w:ascii="Times New Roman" w:cs="Times New Roman" w:eastAsia="Times New Roman" w:hAnsi="Times New Roman"/>
          <w:sz w:val="17"/>
          <w:szCs w:val="17"/>
          <w:color w:val="auto"/>
        </w:rPr>
      </w:pPr>
    </w:p>
    <w:p>
      <w:pPr>
        <w:jc w:val="both"/>
        <w:ind w:firstLine="425"/>
        <w:spacing w:after="0" w:line="260" w:lineRule="auto"/>
        <w:tabs>
          <w:tab w:leader="none" w:pos="6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reclassification or change of Common Stock into securities, including securities other than Common Stock (other than any reclassification upon a consolidation or merger to which Section 6(a) below shall apply), shall be deemed to involve (A) a distribution of such securities other than Common Stock to all holders of Common Stock, and (B) a subdivision or combination, as the case may be, of the number of shares of Common Stock outstanding immediately prior to such reclassification into the number of Common Shares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Section 5(h) above).</w:t>
      </w:r>
    </w:p>
    <w:p>
      <w:pPr>
        <w:spacing w:after="0" w:line="73" w:lineRule="exact"/>
        <w:rPr>
          <w:rFonts w:ascii="Times New Roman" w:cs="Times New Roman" w:eastAsia="Times New Roman" w:hAnsi="Times New Roman"/>
          <w:sz w:val="17"/>
          <w:szCs w:val="17"/>
          <w:color w:val="auto"/>
        </w:rPr>
      </w:pPr>
    </w:p>
    <w:p>
      <w:pPr>
        <w:ind w:left="720" w:hanging="295"/>
        <w:spacing w:after="0"/>
        <w:tabs>
          <w:tab w:leader="none" w:pos="7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calculations under this Section 5 shall be made to the nearest 1/10,000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a cent or to the nearest 1/10,000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a share, as the case may be.</w:t>
      </w:r>
    </w:p>
    <w:p>
      <w:pPr>
        <w:spacing w:after="0" w:line="57" w:lineRule="exact"/>
        <w:rPr>
          <w:rFonts w:ascii="Times New Roman" w:cs="Times New Roman" w:eastAsia="Times New Roman" w:hAnsi="Times New Roman"/>
          <w:sz w:val="17"/>
          <w:szCs w:val="17"/>
          <w:color w:val="auto"/>
        </w:rPr>
      </w:pPr>
    </w:p>
    <w:p>
      <w:pPr>
        <w:ind w:firstLine="425"/>
        <w:spacing w:after="0" w:line="288" w:lineRule="auto"/>
        <w:tabs>
          <w:tab w:leader="none" w:pos="684"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from time to time may reduce the Conversion Price if it considers such reductions to be advisable in order that any event treated for federal income tax purposes as a dividend of stock or stock rights will not be taxable to the holders of Common Stock by any amount.</w:t>
      </w:r>
    </w:p>
    <w:p>
      <w:pPr>
        <w:spacing w:after="0" w:line="47" w:lineRule="exact"/>
        <w:rPr>
          <w:rFonts w:ascii="Times New Roman" w:cs="Times New Roman" w:eastAsia="Times New Roman" w:hAnsi="Times New Roman"/>
          <w:sz w:val="17"/>
          <w:szCs w:val="17"/>
          <w:color w:val="auto"/>
        </w:rPr>
      </w:pPr>
    </w:p>
    <w:p>
      <w:pPr>
        <w:jc w:val="both"/>
        <w:ind w:firstLine="425"/>
        <w:spacing w:after="0" w:line="259" w:lineRule="auto"/>
        <w:tabs>
          <w:tab w:leader="none" w:pos="67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this Section 5, “Common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6(a) below, shares issuable on conversion of shares of Series A Preferred Stock shall include only shares of the class designated as Common Stock of the Company on the Series A Preferred Stock Issue Date or shares of any class or classes resulting from any reclassification thereof and which have no preferences in respect of dividends or amounts payable in the event of any voluntary or involuntary liquidation, dissolution or winding-up of the Company and which are not subject to redemption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any time there shall be more than one such resulting class, the shares of each such class then so issuable shall be substantially in the proportion which the total number of shares of such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resulting from all such reclassifications bears to the total number of shares of all such classes resulting from all such reclassifications.</w:t>
      </w:r>
    </w:p>
    <w:p>
      <w:pPr>
        <w:spacing w:after="0" w:line="115" w:lineRule="exact"/>
        <w:rPr>
          <w:sz w:val="20"/>
          <w:szCs w:val="20"/>
          <w:color w:val="auto"/>
        </w:rPr>
      </w:pPr>
    </w:p>
    <w:p>
      <w:pPr>
        <w:ind w:left="660" w:hanging="235"/>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adjustment in the Conversion Price shall reduce the Conversion Price below the then par value of the Common Stock.</w:t>
      </w:r>
    </w:p>
    <w:p>
      <w:pPr>
        <w:spacing w:after="0" w:line="114" w:lineRule="exact"/>
        <w:rPr>
          <w:rFonts w:ascii="Times New Roman" w:cs="Times New Roman" w:eastAsia="Times New Roman" w:hAnsi="Times New Roman"/>
          <w:sz w:val="17"/>
          <w:szCs w:val="17"/>
          <w:color w:val="auto"/>
        </w:rPr>
      </w:pPr>
    </w:p>
    <w:p>
      <w:pPr>
        <w:jc w:val="both"/>
        <w:ind w:firstLine="425"/>
        <w:spacing w:after="0" w:line="258" w:lineRule="auto"/>
        <w:tabs>
          <w:tab w:leader="none" w:pos="68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the Company takes any action which requires an adjustment in the Conversion Price pursuant to Section 5; (B) the Company consolidates or merges with, or transfers all or substantially all of its assets to, another corporation, and stockholders of the Company must approve the transaction; or (C) there is a dissolution or liquidation of the Company; the Company shall mail to holders of the Series A Preferred Stock, first class, postage prepaid, a notice stating the proposed record or effective date, as the case may be. The Company shall mail the notice at least ten (10) days before such date. However, failure to mail the notice or any defect in it shall not affect the validity of any transaction referred to in clause (A), (B) or (C) of this Section. Whenever the Conversion Price is adjusted, the Company shall promptly mail to holders of Series A Preferred Stock, first class, postage prepaid, a notice of the adjustment. The Company shall file with the Transfer Agent for the Series A Preferred Stock, if other than the Company, a certificate from the Company’s chief financial officer briefly stating the facts requiring the adjustment and the manner of computing it.</w:t>
      </w:r>
    </w:p>
    <w:p>
      <w:pPr>
        <w:spacing w:after="0" w:line="76" w:lineRule="exact"/>
        <w:rPr>
          <w:rFonts w:ascii="Times New Roman" w:cs="Times New Roman" w:eastAsia="Times New Roman" w:hAnsi="Times New Roman"/>
          <w:sz w:val="17"/>
          <w:szCs w:val="17"/>
          <w:color w:val="auto"/>
        </w:rPr>
      </w:pPr>
    </w:p>
    <w:p>
      <w:pPr>
        <w:jc w:val="both"/>
        <w:ind w:firstLine="425"/>
        <w:spacing w:after="0" w:line="260" w:lineRule="auto"/>
        <w:tabs>
          <w:tab w:leader="none" w:pos="64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case in which this Section 5 shall require that an adjustment as a result of any event becomes effective from and after a record date, the Company may elect to defer until after the occurrence of such event the issuance to the holder of any shares of Series A Preferred Stock converted after such record date and before the occurrence of such event of the additional shares of Common Stock issuable upon such conversion over and above the shares issuable on the basis of the Conversion Price in effect immediately prior to adjustment;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such event shall not have occurred and authorization of such event shall be rescinded by the Company, the Conversion Price shall be recomputed immediately upon such rescission to the price that would have been in effect had such event not been authorized, provided that such rescission is permitted by and effective under applicable laws.</w:t>
      </w:r>
    </w:p>
    <w:p>
      <w:pPr>
        <w:spacing w:after="0" w:line="73" w:lineRule="exact"/>
        <w:rPr>
          <w:sz w:val="20"/>
          <w:szCs w:val="20"/>
          <w:color w:val="auto"/>
        </w:rPr>
      </w:pPr>
    </w:p>
    <w:p>
      <w:pPr>
        <w:ind w:left="600" w:hanging="175"/>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 Liquidation Event</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jc w:val="both"/>
        <w:ind w:firstLine="425"/>
        <w:spacing w:after="0" w:line="257" w:lineRule="auto"/>
        <w:tabs>
          <w:tab w:leader="none" w:pos="65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In the case of any Change in Control of the Company, then, upon consummation of such transaction, each holder of a share of Series A Preferred Stock shall be entitled to receive in respect of such share the greater of (i) the Liquidation Preference plus accrued and unpaid dividends thereon, whether or not declared, if any, or (ii) the amount such holder would receive if such holder converted such share of Series A Preferred Stock into the kind and amount of securities, cash or other assets receivable upon the consummation of the Change in Control by a holder of the number of shares of Common Stock into which such share of Series A Preferred Stock might have been converted immediately prior to such Change in Control (assuming such holder of Common Stock failed to exercise any rights of election and received per share the kind and amount of consideration receivable per share by a plurality of non-electing shares). Appropriate adjustment (as determined by the Board of Directors) shall be made in the application of the provisions herein set forth with respect to the rights and interests thereafter of the holders of Series A Preferred Stock, to the end that the provisions set forth herein (including provisions with respect to changes in and other adjustment of the Conversion Price) shall thereafter be applicable, as nearly as reasonably may be, in relation to any shares of stock or other securities or property thereafter deliverable upon the conversion of Series A Preferred Stock. If this Section 6(a) applies, Sections 5(f), 5(h) and 5(l) do not apply.</w:t>
      </w:r>
    </w:p>
    <w:p>
      <w:pPr>
        <w:spacing w:after="0" w:line="77" w:lineRule="exact"/>
        <w:rPr>
          <w:rFonts w:ascii="Times New Roman" w:cs="Times New Roman" w:eastAsia="Times New Roman" w:hAnsi="Times New Roman"/>
          <w:sz w:val="17"/>
          <w:szCs w:val="17"/>
          <w:color w:val="auto"/>
        </w:rPr>
      </w:pPr>
    </w:p>
    <w:p>
      <w:pPr>
        <w:jc w:val="both"/>
        <w:ind w:firstLine="425"/>
        <w:spacing w:after="0" w:line="258" w:lineRule="auto"/>
        <w:tabs>
          <w:tab w:leader="none" w:pos="66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Event</w:t>
      </w:r>
      <w:r>
        <w:rPr>
          <w:rFonts w:ascii="Times New Roman" w:cs="Times New Roman" w:eastAsia="Times New Roman" w:hAnsi="Times New Roman"/>
          <w:sz w:val="17"/>
          <w:szCs w:val="17"/>
          <w:color w:val="auto"/>
        </w:rPr>
        <w:t>. Upon any Liquidation Event of the Company, each holder of shares of the Series A Preferred Stock will be entitled to payment out of the assets of the Company available for distribution, before any distribution or payment out of such assets may be made to the holders of any Junior Securities, and subject to the rights of the holders of any Senior Securities or Parity Securities upon liquidation and the rights of the Company’s creditors, of an amount equal to the Liquidation Preference plus accrued and unpaid dividends thereon, whether or not declared. After payment in full of the Liquidation Preference plus accrued and unpaid dividends thereon to which holders of Series A Preferred Stock are entitled, such holders will not be entitled to any further participation in any distribution of assets of the Company. If, upon any Liquidation Event of the Company, the amounts payable with respect to the Series A Preferred Stock and any other Parity Securities are not paid in full, the holders of the Series A Preferred Stock and such Parity Securities will share equally and ratably in any distribution of assets of the Company in proportion to the full liquidation preference and accumulated and unpaid dividends, if any, and other amounts payable in such event, to which each is entitled.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shall be regarded as “Liquidation Events” within the meaning of this Section 5 (without limitation): (a) the commencement of a voluntary or involuntary case with respect to the Company or any subsidiary holding all or substantially all of the Company’s assets (on a consolidated basis) pursuant to or within the meaning of Title 11 of the United States Code, (b) the appointment of a custodian for all or substantially all of the assets of the Company and its Subsidiaries, taken as a whole, and (c) a general assignment by the Company for the benefit of its creditors. To the maximum extent that any liquidating distribution is made in a combination of cash and property other than cash, the liquidating distributions to the holders of the Series A Preferred shall be made in cash to the maximum extent possible, in preference and priority to the liquidating distribution payable to any other capital stock, other than Parity Stock (in which case, such distribution in cash shall be made pro rata) or Senior Stock. Whenever the distribution provided for in this Section shall be payable in property other than cash, the value of such distribution shall be the fair market value of such property as determined in good faith by the Board of Directors.</w:t>
      </w:r>
    </w:p>
    <w:p>
      <w:pPr>
        <w:spacing w:after="0" w:line="76" w:lineRule="exact"/>
        <w:rPr>
          <w:sz w:val="20"/>
          <w:szCs w:val="20"/>
          <w:color w:val="auto"/>
        </w:rPr>
      </w:pPr>
    </w:p>
    <w:p>
      <w:pPr>
        <w:ind w:left="600" w:hanging="175"/>
        <w:spacing w:after="0"/>
        <w:tabs>
          <w:tab w:leader="none" w:pos="6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jc w:val="both"/>
        <w:ind w:firstLine="425"/>
        <w:spacing w:after="0" w:line="262" w:lineRule="auto"/>
        <w:tabs>
          <w:tab w:leader="none" w:pos="65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Series A Preferred Stock shall be redeemable, at the option of the Company, in whole, or, from time to time, in part, at any time beginning on the second anniversary of the Series A Preferred Stock Issue Date, payable by the Company through the issuance of shares of Common Stock. The number of shares of Common Stock to be delivered by the Company with respect to the shares of Series A Preferred Stock being redeemed (the “</w:t>
      </w:r>
      <w:r>
        <w:rPr>
          <w:rFonts w:ascii="Times New Roman" w:cs="Times New Roman" w:eastAsia="Times New Roman" w:hAnsi="Times New Roman"/>
          <w:sz w:val="17"/>
          <w:szCs w:val="17"/>
          <w:u w:val="single" w:color="auto"/>
          <w:color w:val="auto"/>
        </w:rPr>
        <w:t>Redemption Payment</w:t>
      </w:r>
      <w:r>
        <w:rPr>
          <w:rFonts w:ascii="Times New Roman" w:cs="Times New Roman" w:eastAsia="Times New Roman" w:hAnsi="Times New Roman"/>
          <w:sz w:val="17"/>
          <w:szCs w:val="17"/>
          <w:color w:val="auto"/>
        </w:rPr>
        <w:t>”), shall be equal to (1) the Applicable Redemption Amount (as defined below) per share of the Series A Preferred Stock being redeemed, divided by (2) the Current Market Price on the Redemption Date.</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Applicable Redemption Amount</w:t>
      </w:r>
      <w:r>
        <w:rPr>
          <w:rFonts w:ascii="Times New Roman" w:cs="Times New Roman" w:eastAsia="Times New Roman" w:hAnsi="Times New Roman"/>
          <w:sz w:val="17"/>
          <w:szCs w:val="17"/>
          <w:color w:val="auto"/>
        </w:rPr>
        <w:t>” shall mean:</w:t>
      </w:r>
    </w:p>
    <w:p>
      <w:pPr>
        <w:spacing w:after="0" w:line="114"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05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second anniversary of the Series A Preferred Stock Issue Date and prior to the third anniversary of the Series A Preferred Stock Issue Date, an amount per share of Series A Preferred Stock being redeemed equal to the product of (i) 103% and (ii) the Liquidation Preference (up to and including the Redemption Date), plus all accrued and unpaid dividends thereon, whether or not declared;</w:t>
      </w:r>
    </w:p>
    <w:p>
      <w:pPr>
        <w:spacing w:after="0" w:line="63"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third anniversary of the Series A Preferred Stock Issue Date and prior to the fourth anniversary of the Series A Preferred Stock Issue Date, an amount per share of Series A Preferred Stock being redeemed equal to the product of (i) 102% and (ii) the Liquidation Preference (up to and including the Redemption Date) plus all accrued and unpaid dividends thereon, whether or not declared;</w:t>
      </w:r>
    </w:p>
    <w:p>
      <w:pPr>
        <w:spacing w:after="0" w:line="63"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5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fourth anniversary of the Series A Preferred Stock Issue Date and prior to the fifth anniversary of the Series A Preferred Stock Issue Date, an amount per share of Series A Preferred Stock being redeemed equal to product of (i) 101% and (ii) the Liquidation Preference (up to and including the Redemption Date) plus all accrued and unpaid dividends thereon, whether or not declared; and</w:t>
      </w:r>
    </w:p>
    <w:p>
      <w:pPr>
        <w:spacing w:after="0" w:line="64" w:lineRule="exact"/>
        <w:rPr>
          <w:sz w:val="20"/>
          <w:szCs w:val="20"/>
          <w:color w:val="auto"/>
        </w:rPr>
      </w:pPr>
    </w:p>
    <w:p>
      <w:pPr>
        <w:jc w:val="both"/>
        <w:ind w:left="420" w:firstLine="426"/>
        <w:spacing w:after="0" w:line="270" w:lineRule="auto"/>
        <w:tabs>
          <w:tab w:leader="none" w:pos="1155"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fifth anniversary of the Series A Preferred Stock Issue Date and thereafter, at an amount per share of Series A Preferred Stock being redeemed equal to the Liquidation Preference (up to and including the Redemption Date) plus all accrued and unpaid dividends thereon, whether or not declared.</w:t>
      </w:r>
    </w:p>
    <w:p>
      <w:pPr>
        <w:spacing w:after="0" w:line="63" w:lineRule="exact"/>
        <w:rPr>
          <w:rFonts w:ascii="Times New Roman" w:cs="Times New Roman" w:eastAsia="Times New Roman" w:hAnsi="Times New Roman"/>
          <w:sz w:val="17"/>
          <w:szCs w:val="17"/>
          <w:color w:val="auto"/>
        </w:rPr>
      </w:pPr>
    </w:p>
    <w:p>
      <w:pPr>
        <w:jc w:val="both"/>
        <w:ind w:firstLine="425"/>
        <w:spacing w:after="0" w:line="270" w:lineRule="auto"/>
        <w:tabs>
          <w:tab w:leader="none" w:pos="66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fewer than all of the outstanding shares of Series A Preferred Stock are to be redeemed pursuant to Section 7(a) hereof, the number of shares to be so redeemed shall be determined by the Board of Directors and the shares to be redeemed shall be pro rata from each holder of Series A Preferred Stock, based upon the number of shares of Series A Preferred Stock held by each holder.</w:t>
      </w:r>
    </w:p>
    <w:p>
      <w:pPr>
        <w:spacing w:after="0" w:line="63" w:lineRule="exact"/>
        <w:rPr>
          <w:rFonts w:ascii="Times New Roman" w:cs="Times New Roman" w:eastAsia="Times New Roman" w:hAnsi="Times New Roman"/>
          <w:sz w:val="17"/>
          <w:szCs w:val="17"/>
          <w:color w:val="auto"/>
        </w:rPr>
      </w:pPr>
    </w:p>
    <w:p>
      <w:pPr>
        <w:jc w:val="both"/>
        <w:ind w:firstLine="425"/>
        <w:spacing w:after="0" w:line="262" w:lineRule="auto"/>
        <w:tabs>
          <w:tab w:leader="none" w:pos="68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thirty (30) days prior to the date fixed for the redemption of shares of Series A Preferred Stock, a written notice shall be mailed in postage prepaid envelope to each holder of record of the shares of Series A Preferred Stock to be redeemed, addressed to such holder at his or her post office address as shown on the records of the Company (or other Transfer Agent), notifying such holder that its shares are subject to redemption, stating the date fixed for redemption thereof (the “</w:t>
      </w:r>
      <w:r>
        <w:rPr>
          <w:rFonts w:ascii="Times New Roman" w:cs="Times New Roman" w:eastAsia="Times New Roman" w:hAnsi="Times New Roman"/>
          <w:sz w:val="17"/>
          <w:szCs w:val="17"/>
          <w:u w:val="single" w:color="auto"/>
          <w:color w:val="auto"/>
        </w:rPr>
        <w:t>Redemption Date</w:t>
      </w:r>
      <w:r>
        <w:rPr>
          <w:rFonts w:ascii="Times New Roman" w:cs="Times New Roman" w:eastAsia="Times New Roman" w:hAnsi="Times New Roman"/>
          <w:sz w:val="17"/>
          <w:szCs w:val="17"/>
          <w:color w:val="auto"/>
        </w:rPr>
        <w:t xml:space="preserve">”), and calling upon such holder to surrender to the Company, on the Redemption Date at the place designated in such notice, his or her certificate or certificates representing the number of shares specified in such notice of redemption;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notice shall not prohibit any holder from exercising its Conversion Right at any time prior to the Redemption Date. On or after the Redemption Date, such holder of shares of Series A Preferred Stock to be redeemed shall present and surrender his or her certificate or certificates for such shares to the Company at the place designated in such notice and thereupon the Redemption Payment in respect of such shares shall be paid to the order of the person whose name appears on such certificate or certificates as the owner thereof and such surrendered certificate shall be cancelled. In case less than all the shares represented by any such certificates are redeemed, a new certificate shall be issued representing the unredeemed shares.</w:t>
      </w:r>
    </w:p>
    <w:p>
      <w:pPr>
        <w:spacing w:after="0" w:line="380" w:lineRule="exact"/>
        <w:rPr>
          <w:sz w:val="20"/>
          <w:szCs w:val="20"/>
          <w:color w:val="auto"/>
        </w:rPr>
      </w:pPr>
    </w:p>
    <w:p>
      <w:pPr>
        <w:jc w:val="both"/>
        <w:ind w:firstLine="425"/>
        <w:spacing w:after="0" w:line="257" w:lineRule="auto"/>
        <w:tabs>
          <w:tab w:leader="none" w:pos="67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Redemption Date (unless the Company defaults in payment of the Redemption Payment), all dividends on the shares of Series A Preferred Stock designated for redemption in such notice shall cease to accrue, and all rights of the holders thereof as stockholders of the Company, except the right to receive the Redemption Payment in respect of such shares (including an amount equal to all accrued and unpaid dividends thereon, whether or not declared, if any, up to the Redemption Date) upon the surrender of certificates representing the same, shall cease and terminate and such shares shall not thereafter be transferred (except with the consent of the Company) on the books of the Company, and such shares shall not be deemed to be outstanding for any purpose whatsoever;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in the case of the Redemption Date falling after a dividend payment record date and prior to the related Dividend Payment Date or Special Dividend Payment Date, the holders of Series A Preferred Stock at the close of business on such record date will be entitled to receive the dividend payable on such shares on the corresponding Dividend Payment Date or Special Dividend Payment Date, notwithstanding the redemption of such shares following such dividend payment record date, but such dividend amount shall not be deemed accumulated and unpaid for purposes of calculating the Applicable Redemption Amount hereunder.</w:t>
      </w:r>
    </w:p>
    <w:p>
      <w:pPr>
        <w:spacing w:after="0" w:line="77" w:lineRule="exact"/>
        <w:rPr>
          <w:rFonts w:ascii="Times New Roman" w:cs="Times New Roman" w:eastAsia="Times New Roman" w:hAnsi="Times New Roman"/>
          <w:sz w:val="17"/>
          <w:szCs w:val="17"/>
          <w:color w:val="auto"/>
        </w:rPr>
      </w:pPr>
    </w:p>
    <w:p>
      <w:pPr>
        <w:jc w:val="both"/>
        <w:ind w:firstLine="425"/>
        <w:spacing w:after="0" w:line="260" w:lineRule="auto"/>
        <w:tabs>
          <w:tab w:leader="none" w:pos="65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notice of redemption has been given pursuant to this Section 7 and any holder of shares of Series A Preferred Stock shall, prior to the close of business on the day preceding the Redemption Date, given written notice to the corporation pursuant to Section 5 above of the conversion of any or all of the shares to be redeemed held by such holder (accompanied by a certificate or certificates for such shares, duly endorsed or assigned to the Company, and any necessary transfer tax payment, as required by Section 5 above), then such redemption shall not become effective as to such shares to be converted, such conversion shall become effective as provided in Section 5 above, and any moneys set aside by the Company for the redemption of such shares of converted Series A Preferred Stock shall revert to the general funds of the Company.</w:t>
      </w:r>
    </w:p>
    <w:p>
      <w:pPr>
        <w:spacing w:after="0" w:line="73" w:lineRule="exact"/>
        <w:rPr>
          <w:sz w:val="20"/>
          <w:szCs w:val="20"/>
          <w:color w:val="auto"/>
        </w:rPr>
      </w:pPr>
    </w:p>
    <w:p>
      <w:pPr>
        <w:ind w:left="600" w:hanging="175"/>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jc w:val="both"/>
        <w:ind w:firstLine="425"/>
        <w:spacing w:after="0" w:line="262" w:lineRule="auto"/>
        <w:tabs>
          <w:tab w:leader="none" w:pos="65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Series A Preferred Stock shall be entitled to notice of all stockholders meetings in accordance with the Company’s bylaws and the FBCA, and except as otherwise required by applicable law, the holders of the Series A Preferred Stock shall be entitled to vote on all matters submitted to the stockholders for a vote, voting together with the holders of the Common Stock as a single class, with each share of Common Stock entitled to one vote per share and each share of Series A Preferred Stock entitled to one vote for each share of Common Stock issuable upon conversion of the Series A Preferred Stock as of the record date for such vote or, if no record date is specified, as of the date of such vote.</w:t>
      </w:r>
    </w:p>
    <w:p>
      <w:pPr>
        <w:spacing w:after="0" w:line="70" w:lineRule="exact"/>
        <w:rPr>
          <w:rFonts w:ascii="Times New Roman" w:cs="Times New Roman" w:eastAsia="Times New Roman" w:hAnsi="Times New Roman"/>
          <w:sz w:val="17"/>
          <w:szCs w:val="17"/>
          <w:color w:val="auto"/>
        </w:rPr>
      </w:pPr>
    </w:p>
    <w:p>
      <w:pPr>
        <w:jc w:val="both"/>
        <w:ind w:firstLine="425"/>
        <w:spacing w:after="0" w:line="262" w:lineRule="auto"/>
        <w:tabs>
          <w:tab w:leader="none" w:pos="699"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any shares of Series A Preferred Stock are outstanding, the Company shall not, either directly or indirectly, by amendment, merger, reorganization, reclassification, recapitalization, conversion, consolidation or otherwise, do any of the following without (in addition to any other vote required by law or the Articles of Incorporation) the affirmative vote or consent of the Majority Holders, given in person or by proxy, either in writing by consent or by resolution adopted at an annual or special meeting and any act or transaction entered into without such vote or consent shall be void ab initio and of no force and effect:</w:t>
      </w:r>
    </w:p>
    <w:p>
      <w:pPr>
        <w:spacing w:after="0" w:line="380" w:lineRule="exact"/>
        <w:rPr>
          <w:rFonts w:ascii="Times New Roman" w:cs="Times New Roman" w:eastAsia="Times New Roman" w:hAnsi="Times New Roman"/>
          <w:sz w:val="17"/>
          <w:szCs w:val="17"/>
          <w:color w:val="auto"/>
        </w:rPr>
      </w:pPr>
    </w:p>
    <w:p>
      <w:pPr>
        <w:ind w:left="420" w:firstLine="426"/>
        <w:spacing w:after="0" w:line="288" w:lineRule="auto"/>
        <w:tabs>
          <w:tab w:leader="none" w:pos="1055"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create (by way of reclassification or otherwise) or issue any Senior Securities or any obligation or security convertible or exchangeable into or evidencing the right to purchase, shares of any class or series of Senior Securities;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2" w:lineRule="exact"/>
        <w:rPr>
          <w:sz w:val="20"/>
          <w:szCs w:val="20"/>
          <w:color w:val="auto"/>
        </w:rPr>
      </w:pPr>
    </w:p>
    <w:p>
      <w:pPr>
        <w:ind w:left="420" w:firstLine="426"/>
        <w:spacing w:after="0" w:line="288" w:lineRule="auto"/>
        <w:tabs>
          <w:tab w:leader="none" w:pos="109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reclassify, alter or amend any authorized Parity Securities, Senior Securities or Junior Securities of the Company, if such reclassification, alteration or amendment would render such other security senior to (or, in the case of Senior Securities, senior in additional respects to) the Series A Preferred Stock;</w:t>
      </w:r>
    </w:p>
    <w:p>
      <w:pPr>
        <w:spacing w:after="0" w:line="47" w:lineRule="exact"/>
        <w:rPr>
          <w:rFonts w:ascii="Times New Roman" w:cs="Times New Roman" w:eastAsia="Times New Roman" w:hAnsi="Times New Roman"/>
          <w:sz w:val="17"/>
          <w:szCs w:val="17"/>
          <w:color w:val="auto"/>
        </w:rPr>
      </w:pPr>
    </w:p>
    <w:p>
      <w:pPr>
        <w:ind w:left="420" w:firstLine="426"/>
        <w:spacing w:after="0" w:line="288" w:lineRule="auto"/>
        <w:tabs>
          <w:tab w:leader="none" w:pos="115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Series A Preferred Stock other than (A) the Series A Preferred Stock issued on the Series A Preferred Stock Issue Date and (B) PIK Dividends;</w:t>
      </w:r>
    </w:p>
    <w:p>
      <w:pPr>
        <w:spacing w:after="0" w:line="47"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4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third anniversary of the Series A Preferred Stock Issue Date, issue any Parity Securities or any obligation or security convertible or exchangeable into or evidencing the right to purchase, shares of any class or series of Parity Securities, in each case, to the extent that the aggregate liquidation preference in respect of all Parity Securities then outstanding (other than the Series A Preferred Stock) would exceed $325,000,000;</w:t>
      </w:r>
    </w:p>
    <w:p>
      <w:pPr>
        <w:spacing w:after="0" w:line="63" w:lineRule="exact"/>
        <w:rPr>
          <w:rFonts w:ascii="Times New Roman" w:cs="Times New Roman" w:eastAsia="Times New Roman" w:hAnsi="Times New Roman"/>
          <w:sz w:val="17"/>
          <w:szCs w:val="17"/>
          <w:color w:val="auto"/>
        </w:rPr>
      </w:pPr>
    </w:p>
    <w:p>
      <w:pPr>
        <w:ind w:left="420" w:firstLine="426"/>
        <w:spacing w:after="0" w:line="288" w:lineRule="auto"/>
        <w:tabs>
          <w:tab w:leader="none" w:pos="109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alter these Articles of Designation or the Articles of Incorporation in any manner that under the FBCA requires the prior vote as a separate class of the holders of Series A Preferred Stock;</w:t>
      </w:r>
    </w:p>
    <w:p>
      <w:pPr>
        <w:spacing w:after="0" w:line="47" w:lineRule="exact"/>
        <w:rPr>
          <w:rFonts w:ascii="Times New Roman" w:cs="Times New Roman" w:eastAsia="Times New Roman" w:hAnsi="Times New Roman"/>
          <w:sz w:val="17"/>
          <w:szCs w:val="17"/>
          <w:color w:val="auto"/>
        </w:rPr>
      </w:pPr>
    </w:p>
    <w:p>
      <w:pPr>
        <w:ind w:left="420" w:firstLine="426"/>
        <w:spacing w:after="0" w:line="288" w:lineRule="auto"/>
        <w:tabs>
          <w:tab w:leader="none" w:pos="115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alter these Articles of Designation or the Articles of Incorporation in any manner that would adversely affect the rights, privileges or preferences of the Series A Preferred Stock;</w:t>
      </w:r>
    </w:p>
    <w:p>
      <w:pPr>
        <w:spacing w:after="0" w:line="47" w:lineRule="exact"/>
        <w:rPr>
          <w:rFonts w:ascii="Times New Roman" w:cs="Times New Roman" w:eastAsia="Times New Roman" w:hAnsi="Times New Roman"/>
          <w:sz w:val="17"/>
          <w:szCs w:val="17"/>
          <w:color w:val="auto"/>
        </w:rPr>
      </w:pPr>
    </w:p>
    <w:p>
      <w:pPr>
        <w:ind w:left="420" w:firstLine="426"/>
        <w:spacing w:after="0" w:line="288" w:lineRule="auto"/>
        <w:tabs>
          <w:tab w:leader="none" w:pos="120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any dividend in cash to the Common Stock, other Junior Securities or Parity Securities in respect of any quarterly dividend unless the dividend payable in respect of such quarter on the Series A Preferred Stock is also paid in cash to the same extent; or</w:t>
      </w:r>
    </w:p>
    <w:p>
      <w:pPr>
        <w:spacing w:after="0" w:line="47" w:lineRule="exact"/>
        <w:rPr>
          <w:rFonts w:ascii="Times New Roman" w:cs="Times New Roman" w:eastAsia="Times New Roman" w:hAnsi="Times New Roman"/>
          <w:sz w:val="17"/>
          <w:szCs w:val="17"/>
          <w:color w:val="auto"/>
        </w:rPr>
      </w:pPr>
    </w:p>
    <w:p>
      <w:pPr>
        <w:ind w:left="420" w:firstLine="426"/>
        <w:spacing w:after="0" w:line="288" w:lineRule="auto"/>
        <w:tabs>
          <w:tab w:leader="none" w:pos="123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compliance with any provision of these Articles of Designation or take any actions intended to circumvent the provisions of these Articles of Designations.</w:t>
      </w:r>
    </w:p>
    <w:p>
      <w:pPr>
        <w:spacing w:after="0" w:line="47" w:lineRule="exact"/>
        <w:rPr>
          <w:rFonts w:ascii="Times New Roman" w:cs="Times New Roman" w:eastAsia="Times New Roman" w:hAnsi="Times New Roman"/>
          <w:sz w:val="17"/>
          <w:szCs w:val="17"/>
          <w:color w:val="auto"/>
        </w:rPr>
      </w:pPr>
    </w:p>
    <w:p>
      <w:pPr>
        <w:ind w:firstLine="425"/>
        <w:spacing w:after="0" w:line="288" w:lineRule="auto"/>
        <w:tabs>
          <w:tab w:leader="none" w:pos="65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consent of each holder affected, an amendment or waiver of the Company’s Articles of Incorporation or of these Articles of Designation may not (with respect to any shares of Series A Preferred Stock held by a non-consenting holder):</w:t>
      </w:r>
    </w:p>
    <w:p>
      <w:pPr>
        <w:spacing w:after="0" w:line="47" w:lineRule="exact"/>
        <w:rPr>
          <w:rFonts w:ascii="Times New Roman" w:cs="Times New Roman" w:eastAsia="Times New Roman" w:hAnsi="Times New Roman"/>
          <w:sz w:val="17"/>
          <w:szCs w:val="17"/>
          <w:color w:val="auto"/>
        </w:rPr>
      </w:pPr>
    </w:p>
    <w:p>
      <w:pPr>
        <w:ind w:left="420" w:firstLine="426"/>
        <w:spacing w:after="0" w:line="288" w:lineRule="auto"/>
        <w:tabs>
          <w:tab w:leader="none" w:pos="1052"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voting rights with respect to the Series A Preferred Stock or reduce the number of shares of Series A Preferred Stock whose holders must consent to an amendment, supplement or waiver;</w:t>
      </w:r>
    </w:p>
    <w:p>
      <w:pPr>
        <w:spacing w:after="0" w:line="383"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Liquidation Preference or alter the provisions with respect to the redemption of the Series A Preferred Stock;</w:t>
      </w:r>
    </w:p>
    <w:p>
      <w:pPr>
        <w:spacing w:after="0" w:line="114"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conversion rights of the holders of Series A Preferred Stock set forth in Section 5 hereof;</w:t>
      </w:r>
    </w:p>
    <w:p>
      <w:pPr>
        <w:spacing w:after="0" w:line="114"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payment of dividends on any share of Series A Preferred Stock;</w:t>
      </w:r>
    </w:p>
    <w:p>
      <w:pPr>
        <w:spacing w:after="0" w:line="114"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the consequences of any failure to pay dividends on the Series A Preferred Stock;</w:t>
      </w:r>
    </w:p>
    <w:p>
      <w:pPr>
        <w:spacing w:after="0" w:line="114"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share of Series A Preferred Stock payable in any form other than that stated in these Articles of Designation;</w:t>
      </w:r>
    </w:p>
    <w:p>
      <w:pPr>
        <w:spacing w:after="0" w:line="114" w:lineRule="exact"/>
        <w:rPr>
          <w:rFonts w:ascii="Times New Roman" w:cs="Times New Roman" w:eastAsia="Times New Roman" w:hAnsi="Times New Roman"/>
          <w:sz w:val="17"/>
          <w:szCs w:val="17"/>
          <w:color w:val="auto"/>
        </w:rPr>
      </w:pPr>
    </w:p>
    <w:p>
      <w:pPr>
        <w:ind w:left="420" w:firstLine="426"/>
        <w:spacing w:after="0" w:line="288" w:lineRule="auto"/>
        <w:tabs>
          <w:tab w:leader="none" w:pos="119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provisions of these Articles of Designation relating to waivers of the rights of holders of Series A Preferred Stock to receive the Liquidation Preference and dividends on the Series A Preferred Stock; or</w:t>
      </w:r>
    </w:p>
    <w:p>
      <w:pPr>
        <w:spacing w:after="0" w:line="47" w:lineRule="exact"/>
        <w:rPr>
          <w:rFonts w:ascii="Times New Roman" w:cs="Times New Roman" w:eastAsia="Times New Roman" w:hAnsi="Times New Roman"/>
          <w:sz w:val="17"/>
          <w:szCs w:val="17"/>
          <w:color w:val="auto"/>
        </w:rPr>
      </w:pPr>
    </w:p>
    <w:p>
      <w:pPr>
        <w:ind w:left="1240" w:hanging="394"/>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share of Series A Preferred Stock.</w:t>
      </w:r>
    </w:p>
    <w:p>
      <w:pPr>
        <w:spacing w:after="0" w:line="114" w:lineRule="exact"/>
        <w:rPr>
          <w:rFonts w:ascii="Times New Roman" w:cs="Times New Roman" w:eastAsia="Times New Roman" w:hAnsi="Times New Roman"/>
          <w:sz w:val="17"/>
          <w:szCs w:val="17"/>
          <w:color w:val="auto"/>
        </w:rPr>
      </w:pPr>
    </w:p>
    <w:p>
      <w:pPr>
        <w:jc w:val="both"/>
        <w:ind w:firstLine="425"/>
        <w:spacing w:after="0" w:line="270" w:lineRule="auto"/>
        <w:tabs>
          <w:tab w:leader="none" w:pos="67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nothing herein or otherwise in the Company’s Articles of Incorporation or bylaws shall limit or prevent the right of the holders of the Series A Preferred Stock from, to the fullest extent allowed by law, exercising the voting rights provided in this Section by written consent of the Majoirty Holders.</w:t>
      </w:r>
    </w:p>
    <w:p>
      <w:pPr>
        <w:spacing w:after="0" w:line="64" w:lineRule="exact"/>
        <w:rPr>
          <w:sz w:val="20"/>
          <w:szCs w:val="20"/>
          <w:color w:val="auto"/>
        </w:rPr>
      </w:pPr>
    </w:p>
    <w:p>
      <w:pPr>
        <w:ind w:left="600" w:hanging="175"/>
        <w:spacing w:after="0"/>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Observer; Information Rights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firstLine="425"/>
        <w:spacing w:after="0" w:line="288" w:lineRule="auto"/>
        <w:tabs>
          <w:tab w:leader="none" w:pos="65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Holders shall have the right to appoint one individual (the “</w:t>
      </w:r>
      <w:r>
        <w:rPr>
          <w:rFonts w:ascii="Times New Roman" w:cs="Times New Roman" w:eastAsia="Times New Roman" w:hAnsi="Times New Roman"/>
          <w:sz w:val="17"/>
          <w:szCs w:val="17"/>
          <w:u w:val="single" w:color="auto"/>
          <w:color w:val="auto"/>
        </w:rPr>
        <w:t>Board Observer</w:t>
      </w:r>
      <w:r>
        <w:rPr>
          <w:rFonts w:ascii="Times New Roman" w:cs="Times New Roman" w:eastAsia="Times New Roman" w:hAnsi="Times New Roman"/>
          <w:sz w:val="17"/>
          <w:szCs w:val="17"/>
          <w:color w:val="auto"/>
        </w:rPr>
        <w:t>”) to attend as a nonvoting observer all meetings of the Company’s Board of Directors and each committee thereof, except for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21</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portion of a meeting of the Board of Directors that intends to consider, or any committee formed to consider, a transaction between the Company and the Initial Holders, any of their Affiliates or any holder that is Affiliated with the Board Observer or an Affiliate of any holder that is Affiliated with the Board Observer, and provided that the Board Observer is subject to a customary non-disclosure agreement. The Company shall provide the Board Observer with</w:t>
      </w:r>
    </w:p>
    <w:p>
      <w:pPr>
        <w:spacing w:after="0" w:line="2" w:lineRule="exact"/>
        <w:rPr>
          <w:sz w:val="20"/>
          <w:szCs w:val="20"/>
          <w:color w:val="auto"/>
        </w:rPr>
      </w:pPr>
    </w:p>
    <w:p>
      <w:pPr>
        <w:jc w:val="both"/>
        <w:ind w:firstLine="3"/>
        <w:spacing w:after="0" w:line="257" w:lineRule="auto"/>
        <w:tabs>
          <w:tab w:leader="none" w:pos="2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all meetings of the Board of Directors and (ii) all information delivered to the members of such Board of Directors (or committees thereof) prior to such meetings, and all other materials, including proposed written consent actions, otherwise provided to the Board of Directors, at the same time such notice and information is delivered to the members of the Board of Directors. Notwithstanding the above, the Company has the right to withhold any information from the Board Observer and to exclude the Board Observer from any meeting or portion thereof of the Board of Directors or committees thereof if access to such information or attendance at such meeting, could:</w:t>
      </w:r>
    </w:p>
    <w:p>
      <w:pPr>
        <w:spacing w:after="0" w:line="383"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the attorney-client privilege between the Company and its counsel;</w:t>
      </w:r>
    </w:p>
    <w:p>
      <w:pPr>
        <w:spacing w:after="0" w:line="114"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Board of Directors to breach its duties to the Company and its stockholders; or</w:t>
      </w:r>
    </w:p>
    <w:p>
      <w:pPr>
        <w:spacing w:after="0" w:line="114"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direct conflict between interests of the Company, on the one hand, and those of the Board Observer or its Affiliates, on the other hand.</w:t>
      </w:r>
    </w:p>
    <w:p>
      <w:pPr>
        <w:spacing w:after="0" w:line="115"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auto"/>
        </w:rPr>
        <w:t>The Company will use its reasonable efforts to ensure that any withholding of information or any restriction on attendance is limited only to the extent necessary set forth in the preceding sentence. Notwithstanding anything in the foregoing to the contrary, the Company shall be entitled to take actions and establish procedures to the extent reasonably required to restrict the access of the Board Observer to any restricted national security data of the Company or of any other Person whose national security data is in the possession or control of the Company. The Board Observer shall not have any authority to bind the Company.</w:t>
      </w:r>
    </w:p>
    <w:p>
      <w:pPr>
        <w:spacing w:after="0" w:line="67" w:lineRule="exact"/>
        <w:rPr>
          <w:sz w:val="20"/>
          <w:szCs w:val="20"/>
          <w:color w:val="auto"/>
        </w:rPr>
      </w:pPr>
    </w:p>
    <w:p>
      <w:pPr>
        <w:jc w:val="both"/>
        <w:ind w:firstLine="425"/>
        <w:spacing w:after="0" w:line="262" w:lineRule="auto"/>
        <w:tabs>
          <w:tab w:leader="none" w:pos="67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permit the Initial Holders, at the Initial Holders’ expense and upon reasonable prior notice and such other reasonable conditions as requested by the Company, to visit and inspect the Company’s properties, to examine its books of account and records and to discuss its affairs, finances and accounts with such officers as are designated by the Company, all at such reasonable times as may be requested by the Initial Holders; provided, however, that the Company shall not be obligated pursuant to this Section 9(b) to provide access to any information which it reasonably considers to be a trade secret or similar confidential information or such other information as is contemplated by Section 9(a) above.</w:t>
      </w:r>
    </w:p>
    <w:p>
      <w:pPr>
        <w:spacing w:after="0" w:line="70" w:lineRule="exact"/>
        <w:rPr>
          <w:rFonts w:ascii="Times New Roman" w:cs="Times New Roman" w:eastAsia="Times New Roman" w:hAnsi="Times New Roman"/>
          <w:sz w:val="17"/>
          <w:szCs w:val="17"/>
          <w:color w:val="auto"/>
        </w:rPr>
      </w:pPr>
    </w:p>
    <w:p>
      <w:pPr>
        <w:jc w:val="both"/>
        <w:ind w:firstLine="425"/>
        <w:spacing w:after="0" w:line="270" w:lineRule="auto"/>
        <w:tabs>
          <w:tab w:leader="none" w:pos="65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at such time as the aggregate amount of outstanding shares of Series A Preferred Stock Beneficially Owned by the Initial Holders is less than 50% of the shares of Series A Preferred Stock issued to the Initial Holders on the Original Issuance Date, the Initial Holders shall no longer be entitled to appoint the Board Observer under Section 9(a) or receive the information and access rights under Section 9(b).</w:t>
      </w:r>
    </w:p>
    <w:p>
      <w:pPr>
        <w:spacing w:after="0" w:line="64" w:lineRule="exact"/>
        <w:rPr>
          <w:sz w:val="20"/>
          <w:szCs w:val="20"/>
          <w:color w:val="auto"/>
        </w:rPr>
      </w:pPr>
    </w:p>
    <w:p>
      <w:pPr>
        <w:jc w:val="both"/>
        <w:ind w:firstLine="425"/>
        <w:spacing w:after="0" w:line="270"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These Articles of Designation shall not be amended, either directly or indirectly, or through merger or consolidation with another entity or otherwise, in any manner that would alter or change the powers, preferences or special rights of the Series A Preferred Stock so as to affect them adversely without the affirmative vote of the Majority Holders, voting separately as a class.</w:t>
      </w:r>
    </w:p>
    <w:p>
      <w:pPr>
        <w:spacing w:after="0" w:line="63" w:lineRule="exact"/>
        <w:rPr>
          <w:rFonts w:ascii="Times New Roman" w:cs="Times New Roman" w:eastAsia="Times New Roman" w:hAnsi="Times New Roman"/>
          <w:sz w:val="17"/>
          <w:szCs w:val="17"/>
          <w:color w:val="auto"/>
        </w:rPr>
      </w:pPr>
    </w:p>
    <w:p>
      <w:pPr>
        <w:jc w:val="both"/>
        <w:ind w:firstLine="425"/>
        <w:spacing w:after="0" w:line="270" w:lineRule="auto"/>
        <w:tabs>
          <w:tab w:leader="none" w:pos="68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Exclusion of Other Rights</w:t>
      </w:r>
      <w:r>
        <w:rPr>
          <w:rFonts w:ascii="Times New Roman" w:cs="Times New Roman" w:eastAsia="Times New Roman" w:hAnsi="Times New Roman"/>
          <w:sz w:val="17"/>
          <w:szCs w:val="17"/>
          <w:color w:val="auto"/>
        </w:rPr>
        <w:t>. Except as may otherwise be required by law, the shares of Series A Preferred Stock shall not have any voting powers, preferences and relative, participating, optional or other special rights, other than those specifically set forth in this resolution (as such resolution may be amended from time to time) and in the Articles of Incorporation. The shares of Series A Preferred Stock shall have no preemptive or subscription rights.</w:t>
      </w:r>
    </w:p>
    <w:p>
      <w:pPr>
        <w:spacing w:after="0" w:line="63" w:lineRule="exact"/>
        <w:rPr>
          <w:rFonts w:ascii="Times New Roman" w:cs="Times New Roman" w:eastAsia="Times New Roman" w:hAnsi="Times New Roman"/>
          <w:sz w:val="17"/>
          <w:szCs w:val="17"/>
          <w:color w:val="auto"/>
        </w:rPr>
      </w:pPr>
    </w:p>
    <w:p>
      <w:pPr>
        <w:ind w:firstLine="425"/>
        <w:spacing w:after="0" w:line="288"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 of Subdivisions</w:t>
      </w:r>
      <w:r>
        <w:rPr>
          <w:rFonts w:ascii="Times New Roman" w:cs="Times New Roman" w:eastAsia="Times New Roman" w:hAnsi="Times New Roman"/>
          <w:sz w:val="17"/>
          <w:szCs w:val="17"/>
          <w:color w:val="auto"/>
        </w:rPr>
        <w:t>. The headings of the various subdivisions hereof are for convenience of reference only and shall not affect the interpretation of any of the provisions hereof.</w:t>
      </w:r>
    </w:p>
    <w:p>
      <w:pPr>
        <w:spacing w:after="0" w:line="357" w:lineRule="exact"/>
        <w:rPr>
          <w:rFonts w:ascii="Times New Roman" w:cs="Times New Roman" w:eastAsia="Times New Roman" w:hAnsi="Times New Roman"/>
          <w:sz w:val="17"/>
          <w:szCs w:val="17"/>
          <w:color w:val="auto"/>
        </w:rPr>
      </w:pPr>
    </w:p>
    <w:p>
      <w:pPr>
        <w:jc w:val="both"/>
        <w:ind w:firstLine="425"/>
        <w:spacing w:after="0" w:line="270"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If any voting powers, preferences and relative, participating, optional and other special rights of the Series A Preferred Stock and qualifications, limitations and restrictions thereof set forth in this resolution (as such resolution may be amended from time to time) is invalid, unlawful or incapable of being enforced by reason of any rule of law or public policy, all other voting powers, preferences and relative,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participating, optional and other special rights of Series A Preferred Stock and qualifications, limitations and restrictions thereof set forth in this resolution (as so amended) which can be given effect without the invalid, unlawful or unenforceable voting powers, preferences and relative, participating, optional or other special rights of Series A Preferred Stock and qualifications, limitations and restrictions thereof shall, nevertheless, remain in full force and effect and no voting powers, preferences and relative, participating, optional or other special rights of Series A Preferred Stock and qualifications, limitations and restrictions thereof herein set forth shall be deemed dependent upon any other such voting powers, preferences and relative, participating, optional or other special rights of Series A Preferred Stock and qualifications, limitations and restrictions thereof unless so expressed herein.</w:t>
      </w:r>
    </w:p>
    <w:p>
      <w:pPr>
        <w:spacing w:after="0" w:line="73" w:lineRule="exact"/>
        <w:rPr>
          <w:sz w:val="20"/>
          <w:szCs w:val="20"/>
          <w:color w:val="auto"/>
        </w:rPr>
      </w:pPr>
    </w:p>
    <w:p>
      <w:pPr>
        <w:jc w:val="both"/>
        <w:ind w:firstLine="425"/>
        <w:spacing w:after="0" w:line="262" w:lineRule="auto"/>
        <w:tabs>
          <w:tab w:leader="none" w:pos="69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Series A Preferred Stock</w:t>
      </w:r>
      <w:r>
        <w:rPr>
          <w:rFonts w:ascii="Times New Roman" w:cs="Times New Roman" w:eastAsia="Times New Roman" w:hAnsi="Times New Roman"/>
          <w:sz w:val="17"/>
          <w:szCs w:val="17"/>
          <w:color w:val="auto"/>
        </w:rPr>
        <w:t>. Shares of Series A Preferred Stock that have been issued and reacquired in any manner, including shares purchased or redeemed or exchanged or converted, shall (upon compliance with any applicable provisions of the laws of Florida)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A Preferred Stock must be in compliance with the terms hereof.</w:t>
      </w:r>
    </w:p>
    <w:p>
      <w:pPr>
        <w:spacing w:after="0" w:line="70" w:lineRule="exact"/>
        <w:rPr>
          <w:rFonts w:ascii="Times New Roman" w:cs="Times New Roman" w:eastAsia="Times New Roman" w:hAnsi="Times New Roman"/>
          <w:sz w:val="17"/>
          <w:szCs w:val="17"/>
          <w:color w:val="auto"/>
        </w:rPr>
      </w:pPr>
    </w:p>
    <w:p>
      <w:pPr>
        <w:jc w:val="both"/>
        <w:ind w:firstLine="425"/>
        <w:spacing w:after="0" w:line="260"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Mutilated or Missing Series A Preferred Stock Certificates</w:t>
      </w:r>
      <w:r>
        <w:rPr>
          <w:rFonts w:ascii="Times New Roman" w:cs="Times New Roman" w:eastAsia="Times New Roman" w:hAnsi="Times New Roman"/>
          <w:sz w:val="17"/>
          <w:szCs w:val="17"/>
          <w:color w:val="auto"/>
        </w:rPr>
        <w:t>. If physical certificates are issued for the Series A Preferred Stock and if any of such Series A Preferred Stock certificates shall be mutilated, lost, stolen or destroyed, the Company shall issue, at the holder’s expense, in exchange and in substitution for and upon cancellation of the mutilated Series A Preferred Stock certificate, or in lieu of and substitution for the Series A Preferred Stock certificate lost, stolen or destroyed, a new Series A Preferred Stock certificate of like tenor and representing an equivalent amount of shares of Series A Preferred Stock, but only upon receipt of evidence of such loss, theft or destruction of such Series A Preferred Stock certificate and indemnity, if requested, satisfactory to the Company and the Transfer Agent (if other than the Company).</w:t>
      </w:r>
    </w:p>
    <w:p>
      <w:pPr>
        <w:spacing w:after="0" w:line="73" w:lineRule="exact"/>
        <w:rPr>
          <w:rFonts w:ascii="Times New Roman" w:cs="Times New Roman" w:eastAsia="Times New Roman" w:hAnsi="Times New Roman"/>
          <w:sz w:val="17"/>
          <w:szCs w:val="17"/>
          <w:color w:val="auto"/>
        </w:rPr>
      </w:pPr>
    </w:p>
    <w:p>
      <w:pPr>
        <w:jc w:val="both"/>
        <w:ind w:firstLine="425"/>
        <w:spacing w:after="0" w:line="268"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The Transfer Agent, conversion agent, registrar and paying agent shall initially be the Company. The Company may appoint a successor to any one or more of such roles (and may remove any such successor in accordance with any agreement with such successor and appoint a new successor). Upon any such removal or appointment, the Company shall notify the holders of the Series A Preferred Stock thereof.</w:t>
      </w:r>
    </w:p>
    <w:p>
      <w:pPr>
        <w:spacing w:after="0" w:line="275" w:lineRule="exact"/>
        <w:rPr>
          <w:rFonts w:ascii="Times New Roman" w:cs="Times New Roman" w:eastAsia="Times New Roman" w:hAnsi="Times New Roman"/>
          <w:sz w:val="17"/>
          <w:szCs w:val="17"/>
          <w:color w:val="auto"/>
        </w:rPr>
      </w:pPr>
    </w:p>
    <w:p>
      <w:pPr>
        <w:jc w:val="both"/>
        <w:ind w:firstLine="425"/>
        <w:spacing w:after="0" w:line="270" w:lineRule="auto"/>
        <w:tabs>
          <w:tab w:leader="none" w:pos="69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All payments and distributions (or deemed distributions) on the shares of Series A Preferred Stock (and any shares of Common Stock issued upon conversion thereof) shall be subject to withholding and backup withholding of tax to the extent required by law, and such amounts withheld, if any, shall be treated as received by the holders of Series A Preferred Stock.</w:t>
      </w:r>
    </w:p>
    <w:p>
      <w:pPr>
        <w:spacing w:after="0" w:line="63" w:lineRule="exact"/>
        <w:rPr>
          <w:rFonts w:ascii="Times New Roman" w:cs="Times New Roman" w:eastAsia="Times New Roman" w:hAnsi="Times New Roman"/>
          <w:sz w:val="17"/>
          <w:szCs w:val="17"/>
          <w:color w:val="auto"/>
        </w:rPr>
      </w:pPr>
    </w:p>
    <w:p>
      <w:pPr>
        <w:jc w:val="both"/>
        <w:ind w:firstLine="425"/>
        <w:spacing w:after="0" w:line="270"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Except to the extent expressly provided herein, any provision contained herein and any right of the holders of Series A Preferred Stock granted hereunder may be waived as to all shares of Series A Preferred Stock (and the holders thereof) upon the written consent of the Board (or an authorized committee thereof) and the Majority Holders.</w:t>
      </w:r>
    </w:p>
    <w:p>
      <w:pPr>
        <w:spacing w:after="0" w:line="373" w:lineRule="exact"/>
        <w:rPr>
          <w:rFonts w:ascii="Times New Roman" w:cs="Times New Roman" w:eastAsia="Times New Roman" w:hAnsi="Times New Roman"/>
          <w:sz w:val="17"/>
          <w:szCs w:val="17"/>
          <w:color w:val="auto"/>
        </w:rPr>
      </w:pPr>
    </w:p>
    <w:p>
      <w:pPr>
        <w:ind w:firstLine="425"/>
        <w:spacing w:after="0" w:line="288"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these Articles of Designation, the following terms shall have the following meanings (with terms defined in the singular having comparable meanings when used in the plural and vice versa), unless the context otherwise requires:</w:t>
      </w:r>
    </w:p>
    <w:p>
      <w:pPr>
        <w:spacing w:after="0" w:line="48"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specified Person, any Person that, directly or indirectly, controls, is controlled by, or is under common control with, such specified Person, through one or more intermediaries or otherwise. For purposes hereof, “control” (including, with correlative meaning, the terms “controlled by” and “under common control with”) means the possession, direct or indirect, of the power to direct or cause the direction of the management or policies of such Person, whether through the ownership of voting securities, by contract or otherwise.</w:t>
      </w:r>
    </w:p>
    <w:p>
      <w:pPr>
        <w:spacing w:after="0" w:line="67"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Owned</w:t>
      </w:r>
      <w:r>
        <w:rPr>
          <w:rFonts w:ascii="Times New Roman" w:cs="Times New Roman" w:eastAsia="Times New Roman" w:hAnsi="Times New Roman"/>
          <w:sz w:val="17"/>
          <w:szCs w:val="17"/>
          <w:color w:val="auto"/>
        </w:rPr>
        <w:t>” means with respect to any securities having “beneficial ownership” of such securities (as determined pursuant to Rule 13d-3 under the Exchange Act).</w:t>
      </w:r>
    </w:p>
    <w:p>
      <w:pPr>
        <w:spacing w:after="0" w:line="48"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Sunday or other day on which commercial banks in New York, New York are authorized or required by Law to close.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92" w:lineRule="exact"/>
        <w:rPr>
          <w:sz w:val="20"/>
          <w:szCs w:val="20"/>
          <w:color w:val="auto"/>
        </w:rPr>
      </w:pPr>
    </w:p>
    <w:p>
      <w:pPr>
        <w:jc w:val="both"/>
        <w:ind w:firstLine="42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occurrence of any of the following events: (a) any “person” or “group” (as such terms are used in Sections 13(d) and 14(d) of the Exchange Act), is or becomes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more than 50% of the total voting capital stock of the Company after the date hereof; (b) the Company consolidates with, or merges with or into, or enters into any other business combination with, another Person or sells, assigns, conveys, transfers, leases or otherwise disposes of all or substantially all of its assets to any Person, or any Person consolidates with, or merges with or into, the Company, in any such event in a transaction in which the outstanding voting capital stock of the Company is converted into or exchanged for cash, securities or other property, provided that following such transaction the holders of voting stock of the Company immediately prior to such transaction do not own more than 50% of the voting stock of the company surviving such transaction or to which such assets are transferred (unless the Majority Holders elect not to treat such transaction as a Change in Control), or (c) any merger, consolidation or other business combination of the Company with or into another Person that results in the cancellation of any shares of Series A Preferred Stock or that results in the conversion or exchange of any shares of Series A Preferred Stock into or for (1) shares of any other class or series of capital stock of the Company, (2) capital stock of the Company or any other Person (or the right to receive any such capital stock), (3) any property (including, without limitation, cash and the right to receive cash or property) or (4) any combination of the foregoing (unless the Majority Holders elect not to treat such transaction as a Change in Control).</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par value $.01 per share, of the Company as presently constituted.</w:t>
      </w:r>
    </w:p>
    <w:p>
      <w:pPr>
        <w:spacing w:after="0" w:line="200" w:lineRule="exact"/>
        <w:rPr>
          <w:sz w:val="20"/>
          <w:szCs w:val="20"/>
          <w:color w:val="auto"/>
        </w:rPr>
      </w:pPr>
    </w:p>
    <w:p>
      <w:pPr>
        <w:spacing w:after="0" w:line="225"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w:t>
      </w:r>
      <w:r>
        <w:rPr>
          <w:rFonts w:ascii="Times New Roman" w:cs="Times New Roman" w:eastAsia="Times New Roman" w:hAnsi="Times New Roman"/>
          <w:sz w:val="17"/>
          <w:szCs w:val="17"/>
          <w:color w:val="auto"/>
        </w:rPr>
        <w:t>”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w:t>
      </w:r>
    </w:p>
    <w:p>
      <w:pPr>
        <w:spacing w:after="0" w:line="64"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shall initially equal 110% of the lower of (a) $28.90 and (b) the Thirty Day VWAP prior to the Series A Preferred Stock Issue Date, and thereafter shall be subject to adjustment from time to time pursuant to the terms of Section 5 hereof.</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Current Market Price</w:t>
      </w:r>
      <w:r>
        <w:rPr>
          <w:rFonts w:ascii="Times New Roman" w:cs="Times New Roman" w:eastAsia="Times New Roman" w:hAnsi="Times New Roman"/>
          <w:sz w:val="17"/>
          <w:szCs w:val="17"/>
          <w:color w:val="auto"/>
        </w:rPr>
        <w:t>” per share of Common Stock on any day shall be deemed to be the average of the closing prices of the Common Stock for the twenty</w:t>
      </w:r>
    </w:p>
    <w:p>
      <w:pPr>
        <w:spacing w:after="0" w:line="28" w:lineRule="exact"/>
        <w:rPr>
          <w:sz w:val="20"/>
          <w:szCs w:val="20"/>
          <w:color w:val="auto"/>
        </w:rPr>
      </w:pPr>
    </w:p>
    <w:p>
      <w:pPr>
        <w:jc w:val="both"/>
        <w:ind w:firstLine="3"/>
        <w:spacing w:after="0" w:line="260" w:lineRule="auto"/>
        <w:tabs>
          <w:tab w:leader="none" w:pos="34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consecutive Trading Days ending the day before the day in question, except with respect to issuances of Common Stock or Common Stock Equivalent to employees, directors and consultants, in which case Current Market Price shall be the fair market value of such Common Stock or Common Stock Equivalent on the date of issuance as calculated in accordance with standard Company practices.</w:t>
      </w:r>
    </w:p>
    <w:p>
      <w:pPr>
        <w:spacing w:after="0" w:line="72"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VWAP</w:t>
      </w:r>
      <w:r>
        <w:rPr>
          <w:rFonts w:ascii="Times New Roman" w:cs="Times New Roman" w:eastAsia="Times New Roman" w:hAnsi="Times New Roman"/>
          <w:sz w:val="17"/>
          <w:szCs w:val="17"/>
          <w:color w:val="auto"/>
        </w:rPr>
        <w:t>” means the volume-weighted average price per share of Common Stock as displayed under the heading “Bloomberg VWAP” on the Bloomberg page for the “&lt;equity&gt; AQR” page corresponding to the “ticker” for such Common Stock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such Common Stock on such Trading Day. The “volume weighted average price” shall be determined without regard to after-hours trading or any other trading outside of the regular trading session trading hours.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FBCA</w:t>
      </w:r>
      <w:r>
        <w:rPr>
          <w:rFonts w:ascii="Times New Roman" w:cs="Times New Roman" w:eastAsia="Times New Roman" w:hAnsi="Times New Roman"/>
          <w:sz w:val="17"/>
          <w:szCs w:val="17"/>
          <w:color w:val="auto"/>
        </w:rPr>
        <w:t>” means the Florida Business Corporation Act, as amended.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Holders</w:t>
      </w:r>
      <w:r>
        <w:rPr>
          <w:rFonts w:ascii="Times New Roman" w:cs="Times New Roman" w:eastAsia="Times New Roman" w:hAnsi="Times New Roman"/>
          <w:sz w:val="17"/>
          <w:szCs w:val="17"/>
          <w:color w:val="auto"/>
        </w:rPr>
        <w:t>” means the recipients of the Series A Preferred Stock on the Series A Preferred Stock Issue Date.</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means $1,000 per share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 Holders</w:t>
      </w:r>
      <w:r>
        <w:rPr>
          <w:rFonts w:ascii="Times New Roman" w:cs="Times New Roman" w:eastAsia="Times New Roman" w:hAnsi="Times New Roman"/>
          <w:sz w:val="17"/>
          <w:szCs w:val="17"/>
          <w:color w:val="auto"/>
        </w:rPr>
        <w:t>” means the holders who at any point in time hold at least 50.1% of the then outstanding shares of the Series A Preferred Stock.</w:t>
      </w:r>
    </w:p>
    <w:p>
      <w:pPr>
        <w:spacing w:after="0" w:line="115"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firm, corporation, partnership, limited liability company, incorporated or unincorporated association, joint venture, joint stock company, Governmental Authority or other entity of any kind.</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w:t>
      </w:r>
      <w:r>
        <w:rPr>
          <w:rFonts w:ascii="Times New Roman" w:cs="Times New Roman" w:eastAsia="Times New Roman" w:hAnsi="Times New Roman"/>
          <w:sz w:val="17"/>
          <w:szCs w:val="17"/>
          <w:color w:val="auto"/>
        </w:rPr>
        <w:t>” means a transfer by the holder of Series A Preferred Stock in accordance with all applicable laws and regulations.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means the recipient of a Permitted Transfer.</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w:t>
      </w: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w:t>
      </w:r>
    </w:p>
    <w:p>
      <w:pPr>
        <w:spacing w:after="0" w:line="115"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Preferred Stock Issue Date</w:t>
      </w:r>
      <w:r>
        <w:rPr>
          <w:rFonts w:ascii="Times New Roman" w:cs="Times New Roman" w:eastAsia="Times New Roman" w:hAnsi="Times New Roman"/>
          <w:sz w:val="17"/>
          <w:szCs w:val="17"/>
          <w:color w:val="auto"/>
        </w:rPr>
        <w:t>” means the date on which the Series A Preferred Stock was originally issued by the Company to the Initial Holders under these Articles of Designation.</w:t>
      </w:r>
    </w:p>
    <w:p>
      <w:pPr>
        <w:spacing w:after="0" w:line="48"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Thirty Day VWAP</w:t>
      </w:r>
      <w:r>
        <w:rPr>
          <w:rFonts w:ascii="Times New Roman" w:cs="Times New Roman" w:eastAsia="Times New Roman" w:hAnsi="Times New Roman"/>
          <w:sz w:val="17"/>
          <w:szCs w:val="17"/>
          <w:color w:val="auto"/>
        </w:rPr>
        <w:t>” means, with respect to a security, the average of the Daily VWAP of such security for each day during a thirty (30) consecutive Trading Day period ending immediately prior to the date of determination.</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any day on which the New York Stock Exchange or other applicable stock exchange or market is open for business.</w:t>
      </w:r>
    </w:p>
    <w:p>
      <w:pPr>
        <w:spacing w:after="0" w:line="115"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as a noun, any voluntary or involuntary transfer, sale, pledge, hypothecation, gift, or other disposition and, as a verb, voluntarily or involuntarily to transfer, sell, pledge, hypothecate, give, or otherwise dispose of. A Transfer of shares of Series A Preferred Stock held by a stockholder shall also include any Transfer of such stockholder or any direct or indirect interest in a stockholder that constitutes a direct or indirect change of control of the stockholder.</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shall be the Company unless and until a successor is selected by the Company as provided herein.</w:t>
      </w:r>
    </w:p>
    <w:p>
      <w:pPr>
        <w:spacing w:after="0" w:line="200" w:lineRule="exact"/>
        <w:rPr>
          <w:sz w:val="20"/>
          <w:szCs w:val="20"/>
          <w:color w:val="auto"/>
        </w:rPr>
      </w:pPr>
    </w:p>
    <w:p>
      <w:pPr>
        <w:spacing w:after="0" w:line="225" w:lineRule="exact"/>
        <w:rPr>
          <w:sz w:val="20"/>
          <w:szCs w:val="20"/>
          <w:color w:val="auto"/>
        </w:rPr>
      </w:pPr>
    </w:p>
    <w:p>
      <w:pPr>
        <w:ind w:right="2020" w:firstLine="422"/>
        <w:spacing w:after="0" w:line="415" w:lineRule="auto"/>
        <w:rPr>
          <w:sz w:val="20"/>
          <w:szCs w:val="20"/>
          <w:color w:val="auto"/>
        </w:rPr>
      </w:pPr>
      <w:r>
        <w:rPr>
          <w:rFonts w:ascii="Times New Roman" w:cs="Times New Roman" w:eastAsia="Times New Roman" w:hAnsi="Times New Roman"/>
          <w:sz w:val="17"/>
          <w:szCs w:val="17"/>
          <w:color w:val="auto"/>
        </w:rPr>
        <w:t>IN WITNESS WHEREOF, the Company has caused these Articles of Amendment to be executed by its duly authorized officer. Dated: December 13, 2012</w:t>
      </w:r>
    </w:p>
    <w:p>
      <w:pPr>
        <w:spacing w:after="0" w:line="200" w:lineRule="exact"/>
        <w:rPr>
          <w:sz w:val="20"/>
          <w:szCs w:val="20"/>
          <w:color w:val="auto"/>
        </w:rPr>
      </w:pPr>
    </w:p>
    <w:p>
      <w:pPr>
        <w:spacing w:after="0" w:line="37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OCWEN FINANCIAL</w:t>
      </w:r>
    </w:p>
    <w:p>
      <w:pPr>
        <w:spacing w:after="0" w:line="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CORPORATION</w:t>
      </w:r>
    </w:p>
    <w:p>
      <w:pPr>
        <w:spacing w:after="0" w:line="28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41910</wp:posOffset>
            </wp:positionV>
            <wp:extent cx="14935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82" w:lineRule="exact"/>
        <w:rPr>
          <w:sz w:val="20"/>
          <w:szCs w:val="20"/>
          <w:color w:val="auto"/>
        </w:rPr>
      </w:pPr>
    </w:p>
    <w:p>
      <w:pPr>
        <w:ind w:left="5060"/>
        <w:spacing w:after="0"/>
        <w:tabs>
          <w:tab w:leader="none" w:pos="56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John V. Britti</w:t>
      </w:r>
    </w:p>
    <w:p>
      <w:pPr>
        <w:spacing w:after="0" w:line="89" w:lineRule="exact"/>
        <w:rPr>
          <w:sz w:val="20"/>
          <w:szCs w:val="20"/>
          <w:color w:val="auto"/>
        </w:rPr>
      </w:pPr>
    </w:p>
    <w:p>
      <w:pPr>
        <w:ind w:left="5060"/>
        <w:spacing w:after="0"/>
        <w:tabs>
          <w:tab w:leader="none" w:pos="564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25</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AMENDMENT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ARTICLES OF INCORPORATION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OCWEN FINANCIAL CORPORATION</w:t>
      </w:r>
    </w:p>
    <w:p>
      <w:pPr>
        <w:spacing w:after="0" w:line="200" w:lineRule="exact"/>
        <w:rPr>
          <w:sz w:val="20"/>
          <w:szCs w:val="20"/>
          <w:color w:val="auto"/>
        </w:rPr>
      </w:pPr>
    </w:p>
    <w:p>
      <w:pPr>
        <w:spacing w:after="0" w:line="25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Ocwen Financial Corporation, a Florida corporation (the “Corporation”), acting pursuant to the provisions of Sections 607.1006 and 607.10025 of the Florida Business Corporation Act, does hereby adopt the following Articles of Amendment to its Amended and Restated Articles of Incorporation: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The name of the Corporation is: Ocwen Financial Corporation.</w:t>
      </w:r>
    </w:p>
    <w:p>
      <w:pPr>
        <w:spacing w:after="0" w:line="200" w:lineRule="exact"/>
        <w:rPr>
          <w:sz w:val="20"/>
          <w:szCs w:val="20"/>
          <w:color w:val="auto"/>
        </w:rPr>
      </w:pPr>
    </w:p>
    <w:p>
      <w:pPr>
        <w:spacing w:after="0" w:line="2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SECOND: These Articles of Amendment have been adopted and approved in connection with a share division pursuant to Section 607.10025 of the Florida Business Corporation Act. The resolutions approving the division of shares were adopted and approved by the Board of Directors of the Corporation on July 27, 2020, without shareholder action. Shareholder action was not required pursuant to Section 607.10025(2) of the Florida Business Corporation Act.</w:t>
      </w:r>
    </w:p>
    <w:p>
      <w:pPr>
        <w:spacing w:after="0" w:line="4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THIRD: The amendment to the Amended and Restated Articles of Incorporation set forth below does not adversely affect the rights or preferences of the holders of outstanding shares of the Corporation’s common stock, and the percentage of authorized shares of the Corporation’s common stock remaining unissued after the division will not exceed the percentage of authorized shares of the Corporation’s common stock that were unissued before the division.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FOURTH: Paragraph one (1) of Article III of the Amended and Restated Articles of Incorporation shall be deleted in its entirety and replaced with the following:</w:t>
      </w:r>
    </w:p>
    <w:p>
      <w:pPr>
        <w:spacing w:after="0" w:line="200" w:lineRule="exact"/>
        <w:rPr>
          <w:sz w:val="20"/>
          <w:szCs w:val="20"/>
          <w:color w:val="auto"/>
        </w:rPr>
      </w:pPr>
    </w:p>
    <w:p>
      <w:pPr>
        <w:spacing w:after="0" w:line="25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 total number of shares of stock of all classes and series the Company shall have authority to issue is 33,333,333 shares consisting of (i) 13,333,333 shares of common stock, par value of $0.01 per share, and (ii) 20,000,000 shares of preferred stock, par value $0.01 per share, with such rights, preferences and limitations as may be set from time to time by resolution of the board of directors and the filing of Articles of Amendment as required by the Florida Business Corporation Act. Upon the filing and effectiveness (the “Effective Time”) pursuant to the Florida Business Corporation Act of these Articles of Amendment, each fifteen (15) shares of Common Stock either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Shareholders who otherwise would be entitled to receive fractional shares of Common Stock shall be entitled to receive shares rounded up to the nearest whole share. Each certificate that immediately prior to the Effective Time represented shares of Common Stock (“Old Certificates”), shall from and after the Effective Time, automatically and without the necessity of presenting the same for exchange, represent that number of shares of Common Stock into which the shares of Common Stock represented by the Old Certificate shall have been combined, subject to the elimination of fractional share interests as described above.”</w:t>
      </w:r>
    </w:p>
    <w:p>
      <w:pPr>
        <w:spacing w:after="0" w:line="200" w:lineRule="exact"/>
        <w:rPr>
          <w:sz w:val="20"/>
          <w:szCs w:val="20"/>
          <w:color w:val="auto"/>
        </w:rPr>
      </w:pPr>
    </w:p>
    <w:p>
      <w:pPr>
        <w:spacing w:after="0" w:line="21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FIFTH: That these Articles of Amendment shall become effective at 5:00 P.M. eastern time on August 13, 2020, in accordance with the applicable provisions of the Florida Statutes.</w:t>
      </w:r>
    </w:p>
    <w:p>
      <w:pPr>
        <w:spacing w:after="0" w:line="384"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IN WITNESS WHEREOF, the undersigned duly authorized officer of the Corporation has executed these Articles of Amendment as of this 4th day of August,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26</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51" w:lineRule="exact"/>
        <w:rPr>
          <w:sz w:val="20"/>
          <w:szCs w:val="20"/>
          <w:color w:val="auto"/>
        </w:rPr>
      </w:pPr>
    </w:p>
    <w:p>
      <w:pPr>
        <w:ind w:left="3380"/>
        <w:spacing w:after="0"/>
        <w:tabs>
          <w:tab w:leader="none" w:pos="3780" w:val="left"/>
        </w:tabs>
        <w:rPr>
          <w:sz w:val="20"/>
          <w:szCs w:val="20"/>
          <w:color w:val="auto"/>
        </w:rPr>
      </w:pPr>
      <w:r>
        <w:rPr>
          <w:rFonts w:ascii="Times New Roman" w:cs="Times New Roman" w:eastAsia="Times New Roman" w:hAnsi="Times New Roman"/>
          <w:sz w:val="17"/>
          <w:szCs w:val="17"/>
          <w:color w:val="auto"/>
        </w:rPr>
        <w:t>By:</w:t>
        <w:tab/>
        <w:t>/s/ Joseph J. Samarias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-6350</wp:posOffset>
            </wp:positionV>
            <wp:extent cx="1282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 Joseph J. Samarias</w:t>
      </w:r>
    </w:p>
    <w:p>
      <w:pPr>
        <w:spacing w:after="0" w:line="1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27</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982980</wp:posOffset>
            </wp:positionV>
            <wp:extent cx="5316855" cy="64408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316855" cy="644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28</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982980</wp:posOffset>
            </wp:positionV>
            <wp:extent cx="5120005" cy="4701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5120005"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29</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AMENDMENT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ARTICLES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ONITY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DESIGNATION, PREFERENCES, AND RIGHTS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SERIES B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1380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Sections 607.0602 and 607.1006</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of the 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1380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Onity Group Inc., a Florida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certifies that pursuant to the authority contained in its Amended and Restated Articles of Incorporation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and in accordance with the provisions of Sections 607.0602 and 607.1006 of the Florida Business Corporation Act,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by unanimous written consent duly approved and adopted the following resolution, which resolution remains in full force and effect on the date hereof (these “Articles of Designation”):</w:t>
      </w:r>
    </w:p>
    <w:p>
      <w:pPr>
        <w:spacing w:after="0" w:line="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by the Articles of Incorporation, the Board does hereby designate, create, authorize and provide for the issuance of a series of preferred stock having a par value of $0.01 per share, which shall be designated as Series B Perpetual Preferred Stock, consisting of two million four hundred thousand (2,400,000) shares having the following voting powers, preferences and relative, participating, optional and other special rights, and qualifications, limitations and restrictions:</w:t>
      </w:r>
    </w:p>
    <w:p>
      <w:pPr>
        <w:spacing w:after="0" w:line="67" w:lineRule="exact"/>
        <w:rPr>
          <w:sz w:val="20"/>
          <w:szCs w:val="20"/>
          <w:color w:val="auto"/>
        </w:rPr>
      </w:pPr>
    </w:p>
    <w:p>
      <w:pPr>
        <w:ind w:left="1240" w:hanging="616"/>
        <w:spacing w:after="0"/>
        <w:tabs>
          <w:tab w:leader="none" w:pos="12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Designation; Number of Shares; Certificated Shares; Book-Entry.</w:t>
      </w:r>
    </w:p>
    <w:p>
      <w:pPr>
        <w:spacing w:after="0" w:line="153" w:lineRule="exact"/>
        <w:rPr>
          <w:rFonts w:ascii="Times New Roman" w:cs="Times New Roman" w:eastAsia="Times New Roman" w:hAnsi="Times New Roman"/>
          <w:sz w:val="17"/>
          <w:szCs w:val="17"/>
          <w:color w:val="auto"/>
        </w:rPr>
      </w:pPr>
    </w:p>
    <w:p>
      <w:pPr>
        <w:jc w:val="both"/>
        <w:ind w:firstLine="1244"/>
        <w:spacing w:after="0"/>
        <w:tabs>
          <w:tab w:leader="none" w:pos="1857"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series of preferred stock shall be designated as “Series B Perpetual Preferred Stock”, with a par value of $0.01 per share (the “Series B Preferred Stock”), and the number of shares so authorized and designated shall be two million four hundred thousand (2,400,000). At all times the Company will have sufficient shares authorized and will take all actions necessary to authorize additional shares if required, in each case, to meet its obligations hereunder.</w:t>
      </w:r>
    </w:p>
    <w:p>
      <w:pPr>
        <w:spacing w:after="0" w:line="336"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shares of Series B Preferred Stock may be issued in the form of one or more definitive shares in fully registered form represented by certificates in substantially the form attached hereto as Exhibit I, with such changes thereto as any authorized officer of the Company, such approval shall be evidenced by his or her signature thereto (the “</w:t>
      </w:r>
      <w:r>
        <w:rPr>
          <w:rFonts w:ascii="Times New Roman" w:cs="Times New Roman" w:eastAsia="Times New Roman" w:hAnsi="Times New Roman"/>
          <w:sz w:val="17"/>
          <w:szCs w:val="17"/>
          <w:u w:val="single" w:color="auto"/>
          <w:color w:val="auto"/>
        </w:rPr>
        <w:t>Series B Preferred Stock Certificate</w:t>
      </w:r>
      <w:r>
        <w:rPr>
          <w:rFonts w:ascii="Times New Roman" w:cs="Times New Roman" w:eastAsia="Times New Roman" w:hAnsi="Times New Roman"/>
          <w:sz w:val="17"/>
          <w:szCs w:val="17"/>
          <w:color w:val="auto"/>
        </w:rPr>
        <w:t>”). Each Series B Preferred Stock Certificate shall reflect the number of shares of Series B Preferred Stock represented thereby, and may have notations, legends, or endorsements required by law, stock exchange rules, agreements to which the Company is subject, if any, or usage (provided that any such notation, legend, or endorsement is in a form acceptable to the Company). Each Series B Preferred Stock Certificate shall be registered in the name or names of the person or persons specified by the Company in a written instrument to the registrar and transfer agent for the Series B Preferred Stock (the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Alternatively, the shares of Series B Preferred Stock may be issued without certificates in book-entry form whereby the owner of record of any and all shares of Series B Preferred Stock shall be set forth in the security register for the Series B Preferred Stock maintained by the Registrar.</w:t>
      </w:r>
    </w:p>
    <w:p>
      <w:pPr>
        <w:spacing w:after="0" w:line="122"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7"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shares of Series B Preferred Stock may be issued in the form of one or more fully registered global certificates (“</w:t>
      </w:r>
      <w:r>
        <w:rPr>
          <w:rFonts w:ascii="Times New Roman" w:cs="Times New Roman" w:eastAsia="Times New Roman" w:hAnsi="Times New Roman"/>
          <w:sz w:val="17"/>
          <w:szCs w:val="17"/>
          <w:u w:val="single" w:color="auto"/>
          <w:color w:val="auto"/>
        </w:rPr>
        <w:t>Global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issued to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(and its successors and assigns or with such other depositary of the Company’s choosing that is a “clearing Company” within the meaning of the New York Uniform Commercial Code and a clearing agency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30</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Section 17A of the Exchange Act (the “</w:t>
      </w:r>
      <w:r>
        <w:rPr>
          <w:rFonts w:ascii="Times New Roman" w:cs="Times New Roman" w:eastAsia="Times New Roman" w:hAnsi="Times New Roman"/>
          <w:sz w:val="17"/>
          <w:szCs w:val="17"/>
          <w:u w:val="single" w:color="auto"/>
          <w:color w:val="auto"/>
        </w:rPr>
        <w:t>Securities Depository</w:t>
      </w:r>
      <w:r>
        <w:rPr>
          <w:rFonts w:ascii="Times New Roman" w:cs="Times New Roman" w:eastAsia="Times New Roman" w:hAnsi="Times New Roman"/>
          <w:sz w:val="17"/>
          <w:szCs w:val="17"/>
          <w:color w:val="auto"/>
        </w:rPr>
        <w:t>”)) and registered in the name of the Securities Depository or its nominee (which initially shall be Cede &amp; Co, as nominee of DTC), duly executed by the Company and authenticated by the Registrar, and deposited with the Registrar, as custodian for DTC (or such other custodian as the Securities Depository may direct). Upon any shares of Series B Preferred Stock being represented by Global Preferred Shares registered in the name of the Securities Depository or its nominee, no beneficial holder of shares of Series B Preferred Stock will be entitled to receive a certificate evidencing such shares unless otherwise required by law or the Securities Depository gives notice to the Company of its intention to resign or is no longer eligible to act as Securities Depository and the Company has not selected a substitute Securities Depository within 60 days thereafter. The number of shares of Series B Preferred Stock represented by Global Preferred Shares may from time to time be increased or decreased by adjustments made on the records of the Registrar and the Securities Depository as hereinafter provided. Members of, or participants in, the Securities Depository (“</w:t>
      </w:r>
      <w:r>
        <w:rPr>
          <w:rFonts w:ascii="Times New Roman" w:cs="Times New Roman" w:eastAsia="Times New Roman" w:hAnsi="Times New Roman"/>
          <w:sz w:val="17"/>
          <w:szCs w:val="17"/>
          <w:u w:val="single" w:color="auto"/>
          <w:color w:val="auto"/>
        </w:rPr>
        <w:t>Agent Members</w:t>
      </w:r>
      <w:r>
        <w:rPr>
          <w:rFonts w:ascii="Times New Roman" w:cs="Times New Roman" w:eastAsia="Times New Roman" w:hAnsi="Times New Roman"/>
          <w:sz w:val="17"/>
          <w:szCs w:val="17"/>
          <w:color w:val="auto"/>
        </w:rPr>
        <w:t>”) shall have no rights under these terms of the Series B Preferred Stock with respect to any Global Preferred Shares held on their behalf by the Securities Depository or by the Registrar as the custodian of the Securities Depository or under such Global Preferred Shares, and the Securities Depository may be treated by the Company, the Registrar and any agent of the Company or the Registrar as the absolute owner of such Global Preferred Shares for all purposes whatsoever. Notwithstanding the foregoing, nothing herein shall prevent the Company, the Registrar or any agent of the Company or the Registrar from giving effect to any written certification, proxy or other authorization furnished by the Securities Depository or impair, as between the Securities Depository and its Agent Members, the operation of customary practices of the Securities Depository governing the exercise of the rights of a holder of a beneficial interest in any Global Preferred Shares.</w:t>
      </w:r>
    </w:p>
    <w:p>
      <w:pPr>
        <w:spacing w:after="0" w:line="78" w:lineRule="exact"/>
        <w:rPr>
          <w:sz w:val="20"/>
          <w:szCs w:val="20"/>
          <w:color w:val="auto"/>
        </w:rPr>
      </w:pPr>
    </w:p>
    <w:p>
      <w:pPr>
        <w:jc w:val="both"/>
        <w:ind w:firstLine="624"/>
        <w:spacing w:after="0" w:line="256" w:lineRule="auto"/>
        <w:tabs>
          <w:tab w:leader="none" w:pos="12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The holders of Series B Preferred Stock shall be entitled, in the event of any liquidation, dissolution or winding up of the Company’s affairs, whether voluntary or involuntary, to receive the liquidation preference of $25.00 per share of Series B Preferred Stock (the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Preference</w:t>
      </w:r>
      <w:r>
        <w:rPr>
          <w:rFonts w:ascii="Times New Roman" w:cs="Times New Roman" w:eastAsia="Times New Roman" w:hAnsi="Times New Roman"/>
          <w:sz w:val="17"/>
          <w:szCs w:val="17"/>
          <w:color w:val="auto"/>
        </w:rPr>
        <w:t>”) in cash plus an amount equal to accumulated and unpaid dividends thereon to the date fixed for payment of such amount (whether or not declared), and no more, before any distribution will be made to the holders of the Common Stock or any other Junior Securities. A consolidation or merger of the Company with or into any other entity, individually or in a series of transactions, will not be deemed a liquidation, dissolution or winding up of the Company’s affairs for this purpose. Written notice of the effective date of any such liquidation, dissolution or winding up of the Company, stating the payment date or dates when, and the place or places where, the amounts distributable in such circumstances shall be payable, shall be given by first class mail, postage prepaid, not fewer than 10 nor more than 60 days prior to the payment date stated therein, to each record holder of shares of Series B Preferred Stock at the address of such holder as the same shall appear on the stock transfer records of the Company. In the event that the Company’s assets available for distribution to holders of the Series B Preferred Stock and any other Parity Securities are insufficient to permit payment of all required amounts, the Company’s assets then remaining shall be distributed among the Series B Preferred Stock and any Parity Securities, as applicable, ratably on the basis of their relative aggregate liquidation preferences. After payment of all required amounts to the holders of the outstanding Series B Preferred Stock and other Parity Securities, the Company’s remaining assets and funds shall be distributed among the holders of the Common Stock and any other Junior Securities then outstanding according to their respective rights.</w:t>
      </w:r>
    </w:p>
    <w:p>
      <w:pPr>
        <w:spacing w:after="0" w:line="80" w:lineRule="exact"/>
        <w:rPr>
          <w:rFonts w:ascii="Times New Roman" w:cs="Times New Roman" w:eastAsia="Times New Roman" w:hAnsi="Times New Roman"/>
          <w:sz w:val="17"/>
          <w:szCs w:val="17"/>
          <w:color w:val="auto"/>
        </w:rPr>
      </w:pPr>
    </w:p>
    <w:p>
      <w:pPr>
        <w:jc w:val="both"/>
        <w:ind w:firstLine="624"/>
        <w:spacing w:after="0" w:line="259" w:lineRule="auto"/>
        <w:tabs>
          <w:tab w:leader="none" w:pos="12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 The Series B Preferred Stock shall, with respect to payment of dividends, redemption and distributions upon the liquidation, winding-up and dissolution of the Company, rank (i) senior to all classes of Common Stock of the Company and to each other class of capital stock or series of preferred stock established after the date hereof by the Board, the terms of which do not expressly provide that it ranks senior to or on a parity with the Series B Preferred Stock as to dividends, redemptions and distributions upon the liquidation, winding-up and dissolution of the Company (collectively referred to with the Common Stock of the Company as “</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(ii) on a parity with any additional shares of Series B Preferred Stock issued by the Company in the future (subject to compliance with Section 7) and any other class of capital stock or series of preferred stock issued by the Company, the terms of which expressly provide that such class or series will rank on a parity with the Series B Preferred Stock as to dividends, redemptions and distributions upon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31</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liquidation, winding-up and dissolution of the Company (collectively referred to as “</w:t>
      </w:r>
      <w:r>
        <w:rPr>
          <w:rFonts w:ascii="Times New Roman" w:cs="Times New Roman" w:eastAsia="Times New Roman" w:hAnsi="Times New Roman"/>
          <w:sz w:val="17"/>
          <w:szCs w:val="17"/>
          <w:u w:val="single" w:color="auto"/>
          <w:color w:val="auto"/>
        </w:rPr>
        <w:t>Parity Securities</w:t>
      </w:r>
      <w:r>
        <w:rPr>
          <w:rFonts w:ascii="Times New Roman" w:cs="Times New Roman" w:eastAsia="Times New Roman" w:hAnsi="Times New Roman"/>
          <w:sz w:val="17"/>
          <w:szCs w:val="17"/>
          <w:color w:val="auto"/>
        </w:rPr>
        <w:t>”); and (iii) junior to each class of capital stock or series of preferred stock issued by the Company (subject to compliance with Section 7), the terms of which expressly provide that such class or series will rank senior to the Series B Preferred Stock as to dividends, redemptions and distributions upon the liquidation, winding-up and dissolution of the Company (collectively referred to as “</w:t>
      </w:r>
      <w:r>
        <w:rPr>
          <w:rFonts w:ascii="Times New Roman" w:cs="Times New Roman" w:eastAsia="Times New Roman" w:hAnsi="Times New Roman"/>
          <w:sz w:val="17"/>
          <w:szCs w:val="17"/>
          <w:u w:val="single" w:color="auto"/>
          <w:color w:val="auto"/>
        </w:rPr>
        <w:t>Senior Securities</w:t>
      </w:r>
      <w:r>
        <w:rPr>
          <w:rFonts w:ascii="Times New Roman" w:cs="Times New Roman" w:eastAsia="Times New Roman" w:hAnsi="Times New Roman"/>
          <w:sz w:val="17"/>
          <w:szCs w:val="17"/>
          <w:color w:val="auto"/>
        </w:rPr>
        <w:t>”). For the avoidance of doubt, a security shall not be deemed a Parity Security unless the dividend is payable in kind when the dividend of the Series B Preferred Stock is paid in kind, and a security shall not be deemed not to be a Parity Security solely because the dividend on such security has a coupon equal to or greater than the Series B Preferred Stock.</w:t>
      </w:r>
    </w:p>
    <w:p>
      <w:pPr>
        <w:spacing w:after="0" w:line="73" w:lineRule="exact"/>
        <w:rPr>
          <w:sz w:val="20"/>
          <w:szCs w:val="20"/>
          <w:color w:val="auto"/>
        </w:rPr>
      </w:pPr>
    </w:p>
    <w:p>
      <w:pPr>
        <w:ind w:left="1240" w:hanging="616"/>
        <w:spacing w:after="0"/>
        <w:tabs>
          <w:tab w:leader="none" w:pos="12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color w:val="auto"/>
        </w:rPr>
      </w:pPr>
    </w:p>
    <w:p>
      <w:pPr>
        <w:jc w:val="both"/>
        <w:ind w:firstLine="1244"/>
        <w:spacing w:after="0" w:line="253" w:lineRule="auto"/>
        <w:tabs>
          <w:tab w:leader="none" w:pos="1857"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Holders of the Series B Preferred Stock are entitled to receive, when, as and if declared by the Board or an authorized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thereof, out of funds legally available for the payment of dividends, cash dividends accruing at the Dividend Rate (as defined below) on the Liquidation Preference of the Series B Preferred Stock, payable quarterly in arrears on the 15th day of each March, June, September and December, commencing on December 15, 2024 (each such date, a “</w:t>
      </w:r>
      <w:r>
        <w:rPr>
          <w:rFonts w:ascii="Times New Roman" w:cs="Times New Roman" w:eastAsia="Times New Roman" w:hAnsi="Times New Roman"/>
          <w:sz w:val="17"/>
          <w:szCs w:val="17"/>
          <w:u w:val="single" w:color="auto"/>
          <w:color w:val="auto"/>
        </w:rPr>
        <w:t>Dividend Payment Date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Dividend Rate</w:t>
      </w:r>
      <w:r>
        <w:rPr>
          <w:rFonts w:ascii="Times New Roman" w:cs="Times New Roman" w:eastAsia="Times New Roman" w:hAnsi="Times New Roman"/>
          <w:sz w:val="17"/>
          <w:szCs w:val="17"/>
          <w:color w:val="auto"/>
        </w:rPr>
        <w:t>” shall mean (i) for the period from and including the original date of issuance of the Series B Preferred Stock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to, but excluding, September 15, 2029, an annual rate of 7.875% and (ii) commencing on September 15, 2029 and on each annual anniversary thereof, the Dividend Rate shall automatically increase by 2.50% per annum; provided, however, the Dividend Rate shall not exceed 15.0% per annum (the “</w:t>
      </w:r>
      <w:r>
        <w:rPr>
          <w:rFonts w:ascii="Times New Roman" w:cs="Times New Roman" w:eastAsia="Times New Roman" w:hAnsi="Times New Roman"/>
          <w:sz w:val="17"/>
          <w:szCs w:val="17"/>
          <w:u w:val="single" w:color="auto"/>
          <w:color w:val="auto"/>
        </w:rPr>
        <w:t>Dividend Cap</w:t>
      </w:r>
      <w:r>
        <w:rPr>
          <w:rFonts w:ascii="Times New Roman" w:cs="Times New Roman" w:eastAsia="Times New Roman" w:hAnsi="Times New Roman"/>
          <w:sz w:val="17"/>
          <w:szCs w:val="17"/>
          <w:color w:val="auto"/>
        </w:rPr>
        <w:t>”). The period from and including the Issue Date or any Dividend Payment Date to but excluding the next Dividend Payment Date is a “</w:t>
      </w:r>
      <w:r>
        <w:rPr>
          <w:rFonts w:ascii="Times New Roman" w:cs="Times New Roman" w:eastAsia="Times New Roman" w:hAnsi="Times New Roman"/>
          <w:sz w:val="17"/>
          <w:szCs w:val="17"/>
          <w:u w:val="single" w:color="auto"/>
          <w:color w:val="auto"/>
        </w:rPr>
        <w:t>Dividend Period</w:t>
      </w:r>
      <w:r>
        <w:rPr>
          <w:rFonts w:ascii="Times New Roman" w:cs="Times New Roman" w:eastAsia="Times New Roman" w:hAnsi="Times New Roman"/>
          <w:sz w:val="17"/>
          <w:szCs w:val="17"/>
          <w:color w:val="auto"/>
        </w:rPr>
        <w:t>.” Dividends will accrue in each such Dividend Period from and including the preceding Dividend Payment Date or the Issue Date, as the case may be, to, but excluding, the applicable Dividend Payment Date for such Dividend Period. Any accrued dividends not declared and paid on any Dividend Payment Date will accrue dividends at the Dividend Rate. If any Dividend Payment Date is not a Business Day, then the dividend which would otherwise have been payable on such Dividend Payment Date will be paid on the next succeeding Business Day, and no additional dividends or other sums will accrue on the amount so payable for the period from and after such Dividend Payment Date to that next succeeding Business Day.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on which The New York Stock Exchange is open for trading and which is not a Saturday, a Sunday or other day on which banks in New York City are authorized or required by law to close. The amount of dividends payable in respect of each Dividend Period shall be computed on the basis of a 360-day year consisting of twelve 30-day months. Dividends on the Series B Preferred Stock, if declared, will be payable on each Dividend Payment Date to holders of record as they appear in the Company’s stock records for the Series B Preferred Stock at the close of business, New York City time, on the applicable record date, which is the first day of the month in which the applicable Dividend Payment Date occurs (March 1, June 1, September 1 or December 1, as applicable), except that in the case of payments of dividends in arrears, the record date with respect to a Dividend Payment Date will be such date as may be designated by the Board, provided that such record date may not be retroactive. Except as otherwise provided herein, if at any time the Company pays dividends in part and not in full, then such payment shall be distributed ratably among the holders of Series B Preferred Stock based upon the number of shares of Series B Preferred Stock held by each such holder on such Dividend Payment Date, as applicable. So long as shares of Series B Preferred Stock are held of record by the nominee of the Securities Depository, declared dividends will be paid to the Securities Depository in same-day funds on each Dividend Payment Date. The Securities Depository will credit accounts of its participants in accordance with the Securities Depository’s normal procedures. The participants will be responsible for holding or disbursing such payments to beneficial owners of shares of Series B Preferred Stock in accordance with the instructions of such beneficial owners.</w:t>
      </w:r>
    </w:p>
    <w:p>
      <w:pPr>
        <w:spacing w:after="0" w:line="122" w:lineRule="exact"/>
        <w:rPr>
          <w:rFonts w:ascii="Times New Roman" w:cs="Times New Roman" w:eastAsia="Times New Roman" w:hAnsi="Times New Roman"/>
          <w:sz w:val="21"/>
          <w:szCs w:val="21"/>
          <w:color w:val="auto"/>
        </w:rPr>
      </w:pPr>
    </w:p>
    <w:p>
      <w:pPr>
        <w:ind w:firstLine="1244"/>
        <w:spacing w:after="0" w:line="238" w:lineRule="auto"/>
        <w:tabs>
          <w:tab w:leader="none" w:pos="1856"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Limiting Documents</w:t>
      </w:r>
      <w:r>
        <w:rPr>
          <w:rFonts w:ascii="Times New Roman" w:cs="Times New Roman" w:eastAsia="Times New Roman" w:hAnsi="Times New Roman"/>
          <w:sz w:val="17"/>
          <w:szCs w:val="17"/>
          <w:color w:val="auto"/>
        </w:rPr>
        <w:t>. No dividends on the Series B Preferred Stock shall be authorized by the Board or paid or set apart for payment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at any time when the payment thereof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would be unlawful under the applicable provisions of the laws of the State of Florida, or when the terms and provisions of any agreement of the Company, including any agreement relating to the Company’s indebtedness (the “</w:t>
      </w:r>
      <w:r>
        <w:rPr>
          <w:rFonts w:ascii="Times New Roman" w:cs="Times New Roman" w:eastAsia="Times New Roman" w:hAnsi="Times New Roman"/>
          <w:sz w:val="17"/>
          <w:szCs w:val="17"/>
          <w:u w:val="single" w:color="auto"/>
          <w:color w:val="auto"/>
        </w:rPr>
        <w:t>Limiting Documents</w:t>
      </w:r>
      <w:r>
        <w:rPr>
          <w:rFonts w:ascii="Times New Roman" w:cs="Times New Roman" w:eastAsia="Times New Roman" w:hAnsi="Times New Roman"/>
          <w:sz w:val="17"/>
          <w:szCs w:val="17"/>
          <w:color w:val="auto"/>
        </w:rPr>
        <w:t>”), prohibit the authorization, payment or setting apart for payment thereof or provide that the authorization, payment or setting apart for payment thereof would constitute a breach of the Limiting Documents or a default under the Limiting Documents, or if the authorization, payment or setting apart for payment shall be restricted or prohibited by law. Notwithstanding the foregoing, dividends on the Series B Preferred Stock shall accrue during any period of time in which the restrictions referred to in this Section 4(b) prohibit the payment of dividends, regardless of whether (i) the Company has earnings, (ii) there are funds legally available for the payment of such dividends or (iii) such dividends are authorized or declared.</w:t>
      </w:r>
    </w:p>
    <w:p>
      <w:pPr>
        <w:spacing w:after="0" w:line="315" w:lineRule="exact"/>
        <w:rPr>
          <w:sz w:val="20"/>
          <w:szCs w:val="20"/>
          <w:color w:val="auto"/>
        </w:rPr>
      </w:pPr>
    </w:p>
    <w:p>
      <w:pPr>
        <w:jc w:val="both"/>
        <w:ind w:firstLine="1244"/>
        <w:spacing w:after="0" w:line="253" w:lineRule="auto"/>
        <w:tabs>
          <w:tab w:leader="none" w:pos="1857"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Dividends on Junior Securities or Parity Securities</w:t>
      </w:r>
      <w:r>
        <w:rPr>
          <w:rFonts w:ascii="Times New Roman" w:cs="Times New Roman" w:eastAsia="Times New Roman" w:hAnsi="Times New Roman"/>
          <w:sz w:val="17"/>
          <w:szCs w:val="17"/>
          <w:color w:val="auto"/>
        </w:rPr>
        <w:t>. No dividend may be declared or paid or set apart for payment on any Junior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(other than a dividend payable solely in shares of Junior Securities) unless full cumulative dividends have been or contemporaneously are being paid or provided for on all outstanding shares of Series B Preferred Stock and any Parity Securities through the most recent respective dividend payment dates. In addition, in the event that any dividends on the Series B Preferred Stock and any Parity Securities are in arrears, the Company may not repurchase, redeem or otherwise acquire, in whole or in part, any Series B Preferred Stock or Parity Securities except pursuant to a purchase or exchange offer made on the same terms to all holders of Series B Preferred Stock and any Parity Securities. The shares of Common Stock of the Company and any other Junior Securities may not be redeemed, repurchased or otherwise acquired unless there are no dividends on the Series B Preferred Stock and any Parity Securities in arrears.</w:t>
      </w:r>
    </w:p>
    <w:p>
      <w:pPr>
        <w:spacing w:after="0" w:line="111"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6"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Payment of Accrued and Unpaid Dividends</w:t>
      </w:r>
      <w:r>
        <w:rPr>
          <w:rFonts w:ascii="Times New Roman" w:cs="Times New Roman" w:eastAsia="Times New Roman" w:hAnsi="Times New Roman"/>
          <w:sz w:val="17"/>
          <w:szCs w:val="17"/>
          <w:color w:val="auto"/>
        </w:rPr>
        <w:t>. Accumulated dividends in arrears for any past Dividend Period may be declared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and paid on any date fixed by the Board, whether or not a Dividend Payment Date, to holders of the Series B Preferred Stock on the record date for such payment, which may not be more than 60 days, nor less than 15 days, before such payment date. Subject to the next succeeding sentence, if all accumulated dividends in arrears on all outstanding Series B Preferred Stock and any Parity Securities have not been declared and paid, or sufficient funds for the payment thereof have not been set apart, payment of accumulated dividends in arrears will be made in order of their respective Dividend Payment Dates, commencing with the earliest. If less than all dividends payable with respect to all Series B Preferred Stock and any Parity Securities are paid, any partial payment will be made pro rata with respect to the Series B Preferred Stock and any Parity Securities entitled to a dividend payment at such time in proportion to the aggregate amounts remaining due in respect of such shares at such time. Holders of the Series B Preferred Stock will not be entitled to any dividend, whether payable in cash, property or stock, in excess of full cumulative dividends. Except insofar as dividends accrue on the amount of any accumulated and unpaid dividends as described under Section 4(a), no interest or sum of money in lieu of interest will be payable in respect of any dividend payment which may be in arrears on the Series B Preferred Stock.</w:t>
      </w:r>
    </w:p>
    <w:p>
      <w:pPr>
        <w:spacing w:after="0" w:line="84"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color w:val="auto"/>
        </w:rPr>
      </w:pPr>
    </w:p>
    <w:p>
      <w:pPr>
        <w:jc w:val="both"/>
        <w:ind w:firstLine="1244"/>
        <w:spacing w:after="0" w:line="247" w:lineRule="auto"/>
        <w:tabs>
          <w:tab w:leader="none" w:pos="185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Optional Redemption</w:t>
      </w:r>
      <w:r>
        <w:rPr>
          <w:rFonts w:ascii="Times New Roman" w:cs="Times New Roman" w:eastAsia="Times New Roman" w:hAnsi="Times New Roman"/>
          <w:sz w:val="17"/>
          <w:szCs w:val="17"/>
          <w:color w:val="auto"/>
        </w:rPr>
        <w:t>. On and after September 15, 2028, the Company may, at its option, upon not less than fifteen (15) days’ nor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sixty (60) days’ written notice, redeem the shares of Series B Preferred Stock, in whole or in part, for cash at a redemption price equal to the Liquidation Preference of the shares of Series B Preferred Stock to be redeemed, plus an amount equal to all accumulated and unpaid dividends thereon to, but not including, the date fixed for redemption. The Company may undertake multiple redemptions.</w:t>
      </w:r>
    </w:p>
    <w:p>
      <w:pPr>
        <w:spacing w:after="0" w:line="102"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Redemption Procedures</w:t>
      </w:r>
      <w:r>
        <w:rPr>
          <w:rFonts w:ascii="Times New Roman" w:cs="Times New Roman" w:eastAsia="Times New Roman" w:hAnsi="Times New Roman"/>
          <w:sz w:val="17"/>
          <w:szCs w:val="17"/>
          <w:color w:val="auto"/>
        </w:rPr>
        <w:t>.</w:t>
      </w:r>
    </w:p>
    <w:p>
      <w:pPr>
        <w:spacing w:after="0" w:line="86" w:lineRule="exact"/>
        <w:rPr>
          <w:rFonts w:ascii="Times New Roman" w:cs="Times New Roman" w:eastAsia="Times New Roman" w:hAnsi="Times New Roman"/>
          <w:sz w:val="21"/>
          <w:szCs w:val="21"/>
          <w:color w:val="auto"/>
        </w:rPr>
      </w:pPr>
    </w:p>
    <w:p>
      <w:pPr>
        <w:ind w:left="1240" w:firstLine="624"/>
        <w:spacing w:after="0" w:line="288" w:lineRule="auto"/>
        <w:tabs>
          <w:tab w:leader="none" w:pos="2552"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redemption will be mailed at least fifteen (15) days but not more than sixty (60) days before the scheduled redemption date to each holder of record of Series B</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33</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7"/>
          <w:szCs w:val="17"/>
          <w:color w:val="auto"/>
        </w:rPr>
        <w:t>Preferred Stock at the address shown on the share transfer books of the Company maintained by the Registrar. Each notice shall state: (A) the redemption date; (B) the number of shares of Series B Preferred Stock to be redeemed and, if less than all outstanding shares of Series B Preferred Stock are to be redeemed, the number (and the identification) of shares to be redeemed from such holder; (C) the redemption price of the Liquidation Preference of the shares of Series B Preferred Stock to be redeemed, plus all accrued and unpaid dividends thereon to, but excluding, the date of redemption; (D) the place where the Series B Preferred Stock Certificates, if any, representing the shares of Series B Preferred Stock to be redeemed are to be presented and surrendered for payment of the redemption price therefor; and (E) that dividends on the shares of Series B Preferred Stock to be redeemed will cease to accrue from and after such redemption date. If fewer than all of the outstanding Series B Preferred Stock are to be redeemed, the number of shares to be redeemed will be determined by the Company, and such shares will be redeemed by pro rata or by lot as determined by the Registrar, of if the shares are held of record by the nominee of the Securities Depository, such method of selection as the Securities Depository shall determine, with adjustments to avoid redemption of fractional shares. So long as any shares of Series B Preferred Stock are held of record by the nominee of the Securities Depository, the Company will give notice, or cause notice to be given, to the Securities Depository of the number of shares of Series B Preferred Stock so held to be redeemed, and the Securities Depository will determine the number of shares of Series B Preferred Stock to be redeemed from the account of each of its participants holding such shares in its participant account. Thereafter, each participant will select the number of shares to be redeemed from each beneficial owner for whom it acts (including the participant, to the extent it holds shares of Series B Preferred Stock for its own account). A participant may determine to redeem shares of Series B Preferred Stock from some beneficial owners (including the participant itself) without redeeming shares of Series B Preferred Stock from the accounts of other beneficial owners.</w:t>
      </w:r>
    </w:p>
    <w:p>
      <w:pPr>
        <w:spacing w:after="0" w:line="87" w:lineRule="exact"/>
        <w:rPr>
          <w:sz w:val="20"/>
          <w:szCs w:val="20"/>
          <w:color w:val="auto"/>
        </w:rPr>
      </w:pPr>
    </w:p>
    <w:p>
      <w:pPr>
        <w:jc w:val="both"/>
        <w:ind w:left="120" w:firstLine="624"/>
        <w:spacing w:after="0" w:line="265" w:lineRule="auto"/>
        <w:tabs>
          <w:tab w:leader="none" w:pos="13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shares of Series B Preferred Stock are held of record by the nominee of the Securities Depository, the redemption price will be paid by the paying agent for the Series B Preferred Stock (the "</w:t>
      </w: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to the Securities Depository on the redemption date. The normal procedures of DTC, as the initial Securities Depository, provide for it to distribute the amount of the redemption price in same-day funds to its participants who, in turn, are expected to distribute such funds to the persons for whom they are acting as agent.</w:t>
      </w:r>
    </w:p>
    <w:p>
      <w:pPr>
        <w:spacing w:after="0" w:line="66" w:lineRule="exact"/>
        <w:rPr>
          <w:rFonts w:ascii="Times New Roman" w:cs="Times New Roman" w:eastAsia="Times New Roman" w:hAnsi="Times New Roman"/>
          <w:sz w:val="17"/>
          <w:szCs w:val="17"/>
          <w:color w:val="auto"/>
        </w:rPr>
      </w:pPr>
    </w:p>
    <w:p>
      <w:pPr>
        <w:jc w:val="both"/>
        <w:ind w:left="120" w:firstLine="624"/>
        <w:spacing w:after="0" w:line="256" w:lineRule="auto"/>
        <w:tabs>
          <w:tab w:leader="none" w:pos="13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gives or causes to be given a notice of redemption, then the Company shall deposit with the Paying Agent funds sufficient to redeem the shares of Series B Preferred Stock as to which notice has been given by the close of business, New York City time, no later than the Business Day immediately preceding the date fixed for redemption, and shall give the Paying Agent irrevocable instructions and authority to pay the redemption price to the holder or holders thereof upon surrender or deemed surrender (which will occur automatically if the certificate representing such shares is issued in the name of the Securities Depository or its nominee) of the certificates therefor. If notice of redemption shall have been given, unless the Company defaults in providing funds sufficient for such redemption at the time and place specified for payment pursuant to the notice, then from and after the date fixed for redemption, all dividends on such shares will cease to accumulate and all rights of holders of such shares as the Company’s shareholders will cease, except the right to receive the redemption price, including an amount equal to accrued and unpaid dividends through the date fixed for redemption, whether or not declared. The Company shall be entitled to receive from the Paying Agent the interest income, if any, earned on such funds deposited with the Paying Agent (to the extent that such interest income is not required to pay the redemption price of the shares to be redeemed), and the holders of any shares so redeemed will have no claim to any such interest income. Any funds deposited with the Paying Agent hereunder by the Company for any reason, including, but not limited to, redemption of Series B Preferred Stock, that remain unclaimed or unpaid after two years after the applicable redemption date or other payment date, shall be, to the extent permitted by law, repaid to the Company upon its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Calibri" w:cs="Calibri" w:eastAsia="Calibri" w:hAnsi="Calibri"/>
          <w:sz w:val="19"/>
          <w:szCs w:val="19"/>
          <w:color w:val="auto"/>
        </w:rPr>
        <w:t>34</w:t>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92" w:lineRule="exact"/>
        <w:rPr>
          <w:sz w:val="20"/>
          <w:szCs w:val="20"/>
          <w:color w:val="auto"/>
        </w:rPr>
      </w:pPr>
    </w:p>
    <w:p>
      <w:pPr>
        <w:ind w:left="1240"/>
        <w:spacing w:after="0" w:line="288" w:lineRule="auto"/>
        <w:rPr>
          <w:sz w:val="20"/>
          <w:szCs w:val="20"/>
          <w:color w:val="auto"/>
        </w:rPr>
      </w:pPr>
      <w:r>
        <w:rPr>
          <w:rFonts w:ascii="Times New Roman" w:cs="Times New Roman" w:eastAsia="Times New Roman" w:hAnsi="Times New Roman"/>
          <w:sz w:val="17"/>
          <w:szCs w:val="17"/>
          <w:color w:val="auto"/>
        </w:rPr>
        <w:t>written request, after which repayment the holders of the Series B Preferred Stock entitled to such redemption or other payment shall have recourse only to the Company.</w:t>
      </w:r>
    </w:p>
    <w:p>
      <w:pPr>
        <w:spacing w:after="0" w:line="48" w:lineRule="exact"/>
        <w:rPr>
          <w:sz w:val="20"/>
          <w:szCs w:val="20"/>
          <w:color w:val="auto"/>
        </w:rPr>
      </w:pPr>
    </w:p>
    <w:p>
      <w:pPr>
        <w:jc w:val="both"/>
        <w:ind w:left="1240" w:firstLine="624"/>
        <w:spacing w:after="0" w:line="263" w:lineRule="auto"/>
        <w:tabs>
          <w:tab w:leader="none" w:pos="2471"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only a portion of the Series B Preferred Stock represented by a certificate has been called for redemption, upon surrender of the certificate to the Paying Agent (which will occur automatically if the certificate representing such shares is issued in the name of the Securities Depository or its nominee), the Paying Agent shall issue to the holder of such shares a new certificate (or adjust the applicable book-entry account) representing the number of Series B Preferred Stock represented by the surrendered certificate that have not been called for redemption.</w:t>
      </w:r>
    </w:p>
    <w:p>
      <w:pPr>
        <w:spacing w:after="0" w:line="280" w:lineRule="exact"/>
        <w:rPr>
          <w:rFonts w:ascii="Times New Roman" w:cs="Times New Roman" w:eastAsia="Times New Roman" w:hAnsi="Times New Roman"/>
          <w:sz w:val="17"/>
          <w:szCs w:val="17"/>
          <w:color w:val="auto"/>
        </w:rPr>
      </w:pPr>
    </w:p>
    <w:p>
      <w:pPr>
        <w:jc w:val="both"/>
        <w:ind w:left="1240" w:firstLine="624"/>
        <w:spacing w:after="0" w:line="270" w:lineRule="auto"/>
        <w:tabs>
          <w:tab w:leader="none" w:pos="2474"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notice of redemption, there shall be no redemption of any Series B Preferred Stock called for redemption until funds sufficient to pay the full redemption price of such shares, including all accrued and unpaid dividends to the date of redemption, whether or not declared, have been deposited by the Company with the Paying Agent.</w:t>
      </w:r>
    </w:p>
    <w:p>
      <w:pPr>
        <w:spacing w:after="0" w:line="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Offer to Purchase Upon a Change of Control</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color w:val="auto"/>
        </w:rPr>
      </w:pPr>
    </w:p>
    <w:p>
      <w:pPr>
        <w:jc w:val="both"/>
        <w:ind w:firstLine="1244"/>
        <w:spacing w:after="0" w:line="252" w:lineRule="auto"/>
        <w:tabs>
          <w:tab w:leader="none" w:pos="1857"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Change of Control Repurchase Right</w:t>
      </w:r>
      <w:r>
        <w:rPr>
          <w:rFonts w:ascii="Times New Roman" w:cs="Times New Roman" w:eastAsia="Times New Roman" w:hAnsi="Times New Roman"/>
          <w:sz w:val="17"/>
          <w:szCs w:val="17"/>
          <w:color w:val="auto"/>
        </w:rPr>
        <w:t>. Upon the occurrence of a Change of Control, each holder of a share of Series B Preferred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have the right to require that the Company or the acquiring or surviving entity, as applicable, purchase all or a portion of such holder’s shares of Series B Preferred Stock pursuant to the offer described below (the “</w:t>
      </w:r>
      <w:r>
        <w:rPr>
          <w:rFonts w:ascii="Times New Roman" w:cs="Times New Roman" w:eastAsia="Times New Roman" w:hAnsi="Times New Roman"/>
          <w:sz w:val="17"/>
          <w:szCs w:val="17"/>
          <w:u w:val="single" w:color="auto"/>
          <w:color w:val="auto"/>
        </w:rPr>
        <w:t>Change of Control Offer</w:t>
      </w:r>
      <w:r>
        <w:rPr>
          <w:rFonts w:ascii="Times New Roman" w:cs="Times New Roman" w:eastAsia="Times New Roman" w:hAnsi="Times New Roman"/>
          <w:sz w:val="17"/>
          <w:szCs w:val="17"/>
          <w:color w:val="auto"/>
        </w:rPr>
        <w:t>”) at a purchase price equal to 100.0% of the Liquidation Preference plus all accrued and unpaid dividends thereon to, but excluding, the date of purchase (subject to the rights of holders of shares of Series B Preferred Stock on the relevant regular record date to receive dividends that have been declared by the Board on the applicable Dividend Payment Date is on or prior to the applicable date of repurchase).</w:t>
      </w:r>
    </w:p>
    <w:p>
      <w:pPr>
        <w:spacing w:after="0" w:line="101"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Change of Control Procedures</w:t>
      </w:r>
      <w:r>
        <w:rPr>
          <w:rFonts w:ascii="Times New Roman" w:cs="Times New Roman" w:eastAsia="Times New Roman" w:hAnsi="Times New Roman"/>
          <w:sz w:val="17"/>
          <w:szCs w:val="17"/>
          <w:color w:val="auto"/>
        </w:rPr>
        <w:t>.</w:t>
      </w:r>
    </w:p>
    <w:p>
      <w:pPr>
        <w:spacing w:after="0" w:line="86" w:lineRule="exact"/>
        <w:rPr>
          <w:rFonts w:ascii="Times New Roman" w:cs="Times New Roman" w:eastAsia="Times New Roman" w:hAnsi="Times New Roman"/>
          <w:sz w:val="21"/>
          <w:szCs w:val="21"/>
          <w:color w:val="auto"/>
        </w:rPr>
      </w:pPr>
    </w:p>
    <w:p>
      <w:pPr>
        <w:jc w:val="both"/>
        <w:ind w:left="1240" w:firstLine="624"/>
        <w:spacing w:after="0" w:line="270" w:lineRule="auto"/>
        <w:tabs>
          <w:tab w:leader="none" w:pos="2475"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30 days following the date upon which a Change of Control occurs, the Company or the acquiring or surviving entity, as applicable, shall send a notice to each holder of shares of Series B Preferred Stock, with a copy to the Registrar, which notice shall govern the terms of the Change of Control Offer. Such notice shall state the following information:</w:t>
      </w:r>
    </w:p>
    <w:p>
      <w:pPr>
        <w:spacing w:after="0" w:line="64" w:lineRule="exact"/>
        <w:rPr>
          <w:sz w:val="20"/>
          <w:szCs w:val="20"/>
          <w:color w:val="auto"/>
        </w:rPr>
      </w:pPr>
    </w:p>
    <w:p>
      <w:pPr>
        <w:ind w:left="1240" w:firstLine="624"/>
        <w:spacing w:after="0" w:line="288" w:lineRule="auto"/>
        <w:tabs>
          <w:tab w:leader="none" w:pos="247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Change of Control Offer is being made pursuant to this Section 6 and that all shares of Series B Preferred Stock properly tendered pursuant to such Change of Control Offer will be accepted for payment by the Issuer;</w:t>
      </w:r>
    </w:p>
    <w:p>
      <w:pPr>
        <w:spacing w:after="0" w:line="47" w:lineRule="exact"/>
        <w:rPr>
          <w:rFonts w:ascii="Times New Roman" w:cs="Times New Roman" w:eastAsia="Times New Roman" w:hAnsi="Times New Roman"/>
          <w:sz w:val="17"/>
          <w:szCs w:val="17"/>
          <w:color w:val="auto"/>
        </w:rPr>
      </w:pPr>
    </w:p>
    <w:p>
      <w:pPr>
        <w:ind w:left="2480" w:hanging="616"/>
        <w:spacing w:after="0"/>
        <w:tabs>
          <w:tab w:leader="none" w:pos="248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(the “</w:t>
      </w:r>
      <w:r>
        <w:rPr>
          <w:rFonts w:ascii="Times New Roman" w:cs="Times New Roman" w:eastAsia="Times New Roman" w:hAnsi="Times New Roman"/>
          <w:sz w:val="17"/>
          <w:szCs w:val="17"/>
          <w:u w:val="single" w:color="auto"/>
          <w:color w:val="auto"/>
        </w:rPr>
        <w:t>Change of Control Payment</w:t>
      </w:r>
      <w:r>
        <w:rPr>
          <w:rFonts w:ascii="Times New Roman" w:cs="Times New Roman" w:eastAsia="Times New Roman" w:hAnsi="Times New Roman"/>
          <w:sz w:val="17"/>
          <w:szCs w:val="17"/>
          <w:color w:val="auto"/>
        </w:rPr>
        <w:t>”);</w:t>
      </w:r>
    </w:p>
    <w:p>
      <w:pPr>
        <w:spacing w:after="0" w:line="114" w:lineRule="exact"/>
        <w:rPr>
          <w:rFonts w:ascii="Times New Roman" w:cs="Times New Roman" w:eastAsia="Times New Roman" w:hAnsi="Times New Roman"/>
          <w:sz w:val="17"/>
          <w:szCs w:val="17"/>
          <w:color w:val="auto"/>
        </w:rPr>
      </w:pPr>
    </w:p>
    <w:p>
      <w:pPr>
        <w:ind w:left="1240" w:firstLine="624"/>
        <w:spacing w:after="0" w:line="288" w:lineRule="auto"/>
        <w:tabs>
          <w:tab w:leader="none" w:pos="247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date, which must be no earlier than 30 days nor later than 60 days from the date such notice is mailed, other than as may be required by law (the “</w:t>
      </w:r>
      <w:r>
        <w:rPr>
          <w:rFonts w:ascii="Times New Roman" w:cs="Times New Roman" w:eastAsia="Times New Roman" w:hAnsi="Times New Roman"/>
          <w:sz w:val="17"/>
          <w:szCs w:val="17"/>
          <w:u w:val="single" w:color="auto"/>
          <w:color w:val="auto"/>
        </w:rPr>
        <w:t>Change of Control Payment Date</w:t>
      </w:r>
      <w:r>
        <w:rPr>
          <w:rFonts w:ascii="Times New Roman" w:cs="Times New Roman" w:eastAsia="Times New Roman" w:hAnsi="Times New Roman"/>
          <w:sz w:val="17"/>
          <w:szCs w:val="17"/>
          <w:color w:val="auto"/>
        </w:rPr>
        <w:t>”);</w:t>
      </w:r>
    </w:p>
    <w:p>
      <w:pPr>
        <w:spacing w:after="0" w:line="47" w:lineRule="exact"/>
        <w:rPr>
          <w:rFonts w:ascii="Times New Roman" w:cs="Times New Roman" w:eastAsia="Times New Roman" w:hAnsi="Times New Roman"/>
          <w:sz w:val="17"/>
          <w:szCs w:val="17"/>
          <w:color w:val="auto"/>
        </w:rPr>
      </w:pPr>
    </w:p>
    <w:p>
      <w:pPr>
        <w:ind w:left="2480" w:hanging="616"/>
        <w:spacing w:after="0"/>
        <w:tabs>
          <w:tab w:leader="none" w:pos="248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any shares of Series B Preferred Stock not tendered or accepted for payment will remain outstanding and continue to</w:t>
      </w:r>
    </w:p>
    <w:p>
      <w:pPr>
        <w:spacing w:after="0" w:line="27"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 dividends;</w:t>
      </w:r>
    </w:p>
    <w:p>
      <w:pPr>
        <w:spacing w:after="0" w:line="97" w:lineRule="exact"/>
        <w:rPr>
          <w:rFonts w:ascii="Times New Roman" w:cs="Times New Roman" w:eastAsia="Times New Roman" w:hAnsi="Times New Roman"/>
          <w:sz w:val="17"/>
          <w:szCs w:val="17"/>
          <w:color w:val="auto"/>
        </w:rPr>
      </w:pPr>
    </w:p>
    <w:p>
      <w:pPr>
        <w:jc w:val="both"/>
        <w:ind w:left="1240" w:firstLine="624"/>
        <w:spacing w:after="0" w:line="270" w:lineRule="auto"/>
        <w:tabs>
          <w:tab w:leader="none" w:pos="247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unless the Company or the acquiring or surviving entity, as applicable, defaults in the payment of the Change of Control Payment, all shares of Series B Preferred Stock accepted for payment pursuant to the Change of Control Offer shall cease to accrue dividend after the Change of Control Payment Date;</w:t>
      </w:r>
    </w:p>
    <w:p>
      <w:pPr>
        <w:spacing w:after="0" w:line="63" w:lineRule="exact"/>
        <w:rPr>
          <w:rFonts w:ascii="Times New Roman" w:cs="Times New Roman" w:eastAsia="Times New Roman" w:hAnsi="Times New Roman"/>
          <w:sz w:val="17"/>
          <w:szCs w:val="17"/>
          <w:color w:val="auto"/>
        </w:rPr>
      </w:pPr>
    </w:p>
    <w:p>
      <w:pPr>
        <w:jc w:val="both"/>
        <w:ind w:left="1240" w:firstLine="624"/>
        <w:spacing w:after="0" w:line="270" w:lineRule="auto"/>
        <w:tabs>
          <w:tab w:leader="none" w:pos="247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Holders electing to have their shares of Series B Preferred Stock purchased pursuant to a Change of Control Offer shall be required to surrender such shares to the Paying Agent at the address specified in the notice prior to the close of business on the third Business Day prior to the Change of Control Payment Date;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92" w:lineRule="exact"/>
        <w:rPr>
          <w:sz w:val="20"/>
          <w:szCs w:val="20"/>
          <w:color w:val="auto"/>
        </w:rPr>
      </w:pPr>
    </w:p>
    <w:p>
      <w:pPr>
        <w:jc w:val="both"/>
        <w:ind w:left="1240" w:firstLine="624"/>
        <w:spacing w:after="0" w:line="262" w:lineRule="auto"/>
        <w:tabs>
          <w:tab w:leader="none" w:pos="2474" w:val="left"/>
        </w:tabs>
        <w:numPr>
          <w:ilvl w:val="2"/>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Holders shall be entitled to withdraw their tendered shares of Series B Preferred Stock and their election to require the Company or the acquiring or surviving entity, as applicable, to purchase such shares of Series B Preferred Stock; provided that the Paying Agent receives, not later than the close of business on the last day of the offer period, a facsimile transmission or letter, setting forth the name of the holder of the shares of Series B Preferred Stock, the number of shares of Series B Preferred Stock tendered for purchase, and a statement that such holder is withdrawing its tendered shares of Series B Preferred Stock and its election to have such shares purchased; and</w:t>
      </w:r>
    </w:p>
    <w:p>
      <w:pPr>
        <w:spacing w:after="0" w:line="70" w:lineRule="exact"/>
        <w:rPr>
          <w:rFonts w:ascii="Times New Roman" w:cs="Times New Roman" w:eastAsia="Times New Roman" w:hAnsi="Times New Roman"/>
          <w:sz w:val="17"/>
          <w:szCs w:val="17"/>
          <w:color w:val="auto"/>
        </w:rPr>
      </w:pPr>
    </w:p>
    <w:p>
      <w:pPr>
        <w:ind w:left="1240" w:firstLine="624"/>
        <w:spacing w:after="0" w:line="288" w:lineRule="auto"/>
        <w:tabs>
          <w:tab w:leader="none" w:pos="2474" w:val="left"/>
        </w:tabs>
        <w:numPr>
          <w:ilvl w:val="2"/>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reasonable and necessary instructions, as determined by the Company or the acquiring or surviving entity, as applicable, in good faith, consistent with this Section 6, that a holder of shares of Series B Preferred Stock must follow.</w:t>
      </w:r>
    </w:p>
    <w:p>
      <w:pPr>
        <w:spacing w:after="0" w:line="86" w:lineRule="exact"/>
        <w:rPr>
          <w:rFonts w:ascii="Times New Roman" w:cs="Times New Roman" w:eastAsia="Times New Roman" w:hAnsi="Times New Roman"/>
          <w:sz w:val="17"/>
          <w:szCs w:val="17"/>
          <w:color w:val="auto"/>
        </w:rPr>
      </w:pPr>
    </w:p>
    <w:p>
      <w:pPr>
        <w:jc w:val="both"/>
        <w:ind w:firstLine="1244"/>
        <w:spacing w:after="0" w:line="251" w:lineRule="auto"/>
        <w:tabs>
          <w:tab w:leader="none" w:pos="185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shall not be required to make a Change of Control Offer upon a Change of Control if (i) a third party makes the Change of Control Offer in the manner, at the times and otherwise in compliance with the requirements set forth in this Section 6 applicable to a Change of Control Offer made by the Company and purchases all shares of Series B Preferred Stock properly tendered and not withdrawn under the Change of Control Offer, or (ii) an unconditional and irrevocable notice of redemption as to all outstanding shares of Series B Preferred Stock has been given pursuant to Sections 5, unless and until there is a default in payment of the applicable redemption price.</w:t>
      </w:r>
    </w:p>
    <w:p>
      <w:pPr>
        <w:spacing w:after="0" w:line="118" w:lineRule="exact"/>
        <w:rPr>
          <w:rFonts w:ascii="Times New Roman" w:cs="Times New Roman" w:eastAsia="Times New Roman" w:hAnsi="Times New Roman"/>
          <w:sz w:val="21"/>
          <w:szCs w:val="21"/>
          <w:color w:val="auto"/>
        </w:rPr>
      </w:pPr>
    </w:p>
    <w:p>
      <w:pPr>
        <w:jc w:val="both"/>
        <w:ind w:firstLine="1244"/>
        <w:spacing w:after="0"/>
        <w:tabs>
          <w:tab w:leader="none" w:pos="185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Notwithstanding anything to the contrary herein, a Change of Control Offer may be made in advance of a Change of Control conditioned upon such Change of Control if at the time of making of the Change of Control Offer a definitive agreement is in place with respect to such Change of Control.</w:t>
      </w:r>
    </w:p>
    <w:p>
      <w:pPr>
        <w:spacing w:after="0" w:line="325" w:lineRule="exact"/>
        <w:rPr>
          <w:rFonts w:ascii="Times New Roman" w:cs="Times New Roman" w:eastAsia="Times New Roman" w:hAnsi="Times New Roman"/>
          <w:sz w:val="21"/>
          <w:szCs w:val="21"/>
          <w:color w:val="auto"/>
        </w:rPr>
      </w:pPr>
    </w:p>
    <w:p>
      <w:pPr>
        <w:jc w:val="both"/>
        <w:ind w:firstLine="1244"/>
        <w:spacing w:after="0" w:line="247" w:lineRule="auto"/>
        <w:tabs>
          <w:tab w:leader="none" w:pos="185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or the acquiring or surviving entity, as applicable, shall comply with the requirements of Rule 14e-1 under the Exchange Act and any other securities laws and regulations thereunder to the extent such laws and regulations are applicable in connection with the repurchase of shares of Series B Preferred Stock pursuant to a Change of Control Offer. To the extent that the provisions of any securities laws or regulations conflict with this Section 6, the Company or the acquiring or surviving entity, as applicable, shall comply with the applicable securities laws and regulations and will not be deemed to have breached its obligations under this Section 6 by virtue thereof.</w:t>
      </w:r>
    </w:p>
    <w:p>
      <w:pPr>
        <w:spacing w:after="0" w:line="83"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firstLine="1244"/>
        <w:spacing w:after="0" w:line="236" w:lineRule="auto"/>
        <w:tabs>
          <w:tab w:leader="none" w:pos="1857"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shares of Series B Preferred Stock shall have no voting rights, except as provided in this Section 7 and as otherwise provided by the applicable provisions of the laws of the State of Florida.</w:t>
      </w:r>
    </w:p>
    <w:p>
      <w:pPr>
        <w:spacing w:after="0" w:line="125"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Prior to the Series B Preferred Stock being listed on the New York Stock Exchange, in the event that dividends payable on the Series B Preferred Stock are in arrears for six or more quarterly periods, whether consecutive or otherwise, the holders of the Series B Preferred Stock shall have the right to appoint, until such dividends are made current, one individual (the “</w:t>
      </w:r>
      <w:r>
        <w:rPr>
          <w:rFonts w:ascii="Times New Roman" w:cs="Times New Roman" w:eastAsia="Times New Roman" w:hAnsi="Times New Roman"/>
          <w:sz w:val="17"/>
          <w:szCs w:val="17"/>
          <w:u w:val="single" w:color="auto"/>
          <w:color w:val="auto"/>
        </w:rPr>
        <w:t>Board Observer</w:t>
      </w:r>
      <w:r>
        <w:rPr>
          <w:rFonts w:ascii="Times New Roman" w:cs="Times New Roman" w:eastAsia="Times New Roman" w:hAnsi="Times New Roman"/>
          <w:sz w:val="17"/>
          <w:szCs w:val="17"/>
          <w:color w:val="auto"/>
        </w:rPr>
        <w:t>”) to attend as a nonvoting observer all meetings of the Company’s Board and each committee thereof, except for any portion of a meeting of the Board that intends to consider, or any committee formed intends to consider, a transaction between the Company and the holders of the Series B Preferred Stock, any of their Affiliates or any holder that is Affiliated with the Board Observer or an Affiliate of any holder that is Affiliated with the Board Observer, and provided that the Board Observer is subject to a customary non-disclosure agreement. The Company shall provide the Board Observer with (i) notice of all meetings of the Board (and committees thereof) and (ii) all information delivered to the members of such Board (or committees thereof) prior to such meetings, and all other materials, including proposed written consent actions, otherwise provided to the Board, at the same time such notice and information is delivered to the members of the Board. Notwithstanding the above, the Company has the right to withhold any information from the Board Observer and to exclude the Board Observer from any meeting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portion thereof of the Board or committees thereof if access to such information or attendance at such meeting would, based on the advice of counsel (including the Company’s in-house counsel):</w:t>
      </w:r>
    </w:p>
    <w:p>
      <w:pPr>
        <w:spacing w:after="0" w:line="48" w:lineRule="exact"/>
        <w:rPr>
          <w:sz w:val="20"/>
          <w:szCs w:val="20"/>
          <w:color w:val="auto"/>
        </w:rPr>
      </w:pPr>
    </w:p>
    <w:p>
      <w:pPr>
        <w:ind w:left="1860" w:hanging="616"/>
        <w:spacing w:after="0"/>
        <w:tabs>
          <w:tab w:leader="none" w:pos="18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loss of attorney-client privilege between the Company and its counsel;</w:t>
      </w:r>
    </w:p>
    <w:p>
      <w:pPr>
        <w:spacing w:after="0" w:line="114" w:lineRule="exact"/>
        <w:rPr>
          <w:rFonts w:ascii="Times New Roman" w:cs="Times New Roman" w:eastAsia="Times New Roman" w:hAnsi="Times New Roman"/>
          <w:sz w:val="17"/>
          <w:szCs w:val="17"/>
          <w:color w:val="auto"/>
        </w:rPr>
      </w:pPr>
    </w:p>
    <w:p>
      <w:pPr>
        <w:ind w:left="1860" w:hanging="616"/>
        <w:spacing w:after="0"/>
        <w:tabs>
          <w:tab w:leader="none" w:pos="18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Board to breach its duties to the Company and its stockholders; or</w:t>
      </w:r>
    </w:p>
    <w:p>
      <w:pPr>
        <w:spacing w:after="0" w:line="114" w:lineRule="exact"/>
        <w:rPr>
          <w:rFonts w:ascii="Times New Roman" w:cs="Times New Roman" w:eastAsia="Times New Roman" w:hAnsi="Times New Roman"/>
          <w:sz w:val="17"/>
          <w:szCs w:val="17"/>
          <w:color w:val="auto"/>
        </w:rPr>
      </w:pPr>
    </w:p>
    <w:p>
      <w:pPr>
        <w:ind w:left="1860" w:hanging="616"/>
        <w:spacing w:after="0" w:line="288" w:lineRule="auto"/>
        <w:tabs>
          <w:tab w:leader="none" w:pos="18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direct conflict between interests of the Company, on the one hand, and those of the Board Observer or its Affiliates, on the other hand.</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will use its reasonable efforts to ensure that any withholding of information or any restriction on attendance is limited only to the extent necessary set forth in the preceding sentence. Notwithstanding anything in the foregoing to the contrary, the Company shall be entitled to take actions and establish procedures to the extent reasonably required to restrict the access of the Board Observer to any restricted national security data of the Company or of any other Person whose national security data is in the possession or control of the Company. The Board Observer shall not have any authority to bind the Company.</w:t>
      </w:r>
    </w:p>
    <w:p>
      <w:pPr>
        <w:spacing w:after="0" w:line="106" w:lineRule="exact"/>
        <w:rPr>
          <w:sz w:val="20"/>
          <w:szCs w:val="20"/>
          <w:color w:val="auto"/>
        </w:rPr>
      </w:pPr>
    </w:p>
    <w:p>
      <w:pPr>
        <w:jc w:val="both"/>
        <w:ind w:firstLine="1244"/>
        <w:spacing w:after="0" w:line="253" w:lineRule="auto"/>
        <w:tabs>
          <w:tab w:leader="none" w:pos="185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From and after the date that the Series B Preferred Stock is listed on the New York Stock Exchange, in the event that dividends payable on the Series B Preferred Stock are in arrears for six or more quarterly periods, whether consecutive or otherwise, the holders of the Series B Preferred Stock shall have the right to appoint, but not be required to appoint, two (2) directors (each a “</w:t>
      </w:r>
      <w:r>
        <w:rPr>
          <w:rFonts w:ascii="Times New Roman" w:cs="Times New Roman" w:eastAsia="Times New Roman" w:hAnsi="Times New Roman"/>
          <w:sz w:val="17"/>
          <w:szCs w:val="17"/>
          <w:u w:val="single" w:color="auto"/>
          <w:color w:val="auto"/>
        </w:rPr>
        <w:t>Series B Director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Series B Directors</w:t>
      </w:r>
      <w:r>
        <w:rPr>
          <w:rFonts w:ascii="Times New Roman" w:cs="Times New Roman" w:eastAsia="Times New Roman" w:hAnsi="Times New Roman"/>
          <w:sz w:val="17"/>
          <w:szCs w:val="17"/>
          <w:color w:val="auto"/>
        </w:rPr>
        <w:t>”) to the Company’s Board. A Series B Director may serve as a member of any committee of the Board, if duly appointed thereto by the Board, provided, that notwithstanding anything to the contrary herein, membership on any such committee will be dependent upon such director meeting the qualifications, and if applicable, independence criteria deemed necessary to comply with any Listing Requirements of the New York Stock Exchange. A Series B Director may attend all meetings of the Company’s Board and each committee of which a Series B Director is a member. The Series B Directors shall be elected by a plurality of the votes cast by the holders of the outstanding shares of Series B Preferred Stock when they have the voting rights set forth in this Section 7(c) in the election to serve until the next annual meeting of stockholders and until their successors are duly elected and qualify or until such directors’ right to hold the office terminates as described below, whichever occurs earlier. The right of such holders of Series B Preferred Stock to elect Series B Directors shall continue until such time as there are no accumulated and unpaid dividends in arrears on the Series B Preferred Stock, at which time such right shall terminate, subject to revesting in the event of each and every subsequent failure to pay six quarterly dividends as described above. Upon any termination of the right of the holders of the Series B Preferred Stock to vote as a class for such directors, the term of office of the Series B Directors then in office shall terminate immediately. Each Series B Director shall each be entitled to one vote on any matter before the Board.</w:t>
      </w:r>
    </w:p>
    <w:p>
      <w:pPr>
        <w:spacing w:after="0" w:line="115" w:lineRule="exact"/>
        <w:rPr>
          <w:rFonts w:ascii="Times New Roman" w:cs="Times New Roman" w:eastAsia="Times New Roman" w:hAnsi="Times New Roman"/>
          <w:sz w:val="21"/>
          <w:szCs w:val="21"/>
          <w:color w:val="auto"/>
        </w:rPr>
      </w:pPr>
    </w:p>
    <w:p>
      <w:pPr>
        <w:jc w:val="both"/>
        <w:ind w:firstLine="1244"/>
        <w:spacing w:after="0" w:line="247" w:lineRule="auto"/>
        <w:tabs>
          <w:tab w:leader="none" w:pos="185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Series B Director may be removed at any time, by the affirmative vote of, and shall not be removed otherwise than by the affirmative vote of, a majority of the votes entitled to be cast by the holders of record of the outstanding shares of Series B Preferred Stock when they have the voting rights set forth in Section 7(c). So long as the right of holders of Series B Preferred Stock to elect Series B Directors shall continue, any vacancy in the office of a Series B Director may be filled by written consent of the Series B Director remaining in office, or if none remains in office, by a plurality of the votes cast by the holders of the outstanding shares of Series B Preferred Stock when they have the voting rights set forth in Section 7(c).</w:t>
      </w:r>
    </w:p>
    <w:p>
      <w:pPr>
        <w:spacing w:after="0" w:line="122" w:lineRule="exact"/>
        <w:rPr>
          <w:rFonts w:ascii="Times New Roman" w:cs="Times New Roman" w:eastAsia="Times New Roman" w:hAnsi="Times New Roman"/>
          <w:sz w:val="21"/>
          <w:szCs w:val="21"/>
          <w:color w:val="auto"/>
        </w:rPr>
      </w:pPr>
    </w:p>
    <w:p>
      <w:pPr>
        <w:jc w:val="both"/>
        <w:ind w:firstLine="1244"/>
        <w:spacing w:after="0" w:line="242" w:lineRule="auto"/>
        <w:tabs>
          <w:tab w:leader="none" w:pos="185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So long as any shares of Series B Preferred Stock are outstanding, the Company shall not, either directly or indirectly, by amendment, merger, reorganization, reclassification, recapitalization, conversion, consolidation or otherwise, do any of the following without (in addition to any other vote required by law or the Articles of Incorporation) the applicable affirmative vote or consent set forth below, given 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37</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person or by proxy, either in writing by consent or by resolution adopted at an annual or special meeting and any act or transaction entered into without such vote or consent shall be void ab initio and of no force and effect:</w:t>
      </w:r>
    </w:p>
    <w:p>
      <w:pPr>
        <w:spacing w:after="0" w:line="48" w:lineRule="exact"/>
        <w:rPr>
          <w:sz w:val="20"/>
          <w:szCs w:val="20"/>
          <w:color w:val="auto"/>
        </w:rPr>
      </w:pPr>
    </w:p>
    <w:p>
      <w:pPr>
        <w:jc w:val="both"/>
        <w:ind w:left="1240" w:firstLine="624"/>
        <w:spacing w:after="0" w:line="257" w:lineRule="auto"/>
        <w:tabs>
          <w:tab w:leader="none" w:pos="2475" w:val="left"/>
        </w:tabs>
        <w:numPr>
          <w:ilvl w:val="2"/>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clauses (ii) and (iii) of this Section 7(e), unless the Company has received the affirmative vote or consent of the holders of at least two-thirds of the shares of Series B Preferred Stock and any Parity Stock then outstanding, voting together as a single class, the Company may not amend or otherwise alter these Articles of Designation, the Articles of Incorporation or the bylaws of the Company in any manner that would adversely affect the rights, privileges or preferences of the holders of Series B Preferred Stock and the Parity Securities; provided that if any such amendment or alternation shall materially affect the rights, privileges or preferences of the Series B Preferred Stock only or materially affect the rights, privileges or preferences of the Series B Preferred Stock disproportionately in comparison to those of any Parity Securities, then such amendment or alternation shall also require the affirmative vote or consent of the holders of at least two-thirds of the shares of Series B Preferred Stock then outstanding voting as a class; for the avoidance of doubt, an amendment to the Articles of Incorporation to authorize or create a new series of Parity Securities shall not be deemed to adversely affect the rights, privileges or preferences of the holders of Series B Preferred Stock or any other series of Parity Securities;</w:t>
      </w:r>
    </w:p>
    <w:p>
      <w:pPr>
        <w:spacing w:after="0" w:line="77" w:lineRule="exact"/>
        <w:rPr>
          <w:rFonts w:ascii="Times New Roman" w:cs="Times New Roman" w:eastAsia="Times New Roman" w:hAnsi="Times New Roman"/>
          <w:sz w:val="17"/>
          <w:szCs w:val="17"/>
          <w:color w:val="auto"/>
        </w:rPr>
      </w:pPr>
    </w:p>
    <w:p>
      <w:pPr>
        <w:jc w:val="both"/>
        <w:ind w:left="1240" w:firstLine="624"/>
        <w:spacing w:after="0" w:line="270" w:lineRule="auto"/>
        <w:tabs>
          <w:tab w:leader="none" w:pos="2471" w:val="left"/>
        </w:tabs>
        <w:numPr>
          <w:ilvl w:val="2"/>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Company has received the affirmative vote or consent of holders of at least a majority of the shares of Series B Preferred Stock then outstanding, voting as a class, the Company may not increase the number of authorized shares of Series B Preferred Stock set forth in Section 1 hereof; or</w:t>
      </w:r>
    </w:p>
    <w:p>
      <w:pPr>
        <w:spacing w:after="0" w:line="63" w:lineRule="exact"/>
        <w:rPr>
          <w:rFonts w:ascii="Times New Roman" w:cs="Times New Roman" w:eastAsia="Times New Roman" w:hAnsi="Times New Roman"/>
          <w:sz w:val="17"/>
          <w:szCs w:val="17"/>
          <w:color w:val="auto"/>
        </w:rPr>
      </w:pPr>
    </w:p>
    <w:p>
      <w:pPr>
        <w:jc w:val="both"/>
        <w:ind w:left="1240" w:firstLine="624"/>
        <w:spacing w:after="0" w:line="265" w:lineRule="auto"/>
        <w:tabs>
          <w:tab w:leader="none" w:pos="2480" w:val="left"/>
        </w:tabs>
        <w:numPr>
          <w:ilvl w:val="2"/>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(i) the Company has received the affirmative vote or consent of holders of at least two-thirds of the shares of Series B Preferred Stock then outstanding, voting as a class, or (ii) the Company has issued an irrevocable notice of redemption to redeem all outstanding shares of Series B Preferred Stock, the Company may not authorize or create (by way of reclassification or otherwise) any Senior Securities or any obligation or security convertible or exchangeable into or evidencing the right to purchase, shares of any class or series of Senior Securities.</w:t>
      </w:r>
    </w:p>
    <w:p>
      <w:pPr>
        <w:spacing w:after="0" w:line="105" w:lineRule="exact"/>
        <w:rPr>
          <w:rFonts w:ascii="Times New Roman" w:cs="Times New Roman" w:eastAsia="Times New Roman" w:hAnsi="Times New Roman"/>
          <w:sz w:val="17"/>
          <w:szCs w:val="17"/>
          <w:color w:val="auto"/>
        </w:rPr>
      </w:pPr>
    </w:p>
    <w:p>
      <w:pPr>
        <w:jc w:val="both"/>
        <w:ind w:firstLine="1244"/>
        <w:spacing w:after="0" w:line="251" w:lineRule="auto"/>
        <w:tabs>
          <w:tab w:leader="none" w:pos="1906"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On any matter described above in which the holders of the Series B Preferred Stock are entitled to vote as a class, such holders will be entitled to one vote per share and in the case where the holders of Series B Preferred Stock are entitled to vote with the holders of any Parity Securities as a single class, the holders of Series B Preferred Stock and any Parity Securities shall be entitled to one vote per $25.00 of liquidation preference at any meeting at which the applicable quorum with respect to such voting group has been met or as part of a written consent of shareholders with respect to which such voting group is entitled to participate pursuant to the applicable provisions of the laws of the State of Florida.</w:t>
      </w:r>
    </w:p>
    <w:p>
      <w:pPr>
        <w:spacing w:after="0" w:line="79"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Rights</w:t>
      </w:r>
      <w:r>
        <w:rPr>
          <w:rFonts w:ascii="Times New Roman" w:cs="Times New Roman" w:eastAsia="Times New Roman" w:hAnsi="Times New Roman"/>
          <w:sz w:val="17"/>
          <w:szCs w:val="17"/>
          <w:color w:val="auto"/>
        </w:rPr>
        <w:t>. During any period in which the Company is not subject to Section 13 or 15(d) of the Exchange Act and any shares of Series B Preferred Stock are outstanding, the Company shall either post on its website or provide to any holder of shares of Series B Preferred Stock or any prospective purchaser of shares of Series B Preferred Stock, in each case, upon written request to the Company, (i) within 90 days after the end of the Company’s fiscal year, a copy of the Company’s audited annual consolidated financial statements for the most recently ended fiscal year, together with a description of the Company’s business and a “Management Discussion and Analysis of Results of Operations and Financial Condition” consistent with the disclosure for such sections in the Company’s annual report on Form 10-K when it was subject to Section 13 or 15(d) of the Exchange Act and (ii) within 60 days after the end of each of the first three fiscal quarters of the Company, a copy of the Company’s unaudited quarterly consolidated financial statements for the most recently ended fiscal quarter, together with a brief description of the Company’s business and a “Management Discussion and Analysis of Results of Operations and Financial Condition” consistent with the disclosure for such sections in the Company’s quarterly reports on Form 10-Q when it was subject to Section 13 or 15(d) of the Exchange 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92" w:lineRule="exact"/>
        <w:rPr>
          <w:sz w:val="20"/>
          <w:szCs w:val="20"/>
          <w:color w:val="auto"/>
        </w:rPr>
      </w:pPr>
    </w:p>
    <w:p>
      <w:pPr>
        <w:jc w:val="both"/>
        <w:ind w:firstLine="624"/>
        <w:spacing w:after="0" w:line="264" w:lineRule="auto"/>
        <w:tabs>
          <w:tab w:leader="none" w:pos="124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Unless the shares of Series B Preferred Stock have been registered for resale under the Securities Act or are not deemed to be “restricted securities” under the Securities Act, the shares of Series B Preferred Stock may only be transferred to (i) the Company or any of its subsidiaries or</w:t>
      </w:r>
    </w:p>
    <w:p>
      <w:pPr>
        <w:jc w:val="both"/>
        <w:ind w:firstLine="3"/>
        <w:spacing w:after="0" w:line="257" w:lineRule="auto"/>
        <w:tabs>
          <w:tab w:leader="none" w:pos="27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that is an “accredited investor” as defined in Rule 501(a) under the Securities Act and in a transaction exempt from the registration requirements under the Securities Act and in accordance with all applicable state securities laws and the securities laws of any other applicable jurisdiction. In connection with any transfer of shares, the Company shall be entitled to receive information and documentation as the Company may reasonably request (including an opinion of counsel reasonably satisfactory to the Company at the expense of the transferring holder) to confirm that such transfer does not require registration under the Securities Act and such other applicable securities laws.</w:t>
      </w:r>
    </w:p>
    <w:p>
      <w:pPr>
        <w:spacing w:after="0" w:line="73" w:lineRule="exact"/>
        <w:rPr>
          <w:rFonts w:ascii="Times New Roman" w:cs="Times New Roman" w:eastAsia="Times New Roman" w:hAnsi="Times New Roman"/>
          <w:sz w:val="17"/>
          <w:szCs w:val="17"/>
          <w:color w:val="auto"/>
        </w:rPr>
      </w:pPr>
    </w:p>
    <w:p>
      <w:pPr>
        <w:jc w:val="both"/>
        <w:ind w:firstLine="624"/>
        <w:spacing w:after="0" w:line="270"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Exclusion of Other Rights</w:t>
      </w:r>
      <w:r>
        <w:rPr>
          <w:rFonts w:ascii="Times New Roman" w:cs="Times New Roman" w:eastAsia="Times New Roman" w:hAnsi="Times New Roman"/>
          <w:sz w:val="17"/>
          <w:szCs w:val="17"/>
          <w:color w:val="auto"/>
        </w:rPr>
        <w:t>. Except as may otherwise be required by law, the shares of Series B Preferred Stock shall not have any voting powers, preferences and relative, participating, optional or other special rights, other than those specifically set forth in these Articles of Designation (as such resolution may be amended from time to time) and in the Articles of Incorporation. The shares of Series B Preferred Stock shall have no preemptive or subscription rights.</w:t>
      </w:r>
    </w:p>
    <w:p>
      <w:pPr>
        <w:spacing w:after="0" w:line="63" w:lineRule="exact"/>
        <w:rPr>
          <w:rFonts w:ascii="Times New Roman" w:cs="Times New Roman" w:eastAsia="Times New Roman" w:hAnsi="Times New Roman"/>
          <w:sz w:val="17"/>
          <w:szCs w:val="17"/>
          <w:color w:val="auto"/>
        </w:rPr>
      </w:pPr>
    </w:p>
    <w:p>
      <w:pPr>
        <w:ind w:firstLine="624"/>
        <w:spacing w:after="0" w:line="288" w:lineRule="auto"/>
        <w:tabs>
          <w:tab w:leader="none" w:pos="1229"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 of Subdivisions</w:t>
      </w:r>
      <w:r>
        <w:rPr>
          <w:rFonts w:ascii="Times New Roman" w:cs="Times New Roman" w:eastAsia="Times New Roman" w:hAnsi="Times New Roman"/>
          <w:sz w:val="17"/>
          <w:szCs w:val="17"/>
          <w:color w:val="auto"/>
        </w:rPr>
        <w:t>. The headings of the various subdivisions hereof are for convenience of reference only and shall not affect the interpretation of any of the provisions hereof.</w:t>
      </w:r>
    </w:p>
    <w:p>
      <w:pPr>
        <w:spacing w:after="0" w:line="47" w:lineRule="exact"/>
        <w:rPr>
          <w:rFonts w:ascii="Times New Roman" w:cs="Times New Roman" w:eastAsia="Times New Roman" w:hAnsi="Times New Roman"/>
          <w:sz w:val="17"/>
          <w:szCs w:val="17"/>
          <w:color w:val="auto"/>
        </w:rPr>
      </w:pPr>
    </w:p>
    <w:p>
      <w:pPr>
        <w:jc w:val="both"/>
        <w:ind w:firstLine="624"/>
        <w:spacing w:after="0" w:line="258"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If any voting powers, preferences and relative, participating, optional and other special rights of the Series B Preferred Stock and qualifications, limitations and restrictions thereof set forth in these Articles of Designation (as may be amended from time to time) is invalid, unlawful or incapable of being enforced by reason of any rule of law or public policy, all other voting powers, preferences and relative, participating, optional and other special rights of Series B Preferred Stock and qualifications, limitations and restrictions thereof set forth in these Articles of Designation (as so amended) which can be given effect without the invalid, unlawful or unenforceable voting powers, preferences and relative, participating, optional or other special rights of Series B Preferred Stock and qualifications, limitations and restrictions thereof shall, nevertheless, remain in full force and effect and no voting powers, preferences and relative, participating, optional or other special rights of Series B Preferred Stock and qualifications, limitations and restrictions thereof herein set forth shall be deemed dependent upon any other such voting powers, preferences and relative, participating, optional or other special rights of Series B Preferred Stock and qualifications, limitations and restrictions thereof unless so expressed herein.</w:t>
      </w:r>
    </w:p>
    <w:p>
      <w:pPr>
        <w:spacing w:after="0" w:line="72" w:lineRule="exact"/>
        <w:rPr>
          <w:rFonts w:ascii="Times New Roman" w:cs="Times New Roman" w:eastAsia="Times New Roman" w:hAnsi="Times New Roman"/>
          <w:sz w:val="17"/>
          <w:szCs w:val="17"/>
          <w:color w:val="auto"/>
        </w:rPr>
      </w:pPr>
    </w:p>
    <w:p>
      <w:pPr>
        <w:jc w:val="both"/>
        <w:ind w:firstLine="624"/>
        <w:spacing w:after="0" w:line="262"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Series B Preferred Stock</w:t>
      </w:r>
      <w:r>
        <w:rPr>
          <w:rFonts w:ascii="Times New Roman" w:cs="Times New Roman" w:eastAsia="Times New Roman" w:hAnsi="Times New Roman"/>
          <w:sz w:val="17"/>
          <w:szCs w:val="17"/>
          <w:color w:val="auto"/>
        </w:rPr>
        <w:t>. Shares of Series B Preferred Stock that have been issued and reacquired in any manner, including shares purchased or redeemed or exchanged, shall (upon compliance with any applicable provisions of the laws of the State of Florida)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B Preferred Stock must be in compliance with the terms hereof.</w:t>
      </w:r>
    </w:p>
    <w:p>
      <w:pPr>
        <w:spacing w:after="0" w:line="70" w:lineRule="exact"/>
        <w:rPr>
          <w:rFonts w:ascii="Times New Roman" w:cs="Times New Roman" w:eastAsia="Times New Roman" w:hAnsi="Times New Roman"/>
          <w:sz w:val="17"/>
          <w:szCs w:val="17"/>
          <w:color w:val="auto"/>
        </w:rPr>
      </w:pPr>
    </w:p>
    <w:p>
      <w:pPr>
        <w:jc w:val="both"/>
        <w:ind w:firstLine="624"/>
        <w:spacing w:after="0" w:line="260"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Mutilated or Missing Series B Preferred Stock Certificates</w:t>
      </w:r>
      <w:r>
        <w:rPr>
          <w:rFonts w:ascii="Times New Roman" w:cs="Times New Roman" w:eastAsia="Times New Roman" w:hAnsi="Times New Roman"/>
          <w:sz w:val="17"/>
          <w:szCs w:val="17"/>
          <w:color w:val="auto"/>
        </w:rPr>
        <w:t>. If physical certificates are issued for the Series B Preferred Stock and if any of such Series B Preferred Stock certificates shall be mutilated, lost, stolen or destroyed, the Company shall issue, at the holder’s expense, in exchange and in substitution for and upon cancellation of the mutilated Series B Preferred Stock certificate, or in lieu of and substitution for the Series B Preferred Stock certificate lost, stolen or destroyed, a new Series B Preferred Stock certificate of like tenor and representing an equivalent amount of shares of Series B Preferred Stock, but only upon receipt of evidence of such loss, theft or destruction of such Series B Preferred Stock certificate and indemnity, if requested, satisfactory to the Company and the Registrar (if other than the Company).</w:t>
      </w:r>
    </w:p>
    <w:p>
      <w:pPr>
        <w:spacing w:after="0" w:line="73" w:lineRule="exact"/>
        <w:rPr>
          <w:rFonts w:ascii="Times New Roman" w:cs="Times New Roman" w:eastAsia="Times New Roman" w:hAnsi="Times New Roman"/>
          <w:sz w:val="17"/>
          <w:szCs w:val="17"/>
          <w:color w:val="auto"/>
        </w:rPr>
      </w:pPr>
    </w:p>
    <w:p>
      <w:pPr>
        <w:jc w:val="both"/>
        <w:ind w:firstLine="624"/>
        <w:spacing w:after="0" w:line="262"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Registrar, Transfer Agent and Paying Agent</w:t>
      </w:r>
      <w:r>
        <w:rPr>
          <w:rFonts w:ascii="Times New Roman" w:cs="Times New Roman" w:eastAsia="Times New Roman" w:hAnsi="Times New Roman"/>
          <w:sz w:val="17"/>
          <w:szCs w:val="17"/>
          <w:color w:val="auto"/>
        </w:rPr>
        <w:t>. Each of the Registrar and the Paying Agent for the Series B Preferred Stock shall be selected by the Company in its sole discretion. Initially, the Registrar and Paying Agent for the Series B Preferred Stock shall be Computershare Inc. and its affiliate, Computershare Trust Company N.A.. The Company may appoint a successor to any one or more of such roles (and may remove any such successor in accordance with any agreement with such successor and appoint a new successor). Upon any such removal or appointment, the Company shall notify the holders of the Series B Preferred Stock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39</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92" w:lineRule="exact"/>
        <w:rPr>
          <w:sz w:val="20"/>
          <w:szCs w:val="20"/>
          <w:color w:val="auto"/>
        </w:rPr>
      </w:pPr>
    </w:p>
    <w:p>
      <w:pPr>
        <w:jc w:val="both"/>
        <w:ind w:firstLine="624"/>
        <w:spacing w:after="0" w:line="262" w:lineRule="auto"/>
        <w:tabs>
          <w:tab w:leader="none" w:pos="123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All payments (or deemed payments) and distributions (or deemed distributions) on the shares of Series B Preferred Stock shall be subject to withholding and backup withholding of tax to the extent required by law, and such amounts withheld, if any, shall be treated as received by the holders of Series B Preferred Stock. In the event the Company previously remitted any amounts to a governmental authority with respect to any taxes required to be deducted or withheld in respect of any payment or distribution (or deemed payment or distribution) with respect to a share of Series B Preferred Stock, the Company shall be entitled to offset any such amounts against any amounts otherwise payable in respect of such share of Series B Preferred Stock.</w:t>
      </w:r>
    </w:p>
    <w:p>
      <w:pPr>
        <w:spacing w:after="0" w:line="70" w:lineRule="exact"/>
        <w:rPr>
          <w:rFonts w:ascii="Times New Roman" w:cs="Times New Roman" w:eastAsia="Times New Roman" w:hAnsi="Times New Roman"/>
          <w:sz w:val="17"/>
          <w:szCs w:val="17"/>
          <w:color w:val="auto"/>
        </w:rPr>
      </w:pPr>
    </w:p>
    <w:p>
      <w:pPr>
        <w:jc w:val="both"/>
        <w:ind w:firstLine="624"/>
        <w:spacing w:after="0" w:line="270" w:lineRule="auto"/>
        <w:tabs>
          <w:tab w:leader="none" w:pos="123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Treatment Under GAAP</w:t>
      </w:r>
      <w:r>
        <w:rPr>
          <w:rFonts w:ascii="Times New Roman" w:cs="Times New Roman" w:eastAsia="Times New Roman" w:hAnsi="Times New Roman"/>
          <w:sz w:val="17"/>
          <w:szCs w:val="17"/>
          <w:color w:val="auto"/>
        </w:rPr>
        <w:t>. The terms set forth in these Articles of Designation are intended to result in the treatment of the Series B Preferred Stock as equity securities under generally accepted accounting principles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By their ownership of shares of Series B Preferred Stock, the holders hereby agree to the treatment of the Series B Preferred Stock as equity securities under GAAP.</w:t>
      </w:r>
    </w:p>
    <w:p>
      <w:pPr>
        <w:spacing w:after="0" w:line="63" w:lineRule="exact"/>
        <w:rPr>
          <w:rFonts w:ascii="Times New Roman" w:cs="Times New Roman" w:eastAsia="Times New Roman" w:hAnsi="Times New Roman"/>
          <w:sz w:val="17"/>
          <w:szCs w:val="17"/>
          <w:color w:val="auto"/>
        </w:rPr>
      </w:pPr>
    </w:p>
    <w:p>
      <w:pPr>
        <w:jc w:val="both"/>
        <w:ind w:firstLine="624"/>
        <w:spacing w:after="0" w:line="270" w:lineRule="auto"/>
        <w:tabs>
          <w:tab w:leader="none" w:pos="123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Approval</w:t>
      </w:r>
      <w:r>
        <w:rPr>
          <w:rFonts w:ascii="Times New Roman" w:cs="Times New Roman" w:eastAsia="Times New Roman" w:hAnsi="Times New Roman"/>
          <w:sz w:val="17"/>
          <w:szCs w:val="17"/>
          <w:color w:val="auto"/>
        </w:rPr>
        <w:t>. These Articles of Amendment have been adopted and approved pursuant to Section 607.1006 of the Florida Business Corporation Act. The resolutions approving the issuance of Series B Preferred Stock were adopted and approved by the Board on October 25, 2024, without shareholder action. Shareholder action was not required pursuant to Section 607.0602.</w:t>
      </w:r>
    </w:p>
    <w:p>
      <w:pPr>
        <w:spacing w:after="0" w:line="63" w:lineRule="exact"/>
        <w:rPr>
          <w:rFonts w:ascii="Times New Roman" w:cs="Times New Roman" w:eastAsia="Times New Roman" w:hAnsi="Times New Roman"/>
          <w:sz w:val="17"/>
          <w:szCs w:val="17"/>
          <w:color w:val="auto"/>
        </w:rPr>
      </w:pPr>
    </w:p>
    <w:p>
      <w:pPr>
        <w:ind w:firstLine="624"/>
        <w:spacing w:after="0" w:line="288" w:lineRule="auto"/>
        <w:tabs>
          <w:tab w:leader="none" w:pos="123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these Articles of Designation, the following terms shall have the following meanings (with terms defined in the singular having comparable meanings when used in the plural and vice versa), unless the context otherwise requires:</w:t>
      </w:r>
    </w:p>
    <w:p>
      <w:pPr>
        <w:spacing w:after="0" w:line="4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specified Person, any Person that, directly or indirectly, controls, is controlled by, or is under common control with, such specified Person, through one or more intermediaries or otherwise. For purposes hereof, “control” (including, with correlative meaning, the terms “controlled by” and “under common control with”) means the possession, direct or indirect, of the power to direct or cause the direction of the management or policies of such Person, whether through the ownership of voting securities, by contract or otherwise.</w:t>
      </w:r>
    </w:p>
    <w:p>
      <w:pPr>
        <w:spacing w:after="0" w:line="6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(i) the sale, lease or transfer (whether by merger or otherwise) of all or substantially all of the assets of the Company and its subsidiaries, taken as a whole, to any Person or Persons; or (ii)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by way of merger, consolidation or other business combination or purchase of beneficial ownership (within the meaning of Rule 13d-3 under the Exchange Act, or any successor provision), of 50.0% or more of the total voting power of the Voting Stock of the Company. For purposes of this definition, any direct or indirect holding company of the Company shall not itself be considered a “Person” or “group” for purposes of clause (2) above; provided that no “Person” or “group” beneficially owns, directly or indirectly, more than 50.0% of the total voting power of the Voting Stock of such holding company.</w:t>
      </w: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par value $.01 per share, of the Company as presently constituted.</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15"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Listing Requirements</w:t>
      </w:r>
      <w:r>
        <w:rPr>
          <w:rFonts w:ascii="Times New Roman" w:cs="Times New Roman" w:eastAsia="Times New Roman" w:hAnsi="Times New Roman"/>
          <w:sz w:val="17"/>
          <w:szCs w:val="17"/>
          <w:color w:val="auto"/>
        </w:rPr>
        <w:t>” means the eligibility requirements for the listing (and continued listing) of the Series B Preferred Stock on the New York Stock Exchange.</w:t>
      </w:r>
    </w:p>
    <w:p>
      <w:pPr>
        <w:spacing w:after="0" w:line="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firm, corporation, partnership, limited liability company, incorporated or unincorporated association, joint venture, joint stock company or other entity of any kind.</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w:t>
      </w: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Company has caused these Articles of Amendment to be executed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40</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October 25, 2024</w:t>
      </w:r>
    </w:p>
    <w:p>
      <w:pPr>
        <w:spacing w:after="0" w:line="1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ONITY GROUP,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Joseph Samarias</w:t>
      </w:r>
    </w:p>
    <w:p>
      <w:pPr>
        <w:spacing w:after="0" w:line="1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Name: Joseph J. Samarias</w:t>
      </w:r>
    </w:p>
    <w:p>
      <w:pPr>
        <w:spacing w:after="0" w:line="1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419"/>
        <w:spacing w:after="0"/>
        <w:rPr>
          <w:sz w:val="20"/>
          <w:szCs w:val="20"/>
          <w:color w:val="auto"/>
        </w:rPr>
      </w:pPr>
      <w:r>
        <w:rPr>
          <w:rFonts w:ascii="Calibri" w:cs="Calibri" w:eastAsia="Calibri" w:hAnsi="Calibri"/>
          <w:sz w:val="19"/>
          <w:szCs w:val="19"/>
          <w:color w:val="auto"/>
        </w:rPr>
        <w:t>41</w:t>
      </w:r>
    </w:p>
    <w:p>
      <w:pPr>
        <w:sectPr>
          <w:pgSz w:w="11900" w:h="16838" w:orient="portrait"/>
          <w:cols w:equalWidth="0" w:num="1">
            <w:col w:w="10139"/>
          </w:cols>
          <w:pgMar w:left="320" w:top="1440" w:right="1440" w:bottom="1440" w:gutter="0" w:footer="0" w:header="0"/>
        </w:sectPr>
      </w:pPr>
    </w:p>
    <w:bookmarkStart w:id="143" w:name="page144"/>
    <w:bookmarkEnd w:id="143"/>
    <w:p>
      <w:pPr>
        <w:spacing w:after="0" w:line="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AS AMENDED (THE “SECURITIES ACT”), AND THE SECURITIES MAY NOT UNDER ANY CIRCUMSTANCES BE SOLD, TRANSFERRED, OR OTHERWISE DISPOSED OF WITHOUT AN EFFECTIVE REGISTRATION STATEMENT FOR SUCH SECURITIES UNDER THE SECURITIES ACT AND ANY OTHER APPLICABLE SECURITIES LAWS OR AN OPINION OF COUNSEL SATISFACTORY TO THE COMPANY THAT REGISTRATION IS NOT REQUIRED UNDER THE SECURITIES ACT OR APPLICABLE SECURITIES LAWS.</w:t>
      </w:r>
    </w:p>
    <w:p>
      <w:pPr>
        <w:spacing w:after="0" w:line="200" w:lineRule="exact"/>
        <w:rPr>
          <w:sz w:val="20"/>
          <w:szCs w:val="20"/>
          <w:color w:val="auto"/>
        </w:rPr>
      </w:pPr>
    </w:p>
    <w:p>
      <w:pPr>
        <w:spacing w:after="0" w:line="20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[FORM OF SERIES B PREFERRED STOCK CERTIFICATE]</w:t>
      </w:r>
    </w:p>
    <w:p>
      <w:pPr>
        <w:spacing w:after="0" w:line="119"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7"/>
          <w:szCs w:val="17"/>
          <w:color w:val="auto"/>
        </w:rPr>
        <w:t>Certificate Number [ ]</w:t>
      </w:r>
      <w:r>
        <w:rPr>
          <w:sz w:val="20"/>
          <w:szCs w:val="20"/>
          <w:color w:val="auto"/>
        </w:rPr>
        <w:tab/>
      </w:r>
      <w:r>
        <w:rPr>
          <w:rFonts w:ascii="Times New Roman" w:cs="Times New Roman" w:eastAsia="Times New Roman" w:hAnsi="Times New Roman"/>
          <w:sz w:val="17"/>
          <w:szCs w:val="17"/>
          <w:color w:val="auto"/>
        </w:rPr>
        <w:t>Number of Shares [ ]</w:t>
      </w: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CUSIP: [ ]</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ISIN: [ ]</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ONITY GROUP, INC.</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Series B Perpetual Preferred Stock</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 value $0.01 per share)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(Liquidation Preference $25.00 per share)</w:t>
      </w: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ONITY GROUP INC., a Florida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hereby certifies that [ ]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the registered owner of [ ] fully paid and non-assessable shares of the Company’s designated Series B Perpetual Preferred Stock, par value $0.01, liquidation preference of $25 per share (the “</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The shares of Series B Preferred Stock are transferable on the books and records of the Company maintained the registrar and transfer agent for the Series B Preferred Stock (the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which shall initially be Computershare Trust Company N.A., in person or by a duly authorized attorney, upon surrender of this certificate duly endorsed and in proper form for transfer. The designations, rights, privileges, restrictions, preferences and other terms and provisions of the Series B Preferred Stock represented hereby are, and shall in all respects be subject to the provisions of the Amended and Restated Articles of Incorporation of the Company, as amended by the Articles of Amendment to the Amended and Restated Articles of Incorporation of the Company, Article of Designation, Preferences, and Rights of Series B Perpetual Preferred Stock, filed with the Secretary of State of the State of Florida on November 1, 2024 (as the same may be further amended from time to time, the “</w:t>
      </w:r>
      <w:r>
        <w:rPr>
          <w:rFonts w:ascii="Times New Roman" w:cs="Times New Roman" w:eastAsia="Times New Roman" w:hAnsi="Times New Roman"/>
          <w:sz w:val="17"/>
          <w:szCs w:val="17"/>
          <w:u w:val="single" w:color="auto"/>
          <w:color w:val="auto"/>
        </w:rPr>
        <w:t>Articles of Designation</w:t>
      </w:r>
      <w:r>
        <w:rPr>
          <w:rFonts w:ascii="Times New Roman" w:cs="Times New Roman" w:eastAsia="Times New Roman" w:hAnsi="Times New Roman"/>
          <w:sz w:val="17"/>
          <w:szCs w:val="17"/>
          <w:color w:val="auto"/>
        </w:rPr>
        <w:t>”). Capitalized terms used herein but not defined shall have the meaning given them in the Articles of Designation. The designations, rights, privileges, restrictions, preferences and other terms and provisions of the Series B Preferred Stock as set forth in the Articles of Designation shall for all purposes have the same effect as if set forth in this certificate. The Company will provide a copy of the Articles of Designation to a Holder without charge upon written request to the Company at its principal place of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receipt of this executed certificate, the Holder is bound by the Articles of Designation and is entitled to the benefits thereunder.</w:t>
      </w:r>
    </w:p>
    <w:p>
      <w:pPr>
        <w:spacing w:after="0" w:line="200" w:lineRule="exact"/>
        <w:rPr>
          <w:sz w:val="20"/>
          <w:szCs w:val="20"/>
          <w:color w:val="auto"/>
        </w:rPr>
      </w:pP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Unless the Registrar has properly countersigned this share certificate representing the shares of Series B Preferred Stock, such shares of Series B Preferred Stock shall not be entitled to any benefit under the Articles of Designation or be valid or obligatory for any purpose.</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this certificate has been executed on behalf of the Company by the undersigned officer of the Company this [●] day of [●], 2024</w:t>
      </w:r>
    </w:p>
    <w:p>
      <w:pPr>
        <w:sectPr>
          <w:pgSz w:w="11900" w:h="16838" w:orient="portrait"/>
          <w:cols w:equalWidth="0" w:num="1">
            <w:col w:w="10760"/>
          </w:cols>
          <w:pgMar w:left="320" w:top="1440" w:right="81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ONITY GROUP INC.</w:t>
      </w:r>
    </w:p>
    <w:p>
      <w:pPr>
        <w:spacing w:after="0" w:line="200" w:lineRule="exact"/>
        <w:rPr>
          <w:sz w:val="20"/>
          <w:szCs w:val="20"/>
          <w:color w:val="auto"/>
        </w:rPr>
      </w:pP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By: ____________________________</w:t>
      </w:r>
    </w:p>
    <w:p>
      <w:pPr>
        <w:spacing w:after="0" w:line="1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Name:</w:t>
      </w:r>
    </w:p>
    <w:p>
      <w:pPr>
        <w:spacing w:after="0" w:line="1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REGISTRAR’S COUNTERSIGNATURE</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These are shares of Series B Preferred Stock referred to in the within-mentioned Articles of Designation.</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Dated: ,_____</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Computershare Trust Company N.A., as Registrar</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By: ____________________________</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Name:</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10760"/>
          </w:cols>
          <w:pgMar w:left="320" w:top="1440" w:right="819" w:bottom="1440" w:gutter="0" w:footer="0" w:header="0"/>
          <w:type w:val="continuous"/>
        </w:sectPr>
      </w:pPr>
    </w:p>
    <w:bookmarkStart w:id="145" w:name="page146"/>
    <w:bookmarkEnd w:id="145"/>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undersigned assigns and transfers the shares of Series B Preferred Stock evidenced hereby to:</w:t>
      </w:r>
    </w:p>
    <w:p>
      <w:pPr>
        <w:spacing w:after="0" w:line="200" w:lineRule="exact"/>
        <w:rPr>
          <w:sz w:val="20"/>
          <w:szCs w:val="20"/>
          <w:color w:val="auto"/>
        </w:rPr>
      </w:pPr>
    </w:p>
    <w:p>
      <w:pPr>
        <w:spacing w:after="0" w:line="2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(Insert assignee’s name)</w:t>
      </w:r>
    </w:p>
    <w:p>
      <w:pPr>
        <w:spacing w:after="0" w:line="200" w:lineRule="exact"/>
        <w:rPr>
          <w:sz w:val="20"/>
          <w:szCs w:val="20"/>
          <w:color w:val="auto"/>
        </w:rPr>
      </w:pPr>
    </w:p>
    <w:p>
      <w:pPr>
        <w:spacing w:after="0" w:line="2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(Insert address and zip code of assignee)</w:t>
      </w: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___________________________________________________</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(Insert assignee’s social security or taxpayer identification, if 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irrevocably appoints:______________________________________________________,</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agent to transfer the shares of Series B Preferred Stock evidenced hereby on the books of the registrar or transfer agent for the Series B Preferred Stock. The agent may substitute another to act for him or her.</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Signature:__________________________________________________________</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 exactly as your name appears on the front page of this Certificate)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Guarantee:_________________________________________________</w:t>
      </w: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(Signature must be guaranteed by an “eligible guarantor institution” that is a bank, stockbroker, savings and loan association or credit union meeting the requirements of the registrar or transfer agent for the Series B Preferred Stock, which requirements include membership or participation in the Securities Transfer Agents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or such other “signature guarantee program” as may be determined by the registrar or transfer agent in addition to, or in substitution for, STAMP, all in accordance with the Securities Exchange Act of 1934, as amended.)</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699770</wp:posOffset>
            </wp:positionV>
            <wp:extent cx="16408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620" w:firstLine="3"/>
        <w:spacing w:after="0" w:line="230" w:lineRule="auto"/>
        <w:tabs>
          <w:tab w:leader="none" w:pos="99" w:val="left"/>
        </w:tabs>
        <w:numPr>
          <w:ilvl w:val="0"/>
          <w:numId w:val="132"/>
        </w:numPr>
        <w:rPr>
          <w:rFonts w:ascii="Times New Roman" w:cs="Times New Roman" w:eastAsia="Times New Roman" w:hAnsi="Times New Roman"/>
          <w:sz w:val="22"/>
          <w:szCs w:val="22"/>
          <w:color w:val="414042"/>
          <w:vertAlign w:val="superscript"/>
        </w:rPr>
      </w:pPr>
      <w:r>
        <w:rPr>
          <w:rFonts w:ascii="Times New Roman" w:cs="Times New Roman" w:eastAsia="Times New Roman" w:hAnsi="Times New Roman"/>
          <w:sz w:val="17"/>
          <w:szCs w:val="17"/>
          <w:color w:val="auto"/>
        </w:rPr>
        <w:t>Signature Guarantee requirement shall be waived to extent transfer agent does not require additional assurances or indemnification or, if required, holder provides such assurances and/or indemnification.</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8"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1"/>
          <w:szCs w:val="21"/>
          <w:i w:val="1"/>
          <w:iCs w:val="1"/>
          <w:color w:val="auto"/>
        </w:rPr>
        <w:t>Certain information marked by [*]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TRANSACTION AGREEMENT</w:t>
      </w:r>
    </w:p>
    <w:p>
      <w:pPr>
        <w:spacing w:after="0" w:line="111"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TRANSACTION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September 30, 2024, by and among OCW MAV Holdings, LLC, a Delaware limited liability company (“</w:t>
      </w:r>
      <w:r>
        <w:rPr>
          <w:rFonts w:ascii="Times New Roman" w:cs="Times New Roman" w:eastAsia="Times New Roman" w:hAnsi="Times New Roman"/>
          <w:sz w:val="21"/>
          <w:szCs w:val="21"/>
          <w:u w:val="single" w:color="auto"/>
          <w:color w:val="auto"/>
        </w:rPr>
        <w:t>OMH</w:t>
      </w:r>
      <w:r>
        <w:rPr>
          <w:rFonts w:ascii="Times New Roman" w:cs="Times New Roman" w:eastAsia="Times New Roman" w:hAnsi="Times New Roman"/>
          <w:sz w:val="21"/>
          <w:szCs w:val="21"/>
          <w:color w:val="auto"/>
        </w:rPr>
        <w:t>”), ROF8 OCW Holdings, LLC, a Delaware limited liability company (“</w:t>
      </w:r>
      <w:r>
        <w:rPr>
          <w:rFonts w:ascii="Times New Roman" w:cs="Times New Roman" w:eastAsia="Times New Roman" w:hAnsi="Times New Roman"/>
          <w:sz w:val="21"/>
          <w:szCs w:val="21"/>
          <w:u w:val="single" w:color="auto"/>
          <w:color w:val="auto"/>
        </w:rPr>
        <w:t>ROF8</w:t>
      </w:r>
      <w:r>
        <w:rPr>
          <w:rFonts w:ascii="Times New Roman" w:cs="Times New Roman" w:eastAsia="Times New Roman" w:hAnsi="Times New Roman"/>
          <w:sz w:val="21"/>
          <w:szCs w:val="21"/>
          <w:color w:val="auto"/>
        </w:rPr>
        <w:t>”), OPPS OCW Holdings, LLC, a Delaware limited liability company (“</w:t>
      </w:r>
      <w:r>
        <w:rPr>
          <w:rFonts w:ascii="Times New Roman" w:cs="Times New Roman" w:eastAsia="Times New Roman" w:hAnsi="Times New Roman"/>
          <w:sz w:val="21"/>
          <w:szCs w:val="21"/>
          <w:u w:val="single" w:color="auto"/>
          <w:color w:val="auto"/>
        </w:rPr>
        <w:t>OPPS</w:t>
      </w:r>
      <w:r>
        <w:rPr>
          <w:rFonts w:ascii="Times New Roman" w:cs="Times New Roman" w:eastAsia="Times New Roman" w:hAnsi="Times New Roman"/>
          <w:sz w:val="21"/>
          <w:szCs w:val="21"/>
          <w:color w:val="auto"/>
        </w:rPr>
        <w:t>” and together with OMH and ROF8, collectively, the “</w:t>
      </w:r>
      <w:r>
        <w:rPr>
          <w:rFonts w:ascii="Times New Roman" w:cs="Times New Roman" w:eastAsia="Times New Roman" w:hAnsi="Times New Roman"/>
          <w:sz w:val="21"/>
          <w:szCs w:val="21"/>
          <w:u w:val="single" w:color="auto"/>
          <w:color w:val="auto"/>
        </w:rPr>
        <w:t>Oaktree 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Oaktree Party</w:t>
      </w:r>
      <w:r>
        <w:rPr>
          <w:rFonts w:ascii="Times New Roman" w:cs="Times New Roman" w:eastAsia="Times New Roman" w:hAnsi="Times New Roman"/>
          <w:sz w:val="21"/>
          <w:szCs w:val="21"/>
          <w:color w:val="auto"/>
        </w:rPr>
        <w:t>”), Onity Group Inc., a Florida corporation (f/k/a Ocwen Financial Corporation) (“</w:t>
      </w:r>
      <w:r>
        <w:rPr>
          <w:rFonts w:ascii="Times New Roman" w:cs="Times New Roman" w:eastAsia="Times New Roman" w:hAnsi="Times New Roman"/>
          <w:sz w:val="21"/>
          <w:szCs w:val="21"/>
          <w:u w:val="single" w:color="auto"/>
          <w:color w:val="auto"/>
        </w:rPr>
        <w:t>Onity</w:t>
      </w:r>
      <w:r>
        <w:rPr>
          <w:rFonts w:ascii="Times New Roman" w:cs="Times New Roman" w:eastAsia="Times New Roman" w:hAnsi="Times New Roman"/>
          <w:sz w:val="21"/>
          <w:szCs w:val="21"/>
          <w:color w:val="auto"/>
        </w:rPr>
        <w:t>”), MAV Canopy Holdco I,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and, solely for purposes of </w:t>
      </w:r>
      <w:r>
        <w:rPr>
          <w:rFonts w:ascii="Times New Roman" w:cs="Times New Roman" w:eastAsia="Times New Roman" w:hAnsi="Times New Roman"/>
          <w:sz w:val="21"/>
          <w:szCs w:val="21"/>
          <w:u w:val="single" w:color="auto"/>
          <w:color w:val="auto"/>
        </w:rPr>
        <w:t>Sections 3(h)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3(k)</w:t>
      </w:r>
      <w:r>
        <w:rPr>
          <w:rFonts w:ascii="Times New Roman" w:cs="Times New Roman" w:eastAsia="Times New Roman" w:hAnsi="Times New Roman"/>
          <w:sz w:val="21"/>
          <w:szCs w:val="21"/>
          <w:color w:val="auto"/>
        </w:rPr>
        <w:t xml:space="preserve"> herein, MSR Asset Vehicle LLC, a Delaware limited liability company (“</w:t>
      </w:r>
      <w:r>
        <w:rPr>
          <w:rFonts w:ascii="Times New Roman" w:cs="Times New Roman" w:eastAsia="Times New Roman" w:hAnsi="Times New Roman"/>
          <w:sz w:val="21"/>
          <w:szCs w:val="21"/>
          <w:u w:val="single" w:color="auto"/>
          <w:color w:val="auto"/>
        </w:rPr>
        <w:t>MAV</w:t>
      </w:r>
      <w:r>
        <w:rPr>
          <w:rFonts w:ascii="Times New Roman" w:cs="Times New Roman" w:eastAsia="Times New Roman" w:hAnsi="Times New Roman"/>
          <w:sz w:val="21"/>
          <w:szCs w:val="21"/>
          <w:color w:val="auto"/>
        </w:rPr>
        <w:t>”). Except as the context otherwise requires, each of the Oaktree Parties, Onity and the Company are referred to herein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as applicable. Capitalized terms used, but not otherwise defined in this Agreement, shall have the respective meanings given those terms in the LLC Agreement (as defined below).</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 E C I T A L S</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21"/>
          <w:szCs w:val="21"/>
          <w:color w:val="auto"/>
        </w:rPr>
        <w:t>WHEREAS, pursuant to that certain Note and Warrant Purchase Agreement, dated as of February 9, 2021 (the “</w:t>
      </w:r>
      <w:r>
        <w:rPr>
          <w:rFonts w:ascii="Times New Roman" w:cs="Times New Roman" w:eastAsia="Times New Roman" w:hAnsi="Times New Roman"/>
          <w:sz w:val="21"/>
          <w:szCs w:val="21"/>
          <w:u w:val="single" w:color="auto"/>
          <w:color w:val="auto"/>
        </w:rPr>
        <w:t>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Onity and the Purchasers signatory thereto, Onity issued that certain (a) Senior Secured Note No. 1, dated March 4, 2021, in the principal amount of $99,750,000 in favor of OPPS (“</w:t>
      </w:r>
      <w:r>
        <w:rPr>
          <w:rFonts w:ascii="Times New Roman" w:cs="Times New Roman" w:eastAsia="Times New Roman" w:hAnsi="Times New Roman"/>
          <w:sz w:val="21"/>
          <w:szCs w:val="21"/>
          <w:u w:val="single" w:color="auto"/>
          <w:color w:val="auto"/>
        </w:rPr>
        <w:t>Note No. 1</w:t>
      </w:r>
      <w:r>
        <w:rPr>
          <w:rFonts w:ascii="Times New Roman" w:cs="Times New Roman" w:eastAsia="Times New Roman" w:hAnsi="Times New Roman"/>
          <w:sz w:val="21"/>
          <w:szCs w:val="21"/>
          <w:color w:val="auto"/>
        </w:rPr>
        <w:t>”), (b) Senior Secured Note No. 2, dated March 4, 2021, in the principal amount of $99,750,000 in favor of ROF8 (“</w:t>
      </w:r>
      <w:r>
        <w:rPr>
          <w:rFonts w:ascii="Times New Roman" w:cs="Times New Roman" w:eastAsia="Times New Roman" w:hAnsi="Times New Roman"/>
          <w:sz w:val="21"/>
          <w:szCs w:val="21"/>
          <w:u w:val="single" w:color="auto"/>
          <w:color w:val="auto"/>
        </w:rPr>
        <w:t>Note No. 2</w:t>
      </w:r>
      <w:r>
        <w:rPr>
          <w:rFonts w:ascii="Times New Roman" w:cs="Times New Roman" w:eastAsia="Times New Roman" w:hAnsi="Times New Roman"/>
          <w:sz w:val="21"/>
          <w:szCs w:val="21"/>
          <w:color w:val="auto"/>
        </w:rPr>
        <w:t>”), (c) Senior Secured Note No. 3, dated May 3, 2021, in the principal amount of $42,750,000 in favor of OPPS (“</w:t>
      </w:r>
      <w:r>
        <w:rPr>
          <w:rFonts w:ascii="Times New Roman" w:cs="Times New Roman" w:eastAsia="Times New Roman" w:hAnsi="Times New Roman"/>
          <w:sz w:val="21"/>
          <w:szCs w:val="21"/>
          <w:u w:val="single" w:color="auto"/>
          <w:color w:val="auto"/>
        </w:rPr>
        <w:t>Note No. 3</w:t>
      </w:r>
      <w:r>
        <w:rPr>
          <w:rFonts w:ascii="Times New Roman" w:cs="Times New Roman" w:eastAsia="Times New Roman" w:hAnsi="Times New Roman"/>
          <w:sz w:val="21"/>
          <w:szCs w:val="21"/>
          <w:color w:val="auto"/>
        </w:rPr>
        <w:t>”), (d) Senior Secured Note No. 4, dated May 3, 2021, in the principal amount of $42,750,000 in favor of ROF8 (“</w:t>
      </w:r>
      <w:r>
        <w:rPr>
          <w:rFonts w:ascii="Times New Roman" w:cs="Times New Roman" w:eastAsia="Times New Roman" w:hAnsi="Times New Roman"/>
          <w:sz w:val="21"/>
          <w:szCs w:val="21"/>
          <w:u w:val="single" w:color="auto"/>
          <w:color w:val="auto"/>
        </w:rPr>
        <w:t>Note No. 4</w:t>
      </w:r>
      <w:r>
        <w:rPr>
          <w:rFonts w:ascii="Times New Roman" w:cs="Times New Roman" w:eastAsia="Times New Roman" w:hAnsi="Times New Roman"/>
          <w:sz w:val="21"/>
          <w:szCs w:val="21"/>
          <w:color w:val="auto"/>
        </w:rPr>
        <w:t>” and together with Note No.1, Note No. 2 and Note No. 3, collectively, the “</w:t>
      </w:r>
      <w:r>
        <w:rPr>
          <w:rFonts w:ascii="Times New Roman" w:cs="Times New Roman" w:eastAsia="Times New Roman" w:hAnsi="Times New Roman"/>
          <w:sz w:val="21"/>
          <w:szCs w:val="21"/>
          <w:u w:val="single" w:color="auto"/>
          <w:color w:val="auto"/>
        </w:rPr>
        <w:t>Onity Notes</w:t>
      </w:r>
      <w:r>
        <w:rPr>
          <w:rFonts w:ascii="Times New Roman" w:cs="Times New Roman" w:eastAsia="Times New Roman" w:hAnsi="Times New Roman"/>
          <w:sz w:val="21"/>
          <w:szCs w:val="21"/>
          <w:color w:val="auto"/>
        </w:rPr>
        <w:t>”), (e) Warrant Certificate No. 1, dated March 4, 2021, to ROF8 evidencing warrants to purchase up to 592,384 shares of commons stock of Onity, subject to the terms and conditions set forth therein (“</w:t>
      </w:r>
      <w:r>
        <w:rPr>
          <w:rFonts w:ascii="Times New Roman" w:cs="Times New Roman" w:eastAsia="Times New Roman" w:hAnsi="Times New Roman"/>
          <w:sz w:val="21"/>
          <w:szCs w:val="21"/>
          <w:u w:val="single" w:color="auto"/>
          <w:color w:val="auto"/>
        </w:rPr>
        <w:t>Warrant Certificate No. 1</w:t>
      </w:r>
      <w:r>
        <w:rPr>
          <w:rFonts w:ascii="Times New Roman" w:cs="Times New Roman" w:eastAsia="Times New Roman" w:hAnsi="Times New Roman"/>
          <w:sz w:val="21"/>
          <w:szCs w:val="21"/>
          <w:color w:val="auto"/>
        </w:rPr>
        <w:t>”), (f) Warrant Certificate No. 2, dated March 4, 2021, to OPPS evidencing warrants to purchase up to 592,384 shares of commons stock of Onity, subject to the terms and conditions set forth therein (“</w:t>
      </w:r>
      <w:r>
        <w:rPr>
          <w:rFonts w:ascii="Times New Roman" w:cs="Times New Roman" w:eastAsia="Times New Roman" w:hAnsi="Times New Roman"/>
          <w:sz w:val="21"/>
          <w:szCs w:val="21"/>
          <w:u w:val="single" w:color="auto"/>
          <w:color w:val="auto"/>
        </w:rPr>
        <w:t>Warrant Certificate No. 2</w:t>
      </w:r>
      <w:r>
        <w:rPr>
          <w:rFonts w:ascii="Times New Roman" w:cs="Times New Roman" w:eastAsia="Times New Roman" w:hAnsi="Times New Roman"/>
          <w:sz w:val="21"/>
          <w:szCs w:val="21"/>
          <w:color w:val="auto"/>
        </w:rPr>
        <w:t>”), (g) Warrant Certificate No. 3, dated May 3, 2021, to OPPS evidencing warrants to purchase up to 130,624 shares of commons stock of Onity, subject to the terms and conditions set forth therein (“</w:t>
      </w:r>
      <w:r>
        <w:rPr>
          <w:rFonts w:ascii="Times New Roman" w:cs="Times New Roman" w:eastAsia="Times New Roman" w:hAnsi="Times New Roman"/>
          <w:sz w:val="21"/>
          <w:szCs w:val="21"/>
          <w:u w:val="single" w:color="auto"/>
          <w:color w:val="auto"/>
        </w:rPr>
        <w:t>Warrant Certificate No. 3</w:t>
      </w:r>
      <w:r>
        <w:rPr>
          <w:rFonts w:ascii="Times New Roman" w:cs="Times New Roman" w:eastAsia="Times New Roman" w:hAnsi="Times New Roman"/>
          <w:sz w:val="21"/>
          <w:szCs w:val="21"/>
          <w:color w:val="auto"/>
        </w:rPr>
        <w:t>”), and (h) Warrant Certificate No. 4, dated May 3, 2021, to ROF8 evidencing warrants to purchase up to 130,624 shares of commons stock of Onity, subject to the terms and conditions set forth therein (“</w:t>
      </w:r>
      <w:r>
        <w:rPr>
          <w:rFonts w:ascii="Times New Roman" w:cs="Times New Roman" w:eastAsia="Times New Roman" w:hAnsi="Times New Roman"/>
          <w:sz w:val="21"/>
          <w:szCs w:val="21"/>
          <w:u w:val="single" w:color="auto"/>
          <w:color w:val="auto"/>
        </w:rPr>
        <w:t>Warrant Certificate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 4</w:t>
      </w:r>
      <w:r>
        <w:rPr>
          <w:rFonts w:ascii="Times New Roman" w:cs="Times New Roman" w:eastAsia="Times New Roman" w:hAnsi="Times New Roman"/>
          <w:sz w:val="21"/>
          <w:szCs w:val="21"/>
          <w:color w:val="auto"/>
        </w:rPr>
        <w:t>” and together with Warrant Certificate No. 1, Warrant Certificate No. 2 and Warrant Certificate No. 3, collectively, the “</w:t>
      </w:r>
      <w:r>
        <w:rPr>
          <w:rFonts w:ascii="Times New Roman" w:cs="Times New Roman" w:eastAsia="Times New Roman" w:hAnsi="Times New Roman"/>
          <w:sz w:val="21"/>
          <w:szCs w:val="21"/>
          <w:u w:val="single" w:color="auto"/>
          <w:color w:val="auto"/>
        </w:rPr>
        <w:t>Warrant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Certificates</w:t>
      </w:r>
      <w:r>
        <w:rPr>
          <w:rFonts w:ascii="Times New Roman" w:cs="Times New Roman" w:eastAsia="Times New Roman" w:hAnsi="Times New Roman"/>
          <w:sz w:val="21"/>
          <w:szCs w:val="21"/>
          <w:color w:val="auto"/>
        </w:rPr>
        <w:t>”);</w:t>
      </w:r>
    </w:p>
    <w:p>
      <w:pPr>
        <w:spacing w:after="0" w:line="84" w:lineRule="exact"/>
        <w:rPr>
          <w:sz w:val="20"/>
          <w:szCs w:val="20"/>
          <w:color w:val="auto"/>
        </w:rPr>
      </w:pPr>
    </w:p>
    <w:p>
      <w:pPr>
        <w:ind w:firstLine="620"/>
        <w:spacing w:after="0" w:line="283" w:lineRule="auto"/>
        <w:rPr>
          <w:sz w:val="20"/>
          <w:szCs w:val="20"/>
          <w:color w:val="auto"/>
        </w:rPr>
      </w:pPr>
      <w:r>
        <w:rPr>
          <w:rFonts w:ascii="Times New Roman" w:cs="Times New Roman" w:eastAsia="Times New Roman" w:hAnsi="Times New Roman"/>
          <w:sz w:val="21"/>
          <w:szCs w:val="21"/>
          <w:color w:val="auto"/>
        </w:rPr>
        <w:t>WHEREAS, (i) OMH and Onity are Members (as defined in the LLC Agreement (as defined below)) of the Company and (ii) (x) OMH holds an Interest amounting to a</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Percentage Interest of 85% and (y) Onity holds an Interest amounting to a Percentage Interest of 15%;</w:t>
      </w:r>
    </w:p>
    <w:p>
      <w:pPr>
        <w:spacing w:after="0" w:line="10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1"/>
          <w:szCs w:val="21"/>
          <w:color w:val="auto"/>
        </w:rPr>
        <w:t>WHEREAS, OMH and Onity are party to the Second Amended and Restated Limited Liability Company Agreement of the Company, dated as of November 2, 2022 (as the same may have been amended from time to time in accordance with the terms and conditions thereof, the “</w:t>
      </w:r>
      <w:r>
        <w:rPr>
          <w:rFonts w:ascii="Times New Roman" w:cs="Times New Roman" w:eastAsia="Times New Roman" w:hAnsi="Times New Roman"/>
          <w:sz w:val="21"/>
          <w:szCs w:val="21"/>
          <w:u w:val="single" w:color="auto"/>
          <w:color w:val="auto"/>
        </w:rPr>
        <w:t>LLC Agreement</w:t>
      </w:r>
      <w:r>
        <w:rPr>
          <w:rFonts w:ascii="Times New Roman" w:cs="Times New Roman" w:eastAsia="Times New Roman" w:hAnsi="Times New Roman"/>
          <w:sz w:val="21"/>
          <w:szCs w:val="21"/>
          <w:color w:val="auto"/>
        </w:rPr>
        <w:t>”);</w:t>
      </w:r>
    </w:p>
    <w:p>
      <w:pPr>
        <w:spacing w:after="0" w:line="5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WHEREAS, Onity’s subsidiary, PHH Corporation (“</w:t>
      </w:r>
      <w:r>
        <w:rPr>
          <w:rFonts w:ascii="Times New Roman" w:cs="Times New Roman" w:eastAsia="Times New Roman" w:hAnsi="Times New Roman"/>
          <w:sz w:val="21"/>
          <w:szCs w:val="21"/>
          <w:u w:val="single" w:color="auto"/>
          <w:color w:val="auto"/>
        </w:rPr>
        <w:t>PHH</w:t>
      </w:r>
      <w:r>
        <w:rPr>
          <w:rFonts w:ascii="Times New Roman" w:cs="Times New Roman" w:eastAsia="Times New Roman" w:hAnsi="Times New Roman"/>
          <w:sz w:val="21"/>
          <w:szCs w:val="21"/>
          <w:color w:val="auto"/>
        </w:rPr>
        <w:t>”), intends to issue and sell senior secured high-yield notes (the “</w:t>
      </w:r>
      <w:r>
        <w:rPr>
          <w:rFonts w:ascii="Times New Roman" w:cs="Times New Roman" w:eastAsia="Times New Roman" w:hAnsi="Times New Roman"/>
          <w:sz w:val="21"/>
          <w:szCs w:val="21"/>
          <w:u w:val="single" w:color="auto"/>
          <w:color w:val="auto"/>
        </w:rPr>
        <w:t>New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High Yield Notes</w:t>
      </w:r>
      <w:r>
        <w:rPr>
          <w:rFonts w:ascii="Times New Roman" w:cs="Times New Roman" w:eastAsia="Times New Roman" w:hAnsi="Times New Roman"/>
          <w:sz w:val="21"/>
          <w:szCs w:val="21"/>
          <w:color w:val="auto"/>
        </w:rPr>
        <w:t>”) in an aggregate principal amount of at least $[*] in an unregistered offering pursuant to Rule 144A and/or Regulation S under the Securities Act of 1933 (such transaction, the “</w:t>
      </w:r>
      <w:r>
        <w:rPr>
          <w:rFonts w:ascii="Times New Roman" w:cs="Times New Roman" w:eastAsia="Times New Roman" w:hAnsi="Times New Roman"/>
          <w:sz w:val="21"/>
          <w:szCs w:val="21"/>
          <w:u w:val="single" w:color="auto"/>
          <w:color w:val="auto"/>
        </w:rPr>
        <w:t>High Yield Offering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WHEREAS, the New High Yield Notes may be “issued into escrow” which means (i) the New High Yield Notes would initially be issued by either a newly formed subsidiary of Onity or a special purpose entity (such subsidiary or entity, the “</w:t>
      </w:r>
      <w:r>
        <w:rPr>
          <w:rFonts w:ascii="Times New Roman" w:cs="Times New Roman" w:eastAsia="Times New Roman" w:hAnsi="Times New Roman"/>
          <w:sz w:val="21"/>
          <w:szCs w:val="21"/>
          <w:u w:val="single" w:color="auto"/>
          <w:color w:val="auto"/>
        </w:rPr>
        <w:t>Escrow Issuer</w:t>
      </w:r>
      <w:r>
        <w:rPr>
          <w:rFonts w:ascii="Times New Roman" w:cs="Times New Roman" w:eastAsia="Times New Roman" w:hAnsi="Times New Roman"/>
          <w:sz w:val="21"/>
          <w:szCs w:val="21"/>
          <w:color w:val="auto"/>
        </w:rPr>
        <w:t>”), (ii) the proceeds from the issuance and sale of the New High Yield Notes would be placed into escrow pending the consummation of the Interest Redemption (as defined below) and the concurrent payment to Onity of the Estimated Closing Payment (as defined in the Interest Redemption Agreement (as defined below)), (iii) once the Interest Redemption has occurred and Onity has received the Estimated Closing Payment, the proceeds from the New High Yield Notes would be released from escrow and delivered to PHH (such release, the “</w:t>
      </w:r>
      <w:r>
        <w:rPr>
          <w:rFonts w:ascii="Times New Roman" w:cs="Times New Roman" w:eastAsia="Times New Roman" w:hAnsi="Times New Roman"/>
          <w:sz w:val="21"/>
          <w:szCs w:val="21"/>
          <w:u w:val="single" w:color="auto"/>
          <w:color w:val="auto"/>
        </w:rPr>
        <w:t>Escrow Release</w:t>
      </w:r>
      <w:r>
        <w:rPr>
          <w:rFonts w:ascii="Times New Roman" w:cs="Times New Roman" w:eastAsia="Times New Roman" w:hAnsi="Times New Roman"/>
          <w:sz w:val="21"/>
          <w:szCs w:val="21"/>
          <w:color w:val="auto"/>
        </w:rPr>
        <w:t>”) and the Escrow Issuer would merge with and into PHH, with PHH as the survivor and thereupon becoming the issuer of, and obligor under, the New High Yield Notes and related indenture;</w:t>
      </w:r>
    </w:p>
    <w:p>
      <w:pPr>
        <w:spacing w:after="0" w:line="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WHEREAS, in connection with the Interest Redemption, OMH intends to make a capital contribution to the Company in the amount of the Estimated Closing Payment (as defined in the Interest Redemption Agreement) (the “</w:t>
      </w: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w:t>
      </w:r>
    </w:p>
    <w:p>
      <w:pPr>
        <w:spacing w:after="0" w:line="5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WHEREAS, on the issue date of the New High Yield Notes or, in the event the New High Yield Notes are issued in escrow, promptly following the Escrow Release, Onity and PHH intend to use the proceeds from the High Yield Offering and the Estimated Closing Payment (x) first, to repurchase, legally defease, discharge or redeem in full all of the outstanding 7.875% Senior Secured Notes due 2026 of PHH Mortgage Corporation, Onity’s subsidiary (“</w:t>
      </w:r>
      <w:r>
        <w:rPr>
          <w:rFonts w:ascii="Times New Roman" w:cs="Times New Roman" w:eastAsia="Times New Roman" w:hAnsi="Times New Roman"/>
          <w:sz w:val="21"/>
          <w:szCs w:val="21"/>
          <w:u w:val="single" w:color="auto"/>
          <w:color w:val="auto"/>
        </w:rPr>
        <w:t>PMC</w:t>
      </w:r>
      <w:r>
        <w:rPr>
          <w:rFonts w:ascii="Times New Roman" w:cs="Times New Roman" w:eastAsia="Times New Roman" w:hAnsi="Times New Roman"/>
          <w:sz w:val="21"/>
          <w:szCs w:val="21"/>
          <w:color w:val="auto"/>
        </w:rPr>
        <w:t>” and such notes, the “</w:t>
      </w:r>
      <w:r>
        <w:rPr>
          <w:rFonts w:ascii="Times New Roman" w:cs="Times New Roman" w:eastAsia="Times New Roman" w:hAnsi="Times New Roman"/>
          <w:sz w:val="21"/>
          <w:szCs w:val="21"/>
          <w:u w:val="single" w:color="auto"/>
          <w:color w:val="auto"/>
        </w:rPr>
        <w:t>PMC Notes</w:t>
      </w:r>
      <w:r>
        <w:rPr>
          <w:rFonts w:ascii="Times New Roman" w:cs="Times New Roman" w:eastAsia="Times New Roman" w:hAnsi="Times New Roman"/>
          <w:sz w:val="21"/>
          <w:szCs w:val="21"/>
          <w:color w:val="auto"/>
        </w:rPr>
        <w:t>” and, such repurchase, defeasance, discharge or redemption, the “</w:t>
      </w:r>
      <w:r>
        <w:rPr>
          <w:rFonts w:ascii="Times New Roman" w:cs="Times New Roman" w:eastAsia="Times New Roman" w:hAnsi="Times New Roman"/>
          <w:sz w:val="21"/>
          <w:szCs w:val="21"/>
          <w:u w:val="single" w:color="auto"/>
          <w:color w:val="auto"/>
        </w:rPr>
        <w:t>PMC Notes Redemption</w:t>
      </w:r>
      <w:r>
        <w:rPr>
          <w:rFonts w:ascii="Times New Roman" w:cs="Times New Roman" w:eastAsia="Times New Roman" w:hAnsi="Times New Roman"/>
          <w:sz w:val="21"/>
          <w:szCs w:val="21"/>
          <w:color w:val="auto"/>
        </w:rPr>
        <w:t xml:space="preserve">”), and (y) second, to the extent of the remaining proceeds, to redeem the outstanding Onity Notes pursuant to and in accordance with the terms of the Purchase Agreement, as amended by Amendment No. 1 to the Purchase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any such redemption, an “</w:t>
      </w:r>
      <w:r>
        <w:rPr>
          <w:rFonts w:ascii="Times New Roman" w:cs="Times New Roman" w:eastAsia="Times New Roman" w:hAnsi="Times New Roman"/>
          <w:sz w:val="21"/>
          <w:szCs w:val="21"/>
          <w:u w:val="single" w:color="auto"/>
          <w:color w:val="auto"/>
        </w:rPr>
        <w:t>Onity Notes Redemption</w:t>
      </w:r>
      <w:r>
        <w:rPr>
          <w:rFonts w:ascii="Times New Roman" w:cs="Times New Roman" w:eastAsia="Times New Roman" w:hAnsi="Times New Roman"/>
          <w:sz w:val="21"/>
          <w:szCs w:val="21"/>
          <w:color w:val="auto"/>
        </w:rPr>
        <w:t>”, and the transactions described in the foregoing clauses (x) and (y), the “</w:t>
      </w:r>
      <w:r>
        <w:rPr>
          <w:rFonts w:ascii="Times New Roman" w:cs="Times New Roman" w:eastAsia="Times New Roman" w:hAnsi="Times New Roman"/>
          <w:sz w:val="21"/>
          <w:szCs w:val="21"/>
          <w:u w:val="single" w:color="auto"/>
          <w:color w:val="auto"/>
        </w:rPr>
        <w:t>Notes Redemption</w:t>
      </w:r>
      <w:r>
        <w:rPr>
          <w:rFonts w:ascii="Times New Roman" w:cs="Times New Roman" w:eastAsia="Times New Roman" w:hAnsi="Times New Roman"/>
          <w:sz w:val="21"/>
          <w:szCs w:val="21"/>
          <w:color w:val="auto"/>
        </w:rPr>
        <w:t>”) and, solely after all outstanding Onity Notes have been redeemed,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WHEREAS, Onity intends to use all proceeds from the Interest Redemption to consummate an Onity Notes Redemption and, solely after all outstanding Onity Notes have been redeemed, for general corporate purposes;</w:t>
      </w:r>
    </w:p>
    <w:p>
      <w:pPr>
        <w:spacing w:after="0" w:line="51"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21"/>
          <w:szCs w:val="21"/>
          <w:color w:val="auto"/>
        </w:rPr>
        <w:t>WHEREAS, in return for the Oaktree Parties agreeing to (i) amend the Purchase Agreement to permit the issuance and sale of the New High Yield Notes and to amend the terms of the redemption provisions therein with respect to the Onity Notes, (ii) amend the Warrant Certificate, (iii) participate as an investor in the High Yield Offering and (iv) effectuate the Interest Redemption and the other transactions described herein, Onity intends to pay OCM FIE LLC (“</w:t>
      </w:r>
      <w:r>
        <w:rPr>
          <w:rFonts w:ascii="Times New Roman" w:cs="Times New Roman" w:eastAsia="Times New Roman" w:hAnsi="Times New Roman"/>
          <w:sz w:val="21"/>
          <w:szCs w:val="21"/>
          <w:u w:val="single" w:color="auto"/>
          <w:color w:val="auto"/>
        </w:rPr>
        <w:t>OCM FIE</w:t>
      </w:r>
      <w:r>
        <w:rPr>
          <w:rFonts w:ascii="Times New Roman" w:cs="Times New Roman" w:eastAsia="Times New Roman" w:hAnsi="Times New Roman"/>
          <w:sz w:val="21"/>
          <w:szCs w:val="21"/>
          <w:color w:val="auto"/>
        </w:rPr>
        <w:t>”) or its designee a transaction fee in cash (the “</w:t>
      </w:r>
      <w:r>
        <w:rPr>
          <w:rFonts w:ascii="Times New Roman" w:cs="Times New Roman" w:eastAsia="Times New Roman" w:hAnsi="Times New Roman"/>
          <w:sz w:val="21"/>
          <w:szCs w:val="21"/>
          <w:u w:val="single" w:color="auto"/>
          <w:color w:val="auto"/>
        </w:rPr>
        <w:t>Transaction Fee</w:t>
      </w:r>
      <w:r>
        <w:rPr>
          <w:rFonts w:ascii="Times New Roman" w:cs="Times New Roman" w:eastAsia="Times New Roman" w:hAnsi="Times New Roman"/>
          <w:sz w:val="21"/>
          <w:szCs w:val="21"/>
          <w:color w:val="auto"/>
        </w:rPr>
        <w:t>”) in an amount set forth in a letter agreement between OCM FIE and Onity (the “</w:t>
      </w:r>
      <w:r>
        <w:rPr>
          <w:rFonts w:ascii="Times New Roman" w:cs="Times New Roman" w:eastAsia="Times New Roman" w:hAnsi="Times New Roman"/>
          <w:sz w:val="21"/>
          <w:szCs w:val="21"/>
          <w:u w:val="single" w:color="auto"/>
          <w:color w:val="auto"/>
        </w:rPr>
        <w:t>Transaction Fee Letter</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21"/>
          <w:szCs w:val="21"/>
          <w:color w:val="auto"/>
        </w:rPr>
        <w:t xml:space="preserve">WHEREAS, in connection with, and subject to, the concurrent consummation of the High Yield Offering and the consummation of the PMC Notes Redemption and any required Onity Notes Redemption, the Company desires to redeem from Onity, and Onity desires to sell and transfer to the Company, Onity’s Interest, pursuant to and in accordance with the terms of that certain Redemption Agreement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Interest Redemption Agreement</w:t>
      </w:r>
      <w:r>
        <w:rPr>
          <w:rFonts w:ascii="Times New Roman" w:cs="Times New Roman" w:eastAsia="Times New Roman" w:hAnsi="Times New Roman"/>
          <w:sz w:val="21"/>
          <w:szCs w:val="21"/>
          <w:color w:val="auto"/>
        </w:rPr>
        <w:t>” and such transaction, the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Redemption</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 xml:space="preserve">WHEREAS, in connection with, and in furtherance of, the Interest Redemption, attached hereto as (i)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is the form of that certain Amended and Restated Subservicing Agreement (the “</w:t>
      </w:r>
      <w:r>
        <w:rPr>
          <w:rFonts w:ascii="Times New Roman" w:cs="Times New Roman" w:eastAsia="Times New Roman" w:hAnsi="Times New Roman"/>
          <w:sz w:val="21"/>
          <w:szCs w:val="21"/>
          <w:u w:val="single" w:color="auto"/>
          <w:color w:val="auto"/>
        </w:rPr>
        <w:t>A&amp;R SSA</w:t>
      </w:r>
      <w:r>
        <w:rPr>
          <w:rFonts w:ascii="Times New Roman" w:cs="Times New Roman" w:eastAsia="Times New Roman" w:hAnsi="Times New Roman"/>
          <w:sz w:val="21"/>
          <w:szCs w:val="21"/>
          <w:color w:val="auto"/>
        </w:rPr>
        <w:t>”) amending and restating that certain Subservicing Agreement, dated as of May 3, 2021, by and between PMC and MAV (as amended from time to time, the “</w:t>
      </w:r>
      <w:r>
        <w:rPr>
          <w:rFonts w:ascii="Times New Roman" w:cs="Times New Roman" w:eastAsia="Times New Roman" w:hAnsi="Times New Roman"/>
          <w:sz w:val="21"/>
          <w:szCs w:val="21"/>
          <w:u w:val="single" w:color="auto"/>
          <w:color w:val="auto"/>
        </w:rPr>
        <w:t>SSA</w:t>
      </w:r>
      <w:r>
        <w:rPr>
          <w:rFonts w:ascii="Times New Roman" w:cs="Times New Roman" w:eastAsia="Times New Roman" w:hAnsi="Times New Roman"/>
          <w:sz w:val="21"/>
          <w:szCs w:val="21"/>
          <w:color w:val="auto"/>
        </w:rPr>
        <w:t xml:space="preserve">”), (ii)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is the form of that certain Amendment to Warrant Certificates, to be entered into by and between Onity and each of ROF8 and OPPS, which will amend each of the Warrant Certificates as provided therein (each, a “</w:t>
      </w:r>
      <w:r>
        <w:rPr>
          <w:rFonts w:ascii="Times New Roman" w:cs="Times New Roman" w:eastAsia="Times New Roman" w:hAnsi="Times New Roman"/>
          <w:sz w:val="21"/>
          <w:szCs w:val="21"/>
          <w:u w:val="single" w:color="auto"/>
          <w:color w:val="auto"/>
        </w:rPr>
        <w:t>Warrant Certificate Amendment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Warrant Certificate Amendments</w:t>
      </w:r>
      <w:r>
        <w:rPr>
          <w:rFonts w:ascii="Times New Roman" w:cs="Times New Roman" w:eastAsia="Times New Roman" w:hAnsi="Times New Roman"/>
          <w:sz w:val="21"/>
          <w:szCs w:val="21"/>
          <w:color w:val="auto"/>
        </w:rPr>
        <w:t xml:space="preserve">”), (iii)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is the form of that certain Omnibus Amendment, to be entered into by and among Oaktree Real Estate Opportunities Fund VIII, L.P., Oaktree Opportunities Fund XI Holdings (Delaware), L.P., Oaktree Opportunities Fund Xb Holdings (Delaware), L.P. and the other parties thereto (as may be amended following the date hereof by the mutual agreement of the Parties, the “</w:t>
      </w:r>
      <w:r>
        <w:rPr>
          <w:rFonts w:ascii="Times New Roman" w:cs="Times New Roman" w:eastAsia="Times New Roman" w:hAnsi="Times New Roman"/>
          <w:sz w:val="21"/>
          <w:szCs w:val="21"/>
          <w:u w:val="single" w:color="auto"/>
          <w:color w:val="auto"/>
        </w:rPr>
        <w:t>Omnibus Amendment</w:t>
      </w:r>
      <w:r>
        <w:rPr>
          <w:rFonts w:ascii="Times New Roman" w:cs="Times New Roman" w:eastAsia="Times New Roman" w:hAnsi="Times New Roman"/>
          <w:sz w:val="21"/>
          <w:szCs w:val="21"/>
          <w:color w:val="auto"/>
        </w:rPr>
        <w:t xml:space="preserve">”) and (iv)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is the form of that certain Side Letter, to be entered into by and among Onity, the Company and MAV (the “</w:t>
      </w:r>
      <w:r>
        <w:rPr>
          <w:rFonts w:ascii="Times New Roman" w:cs="Times New Roman" w:eastAsia="Times New Roman" w:hAnsi="Times New Roman"/>
          <w:sz w:val="21"/>
          <w:szCs w:val="21"/>
          <w:u w:val="single" w:color="auto"/>
          <w:color w:val="auto"/>
        </w:rPr>
        <w:t>Side Letter</w:t>
      </w:r>
      <w:r>
        <w:rPr>
          <w:rFonts w:ascii="Times New Roman" w:cs="Times New Roman" w:eastAsia="Times New Roman" w:hAnsi="Times New Roman"/>
          <w:sz w:val="21"/>
          <w:szCs w:val="21"/>
          <w:color w:val="auto"/>
        </w:rPr>
        <w:t>”); and</w:t>
      </w:r>
    </w:p>
    <w:p>
      <w:pPr>
        <w:spacing w:after="0" w:line="79"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1"/>
          <w:szCs w:val="21"/>
          <w:color w:val="auto"/>
        </w:rPr>
        <w:t>WHEREAS, the Parties desire to set forth their agreement with respect to the terms and conditions governing the entry into each of the Purchase Agreement Amendment, the Transaction Fee Letter, the Interest Redemption Agreement, the A&amp;R SSA, the Warrant Certificate Amendments, the Omnibus Amendment and the Side Letter (collectively, the “</w:t>
      </w:r>
      <w:r>
        <w:rPr>
          <w:rFonts w:ascii="Times New Roman" w:cs="Times New Roman" w:eastAsia="Times New Roman" w:hAnsi="Times New Roman"/>
          <w:sz w:val="21"/>
          <w:szCs w:val="21"/>
          <w:u w:val="single" w:color="auto"/>
          <w:color w:val="auto"/>
        </w:rPr>
        <w:t>Transaction Agreements</w:t>
      </w:r>
      <w:r>
        <w:rPr>
          <w:rFonts w:ascii="Times New Roman" w:cs="Times New Roman" w:eastAsia="Times New Roman" w:hAnsi="Times New Roman"/>
          <w:sz w:val="21"/>
          <w:szCs w:val="21"/>
          <w:color w:val="auto"/>
        </w:rPr>
        <w:t>”).</w:t>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mutual promises contained herein, the parties hereby agree as follows:</w:t>
      </w:r>
    </w:p>
    <w:p>
      <w:pPr>
        <w:spacing w:after="0" w:line="103" w:lineRule="exact"/>
        <w:rPr>
          <w:sz w:val="20"/>
          <w:szCs w:val="20"/>
          <w:color w:val="auto"/>
        </w:rPr>
      </w:pPr>
    </w:p>
    <w:p>
      <w:pPr>
        <w:ind w:left="1240" w:hanging="616"/>
        <w:spacing w:after="0"/>
        <w:tabs>
          <w:tab w:leader="none" w:pos="124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Defined Terms</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ind w:left="1240" w:hanging="616"/>
        <w:spacing w:after="0"/>
        <w:tabs>
          <w:tab w:leader="none" w:pos="124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Acceptable High Yield Offering</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1" w:lineRule="exact"/>
        <w:rPr>
          <w:sz w:val="20"/>
          <w:szCs w:val="20"/>
          <w:color w:val="auto"/>
        </w:rPr>
      </w:pPr>
    </w:p>
    <w:p>
      <w:pPr>
        <w:jc w:val="both"/>
        <w:ind w:left="616" w:hanging="616"/>
        <w:spacing w:after="0" w:line="251" w:lineRule="auto"/>
        <w:tabs>
          <w:tab w:leader="none" w:pos="61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any Person who directly or indirectly through one or more intermediaries controls, is controlled by, or is under common control with such Person. Notwithstanding the foregoing: Brookfield Asset Management Inc. together with its subsidiaries, managed funds and accounts and affiliated holding companies (other than Oaktree Capital Group, LLC and its direct or indirect subsidiaries and any managed funds and accounts managed by any such subsidiary) (“</w:t>
      </w:r>
      <w:r>
        <w:rPr>
          <w:rFonts w:ascii="Times New Roman" w:cs="Times New Roman" w:eastAsia="Times New Roman" w:hAnsi="Times New Roman"/>
          <w:sz w:val="21"/>
          <w:szCs w:val="21"/>
          <w:u w:val="single" w:color="auto"/>
          <w:color w:val="auto"/>
        </w:rPr>
        <w:t>Brookfield</w:t>
      </w:r>
      <w:r>
        <w:rPr>
          <w:rFonts w:ascii="Times New Roman" w:cs="Times New Roman" w:eastAsia="Times New Roman" w:hAnsi="Times New Roman"/>
          <w:sz w:val="21"/>
          <w:szCs w:val="21"/>
          <w:color w:val="auto"/>
        </w:rPr>
        <w:t>”) shall be deemed not to be “Affiliates” of OMH or Oaktree for any purpose hereunder.</w:t>
      </w:r>
    </w:p>
    <w:p>
      <w:pPr>
        <w:spacing w:after="0" w:line="73" w:lineRule="exact"/>
        <w:rPr>
          <w:rFonts w:ascii="Times New Roman" w:cs="Times New Roman" w:eastAsia="Times New Roman" w:hAnsi="Times New Roman"/>
          <w:sz w:val="21"/>
          <w:szCs w:val="21"/>
          <w:color w:val="auto"/>
        </w:rPr>
      </w:pPr>
    </w:p>
    <w:p>
      <w:pPr>
        <w:ind w:left="616" w:hanging="616"/>
        <w:spacing w:after="0" w:line="270" w:lineRule="auto"/>
        <w:tabs>
          <w:tab w:leader="none" w:pos="61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ASA</w:t>
      </w:r>
      <w:r>
        <w:rPr>
          <w:rFonts w:ascii="Times New Roman" w:cs="Times New Roman" w:eastAsia="Times New Roman" w:hAnsi="Times New Roman"/>
          <w:sz w:val="21"/>
          <w:szCs w:val="21"/>
          <w:color w:val="auto"/>
        </w:rPr>
        <w:t>” means the Administrative Services Agreement, dated as of May 3, 2021, by and between Onity and MAV, as amended from time to time.</w:t>
      </w:r>
    </w:p>
    <w:p>
      <w:pPr>
        <w:spacing w:after="0" w:line="63"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1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Saturday, Sunday, any day that is a legal holiday in the State of California or New York or any other day on which banking institutions in California or New York are authorized to close. For the avoidance of doubt, any reference to “day(s)” (and not “</w:t>
      </w:r>
      <w:r>
        <w:rPr>
          <w:rFonts w:ascii="Times New Roman" w:cs="Times New Roman" w:eastAsia="Times New Roman" w:hAnsi="Times New Roman"/>
          <w:sz w:val="21"/>
          <w:szCs w:val="21"/>
          <w:u w:val="single" w:color="auto"/>
          <w:color w:val="auto"/>
        </w:rPr>
        <w:t>Business Days</w:t>
      </w:r>
      <w:r>
        <w:rPr>
          <w:rFonts w:ascii="Times New Roman" w:cs="Times New Roman" w:eastAsia="Times New Roman" w:hAnsi="Times New Roman"/>
          <w:sz w:val="21"/>
          <w:szCs w:val="21"/>
          <w:color w:val="auto"/>
        </w:rPr>
        <w:t>”) in this Agreement means calendar days.</w:t>
      </w:r>
    </w:p>
    <w:p>
      <w:pPr>
        <w:spacing w:after="0" w:line="64"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1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Approvals</w:t>
      </w:r>
      <w:r>
        <w:rPr>
          <w:rFonts w:ascii="Times New Roman" w:cs="Times New Roman" w:eastAsia="Times New Roman" w:hAnsi="Times New Roman"/>
          <w:sz w:val="21"/>
          <w:szCs w:val="21"/>
          <w:color w:val="auto"/>
        </w:rPr>
        <w:t>” means, with respect to each Company Permit, the consent from, registration, declaration or other Filing with or approval or authorization of the applicable Governmental Authority or Investor pertaining to consummation of the Closing.</w:t>
      </w:r>
    </w:p>
    <w:p>
      <w:pPr>
        <w:spacing w:after="0" w:line="7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Permit</w:t>
      </w:r>
      <w:r>
        <w:rPr>
          <w:rFonts w:ascii="Times New Roman" w:cs="Times New Roman" w:eastAsia="Times New Roman" w:hAnsi="Times New Roman"/>
          <w:sz w:val="21"/>
          <w:szCs w:val="21"/>
          <w:color w:val="auto"/>
        </w:rPr>
        <w:t xml:space="preserve">” means each Permit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have the meaning ascribed to such term in the A&amp;R SSA.</w:t>
      </w:r>
    </w:p>
    <w:p>
      <w:pPr>
        <w:spacing w:after="0" w:line="107" w:lineRule="exact"/>
        <w:rPr>
          <w:rFonts w:ascii="Times New Roman" w:cs="Times New Roman" w:eastAsia="Times New Roman" w:hAnsi="Times New Roman"/>
          <w:sz w:val="21"/>
          <w:szCs w:val="21"/>
          <w:color w:val="auto"/>
        </w:rPr>
      </w:pPr>
    </w:p>
    <w:p>
      <w:pPr>
        <w:ind w:left="616" w:hanging="616"/>
        <w:spacing w:after="0" w:line="270" w:lineRule="auto"/>
        <w:tabs>
          <w:tab w:leader="none" w:pos="61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 UPB</w:t>
      </w:r>
      <w:r>
        <w:rPr>
          <w:rFonts w:ascii="Times New Roman" w:cs="Times New Roman" w:eastAsia="Times New Roman" w:hAnsi="Times New Roman"/>
          <w:sz w:val="21"/>
          <w:szCs w:val="21"/>
          <w:color w:val="auto"/>
        </w:rPr>
        <w:t>” means the unpaid principal balance of all mortgage loans and REO property, the related servicing rights of which are owned by MAV as of the Effective Date.</w:t>
      </w:r>
    </w:p>
    <w:p>
      <w:pPr>
        <w:spacing w:after="0" w:line="51"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 Onity Serviced Loan</w:t>
      </w:r>
      <w:r>
        <w:rPr>
          <w:rFonts w:ascii="Times New Roman" w:cs="Times New Roman" w:eastAsia="Times New Roman" w:hAnsi="Times New Roman"/>
          <w:sz w:val="21"/>
          <w:szCs w:val="21"/>
          <w:color w:val="auto"/>
        </w:rPr>
        <w:t>” shall have the meaning ascribed to such term in the A&amp;R SSA.</w:t>
      </w:r>
    </w:p>
    <w:p>
      <w:pPr>
        <w:spacing w:after="0" w:line="120" w:lineRule="exact"/>
        <w:rPr>
          <w:rFonts w:ascii="Times New Roman" w:cs="Times New Roman" w:eastAsia="Times New Roman" w:hAnsi="Times New Roman"/>
          <w:sz w:val="21"/>
          <w:szCs w:val="21"/>
          <w:color w:val="auto"/>
        </w:rPr>
      </w:pPr>
    </w:p>
    <w:p>
      <w:pPr>
        <w:jc w:val="both"/>
        <w:ind w:left="616" w:hanging="616"/>
        <w:spacing w:after="0" w:line="248" w:lineRule="auto"/>
        <w:tabs>
          <w:tab w:leader="none" w:pos="60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means, with regard to any Person, as applicable, (i) any capital stock, voting, partnership, membership, joint venture or other ownership or equity interests, or other share capital of such Person, (ii) any securities of such Person convertible into or exchangeable for any capital stock, partnership, membership, joint venture or other ownership or equity interests, or other share capital (whether voting or non-voting, whether preferred, common or otherwise) of such Person or containing any profit participation features with respect to such Person, (iii) any rights or options directly or indirectly to subscribe for or to purchase any capital stock, partnership, membership, joint venture or other ownership or equity interests, other share capital of such Person or securities containing any profit participation features with respect to such Person or subscribe for or to purchase any securities convertible into or exchangeable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16"/>
          </w:cols>
          <w:pgMar w:left="944" w:top="1440" w:right="339" w:bottom="1440" w:gutter="0" w:footer="0" w:header="0"/>
        </w:sectPr>
      </w:pPr>
    </w:p>
    <w:bookmarkStart w:id="150" w:name="page151"/>
    <w:bookmarkEnd w:id="150"/>
    <w:p>
      <w:pPr>
        <w:spacing w:after="0" w:line="32" w:lineRule="exact"/>
        <w:rPr>
          <w:sz w:val="20"/>
          <w:szCs w:val="20"/>
          <w:color w:val="auto"/>
        </w:rPr>
      </w:pPr>
    </w:p>
    <w:p>
      <w:pPr>
        <w:jc w:val="both"/>
        <w:ind w:left="616"/>
        <w:spacing w:after="0" w:line="250" w:lineRule="auto"/>
        <w:rPr>
          <w:sz w:val="20"/>
          <w:szCs w:val="20"/>
          <w:color w:val="auto"/>
        </w:rPr>
      </w:pPr>
      <w:r>
        <w:rPr>
          <w:rFonts w:ascii="Times New Roman" w:cs="Times New Roman" w:eastAsia="Times New Roman" w:hAnsi="Times New Roman"/>
          <w:sz w:val="21"/>
          <w:szCs w:val="21"/>
          <w:color w:val="auto"/>
        </w:rPr>
        <w:t>capital stock, partnership, membership, joint venture or other ownership interests, other share capital of such Person or securities containing any profit participation features with respect to such Person, (iv) any share, unit or membership interest appreciation rights, phantom share rights, contingent interest or other similar rights relating to such Person (including any equity-linked rights or rights, to payments or otherwise, tied to the equity value of such Person) or (v) any Equity Securities of such Person issued or issuable with respect to the securities referred to in clauses (i) through</w:t>
      </w:r>
    </w:p>
    <w:p>
      <w:pPr>
        <w:spacing w:after="0" w:line="5" w:lineRule="exact"/>
        <w:rPr>
          <w:sz w:val="20"/>
          <w:szCs w:val="20"/>
          <w:color w:val="auto"/>
        </w:rPr>
      </w:pPr>
    </w:p>
    <w:p>
      <w:pPr>
        <w:ind w:left="616" w:firstLine="4"/>
        <w:spacing w:after="0" w:line="248" w:lineRule="auto"/>
        <w:tabs>
          <w:tab w:leader="none" w:pos="1001"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in connection with a combination of shares, units or membership interests or recapitalization, exchange, merger, consolidation or other reorganization.</w:t>
      </w:r>
    </w:p>
    <w:p>
      <w:pPr>
        <w:spacing w:after="0" w:line="73"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Fannie Mae</w:t>
      </w:r>
      <w:r>
        <w:rPr>
          <w:rFonts w:ascii="Times New Roman" w:cs="Times New Roman" w:eastAsia="Times New Roman" w:hAnsi="Times New Roman"/>
          <w:sz w:val="21"/>
          <w:szCs w:val="21"/>
          <w:color w:val="auto"/>
        </w:rPr>
        <w:t>” shall have the meaning ascribed to such term in the A&amp;R SSA.</w:t>
      </w:r>
    </w:p>
    <w:p>
      <w:pPr>
        <w:spacing w:after="0" w:line="120"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Freddie Mac</w:t>
      </w:r>
      <w:r>
        <w:rPr>
          <w:rFonts w:ascii="Times New Roman" w:cs="Times New Roman" w:eastAsia="Times New Roman" w:hAnsi="Times New Roman"/>
          <w:sz w:val="21"/>
          <w:szCs w:val="21"/>
          <w:color w:val="auto"/>
        </w:rPr>
        <w:t>” shall have the meaning ascribed to such term in the A&amp;R SSA.</w:t>
      </w:r>
    </w:p>
    <w:p>
      <w:pPr>
        <w:spacing w:after="0" w:line="107"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0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United States federal, national, state, local or similar government, governmental, regulatory or administrative authority, branch, agency or commission or any court, tribunal, or arbitral or judicial body (including any grand jury).</w:t>
      </w:r>
    </w:p>
    <w:p>
      <w:pPr>
        <w:spacing w:after="0" w:line="64"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 means Fannie Mae and Freddie Mac.</w:t>
      </w:r>
    </w:p>
    <w:p>
      <w:pPr>
        <w:spacing w:after="0" w:line="10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Financing Facilities</w:t>
      </w:r>
      <w:r>
        <w:rPr>
          <w:rFonts w:ascii="Times New Roman" w:cs="Times New Roman" w:eastAsia="Times New Roman" w:hAnsi="Times New Roman"/>
          <w:sz w:val="21"/>
          <w:szCs w:val="21"/>
          <w:color w:val="auto"/>
        </w:rPr>
        <w:t xml:space="preserve">” means the facilities listed on </w:t>
      </w:r>
      <w:r>
        <w:rPr>
          <w:rFonts w:ascii="Times New Roman" w:cs="Times New Roman" w:eastAsia="Times New Roman" w:hAnsi="Times New Roman"/>
          <w:sz w:val="21"/>
          <w:szCs w:val="21"/>
          <w:u w:val="single" w:color="auto"/>
          <w:color w:val="auto"/>
        </w:rPr>
        <w:t>Schedule B.</w:t>
      </w:r>
    </w:p>
    <w:p>
      <w:pPr>
        <w:spacing w:after="0" w:line="120" w:lineRule="exact"/>
        <w:rPr>
          <w:rFonts w:ascii="Times New Roman" w:cs="Times New Roman" w:eastAsia="Times New Roman" w:hAnsi="Times New Roman"/>
          <w:sz w:val="21"/>
          <w:szCs w:val="21"/>
          <w:color w:val="auto"/>
        </w:rPr>
      </w:pPr>
    </w:p>
    <w:p>
      <w:pPr>
        <w:ind w:left="616" w:hanging="616"/>
        <w:spacing w:after="0" w:line="270" w:lineRule="auto"/>
        <w:tabs>
          <w:tab w:leader="none" w:pos="61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all federal, state and local laws, statutes, rules, regulations, codes, ordinances or other requirements of any Governmental Authority.</w:t>
      </w:r>
    </w:p>
    <w:p>
      <w:pPr>
        <w:spacing w:after="0" w:line="51" w:lineRule="exact"/>
        <w:rPr>
          <w:rFonts w:ascii="Times New Roman" w:cs="Times New Roman" w:eastAsia="Times New Roman" w:hAnsi="Times New Roman"/>
          <w:sz w:val="21"/>
          <w:szCs w:val="21"/>
          <w:color w:val="auto"/>
        </w:rPr>
      </w:pPr>
    </w:p>
    <w:p>
      <w:pPr>
        <w:jc w:val="both"/>
        <w:ind w:left="616" w:hanging="616"/>
        <w:spacing w:after="0" w:line="248" w:lineRule="auto"/>
        <w:tabs>
          <w:tab w:leader="none" w:pos="61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effect, event, change, occurrence, circumstance, state of facts or development that, individually or in the aggregate, has a material adverse effect on the assets, properties, liabilities, business, results of operations or condition (financial or otherwise) of the Company and its Subsidiaries, taken as a whole, or the ability of Company or its Subsidiaries to timely consummate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the following shall be taken into account in determining whether there has been a Material Adverse Effect: any adverse change, effect, event, occurrence, state of facts or development to the extent attributable to: (i) conditions or effects that generally affect any of the industries in which the Company and its Subsidiaries operate (including legal and regulatory changes) in the United States; (ii) general economic effects or conditions affecting the United States; (iii) conditions or effects resulting from changes in equity, debt, financial, banking or securities markets in general or market conditions and any disruption thereof and any decline in any market index or any change in prevailing interest rates, in each case in the United States; (iv) conditions or effects resulting from an outbreak, escalation or worsening of hostilities, acts of war (whether or not declared), military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16"/>
          </w:cols>
          <w:pgMar w:left="944" w:top="1440" w:right="339" w:bottom="1440" w:gutter="0" w:footer="0" w:header="0"/>
        </w:sectPr>
      </w:pPr>
    </w:p>
    <w:bookmarkStart w:id="151" w:name="page152"/>
    <w:bookmarkEnd w:id="151"/>
    <w:p>
      <w:pPr>
        <w:spacing w:after="0" w:line="32" w:lineRule="exact"/>
        <w:rPr>
          <w:sz w:val="20"/>
          <w:szCs w:val="20"/>
          <w:color w:val="auto"/>
        </w:rPr>
      </w:pPr>
    </w:p>
    <w:p>
      <w:pPr>
        <w:jc w:val="both"/>
        <w:ind w:left="616"/>
        <w:spacing w:after="0" w:line="248" w:lineRule="auto"/>
        <w:rPr>
          <w:sz w:val="20"/>
          <w:szCs w:val="20"/>
          <w:color w:val="auto"/>
        </w:rPr>
      </w:pPr>
      <w:r>
        <w:rPr>
          <w:rFonts w:ascii="Times New Roman" w:cs="Times New Roman" w:eastAsia="Times New Roman" w:hAnsi="Times New Roman"/>
          <w:sz w:val="21"/>
          <w:szCs w:val="21"/>
          <w:color w:val="auto"/>
        </w:rPr>
        <w:t>actions, acts of terrorism, political instability or other national or international calamity, crisis or emergency, or any governmental or other response to any of the foregoing, in each case involving the United States; (v) epidemics, pandemics, acts of God, casualties, earthquakes, storms, hurricanes, tornadoes, severe weather, fires, accidents, floods or other natural or man-made catastrophes; (vi) conditions or effects arising from changes or proposed changes in Laws or GAAP following the date hereof; (vii) the failure to meet any budgets, pro forma amounts, projections or forecasts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exception in this clause (vii) shall not prevent or otherwise affect a determination that any circumstance underlying such failure has resulted in or contributed to a Material Adverse Effect); (viii) the announcement, pendency or completion of the transactions contemplated by this Agreement and the Transaction Agreements, including the identity of the Company and its Affiliates (including the Oaktree Parties); and (ix) the Company or its Subsidiaries taking or not taking any action required by this Agreement prior to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clauses (i)-(vi) above, such effect, event, change, occurrence, circumstance, state of facts or development does not have a disproportionate effect on the Company and its subsidiaries, taken as a whole, compared to other companies in the same industry.</w:t>
      </w:r>
    </w:p>
    <w:p>
      <w:pPr>
        <w:spacing w:after="0" w:line="77" w:lineRule="exact"/>
        <w:rPr>
          <w:sz w:val="20"/>
          <w:szCs w:val="20"/>
          <w:color w:val="auto"/>
        </w:rPr>
      </w:pPr>
    </w:p>
    <w:p>
      <w:pPr>
        <w:ind w:left="616" w:hanging="616"/>
        <w:spacing w:after="0" w:line="283" w:lineRule="auto"/>
        <w:tabs>
          <w:tab w:leader="none" w:pos="61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means any order, decision, judgment, writ, injunction, decree, award or other determination of any Governmental Authority.</w:t>
      </w:r>
    </w:p>
    <w:p>
      <w:pPr>
        <w:spacing w:after="0" w:line="3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Pari-Passu Excess Servicing Spread</w:t>
      </w:r>
      <w:r>
        <w:rPr>
          <w:rFonts w:ascii="Times New Roman" w:cs="Times New Roman" w:eastAsia="Times New Roman" w:hAnsi="Times New Roman"/>
          <w:sz w:val="21"/>
          <w:szCs w:val="21"/>
          <w:color w:val="auto"/>
        </w:rPr>
        <w:t>” shall have the meaning ascribed to such term in the A&amp;R SSA.</w:t>
      </w:r>
    </w:p>
    <w:p>
      <w:pPr>
        <w:spacing w:after="0" w:line="107" w:lineRule="exact"/>
        <w:rPr>
          <w:rFonts w:ascii="Times New Roman" w:cs="Times New Roman" w:eastAsia="Times New Roman" w:hAnsi="Times New Roman"/>
          <w:sz w:val="21"/>
          <w:szCs w:val="21"/>
          <w:color w:val="auto"/>
        </w:rPr>
      </w:pPr>
    </w:p>
    <w:p>
      <w:pPr>
        <w:ind w:left="616" w:hanging="616"/>
        <w:spacing w:after="0" w:line="270" w:lineRule="auto"/>
        <w:tabs>
          <w:tab w:leader="none" w:pos="60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partnership, corporation, limited liability company, limited liability partnership, trust or other entity.</w:t>
      </w:r>
    </w:p>
    <w:p>
      <w:pPr>
        <w:spacing w:after="0" w:line="51" w:lineRule="exact"/>
        <w:rPr>
          <w:rFonts w:ascii="Times New Roman" w:cs="Times New Roman" w:eastAsia="Times New Roman" w:hAnsi="Times New Roman"/>
          <w:sz w:val="21"/>
          <w:szCs w:val="21"/>
          <w:color w:val="auto"/>
        </w:rPr>
      </w:pPr>
    </w:p>
    <w:p>
      <w:pPr>
        <w:ind w:left="616" w:hanging="616"/>
        <w:spacing w:after="0" w:line="283" w:lineRule="auto"/>
        <w:tabs>
          <w:tab w:leader="none" w:pos="61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means all permits, licenses, certifications, approvals, registrations, consents, authorizations and exemptions, in each case, issued or granted by a Governmental Authority or Investor.</w:t>
      </w:r>
    </w:p>
    <w:p>
      <w:pPr>
        <w:spacing w:after="0" w:line="37"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1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Facility Approvals</w:t>
      </w:r>
      <w:r>
        <w:rPr>
          <w:rFonts w:ascii="Times New Roman" w:cs="Times New Roman" w:eastAsia="Times New Roman" w:hAnsi="Times New Roman"/>
          <w:sz w:val="21"/>
          <w:szCs w:val="21"/>
          <w:color w:val="auto"/>
        </w:rPr>
        <w:t>” means, with respect to the Investor Financing Facilities, any consent, approval, authorization, or other required action of the Investor, lender, or other counterparty to such Investor Financing Facilities, as may be required pertaining to consummation of the Closing.</w:t>
      </w:r>
    </w:p>
    <w:p>
      <w:pPr>
        <w:spacing w:after="0" w:line="64"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0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Regulatory Approvals</w:t>
      </w:r>
      <w:r>
        <w:rPr>
          <w:rFonts w:ascii="Times New Roman" w:cs="Times New Roman" w:eastAsia="Times New Roman" w:hAnsi="Times New Roman"/>
          <w:sz w:val="21"/>
          <w:szCs w:val="21"/>
          <w:color w:val="auto"/>
        </w:rPr>
        <w:t xml:space="preserve">” means with respect to the Company Approvals, the consent from, registration, declaration or other Filing with or approval or authorization of (i) each Investor and (ii) each of the applicable Governmental Authorities of each state or territory set forth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with respect to each Company Permit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w:t>
      </w:r>
    </w:p>
    <w:p>
      <w:pPr>
        <w:spacing w:after="0" w:line="63"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Excess Servicing Spread</w:t>
      </w:r>
      <w:r>
        <w:rPr>
          <w:rFonts w:ascii="Times New Roman" w:cs="Times New Roman" w:eastAsia="Times New Roman" w:hAnsi="Times New Roman"/>
          <w:sz w:val="21"/>
          <w:szCs w:val="21"/>
          <w:color w:val="auto"/>
        </w:rPr>
        <w:t>” shall have the meaning ascribed to such term in the A&amp;R SSA.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616"/>
          </w:cols>
          <w:pgMar w:left="944" w:top="1440" w:right="339" w:bottom="1440" w:gutter="0" w:footer="0" w:header="0"/>
        </w:sectPr>
      </w:pPr>
    </w:p>
    <w:bookmarkStart w:id="152" w:name="page153"/>
    <w:bookmarkEnd w:id="152"/>
    <w:p>
      <w:pPr>
        <w:spacing w:after="0" w:line="31" w:lineRule="exact"/>
        <w:rPr>
          <w:sz w:val="20"/>
          <w:szCs w:val="20"/>
          <w:color w:val="auto"/>
        </w:rPr>
      </w:pPr>
    </w:p>
    <w:p>
      <w:pPr>
        <w:ind w:left="1240" w:hanging="616"/>
        <w:spacing w:after="0"/>
        <w:tabs>
          <w:tab w:leader="none" w:pos="124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shall have the meaning ascribed to such term in the A&amp;R SSA.</w:t>
      </w:r>
    </w:p>
    <w:p>
      <w:pPr>
        <w:spacing w:after="0" w:line="103" w:lineRule="exact"/>
        <w:rPr>
          <w:sz w:val="20"/>
          <w:szCs w:val="20"/>
          <w:color w:val="auto"/>
        </w:rPr>
      </w:pPr>
    </w:p>
    <w:p>
      <w:pPr>
        <w:jc w:val="both"/>
        <w:ind w:firstLine="624"/>
        <w:spacing w:after="0" w:line="257" w:lineRule="auto"/>
        <w:tabs>
          <w:tab w:leader="none" w:pos="124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The closing of the transactions contemplated by this Agreement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and the effectiveness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Transaction Agreements, other than the Purchase Agreement Amendment, the Warrant Certificate Amendments and the Transaction Fee Letter, shall occur remotely via the exchange of documents and signatures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following the satisfaction of all conditions for Closing set forth below (other than those conditions that by their terms are to be satisfied at or contemporaneously with the Closing), or on such earlier or later date or at such different location as the Parties shall agree to in writing (the date on which the Closing occurs,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Each of the Purchase Agreement Amendment and the Transaction Fee Letter shall be executed and delivered by the parties thereto concurrently with the execution and delivery of this Agreement and shall be in full force and effect as of the date hereof. The Warrant Certificate Amendments shall be executed and delivered by the parties thereto concurrently with the pricing of an Acceptable High Yield Offering and shall be in full force and effect as of such date.</w:t>
      </w:r>
    </w:p>
    <w:p>
      <w:pPr>
        <w:spacing w:after="0" w:line="65" w:lineRule="exact"/>
        <w:rPr>
          <w:sz w:val="20"/>
          <w:szCs w:val="20"/>
          <w:color w:val="auto"/>
        </w:rPr>
      </w:pPr>
    </w:p>
    <w:p>
      <w:pPr>
        <w:ind w:left="1240" w:hanging="616"/>
        <w:spacing w:after="0" w:line="270" w:lineRule="auto"/>
        <w:tabs>
          <w:tab w:leader="none" w:pos="123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Oaktree Parties hereunder in connection with the Closing are subject to the following conditions being met:</w:t>
      </w:r>
    </w:p>
    <w:p>
      <w:pPr>
        <w:spacing w:after="0" w:line="51"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&amp; Warranties</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jc w:val="both"/>
        <w:ind w:left="1240" w:firstLine="624"/>
        <w:spacing w:after="0" w:line="253" w:lineRule="auto"/>
        <w:tabs>
          <w:tab w:leader="none" w:pos="2470"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4(b)(iv)</w:t>
      </w:r>
      <w:r>
        <w:rPr>
          <w:rFonts w:ascii="Times New Roman" w:cs="Times New Roman" w:eastAsia="Times New Roman" w:hAnsi="Times New Roman"/>
          <w:sz w:val="21"/>
          <w:szCs w:val="21"/>
          <w:color w:val="auto"/>
        </w:rPr>
        <w:t>, for such purposes disregarding any materiality or similar qualification therein, shall be true and correct as of the date hereof and on the Closing Date, except as would not reasonably be expected to have, individually or in the aggregate, a material adverse effect on the ability of Onity, PHH or PMC to consummate the transactions contemplated by (or perform its obligations under) any Transaction Agreement to which it is a party;</w:t>
      </w:r>
    </w:p>
    <w:p>
      <w:pPr>
        <w:spacing w:after="0" w:line="70" w:lineRule="exact"/>
        <w:rPr>
          <w:rFonts w:ascii="Times New Roman" w:cs="Times New Roman" w:eastAsia="Times New Roman" w:hAnsi="Times New Roman"/>
          <w:sz w:val="21"/>
          <w:szCs w:val="21"/>
          <w:color w:val="auto"/>
        </w:rPr>
      </w:pPr>
    </w:p>
    <w:p>
      <w:pPr>
        <w:jc w:val="both"/>
        <w:ind w:left="1240" w:firstLine="624"/>
        <w:spacing w:after="0" w:line="263" w:lineRule="auto"/>
        <w:tabs>
          <w:tab w:leader="none" w:pos="2472"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4(b)(ii)</w:t>
      </w:r>
      <w:r>
        <w:rPr>
          <w:rFonts w:ascii="Times New Roman" w:cs="Times New Roman" w:eastAsia="Times New Roman" w:hAnsi="Times New Roman"/>
          <w:sz w:val="21"/>
          <w:szCs w:val="21"/>
          <w:color w:val="auto"/>
        </w:rPr>
        <w:t>, for such purposes disregarding any materiality or similar qualification therein, shall be true and correct in all material respects as of the date hereof and on the Closing Date; and</w:t>
      </w:r>
    </w:p>
    <w:p>
      <w:pPr>
        <w:spacing w:after="0" w:line="58" w:lineRule="exact"/>
        <w:rPr>
          <w:rFonts w:ascii="Times New Roman" w:cs="Times New Roman" w:eastAsia="Times New Roman" w:hAnsi="Times New Roman"/>
          <w:sz w:val="21"/>
          <w:szCs w:val="21"/>
          <w:color w:val="auto"/>
        </w:rPr>
      </w:pPr>
    </w:p>
    <w:p>
      <w:pPr>
        <w:jc w:val="both"/>
        <w:ind w:left="1240" w:firstLine="624"/>
        <w:spacing w:after="0" w:line="253" w:lineRule="auto"/>
        <w:tabs>
          <w:tab w:leader="none" w:pos="2472"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of Onity or PMC, as applicable, set forth in each Transaction Agreement, for such purposes disregarding any materiality or similar qualification therein, shall be true and correct as of the Closing Date, except as would not reasonably be expected to have, individually or in the aggregate, a material adverse effect on the ability of Onity or PMC, as applicable, to consummate the transactions contemplated by (or perform its obligations under) any Transaction Agreement to which it is a party.</w:t>
      </w:r>
    </w:p>
    <w:p>
      <w:pPr>
        <w:spacing w:after="0" w:line="70" w:lineRule="exact"/>
        <w:rPr>
          <w:rFonts w:ascii="Times New Roman" w:cs="Times New Roman" w:eastAsia="Times New Roman" w:hAnsi="Times New Roman"/>
          <w:sz w:val="21"/>
          <w:szCs w:val="21"/>
          <w:color w:val="auto"/>
        </w:rPr>
      </w:pPr>
    </w:p>
    <w:p>
      <w:pPr>
        <w:ind w:left="1860" w:hanging="616"/>
        <w:spacing w:after="0" w:line="270" w:lineRule="auto"/>
        <w:tabs>
          <w:tab w:leader="none" w:pos="1854"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Covenants</w:t>
      </w:r>
      <w:r>
        <w:rPr>
          <w:rFonts w:ascii="Times New Roman" w:cs="Times New Roman" w:eastAsia="Times New Roman" w:hAnsi="Times New Roman"/>
          <w:sz w:val="21"/>
          <w:szCs w:val="21"/>
          <w:color w:val="auto"/>
        </w:rPr>
        <w:t>: Onity shall have performed and complied with, in all material respects, all of their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2" w:lineRule="exact"/>
        <w:rPr>
          <w:sz w:val="20"/>
          <w:szCs w:val="20"/>
          <w:color w:val="auto"/>
        </w:rPr>
      </w:pPr>
    </w:p>
    <w:p>
      <w:pPr>
        <w:ind w:left="1236"/>
        <w:spacing w:after="0" w:line="270" w:lineRule="auto"/>
        <w:rPr>
          <w:sz w:val="20"/>
          <w:szCs w:val="20"/>
          <w:color w:val="auto"/>
        </w:rPr>
      </w:pPr>
      <w:r>
        <w:rPr>
          <w:rFonts w:ascii="Times New Roman" w:cs="Times New Roman" w:eastAsia="Times New Roman" w:hAnsi="Times New Roman"/>
          <w:sz w:val="21"/>
          <w:szCs w:val="21"/>
          <w:color w:val="auto"/>
        </w:rPr>
        <w:t>agreements set forth in this Agreement, required to be performed and complied with by them on or prior to the Closing Date.</w:t>
      </w:r>
    </w:p>
    <w:p>
      <w:pPr>
        <w:spacing w:after="0" w:line="51" w:lineRule="exact"/>
        <w:rPr>
          <w:sz w:val="20"/>
          <w:szCs w:val="20"/>
          <w:color w:val="auto"/>
        </w:rPr>
      </w:pPr>
    </w:p>
    <w:p>
      <w:pPr>
        <w:ind w:left="1236" w:hanging="616"/>
        <w:spacing w:after="0"/>
        <w:tabs>
          <w:tab w:leader="none" w:pos="1236"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There shall have been no Material Adverse Effect since the date hereof.</w:t>
      </w:r>
    </w:p>
    <w:p>
      <w:pPr>
        <w:spacing w:after="0" w:line="120"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2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Officer’s Certificate</w:t>
      </w:r>
      <w:r>
        <w:rPr>
          <w:rFonts w:ascii="Times New Roman" w:cs="Times New Roman" w:eastAsia="Times New Roman" w:hAnsi="Times New Roman"/>
          <w:sz w:val="21"/>
          <w:szCs w:val="21"/>
          <w:color w:val="auto"/>
        </w:rPr>
        <w:t xml:space="preserve">: Onity shall have delivered to the Oaktree Parties a certificate, signed by an authorized person of Onity, dated as of the Closing Date, certifying the matters set forth in </w:t>
      </w:r>
      <w:r>
        <w:rPr>
          <w:rFonts w:ascii="Times New Roman" w:cs="Times New Roman" w:eastAsia="Times New Roman" w:hAnsi="Times New Roman"/>
          <w:sz w:val="21"/>
          <w:szCs w:val="21"/>
          <w:u w:val="single" w:color="auto"/>
          <w:color w:val="auto"/>
        </w:rPr>
        <w:t>Sections 2(a)(i)(A)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2(a)(i)(B)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2(a)(i)(C)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2(a)(ii)</w:t>
      </w:r>
      <w:r>
        <w:rPr>
          <w:rFonts w:ascii="Times New Roman" w:cs="Times New Roman" w:eastAsia="Times New Roman" w:hAnsi="Times New Roman"/>
          <w:sz w:val="21"/>
          <w:szCs w:val="21"/>
          <w:color w:val="auto"/>
        </w:rPr>
        <w:t>.</w:t>
      </w:r>
    </w:p>
    <w:p>
      <w:pPr>
        <w:spacing w:after="0" w:line="64" w:lineRule="exact"/>
        <w:rPr>
          <w:rFonts w:ascii="Times New Roman" w:cs="Times New Roman" w:eastAsia="Times New Roman" w:hAnsi="Times New Roman"/>
          <w:sz w:val="21"/>
          <w:szCs w:val="21"/>
          <w:color w:val="auto"/>
        </w:rPr>
      </w:pPr>
    </w:p>
    <w:p>
      <w:pPr>
        <w:jc w:val="both"/>
        <w:ind w:left="1236" w:hanging="616"/>
        <w:spacing w:after="0" w:line="263" w:lineRule="auto"/>
        <w:tabs>
          <w:tab w:leader="none" w:pos="123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 Agreements</w:t>
      </w:r>
      <w:r>
        <w:rPr>
          <w:rFonts w:ascii="Times New Roman" w:cs="Times New Roman" w:eastAsia="Times New Roman" w:hAnsi="Times New Roman"/>
          <w:sz w:val="21"/>
          <w:szCs w:val="21"/>
          <w:color w:val="auto"/>
        </w:rPr>
        <w:t xml:space="preserve">: The Oaktree Parties shall have received each of the Transaction Agreements duly executed and delivered by Onity, PMC, and the Lender (as defined in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as applicable, and each such Transaction Agreement shall be in full force and effect as of the Closing.</w:t>
      </w:r>
    </w:p>
    <w:p>
      <w:pPr>
        <w:spacing w:after="0" w:line="58" w:lineRule="exact"/>
        <w:rPr>
          <w:rFonts w:ascii="Times New Roman" w:cs="Times New Roman" w:eastAsia="Times New Roman" w:hAnsi="Times New Roman"/>
          <w:sz w:val="21"/>
          <w:szCs w:val="21"/>
          <w:color w:val="auto"/>
        </w:rPr>
      </w:pPr>
    </w:p>
    <w:p>
      <w:pPr>
        <w:ind w:left="1236" w:hanging="616"/>
        <w:spacing w:after="0"/>
        <w:tabs>
          <w:tab w:leader="none" w:pos="1236"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IRS Form</w:t>
      </w:r>
      <w:r>
        <w:rPr>
          <w:rFonts w:ascii="Times New Roman" w:cs="Times New Roman" w:eastAsia="Times New Roman" w:hAnsi="Times New Roman"/>
          <w:sz w:val="21"/>
          <w:szCs w:val="21"/>
          <w:color w:val="auto"/>
        </w:rPr>
        <w:t>. Onity shall have delivered to the Oaktree Parties a duly completed IRS Form W-9.</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52" w:lineRule="auto"/>
        <w:tabs>
          <w:tab w:leader="none" w:pos="1231"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Acceptable High Yield Offering</w:t>
      </w:r>
      <w:r>
        <w:rPr>
          <w:rFonts w:ascii="Times New Roman" w:cs="Times New Roman" w:eastAsia="Times New Roman" w:hAnsi="Times New Roman"/>
          <w:sz w:val="21"/>
          <w:szCs w:val="21"/>
          <w:color w:val="auto"/>
        </w:rPr>
        <w:t>: Prior to or substantially simultaneously with the Closing, (x) PHH or the Escrow Issuer shall have completed an Acceptable High Yield Offering, (y) if the New High Yield Notes are issued into escrow, the Escrow Release Debt shall occur, and (z) Onity and PHH shall apply all proceeds of the High Yield Offering and the Interest Redemption in accordance with Section 3(f).</w:t>
      </w:r>
    </w:p>
    <w:p>
      <w:pPr>
        <w:spacing w:after="0" w:line="84"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Onity hereunder in connection with the Closing are subject to the following conditions being met:</w:t>
      </w:r>
    </w:p>
    <w:p>
      <w:pPr>
        <w:spacing w:after="0" w:line="107" w:lineRule="exact"/>
        <w:rPr>
          <w:rFonts w:ascii="Times New Roman" w:cs="Times New Roman" w:eastAsia="Times New Roman" w:hAnsi="Times New Roman"/>
          <w:sz w:val="21"/>
          <w:szCs w:val="21"/>
          <w:color w:val="auto"/>
        </w:rPr>
      </w:pPr>
    </w:p>
    <w:p>
      <w:pPr>
        <w:ind w:left="1236" w:hanging="616"/>
        <w:spacing w:after="0"/>
        <w:tabs>
          <w:tab w:leader="none" w:pos="123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&amp; Warranties</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jc w:val="both"/>
        <w:ind w:left="616" w:firstLine="624"/>
        <w:spacing w:after="0" w:line="253" w:lineRule="auto"/>
        <w:tabs>
          <w:tab w:leader="none" w:pos="1847" w:val="left"/>
        </w:tabs>
        <w:numPr>
          <w:ilvl w:val="2"/>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4(a)(iii)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4(a)(iv)</w:t>
      </w:r>
      <w:r>
        <w:rPr>
          <w:rFonts w:ascii="Times New Roman" w:cs="Times New Roman" w:eastAsia="Times New Roman" w:hAnsi="Times New Roman"/>
          <w:sz w:val="21"/>
          <w:szCs w:val="21"/>
          <w:color w:val="auto"/>
        </w:rPr>
        <w:t>, for such purposes disregarding any materiality or similar qualification therein, shall be true and correct as of the date hereof and on the Closing Date, except as would not reasonably be expected to have, individually or in the aggregate, a material adverse effect on the ability of any Oaktree Party to consummate the transactions contemplated by (or perform its obligations under) any Transaction Agreement to which it is a party;</w:t>
      </w:r>
    </w:p>
    <w:p>
      <w:pPr>
        <w:spacing w:after="0" w:line="70" w:lineRule="exact"/>
        <w:rPr>
          <w:rFonts w:ascii="Times New Roman" w:cs="Times New Roman" w:eastAsia="Times New Roman" w:hAnsi="Times New Roman"/>
          <w:sz w:val="21"/>
          <w:szCs w:val="21"/>
          <w:color w:val="auto"/>
        </w:rPr>
      </w:pPr>
    </w:p>
    <w:p>
      <w:pPr>
        <w:jc w:val="both"/>
        <w:ind w:left="616" w:firstLine="624"/>
        <w:spacing w:after="0" w:line="257" w:lineRule="auto"/>
        <w:tabs>
          <w:tab w:leader="none" w:pos="1848" w:val="left"/>
        </w:tabs>
        <w:numPr>
          <w:ilvl w:val="2"/>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4(a)(ii)</w:t>
      </w:r>
      <w:r>
        <w:rPr>
          <w:rFonts w:ascii="Times New Roman" w:cs="Times New Roman" w:eastAsia="Times New Roman" w:hAnsi="Times New Roman"/>
          <w:sz w:val="21"/>
          <w:szCs w:val="21"/>
          <w:color w:val="auto"/>
        </w:rPr>
        <w:t>, for such purposes disregarding any materiality or similar qualification therein, shall be true and correct in all material respects as of the date hereof and on the Closing Date;</w:t>
      </w:r>
    </w:p>
    <w:p>
      <w:pPr>
        <w:spacing w:after="0" w:line="77" w:lineRule="exact"/>
        <w:rPr>
          <w:rFonts w:ascii="Times New Roman" w:cs="Times New Roman" w:eastAsia="Times New Roman" w:hAnsi="Times New Roman"/>
          <w:sz w:val="21"/>
          <w:szCs w:val="21"/>
          <w:color w:val="auto"/>
        </w:rPr>
      </w:pPr>
    </w:p>
    <w:p>
      <w:pPr>
        <w:jc w:val="both"/>
        <w:ind w:left="616" w:firstLine="624"/>
        <w:spacing w:after="0" w:line="257" w:lineRule="auto"/>
        <w:tabs>
          <w:tab w:leader="none" w:pos="1921" w:val="left"/>
        </w:tabs>
        <w:numPr>
          <w:ilvl w:val="2"/>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4(c)(iii)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4(c)(iv)</w:t>
      </w:r>
      <w:r>
        <w:rPr>
          <w:rFonts w:ascii="Times New Roman" w:cs="Times New Roman" w:eastAsia="Times New Roman" w:hAnsi="Times New Roman"/>
          <w:sz w:val="21"/>
          <w:szCs w:val="21"/>
          <w:color w:val="auto"/>
        </w:rPr>
        <w:t>, for such purposes disregarding any materiality or similar qualification therein, shall be true and correct as of the date hereof and on the Closing Date, except as would not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616"/>
          </w:cols>
          <w:pgMar w:left="944" w:top="1440" w:right="339" w:bottom="1440" w:gutter="0" w:footer="0" w:header="0"/>
        </w:sectPr>
      </w:pPr>
    </w:p>
    <w:bookmarkStart w:id="154" w:name="page155"/>
    <w:bookmarkEnd w:id="154"/>
    <w:p>
      <w:pPr>
        <w:spacing w:after="0" w:line="32" w:lineRule="exact"/>
        <w:rPr>
          <w:sz w:val="20"/>
          <w:szCs w:val="20"/>
          <w:color w:val="auto"/>
        </w:rPr>
      </w:pPr>
    </w:p>
    <w:p>
      <w:pPr>
        <w:ind w:left="616"/>
        <w:spacing w:after="0" w:line="270" w:lineRule="auto"/>
        <w:rPr>
          <w:sz w:val="20"/>
          <w:szCs w:val="20"/>
          <w:color w:val="auto"/>
        </w:rPr>
      </w:pPr>
      <w:r>
        <w:rPr>
          <w:rFonts w:ascii="Times New Roman" w:cs="Times New Roman" w:eastAsia="Times New Roman" w:hAnsi="Times New Roman"/>
          <w:sz w:val="21"/>
          <w:szCs w:val="21"/>
          <w:color w:val="auto"/>
        </w:rPr>
        <w:t>be expected to have, individually or in the aggregate, a material adverse effect on the Company’s or MAV’s ability, to perform their obligations under this Agreement or any Transaction Agreement to which they are a party; and</w:t>
      </w:r>
    </w:p>
    <w:p>
      <w:pPr>
        <w:spacing w:after="0" w:line="51" w:lineRule="exact"/>
        <w:rPr>
          <w:sz w:val="20"/>
          <w:szCs w:val="20"/>
          <w:color w:val="auto"/>
        </w:rPr>
      </w:pPr>
    </w:p>
    <w:p>
      <w:pPr>
        <w:jc w:val="both"/>
        <w:ind w:left="616" w:firstLine="624"/>
        <w:spacing w:after="0" w:line="263" w:lineRule="auto"/>
        <w:tabs>
          <w:tab w:leader="none" w:pos="1847" w:val="left"/>
        </w:tabs>
        <w:numPr>
          <w:ilvl w:val="2"/>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set forth in </w:t>
      </w:r>
      <w:r>
        <w:rPr>
          <w:rFonts w:ascii="Times New Roman" w:cs="Times New Roman" w:eastAsia="Times New Roman" w:hAnsi="Times New Roman"/>
          <w:sz w:val="21"/>
          <w:szCs w:val="21"/>
          <w:u w:val="single" w:color="auto"/>
          <w:color w:val="auto"/>
        </w:rPr>
        <w:t>Section 4(c)(i)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4(c)(ii)</w:t>
      </w:r>
      <w:r>
        <w:rPr>
          <w:rFonts w:ascii="Times New Roman" w:cs="Times New Roman" w:eastAsia="Times New Roman" w:hAnsi="Times New Roman"/>
          <w:sz w:val="21"/>
          <w:szCs w:val="21"/>
          <w:color w:val="auto"/>
        </w:rPr>
        <w:t>, for such purposes disregarding any materiality or similar qualification therein, shall be true and correct in all material respects as of the date hereof and on the Closing Date.</w:t>
      </w:r>
    </w:p>
    <w:p>
      <w:pPr>
        <w:spacing w:after="0" w:line="58"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31"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Covenants</w:t>
      </w:r>
      <w:r>
        <w:rPr>
          <w:rFonts w:ascii="Times New Roman" w:cs="Times New Roman" w:eastAsia="Times New Roman" w:hAnsi="Times New Roman"/>
          <w:sz w:val="21"/>
          <w:szCs w:val="21"/>
          <w:color w:val="auto"/>
        </w:rPr>
        <w:t>: The Oaktree Parties and the Company shall have performed and complied with, in all material respects, all of their respective covenants and agreements set forth in this Agreement, required to be performed and complied with by them on or prior to the Closing Date.</w:t>
      </w:r>
    </w:p>
    <w:p>
      <w:pPr>
        <w:spacing w:after="0" w:line="77" w:lineRule="exact"/>
        <w:rPr>
          <w:rFonts w:ascii="Times New Roman" w:cs="Times New Roman" w:eastAsia="Times New Roman" w:hAnsi="Times New Roman"/>
          <w:sz w:val="21"/>
          <w:szCs w:val="21"/>
          <w:color w:val="auto"/>
        </w:rPr>
      </w:pPr>
    </w:p>
    <w:p>
      <w:pPr>
        <w:ind w:left="1236" w:hanging="616"/>
        <w:spacing w:after="0"/>
        <w:tabs>
          <w:tab w:leader="none" w:pos="123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Officer’s Certificate</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jc w:val="both"/>
        <w:ind w:left="616" w:firstLine="624"/>
        <w:spacing w:after="0" w:line="257" w:lineRule="auto"/>
        <w:tabs>
          <w:tab w:leader="none" w:pos="1847"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Oaktree Parties shall have delivered to Onity a certificate, signed by an authorized person of each Oaktree Party, dated as of the Closing Date, certifying the matters set forth in </w:t>
      </w:r>
      <w:r>
        <w:rPr>
          <w:rFonts w:ascii="Times New Roman" w:cs="Times New Roman" w:eastAsia="Times New Roman" w:hAnsi="Times New Roman"/>
          <w:sz w:val="21"/>
          <w:szCs w:val="21"/>
          <w:u w:val="single" w:color="auto"/>
          <w:color w:val="auto"/>
        </w:rPr>
        <w:t>Sections 2(b)(i)(A)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2(b)(i)(B)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2(b)(ii)</w:t>
      </w:r>
      <w:r>
        <w:rPr>
          <w:rFonts w:ascii="Times New Roman" w:cs="Times New Roman" w:eastAsia="Times New Roman" w:hAnsi="Times New Roman"/>
          <w:sz w:val="21"/>
          <w:szCs w:val="21"/>
          <w:color w:val="auto"/>
        </w:rPr>
        <w:t xml:space="preserve"> with respect to the Oaktree Parties; and</w:t>
      </w:r>
    </w:p>
    <w:p>
      <w:pPr>
        <w:spacing w:after="0" w:line="64" w:lineRule="exact"/>
        <w:rPr>
          <w:rFonts w:ascii="Times New Roman" w:cs="Times New Roman" w:eastAsia="Times New Roman" w:hAnsi="Times New Roman"/>
          <w:sz w:val="21"/>
          <w:szCs w:val="21"/>
          <w:color w:val="auto"/>
        </w:rPr>
      </w:pPr>
    </w:p>
    <w:p>
      <w:pPr>
        <w:jc w:val="both"/>
        <w:ind w:left="616" w:firstLine="624"/>
        <w:spacing w:after="0" w:line="263" w:lineRule="auto"/>
        <w:tabs>
          <w:tab w:leader="none" w:pos="1848"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delivered to Onity a certificate, signed by the chief executive officer of the Company, dated as of the Closing Date, certifying the matters set forth in </w:t>
      </w:r>
      <w:r>
        <w:rPr>
          <w:rFonts w:ascii="Times New Roman" w:cs="Times New Roman" w:eastAsia="Times New Roman" w:hAnsi="Times New Roman"/>
          <w:sz w:val="21"/>
          <w:szCs w:val="21"/>
          <w:u w:val="single" w:color="auto"/>
          <w:color w:val="auto"/>
        </w:rPr>
        <w:t>Sections 2(b)(i)(C)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2(b)(i)(D)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2(b)(ii)</w:t>
      </w:r>
      <w:r>
        <w:rPr>
          <w:rFonts w:ascii="Times New Roman" w:cs="Times New Roman" w:eastAsia="Times New Roman" w:hAnsi="Times New Roman"/>
          <w:sz w:val="21"/>
          <w:szCs w:val="21"/>
          <w:color w:val="auto"/>
        </w:rPr>
        <w:t xml:space="preserve"> with respect to the Company.</w:t>
      </w:r>
    </w:p>
    <w:p>
      <w:pPr>
        <w:spacing w:after="0" w:line="58"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2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 Agreements</w:t>
      </w:r>
      <w:r>
        <w:rPr>
          <w:rFonts w:ascii="Times New Roman" w:cs="Times New Roman" w:eastAsia="Times New Roman" w:hAnsi="Times New Roman"/>
          <w:sz w:val="21"/>
          <w:szCs w:val="21"/>
          <w:color w:val="auto"/>
        </w:rPr>
        <w:t xml:space="preserve">: Onity shall have received the Transaction Agreements duly executed and delivered by the Oaktree Parties, the Company, MAV and the Lender (as defined in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as applicable, and each such Transaction Agreement shall be in full force and effect as of the Closing.</w:t>
      </w:r>
    </w:p>
    <w:p>
      <w:pPr>
        <w:spacing w:after="0" w:line="64" w:lineRule="exact"/>
        <w:rPr>
          <w:rFonts w:ascii="Times New Roman" w:cs="Times New Roman" w:eastAsia="Times New Roman" w:hAnsi="Times New Roman"/>
          <w:sz w:val="21"/>
          <w:szCs w:val="21"/>
          <w:color w:val="auto"/>
        </w:rPr>
      </w:pPr>
    </w:p>
    <w:p>
      <w:pPr>
        <w:ind w:left="1236" w:hanging="616"/>
        <w:spacing w:after="0" w:line="283" w:lineRule="auto"/>
        <w:tabs>
          <w:tab w:leader="none" w:pos="1232"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High Yield Offering</w:t>
      </w:r>
      <w:r>
        <w:rPr>
          <w:rFonts w:ascii="Times New Roman" w:cs="Times New Roman" w:eastAsia="Times New Roman" w:hAnsi="Times New Roman"/>
          <w:sz w:val="21"/>
          <w:szCs w:val="21"/>
          <w:color w:val="auto"/>
        </w:rPr>
        <w:t>. Prior to or substantially simultaneously with the Closing, PHH or the Escrow Issuer shall have completed the High Yield Offering.</w:t>
      </w:r>
    </w:p>
    <w:p>
      <w:pPr>
        <w:spacing w:after="0" w:line="3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each Party in connection with the Closing are subject to the following conditions being met:</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53" w:lineRule="auto"/>
        <w:tabs>
          <w:tab w:leader="none" w:pos="1225"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Governmental Authority shall have enacted, issued, promulgated, enforced or entered any Law or Order (whether temporary or permanent) which is then in effect and has the effect of making consummation of the transactions contemplated hereby illegal or otherwise preventing or prohibiting consummation of the transactions contemplated hereby, and no Governmental Authority shall have instituted or threatened in writing a proceeding seeking to impose any such prevention or prohibition;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16"/>
          </w:cols>
          <w:pgMar w:left="944" w:top="1440" w:right="339" w:bottom="1440" w:gutter="0" w:footer="0" w:header="0"/>
        </w:sectPr>
      </w:pPr>
    </w:p>
    <w:bookmarkStart w:id="155" w:name="page156"/>
    <w:bookmarkEnd w:id="155"/>
    <w:p>
      <w:pPr>
        <w:spacing w:after="0" w:line="32" w:lineRule="exact"/>
        <w:rPr>
          <w:sz w:val="20"/>
          <w:szCs w:val="20"/>
          <w:color w:val="auto"/>
        </w:rPr>
      </w:pPr>
    </w:p>
    <w:p>
      <w:pPr>
        <w:ind w:left="1236" w:hanging="616"/>
        <w:spacing w:after="0" w:line="270" w:lineRule="auto"/>
        <w:tabs>
          <w:tab w:leader="none" w:pos="123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Required Regulatory Approvals: (1) all such approvals shall have been obtained and (2) all such filings shall have been made.</w:t>
      </w:r>
    </w:p>
    <w:p>
      <w:pPr>
        <w:spacing w:after="0" w:line="386" w:lineRule="exact"/>
        <w:rPr>
          <w:rFonts w:ascii="Times New Roman" w:cs="Times New Roman" w:eastAsia="Times New Roman" w:hAnsi="Times New Roman"/>
          <w:sz w:val="21"/>
          <w:szCs w:val="21"/>
          <w:color w:val="auto"/>
        </w:rPr>
      </w:pPr>
    </w:p>
    <w:p>
      <w:pPr>
        <w:jc w:val="both"/>
        <w:ind w:left="1236" w:hanging="616"/>
        <w:spacing w:after="0" w:line="263" w:lineRule="auto"/>
        <w:tabs>
          <w:tab w:leader="none" w:pos="123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Required Facility Approvals: (1) all such approvals shall have been obtained, and (2) any required amendments, side letters, or other documentation required in connection with the foregoing shall have been executed.</w:t>
      </w:r>
    </w:p>
    <w:p>
      <w:pPr>
        <w:spacing w:after="0" w:line="391" w:lineRule="exact"/>
        <w:rPr>
          <w:sz w:val="20"/>
          <w:szCs w:val="20"/>
          <w:color w:val="auto"/>
        </w:rPr>
      </w:pPr>
    </w:p>
    <w:p>
      <w:pPr>
        <w:ind w:left="616" w:hanging="616"/>
        <w:spacing w:after="0"/>
        <w:tabs>
          <w:tab w:leader="none" w:pos="616"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Covenants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7" w:lineRule="exact"/>
        <w:rPr>
          <w:sz w:val="20"/>
          <w:szCs w:val="20"/>
          <w:color w:val="auto"/>
        </w:rPr>
      </w:pPr>
    </w:p>
    <w:p>
      <w:pPr>
        <w:jc w:val="both"/>
        <w:ind w:left="616" w:hanging="616"/>
        <w:spacing w:after="0" w:line="249" w:lineRule="auto"/>
        <w:tabs>
          <w:tab w:leader="none" w:pos="61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Commercially Reasonable Efforts</w:t>
      </w:r>
      <w:r>
        <w:rPr>
          <w:rFonts w:ascii="Times New Roman" w:cs="Times New Roman" w:eastAsia="Times New Roman" w:hAnsi="Times New Roman"/>
          <w:sz w:val="21"/>
          <w:szCs w:val="21"/>
          <w:color w:val="auto"/>
        </w:rPr>
        <w:t xml:space="preserve">. Subject to the terms and conditions of this Agreement including but not limited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Onity, the Oaktree Parties and the Company will use commercially reasonable efforts to take, or cause to be taken, all actions and to do, or cause to be done, all things necessary or desirable under applicable Law to consummate the transactions contemplated hereby as promptly as practicable after the date hereof, including the satisfaction of the conditions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it being acknowledged and agreed that the obligation to use commercially reasonable efforts hereunder does not require any Person subject to that obligation to commence or threaten to commence any legal action. The Oaktree Parties, Onity and the Company agree that each of them shall, and cause their controlled affiliates to, execute and deliver such other documents, certificates, agreements and other writings and to take such other actions as may be necessary or desirable in order to consummate or implement expeditiously the transactions contemplated hereby.</w:t>
      </w:r>
    </w:p>
    <w:p>
      <w:pPr>
        <w:spacing w:after="0" w:line="78"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 Regulatory Approvals</w:t>
      </w: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25"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Oaktree Parties and Onity shall (and Onity and OMH shall cause the Company and its Subsidiaries to) reasonably cooperate with the other Parties in connection with all actions to be taken in connection with obtaining all Company Approvals and making all filings, consents, applications, submissions or notices (“</w:t>
      </w:r>
      <w:r>
        <w:rPr>
          <w:rFonts w:ascii="Times New Roman" w:cs="Times New Roman" w:eastAsia="Times New Roman" w:hAnsi="Times New Roman"/>
          <w:sz w:val="21"/>
          <w:szCs w:val="21"/>
          <w:u w:val="single" w:color="auto"/>
          <w:color w:val="auto"/>
        </w:rPr>
        <w:t>Filings</w:t>
      </w:r>
      <w:r>
        <w:rPr>
          <w:rFonts w:ascii="Times New Roman" w:cs="Times New Roman" w:eastAsia="Times New Roman" w:hAnsi="Times New Roman"/>
          <w:sz w:val="21"/>
          <w:szCs w:val="21"/>
          <w:color w:val="auto"/>
        </w:rPr>
        <w:t>”) required in connection with such Company Approvals.</w:t>
      </w:r>
    </w:p>
    <w:p>
      <w:pPr>
        <w:spacing w:after="0" w:line="63" w:lineRule="exact"/>
        <w:rPr>
          <w:rFonts w:ascii="Times New Roman" w:cs="Times New Roman" w:eastAsia="Times New Roman" w:hAnsi="Times New Roman"/>
          <w:sz w:val="21"/>
          <w:szCs w:val="21"/>
          <w:color w:val="auto"/>
        </w:rPr>
      </w:pPr>
    </w:p>
    <w:p>
      <w:pPr>
        <w:jc w:val="both"/>
        <w:ind w:left="1236" w:hanging="616"/>
        <w:spacing w:after="0" w:line="253" w:lineRule="auto"/>
        <w:tabs>
          <w:tab w:leader="none" w:pos="1231"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Onity and OMH shall cause the Company and its Subsidiaries to, (i) as promptly as practicable after the date hereof, use reasonable best efforts to take, or cause to be taken, such actions, to provide, or cause to be provided, such information, and to do, or cause to be done, such things as are required to be done by the Company and its Subsidiaries in connection with the preparation of the Filings contemplated by the Company Approvals, (ii) file substantially complete Filings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616"/>
          </w:cols>
          <w:pgMar w:left="944" w:top="1440" w:right="339" w:bottom="1440" w:gutter="0" w:footer="0" w:header="0"/>
        </w:sectPr>
      </w:pPr>
    </w:p>
    <w:bookmarkStart w:id="156" w:name="page157"/>
    <w:bookmarkEnd w:id="156"/>
    <w:p>
      <w:pPr>
        <w:spacing w:after="0" w:line="32" w:lineRule="exact"/>
        <w:rPr>
          <w:sz w:val="20"/>
          <w:szCs w:val="20"/>
          <w:color w:val="auto"/>
        </w:rPr>
      </w:pPr>
    </w:p>
    <w:p>
      <w:pPr>
        <w:jc w:val="both"/>
        <w:ind w:left="740"/>
        <w:spacing w:after="0" w:line="248" w:lineRule="auto"/>
        <w:rPr>
          <w:sz w:val="20"/>
          <w:szCs w:val="20"/>
          <w:color w:val="auto"/>
        </w:rPr>
      </w:pPr>
      <w:r>
        <w:rPr>
          <w:rFonts w:ascii="Times New Roman" w:cs="Times New Roman" w:eastAsia="Times New Roman" w:hAnsi="Times New Roman"/>
          <w:sz w:val="21"/>
          <w:szCs w:val="21"/>
          <w:color w:val="auto"/>
        </w:rPr>
        <w:t>the relevant Governmental Authorities and Investors as soon as reasonably practicable after the date hereof, provided that each of OMH and Onity shall promptly provide to the Company all information regarding OMH or Onity, as applicable, or any of their respective Affiliates and control persons, officers, directors, members, shareholders, parent companies, investors, and take such actions that are reasonably necessary or requested by any Governmental Entity or Investor in connection with the preparation of such Filings. Each of OMH and Onity shall use reasonable best efforts to cooperate with the Company and its Subsidiaries in connection with the filing or making of the Filings pertaining to the Company Approvals, including by providing information regarding OMH or Onity, as applicable, and their respective Affiliates, control persons, officers, directors, members, shareholders, parent companies, investors, representatives and agents that is required to be included therein, or taking such actions as is required to be taken in connection therewith, as promptly as reasonably practicable following a request by the Company, and promptly reviewing and providing any comments on all such draft Filings (or any related correspondence sent to any Governmental Authority or Investor by the Company or any of its Subsidiaries) sent to OMH or Onity (or their respective legal counsel) for review.</w:t>
      </w:r>
    </w:p>
    <w:p>
      <w:pPr>
        <w:spacing w:after="0" w:line="77" w:lineRule="exact"/>
        <w:rPr>
          <w:sz w:val="20"/>
          <w:szCs w:val="20"/>
          <w:color w:val="auto"/>
        </w:rPr>
      </w:pPr>
    </w:p>
    <w:p>
      <w:pPr>
        <w:jc w:val="both"/>
        <w:ind w:left="740" w:hanging="616"/>
        <w:spacing w:after="0" w:line="249" w:lineRule="auto"/>
        <w:tabs>
          <w:tab w:leader="none" w:pos="74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Onity and the Oaktree Parties shall keep each other Party reasonably apprised of the status of matters relating to the consummation of the transactions contemplated hereby and work cooperatively in connection with obtaining the Company Approvals, including: (i) cooperating with each other in connection with all Filings required under applicable Laws in connection with the transactions contemplated hereby; (ii) furnishing to the other party all information within its possession or control or otherwise reasonably obtainable that is required for any Filing to be made by the other party pursuant to applicable Laws in connection with the transactions contemplated hereby; (iii) promptly notifying the other party of any communications from or with any Governmental Authority or Investor with respect to the transactions contemplated hereby; (iv) using commercially reasonable efforts to respond as soon as reasonably practicable (but in all events within five (5) Business Days) to any request by a Governmental Authority or Investor for information with respect to the transactions contemplated hereby; (v) not agreeing to participate in any meeting with any Governmental Authority or Investor in connection with proceedings under or relating to applicable Laws in connection with the transactions contemplated hereby, unless it consults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120"/>
          </w:cols>
          <w:pgMar w:left="1440" w:top="1440" w:right="339" w:bottom="1440" w:gutter="0" w:footer="0" w:header="0"/>
        </w:sectPr>
      </w:pPr>
    </w:p>
    <w:bookmarkStart w:id="157" w:name="page158"/>
    <w:bookmarkEnd w:id="157"/>
    <w:p>
      <w:pPr>
        <w:spacing w:after="0" w:line="32" w:lineRule="exact"/>
        <w:rPr>
          <w:sz w:val="20"/>
          <w:szCs w:val="20"/>
          <w:color w:val="auto"/>
        </w:rPr>
      </w:pPr>
    </w:p>
    <w:p>
      <w:pPr>
        <w:jc w:val="both"/>
        <w:ind w:left="1236"/>
        <w:spacing w:after="0" w:line="250" w:lineRule="auto"/>
        <w:rPr>
          <w:sz w:val="20"/>
          <w:szCs w:val="20"/>
          <w:color w:val="auto"/>
        </w:rPr>
      </w:pPr>
      <w:r>
        <w:rPr>
          <w:rFonts w:ascii="Times New Roman" w:cs="Times New Roman" w:eastAsia="Times New Roman" w:hAnsi="Times New Roman"/>
          <w:sz w:val="21"/>
          <w:szCs w:val="21"/>
          <w:color w:val="auto"/>
        </w:rPr>
        <w:t>the other party in advance, and, to the extent permitted by such Governmental Authority or Investor, gives the other party the opportunity to attend and participate thereat; and (vi) consulting and cooperating with one another in connection with all analyses, appearances, presentations, memoranda, briefs, arguments, opinions and proposals made or submitted by or on behalf of any party in connection with the Company Approvals. Without limiting the foregoing, any Filings or written communications to any Governmental Authority or Investor relating to the Company Approvals or the transactions contemplated hereby that sets forth the proposed Closing Date will require the prior written consent of the Oaktree Parties and Onity.</w:t>
      </w:r>
    </w:p>
    <w:p>
      <w:pPr>
        <w:spacing w:after="0" w:line="74" w:lineRule="exact"/>
        <w:rPr>
          <w:sz w:val="20"/>
          <w:szCs w:val="20"/>
          <w:color w:val="auto"/>
        </w:rPr>
      </w:pPr>
    </w:p>
    <w:p>
      <w:pPr>
        <w:jc w:val="both"/>
        <w:ind w:left="1236" w:hanging="616"/>
        <w:spacing w:after="0" w:line="251" w:lineRule="auto"/>
        <w:tabs>
          <w:tab w:leader="none" w:pos="1225"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the Oaktree Parties and Onity acknowledge that receipt of the Company Approval with respect to any related Company Permit may be waived by the mutual agreement of the Oaktree Parties and Onity, such consent not to be unreasonably withheld, delayed or conditioned, if all of the conditions to Closing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have theretofore been satisfied or are reasonably capable of being satisfied on or prior to the proposed Closing Date, including the satisfaction of the requisite Required Regulatory Approvals. The Oaktree Parties and Onity agree that if any such Company Approval is waived, the applicable Company Permit shall be surrendered by the Company or its applicable Subsidiary prior to Closing, and the Company or its applicable Subsidiary shall apply for a new Permit following Closing.</w:t>
      </w: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jc w:val="both"/>
        <w:ind w:left="616" w:hanging="616"/>
        <w:spacing w:after="0" w:line="250" w:lineRule="auto"/>
        <w:tabs>
          <w:tab w:leader="none" w:pos="61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Conduct Pending Closing</w:t>
      </w:r>
      <w:r>
        <w:rPr>
          <w:rFonts w:ascii="Times New Roman" w:cs="Times New Roman" w:eastAsia="Times New Roman" w:hAnsi="Times New Roman"/>
          <w:sz w:val="21"/>
          <w:szCs w:val="21"/>
          <w:color w:val="auto"/>
        </w:rPr>
        <w:t xml:space="preserve">. From the date hereof until the earlier of the Closing and such time as this Agreement is terminated in accordance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the Company shall, and shall cause its Subsidiaries to, conduct its businesses and operate and maintain its assets and properties in the ordinary course of business (consistent with past practice) in all material respects, except as (x) required by applicable Law or (y) in accordance with the terms of the LLC Agreement. Notwithstanding the foregoing, from the date hereof until the earlier of (a) the Closing Date or (b) November 30, 2024, the Company shall not, and the Company shall cause its Subsidiaries not to, declare, set aside or pay any distribution or dividend.</w:t>
      </w:r>
    </w:p>
    <w:p>
      <w:pPr>
        <w:spacing w:after="0" w:line="73" w:lineRule="exact"/>
        <w:rPr>
          <w:rFonts w:ascii="Times New Roman" w:cs="Times New Roman" w:eastAsia="Times New Roman" w:hAnsi="Times New Roman"/>
          <w:sz w:val="21"/>
          <w:szCs w:val="21"/>
          <w:color w:val="auto"/>
        </w:rPr>
      </w:pPr>
    </w:p>
    <w:p>
      <w:pPr>
        <w:ind w:left="616" w:hanging="616"/>
        <w:spacing w:after="0" w:line="270" w:lineRule="auto"/>
        <w:tabs>
          <w:tab w:leader="none" w:pos="61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Oaktree Anchor Order</w:t>
      </w:r>
      <w:r>
        <w:rPr>
          <w:rFonts w:ascii="Times New Roman" w:cs="Times New Roman" w:eastAsia="Times New Roman" w:hAnsi="Times New Roman"/>
          <w:sz w:val="21"/>
          <w:szCs w:val="21"/>
          <w:color w:val="auto"/>
        </w:rPr>
        <w:t>. Subject to the terms and conditions of this Agreement, the Oaktree Parties shall, or shall cause one or more of their Affiliates to, place an order in the High Yield Offering for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616"/>
          </w:cols>
          <w:pgMar w:left="944" w:top="1440" w:right="339" w:bottom="1440" w:gutter="0" w:footer="0" w:header="0"/>
        </w:sectPr>
      </w:pPr>
    </w:p>
    <w:bookmarkStart w:id="158" w:name="page159"/>
    <w:bookmarkEnd w:id="158"/>
    <w:p>
      <w:pPr>
        <w:spacing w:after="0" w:line="32" w:lineRule="exact"/>
        <w:rPr>
          <w:sz w:val="20"/>
          <w:szCs w:val="20"/>
          <w:color w:val="auto"/>
        </w:rPr>
      </w:pPr>
    </w:p>
    <w:p>
      <w:pPr>
        <w:ind w:left="616"/>
        <w:spacing w:after="0" w:line="270" w:lineRule="auto"/>
        <w:rPr>
          <w:sz w:val="20"/>
          <w:szCs w:val="20"/>
          <w:color w:val="auto"/>
        </w:rPr>
      </w:pPr>
      <w:r>
        <w:rPr>
          <w:rFonts w:ascii="Times New Roman" w:cs="Times New Roman" w:eastAsia="Times New Roman" w:hAnsi="Times New Roman"/>
          <w:sz w:val="21"/>
          <w:szCs w:val="21"/>
          <w:color w:val="auto"/>
        </w:rPr>
        <w:t>principal amount set forth in the Transaction Fee Letter, provided that such High Yield Offering is an Acceptable High Yield Offering.</w:t>
      </w:r>
    </w:p>
    <w:p>
      <w:pPr>
        <w:spacing w:after="0" w:line="51" w:lineRule="exact"/>
        <w:rPr>
          <w:sz w:val="20"/>
          <w:szCs w:val="20"/>
          <w:color w:val="auto"/>
        </w:rPr>
      </w:pPr>
    </w:p>
    <w:p>
      <w:pPr>
        <w:ind w:left="616" w:hanging="616"/>
        <w:spacing w:after="0"/>
        <w:tabs>
          <w:tab w:leader="none" w:pos="61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Deliveries</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25"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Oaktree Parties shall deliver, or shall cause to be delivered, to Onity at the Closing: (x) each Transaction Agreement to which any Oaktree Party is a party, duly executed by the applicable Oaktree Parties, and (y) the certificate contemplated under </w:t>
      </w:r>
      <w:r>
        <w:rPr>
          <w:rFonts w:ascii="Times New Roman" w:cs="Times New Roman" w:eastAsia="Times New Roman" w:hAnsi="Times New Roman"/>
          <w:sz w:val="21"/>
          <w:szCs w:val="21"/>
          <w:u w:val="single" w:color="auto"/>
          <w:color w:val="auto"/>
        </w:rPr>
        <w:t>Section 2(b)(iii)(A)</w:t>
      </w:r>
      <w:r>
        <w:rPr>
          <w:rFonts w:ascii="Times New Roman" w:cs="Times New Roman" w:eastAsia="Times New Roman" w:hAnsi="Times New Roman"/>
          <w:sz w:val="21"/>
          <w:szCs w:val="21"/>
          <w:color w:val="auto"/>
        </w:rPr>
        <w:t>.</w:t>
      </w:r>
    </w:p>
    <w:p>
      <w:pPr>
        <w:spacing w:after="0" w:line="64"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31"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Onity shall deliver, or shall cause to be delivered, to the Oaktree Parties and the Company, at the Closing: (x) each Transaction Agreement to which Onity or PMC is a party, duly executed by Onity and/or PMC, as applicable, (y) the certificate contemplated under </w:t>
      </w:r>
      <w:r>
        <w:rPr>
          <w:rFonts w:ascii="Times New Roman" w:cs="Times New Roman" w:eastAsia="Times New Roman" w:hAnsi="Times New Roman"/>
          <w:sz w:val="21"/>
          <w:szCs w:val="21"/>
          <w:u w:val="single" w:color="auto"/>
          <w:color w:val="auto"/>
        </w:rPr>
        <w:t>Section 2(a)(iv)</w:t>
      </w:r>
      <w:r>
        <w:rPr>
          <w:rFonts w:ascii="Times New Roman" w:cs="Times New Roman" w:eastAsia="Times New Roman" w:hAnsi="Times New Roman"/>
          <w:sz w:val="21"/>
          <w:szCs w:val="21"/>
          <w:color w:val="auto"/>
        </w:rPr>
        <w:t xml:space="preserve"> and (z) the form described under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w:t>
      </w:r>
    </w:p>
    <w:p>
      <w:pPr>
        <w:spacing w:after="0" w:line="63"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36"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deliver, or shall cause to be delivered, to the Oaktree Parties and Onity, at the Closing: (x) each Transaction Agreement to which the Company or MAV is a party, duly executed by the Company and/or MAV, as applicable, and (y) the certificate contemplated under </w:t>
      </w:r>
      <w:r>
        <w:rPr>
          <w:rFonts w:ascii="Times New Roman" w:cs="Times New Roman" w:eastAsia="Times New Roman" w:hAnsi="Times New Roman"/>
          <w:sz w:val="21"/>
          <w:szCs w:val="21"/>
          <w:u w:val="single" w:color="auto"/>
          <w:color w:val="auto"/>
        </w:rPr>
        <w:t>Section 2(b)(iii)(B)</w:t>
      </w:r>
      <w:r>
        <w:rPr>
          <w:rFonts w:ascii="Times New Roman" w:cs="Times New Roman" w:eastAsia="Times New Roman" w:hAnsi="Times New Roman"/>
          <w:sz w:val="21"/>
          <w:szCs w:val="21"/>
          <w:color w:val="auto"/>
        </w:rPr>
        <w:t>.</w:t>
      </w:r>
    </w:p>
    <w:p>
      <w:pPr>
        <w:spacing w:after="0" w:line="64" w:lineRule="exact"/>
        <w:rPr>
          <w:rFonts w:ascii="Times New Roman" w:cs="Times New Roman" w:eastAsia="Times New Roman" w:hAnsi="Times New Roman"/>
          <w:sz w:val="21"/>
          <w:szCs w:val="21"/>
          <w:color w:val="auto"/>
        </w:rPr>
      </w:pPr>
    </w:p>
    <w:p>
      <w:pPr>
        <w:jc w:val="both"/>
        <w:ind w:left="616" w:hanging="616"/>
        <w:spacing w:after="0" w:line="251" w:lineRule="auto"/>
        <w:tabs>
          <w:tab w:leader="none" w:pos="61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Onity shall, and shall cause PHH to, use the proceeds from (i) the High Yield Offering solely (x) first, to consummate the PMC Notes Redemption, (y) second, to the extent of any remaining proceeds, to effectuate an Onity Notes Redemption pursuant to and in accordance with the terms of the Purchase Agreement, as amended by the Purchase Agreement Amendment, and, (z) third, solely after all outstanding PMC Notes and Onity Notes have been repurchased, redeemed, discharged, or legally defeased in full, for general corporate purposes, including to pay fees and expenses in connection with the transactions contemplated by this Agreement, and (ii) the Estimated Closing Payment solely to effectuate an Onity Notes Redemption pursuant to and in accordance with the terms of the Purchase Agreement, as amended by the Purchase Agreement Amendment.</w:t>
      </w:r>
    </w:p>
    <w:p>
      <w:pPr>
        <w:spacing w:after="0" w:line="72"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t>
      </w:r>
    </w:p>
    <w:p>
      <w:pPr>
        <w:spacing w:after="0" w:line="107"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Post-Closing Onity Release</w:t>
      </w:r>
      <w:r>
        <w:rPr>
          <w:rFonts w:ascii="Times New Roman" w:cs="Times New Roman" w:eastAsia="Times New Roman" w:hAnsi="Times New Roman"/>
          <w:sz w:val="21"/>
          <w:szCs w:val="21"/>
          <w:color w:val="auto"/>
        </w:rPr>
        <w:t>. [*]</w:t>
      </w:r>
    </w:p>
    <w:p>
      <w:pPr>
        <w:spacing w:after="0" w:line="107" w:lineRule="exact"/>
        <w:rPr>
          <w:rFonts w:ascii="Times New Roman" w:cs="Times New Roman" w:eastAsia="Times New Roman" w:hAnsi="Times New Roman"/>
          <w:sz w:val="21"/>
          <w:szCs w:val="21"/>
          <w:color w:val="auto"/>
        </w:rPr>
      </w:pPr>
    </w:p>
    <w:p>
      <w:pPr>
        <w:jc w:val="both"/>
        <w:ind w:left="616" w:hanging="616"/>
        <w:spacing w:after="0" w:line="257" w:lineRule="auto"/>
        <w:tabs>
          <w:tab w:leader="none" w:pos="60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of First Offer</w:t>
      </w:r>
      <w:r>
        <w:rPr>
          <w:rFonts w:ascii="Times New Roman" w:cs="Times New Roman" w:eastAsia="Times New Roman" w:hAnsi="Times New Roman"/>
          <w:sz w:val="21"/>
          <w:szCs w:val="21"/>
          <w:color w:val="auto"/>
        </w:rPr>
        <w:t>. From the Effective Date until the Termination Date, if PMC or any of its Affiliates seeks to sell, directly or indirectly, (x) any Fannie Mae or Freddie Mac servicing rights that are aged greater than 90 days, or (y) any Pari-Passu Excess Servicing Spread or Senior Excess Servicing Spread classified as debt on PMC’s balance sheet (for the avoidance of doubt, no other excess spread arrangement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16"/>
          </w:cols>
          <w:pgMar w:left="944" w:top="1440" w:right="339" w:bottom="1440" w:gutter="0" w:footer="0" w:header="0"/>
        </w:sectPr>
      </w:pPr>
    </w:p>
    <w:bookmarkStart w:id="159" w:name="page160"/>
    <w:bookmarkEnd w:id="159"/>
    <w:p>
      <w:pPr>
        <w:spacing w:after="0" w:line="32" w:lineRule="exact"/>
        <w:rPr>
          <w:sz w:val="20"/>
          <w:szCs w:val="20"/>
          <w:color w:val="auto"/>
        </w:rPr>
      </w:pPr>
    </w:p>
    <w:p>
      <w:pPr>
        <w:ind w:left="616"/>
        <w:spacing w:after="0"/>
        <w:rPr>
          <w:sz w:val="20"/>
          <w:szCs w:val="20"/>
          <w:color w:val="auto"/>
        </w:rPr>
      </w:pPr>
      <w:r>
        <w:rPr>
          <w:rFonts w:ascii="Times New Roman" w:cs="Times New Roman" w:eastAsia="Times New Roman" w:hAnsi="Times New Roman"/>
          <w:sz w:val="20"/>
          <w:szCs w:val="20"/>
          <w:color w:val="auto"/>
        </w:rPr>
        <w:t>this Section 3(g)) (“</w:t>
      </w:r>
      <w:r>
        <w:rPr>
          <w:rFonts w:ascii="Times New Roman" w:cs="Times New Roman" w:eastAsia="Times New Roman" w:hAnsi="Times New Roman"/>
          <w:sz w:val="20"/>
          <w:szCs w:val="20"/>
          <w:u w:val="single" w:color="auto"/>
          <w:color w:val="auto"/>
        </w:rPr>
        <w:t>Servicing Rights</w:t>
      </w:r>
      <w:r>
        <w:rPr>
          <w:rFonts w:ascii="Times New Roman" w:cs="Times New Roman" w:eastAsia="Times New Roman" w:hAnsi="Times New Roman"/>
          <w:sz w:val="20"/>
          <w:szCs w:val="20"/>
          <w:color w:val="auto"/>
        </w:rPr>
        <w:t>”), it shall offer such Servicing Rights in accordance with the following procedure:</w:t>
      </w:r>
    </w:p>
    <w:p>
      <w:pPr>
        <w:spacing w:after="0" w:line="119" w:lineRule="exact"/>
        <w:rPr>
          <w:sz w:val="20"/>
          <w:szCs w:val="20"/>
          <w:color w:val="auto"/>
        </w:rPr>
      </w:pPr>
    </w:p>
    <w:p>
      <w:pPr>
        <w:ind w:left="616"/>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ind w:left="616" w:hanging="616"/>
        <w:spacing w:after="0"/>
        <w:tabs>
          <w:tab w:leader="none" w:pos="61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ASA</w:t>
      </w:r>
      <w:r>
        <w:rPr>
          <w:rFonts w:ascii="Times New Roman" w:cs="Times New Roman" w:eastAsia="Times New Roman" w:hAnsi="Times New Roman"/>
          <w:sz w:val="21"/>
          <w:szCs w:val="21"/>
          <w:color w:val="auto"/>
        </w:rPr>
        <w:t>. [*]</w:t>
      </w:r>
    </w:p>
    <w:p>
      <w:pPr>
        <w:spacing w:after="0" w:line="200" w:lineRule="exact"/>
        <w:rPr>
          <w:rFonts w:ascii="Times New Roman" w:cs="Times New Roman" w:eastAsia="Times New Roman" w:hAnsi="Times New Roman"/>
          <w:sz w:val="21"/>
          <w:szCs w:val="21"/>
          <w:color w:val="auto"/>
        </w:rPr>
      </w:pPr>
    </w:p>
    <w:p>
      <w:pPr>
        <w:spacing w:after="0" w:line="256" w:lineRule="exact"/>
        <w:rPr>
          <w:rFonts w:ascii="Times New Roman" w:cs="Times New Roman" w:eastAsia="Times New Roman" w:hAnsi="Times New Roman"/>
          <w:sz w:val="21"/>
          <w:szCs w:val="21"/>
          <w:color w:val="auto"/>
        </w:rPr>
      </w:pPr>
    </w:p>
    <w:p>
      <w:pPr>
        <w:jc w:val="both"/>
        <w:ind w:left="616" w:hanging="616"/>
        <w:spacing w:after="0" w:line="252" w:lineRule="auto"/>
        <w:tabs>
          <w:tab w:leader="none" w:pos="61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Lockout Period</w:t>
      </w:r>
      <w:r>
        <w:rPr>
          <w:rFonts w:ascii="Times New Roman" w:cs="Times New Roman" w:eastAsia="Times New Roman" w:hAnsi="Times New Roman"/>
          <w:sz w:val="21"/>
          <w:szCs w:val="21"/>
          <w:color w:val="auto"/>
        </w:rPr>
        <w:t>. PMC shall have the exclusive right to service all Effective Date Onity Serviced Loans pursuant to the A&amp;R SSA prior to the Termination Date. Without the prior written consent of PMC, with respect to each time period set forth below, MAV shall only be permitted to transfer or otherwise dispose of the percentage (as reflected opposite such time period in the table below) of servicing rights owned by MAV (as measured by Effective Date UPB) :</w:t>
      </w:r>
    </w:p>
    <w:p>
      <w:pPr>
        <w:spacing w:after="0" w:line="200" w:lineRule="exact"/>
        <w:rPr>
          <w:sz w:val="20"/>
          <w:szCs w:val="20"/>
          <w:color w:val="auto"/>
        </w:rPr>
      </w:pPr>
    </w:p>
    <w:p>
      <w:pPr>
        <w:spacing w:after="0" w:line="225" w:lineRule="exact"/>
        <w:rPr>
          <w:sz w:val="20"/>
          <w:szCs w:val="20"/>
          <w:color w:val="auto"/>
        </w:rPr>
      </w:pPr>
    </w:p>
    <w:tbl>
      <w:tblPr>
        <w:tblLayout w:type="fixed"/>
        <w:tblInd w:w="546" w:type="dxa"/>
        <w:tblCellMar>
          <w:top w:w="0" w:type="dxa"/>
          <w:left w:w="0" w:type="dxa"/>
          <w:bottom w:w="0" w:type="dxa"/>
          <w:right w:w="0" w:type="dxa"/>
        </w:tblCellMar>
      </w:tblPr>
      <w:tr>
        <w:trPr>
          <w:trHeight w:val="220"/>
        </w:trPr>
        <w:tc>
          <w:tcPr>
            <w:tcW w:w="2000" w:type="dxa"/>
            <w:vAlign w:val="bottom"/>
            <w:tcBorders>
              <w:top w:val="single" w:sz="8" w:color="auto"/>
              <w:left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1"/>
                <w:szCs w:val="21"/>
                <w:b w:val="1"/>
                <w:bCs w:val="1"/>
                <w:color w:val="auto"/>
                <w:w w:val="97"/>
              </w:rPr>
              <w:t>Percentage of Effective Date UPB</w:t>
            </w:r>
          </w:p>
        </w:tc>
        <w:tc>
          <w:tcPr>
            <w:tcW w:w="2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20" w:type="dxa"/>
            <w:vAlign w:val="bottom"/>
            <w:tcBorders>
              <w:left w:val="single" w:sz="8" w:color="auto"/>
              <w:right w:val="single" w:sz="8" w:color="auto"/>
            </w:tcBorders>
            <w:gridSpan w:val="13"/>
            <w:vMerge w:val="restart"/>
          </w:tcPr>
          <w:p>
            <w:pPr>
              <w:ind w:left="2000"/>
              <w:spacing w:after="0"/>
              <w:rPr>
                <w:sz w:val="20"/>
                <w:szCs w:val="20"/>
                <w:color w:val="auto"/>
              </w:rPr>
            </w:pPr>
            <w:r>
              <w:rPr>
                <w:rFonts w:ascii="Times New Roman" w:cs="Times New Roman" w:eastAsia="Times New Roman" w:hAnsi="Times New Roman"/>
                <w:sz w:val="21"/>
                <w:szCs w:val="21"/>
                <w:b w:val="1"/>
                <w:bCs w:val="1"/>
                <w:color w:val="auto"/>
              </w:rPr>
              <w:t>Time period:</w:t>
            </w:r>
          </w:p>
        </w:tc>
        <w:tc>
          <w:tcPr>
            <w:tcW w:w="220" w:type="dxa"/>
            <w:vAlign w:val="bottom"/>
          </w:tcPr>
          <w:p>
            <w:pPr>
              <w:spacing w:after="0"/>
              <w:rPr>
                <w:sz w:val="16"/>
                <w:szCs w:val="16"/>
                <w:color w:val="auto"/>
              </w:rPr>
            </w:pPr>
          </w:p>
        </w:tc>
        <w:tc>
          <w:tcPr>
            <w:tcW w:w="356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21"/>
                <w:szCs w:val="21"/>
                <w:b w:val="1"/>
                <w:bCs w:val="1"/>
                <w:color w:val="auto"/>
                <w:w w:val="97"/>
              </w:rPr>
              <w:t>that MAV can sell without PMC consent</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20" w:type="dxa"/>
            <w:vAlign w:val="bottom"/>
            <w:tcBorders>
              <w:left w:val="single" w:sz="8" w:color="auto"/>
              <w:right w:val="single" w:sz="8" w:color="auto"/>
            </w:tcBorders>
            <w:gridSpan w:val="13"/>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2"/>
          </w:tcPr>
          <w:p>
            <w:pPr>
              <w:jc w:val="center"/>
              <w:ind w:right="1520"/>
              <w:spacing w:after="0" w:line="187" w:lineRule="exact"/>
              <w:rPr>
                <w:sz w:val="20"/>
                <w:szCs w:val="20"/>
                <w:color w:val="auto"/>
              </w:rPr>
            </w:pPr>
            <w:r>
              <w:rPr>
                <w:rFonts w:ascii="Times New Roman" w:cs="Times New Roman" w:eastAsia="Times New Roman" w:hAnsi="Times New Roman"/>
                <w:sz w:val="21"/>
                <w:szCs w:val="21"/>
                <w:b w:val="1"/>
                <w:bCs w:val="1"/>
                <w:color w:val="auto"/>
                <w:w w:val="97"/>
              </w:rPr>
              <w:t>right:</w:t>
            </w:r>
          </w:p>
        </w:tc>
        <w:tc>
          <w:tcPr>
            <w:tcW w:w="24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000" w:type="dxa"/>
            <w:vAlign w:val="bottom"/>
            <w:tcBorders>
              <w:left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520" w:type="dxa"/>
            <w:vAlign w:val="bottom"/>
            <w:tcBorders>
              <w:left w:val="single" w:sz="8" w:color="auto"/>
              <w:right w:val="single" w:sz="8" w:color="auto"/>
            </w:tcBorders>
            <w:gridSpan w:val="13"/>
          </w:tcPr>
          <w:p>
            <w:pPr>
              <w:jc w:val="center"/>
              <w:spacing w:after="0"/>
              <w:rPr>
                <w:sz w:val="20"/>
                <w:szCs w:val="20"/>
                <w:color w:val="auto"/>
              </w:rPr>
            </w:pPr>
            <w:r>
              <w:rPr>
                <w:rFonts w:ascii="Times New Roman" w:cs="Times New Roman" w:eastAsia="Times New Roman" w:hAnsi="Times New Roman"/>
                <w:sz w:val="21"/>
                <w:szCs w:val="21"/>
                <w:color w:val="auto"/>
                <w:w w:val="98"/>
              </w:rPr>
              <w:t>From and including the date hereof through and</w:t>
            </w: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20" w:type="dxa"/>
            <w:vAlign w:val="bottom"/>
            <w:tcBorders>
              <w:left w:val="single" w:sz="8" w:color="auto"/>
              <w:right w:val="single" w:sz="8" w:color="auto"/>
            </w:tcBorders>
            <w:gridSpan w:val="13"/>
          </w:tcPr>
          <w:p>
            <w:pPr>
              <w:jc w:val="center"/>
              <w:spacing w:after="0" w:line="240" w:lineRule="exact"/>
              <w:rPr>
                <w:sz w:val="20"/>
                <w:szCs w:val="20"/>
                <w:color w:val="auto"/>
              </w:rPr>
            </w:pPr>
            <w:r>
              <w:rPr>
                <w:rFonts w:ascii="Times New Roman" w:cs="Times New Roman" w:eastAsia="Times New Roman" w:hAnsi="Times New Roman"/>
                <w:sz w:val="21"/>
                <w:szCs w:val="21"/>
                <w:color w:val="auto"/>
                <w:w w:val="98"/>
              </w:rPr>
              <w:t>excluding the date that is 6 months after the date</w:t>
            </w:r>
          </w:p>
        </w:tc>
        <w:tc>
          <w:tcPr>
            <w:tcW w:w="3760" w:type="dxa"/>
            <w:vAlign w:val="bottom"/>
            <w:gridSpan w:val="5"/>
            <w:vMerge w:val="restart"/>
          </w:tcPr>
          <w:p>
            <w:pPr>
              <w:jc w:val="center"/>
              <w:ind w:left="737"/>
              <w:spacing w:after="0"/>
              <w:rPr>
                <w:sz w:val="20"/>
                <w:szCs w:val="20"/>
                <w:color w:val="auto"/>
              </w:rPr>
            </w:pPr>
            <w:r>
              <w:rPr>
                <w:rFonts w:ascii="Times New Roman" w:cs="Times New Roman" w:eastAsia="Times New Roman" w:hAnsi="Times New Roman"/>
                <w:sz w:val="21"/>
                <w:szCs w:val="21"/>
                <w:color w:val="auto"/>
                <w:w w:val="99"/>
              </w:rPr>
              <w:t>0%</w:t>
            </w:r>
          </w:p>
        </w:tc>
        <w:tc>
          <w:tcPr>
            <w:tcW w:w="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380" w:type="dxa"/>
            <w:vAlign w:val="bottom"/>
            <w:tcBorders>
              <w:left w:val="single" w:sz="8" w:color="auto"/>
            </w:tcBorders>
            <w:gridSpan w:val="3"/>
            <w:vMerge w:val="restart"/>
          </w:tcPr>
          <w:p>
            <w:pPr>
              <w:jc w:val="center"/>
              <w:ind w:left="1137"/>
              <w:spacing w:after="0" w:line="224" w:lineRule="exact"/>
              <w:rPr>
                <w:sz w:val="20"/>
                <w:szCs w:val="20"/>
                <w:color w:val="auto"/>
              </w:rPr>
            </w:pPr>
            <w:r>
              <w:rPr>
                <w:rFonts w:ascii="Times New Roman" w:cs="Times New Roman" w:eastAsia="Times New Roman" w:hAnsi="Times New Roman"/>
                <w:sz w:val="21"/>
                <w:szCs w:val="21"/>
                <w:color w:val="auto"/>
                <w:w w:val="97"/>
              </w:rPr>
              <w:t>hereof (the “1</w:t>
            </w:r>
          </w:p>
        </w:tc>
        <w:tc>
          <w:tcPr>
            <w:tcW w:w="100" w:type="dxa"/>
            <w:vAlign w:val="bottom"/>
            <w:vMerge w:val="restart"/>
          </w:tcPr>
          <w:p>
            <w:pPr>
              <w:spacing w:after="0" w:line="127" w:lineRule="exact"/>
              <w:rPr>
                <w:sz w:val="20"/>
                <w:szCs w:val="20"/>
                <w:color w:val="auto"/>
              </w:rPr>
            </w:pPr>
            <w:r>
              <w:rPr>
                <w:rFonts w:ascii="Times New Roman" w:cs="Times New Roman" w:eastAsia="Times New Roman" w:hAnsi="Times New Roman"/>
                <w:sz w:val="13"/>
                <w:szCs w:val="13"/>
                <w:color w:val="auto"/>
                <w:w w:val="91"/>
              </w:rPr>
              <w:t>st</w:t>
            </w:r>
          </w:p>
        </w:tc>
        <w:tc>
          <w:tcPr>
            <w:tcW w:w="2040" w:type="dxa"/>
            <w:vAlign w:val="bottom"/>
            <w:tcBorders>
              <w:right w:val="single" w:sz="8" w:color="auto"/>
            </w:tcBorders>
            <w:gridSpan w:val="9"/>
            <w:vMerge w:val="restart"/>
          </w:tcPr>
          <w:p>
            <w:pPr>
              <w:ind w:left="40"/>
              <w:spacing w:after="0" w:line="224" w:lineRule="exact"/>
              <w:rPr>
                <w:sz w:val="20"/>
                <w:szCs w:val="20"/>
                <w:color w:val="auto"/>
              </w:rPr>
            </w:pPr>
            <w:r>
              <w:rPr>
                <w:rFonts w:ascii="Times New Roman" w:cs="Times New Roman" w:eastAsia="Times New Roman" w:hAnsi="Times New Roman"/>
                <w:sz w:val="21"/>
                <w:szCs w:val="21"/>
                <w:color w:val="auto"/>
              </w:rPr>
              <w:t>Period”);</w:t>
            </w:r>
          </w:p>
        </w:tc>
        <w:tc>
          <w:tcPr>
            <w:tcW w:w="37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380" w:type="dxa"/>
            <w:vAlign w:val="bottom"/>
            <w:tcBorders>
              <w:left w:val="single" w:sz="8" w:color="auto"/>
            </w:tcBorders>
            <w:gridSpan w:val="3"/>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2040" w:type="dxa"/>
            <w:vAlign w:val="bottom"/>
            <w:tcBorders>
              <w:right w:val="single" w:sz="8" w:color="auto"/>
            </w:tcBorders>
            <w:gridSpan w:val="9"/>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2380" w:type="dxa"/>
            <w:vAlign w:val="bottom"/>
            <w:tcBorders>
              <w:left w:val="single" w:sz="8" w:color="auto"/>
            </w:tcBorders>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tcBorders>
              <w:right w:val="single" w:sz="8" w:color="auto"/>
            </w:tcBorders>
            <w:gridSpan w:val="9"/>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0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20" w:type="dxa"/>
            <w:vAlign w:val="bottom"/>
            <w:tcBorders>
              <w:left w:val="single" w:sz="8" w:color="auto"/>
              <w:right w:val="single" w:sz="8" w:color="auto"/>
            </w:tcBorders>
            <w:gridSpan w:val="13"/>
          </w:tcPr>
          <w:p>
            <w:pPr>
              <w:jc w:val="center"/>
              <w:spacing w:after="0"/>
              <w:rPr>
                <w:sz w:val="20"/>
                <w:szCs w:val="20"/>
                <w:color w:val="auto"/>
              </w:rPr>
            </w:pPr>
            <w:r>
              <w:rPr>
                <w:rFonts w:ascii="Times New Roman" w:cs="Times New Roman" w:eastAsia="Times New Roman" w:hAnsi="Times New Roman"/>
                <w:sz w:val="21"/>
                <w:szCs w:val="21"/>
                <w:color w:val="auto"/>
                <w:w w:val="98"/>
              </w:rPr>
              <w:t>From an including the date immediately succeeding</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20" w:type="dxa"/>
            <w:vAlign w:val="bottom"/>
            <w:tcBorders>
              <w:left w:val="single" w:sz="8" w:color="auto"/>
              <w:right w:val="single" w:sz="8" w:color="auto"/>
            </w:tcBorders>
            <w:gridSpan w:val="13"/>
          </w:tcPr>
          <w:p>
            <w:pPr>
              <w:jc w:val="center"/>
              <w:spacing w:after="0" w:line="246" w:lineRule="exact"/>
              <w:rPr>
                <w:sz w:val="20"/>
                <w:szCs w:val="20"/>
                <w:color w:val="auto"/>
              </w:rPr>
            </w:pPr>
            <w:r>
              <w:rPr>
                <w:rFonts w:ascii="Times New Roman" w:cs="Times New Roman" w:eastAsia="Times New Roman" w:hAnsi="Times New Roman"/>
                <w:sz w:val="21"/>
                <w:szCs w:val="21"/>
                <w:color w:val="auto"/>
                <w:w w:val="98"/>
              </w:rPr>
              <w:t>the last day of the 1</w:t>
            </w:r>
            <w:r>
              <w:rPr>
                <w:rFonts w:ascii="Times New Roman" w:cs="Times New Roman" w:eastAsia="Times New Roman" w:hAnsi="Times New Roman"/>
                <w:sz w:val="26"/>
                <w:szCs w:val="26"/>
                <w:color w:val="auto"/>
                <w:w w:val="98"/>
                <w:vertAlign w:val="superscript"/>
              </w:rPr>
              <w:t>st</w:t>
            </w:r>
            <w:r>
              <w:rPr>
                <w:rFonts w:ascii="Times New Roman" w:cs="Times New Roman" w:eastAsia="Times New Roman" w:hAnsi="Times New Roman"/>
                <w:sz w:val="21"/>
                <w:szCs w:val="21"/>
                <w:color w:val="auto"/>
                <w:w w:val="98"/>
              </w:rPr>
              <w:t xml:space="preserve"> Period, to and excluding that</w:t>
            </w:r>
          </w:p>
        </w:tc>
        <w:tc>
          <w:tcPr>
            <w:tcW w:w="3760" w:type="dxa"/>
            <w:vAlign w:val="bottom"/>
            <w:gridSpan w:val="5"/>
            <w:vMerge w:val="restart"/>
          </w:tcPr>
          <w:p>
            <w:pPr>
              <w:jc w:val="center"/>
              <w:ind w:left="737"/>
              <w:spacing w:after="0"/>
              <w:rPr>
                <w:sz w:val="20"/>
                <w:szCs w:val="20"/>
                <w:color w:val="auto"/>
              </w:rPr>
            </w:pPr>
            <w:r>
              <w:rPr>
                <w:rFonts w:ascii="Times New Roman" w:cs="Times New Roman" w:eastAsia="Times New Roman" w:hAnsi="Times New Roman"/>
                <w:sz w:val="21"/>
                <w:szCs w:val="21"/>
                <w:color w:val="auto"/>
                <w:w w:val="93"/>
              </w:rPr>
              <w:t>25%</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20" w:type="dxa"/>
            <w:vAlign w:val="bottom"/>
            <w:tcBorders>
              <w:left w:val="single" w:sz="8" w:color="auto"/>
            </w:tcBorders>
            <w:gridSpan w:val="8"/>
            <w:vMerge w:val="restart"/>
          </w:tcPr>
          <w:p>
            <w:pPr>
              <w:jc w:val="center"/>
              <w:ind w:left="157"/>
              <w:spacing w:after="0" w:line="224" w:lineRule="exact"/>
              <w:rPr>
                <w:sz w:val="20"/>
                <w:szCs w:val="20"/>
                <w:color w:val="auto"/>
              </w:rPr>
            </w:pPr>
            <w:r>
              <w:rPr>
                <w:rFonts w:ascii="Times New Roman" w:cs="Times New Roman" w:eastAsia="Times New Roman" w:hAnsi="Times New Roman"/>
                <w:sz w:val="21"/>
                <w:szCs w:val="21"/>
                <w:color w:val="auto"/>
                <w:w w:val="98"/>
              </w:rPr>
              <w:t>date that is [*] after such date (the “2</w:t>
            </w:r>
          </w:p>
        </w:tc>
        <w:tc>
          <w:tcPr>
            <w:tcW w:w="140" w:type="dxa"/>
            <w:vAlign w:val="bottom"/>
            <w:gridSpan w:val="3"/>
            <w:vMerge w:val="restart"/>
          </w:tcPr>
          <w:p>
            <w:pPr>
              <w:spacing w:after="0" w:line="127" w:lineRule="exact"/>
              <w:rPr>
                <w:sz w:val="20"/>
                <w:szCs w:val="20"/>
                <w:color w:val="auto"/>
              </w:rPr>
            </w:pPr>
            <w:r>
              <w:rPr>
                <w:rFonts w:ascii="Times New Roman" w:cs="Times New Roman" w:eastAsia="Times New Roman" w:hAnsi="Times New Roman"/>
                <w:sz w:val="13"/>
                <w:szCs w:val="13"/>
                <w:color w:val="auto"/>
                <w:w w:val="91"/>
              </w:rPr>
              <w:t>nd</w:t>
            </w:r>
          </w:p>
        </w:tc>
        <w:tc>
          <w:tcPr>
            <w:tcW w:w="1060" w:type="dxa"/>
            <w:vAlign w:val="bottom"/>
            <w:tcBorders>
              <w:right w:val="single" w:sz="8" w:color="auto"/>
            </w:tcBorders>
            <w:gridSpan w:val="2"/>
            <w:vMerge w:val="restart"/>
          </w:tcPr>
          <w:p>
            <w:pPr>
              <w:ind w:left="40"/>
              <w:spacing w:after="0" w:line="224" w:lineRule="exact"/>
              <w:rPr>
                <w:sz w:val="20"/>
                <w:szCs w:val="20"/>
                <w:color w:val="auto"/>
              </w:rPr>
            </w:pPr>
            <w:r>
              <w:rPr>
                <w:rFonts w:ascii="Times New Roman" w:cs="Times New Roman" w:eastAsia="Times New Roman" w:hAnsi="Times New Roman"/>
                <w:sz w:val="21"/>
                <w:szCs w:val="21"/>
                <w:color w:val="auto"/>
              </w:rPr>
              <w:t>Period”);</w:t>
            </w:r>
          </w:p>
        </w:tc>
        <w:tc>
          <w:tcPr>
            <w:tcW w:w="37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320" w:type="dxa"/>
            <w:vAlign w:val="bottom"/>
            <w:tcBorders>
              <w:left w:val="single" w:sz="8" w:color="auto"/>
            </w:tcBorders>
            <w:gridSpan w:val="8"/>
            <w:vMerge w:val="continue"/>
          </w:tcPr>
          <w:p>
            <w:pPr>
              <w:spacing w:after="0"/>
              <w:rPr>
                <w:sz w:val="2"/>
                <w:szCs w:val="2"/>
                <w:color w:val="auto"/>
              </w:rPr>
            </w:pPr>
          </w:p>
        </w:tc>
        <w:tc>
          <w:tcPr>
            <w:tcW w:w="140" w:type="dxa"/>
            <w:vAlign w:val="bottom"/>
            <w:tcBorders>
              <w:bottom w:val="single" w:sz="8" w:color="auto"/>
            </w:tcBorders>
            <w:gridSpan w:val="3"/>
            <w:vMerge w:val="continue"/>
          </w:tcPr>
          <w:p>
            <w:pPr>
              <w:spacing w:after="0"/>
              <w:rPr>
                <w:sz w:val="2"/>
                <w:szCs w:val="2"/>
                <w:color w:val="auto"/>
              </w:rPr>
            </w:pPr>
          </w:p>
        </w:tc>
        <w:tc>
          <w:tcPr>
            <w:tcW w:w="1060" w:type="dxa"/>
            <w:vAlign w:val="bottom"/>
            <w:tcBorders>
              <w:right w:val="single" w:sz="8" w:color="auto"/>
            </w:tcBorders>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3320" w:type="dxa"/>
            <w:vAlign w:val="bottom"/>
            <w:tcBorders>
              <w:left w:val="single" w:sz="8" w:color="auto"/>
            </w:tcBorders>
            <w:gridSpan w:val="8"/>
            <w:vMerge w:val="continue"/>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0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20" w:type="dxa"/>
            <w:vAlign w:val="bottom"/>
            <w:tcBorders>
              <w:left w:val="single" w:sz="8" w:color="auto"/>
              <w:right w:val="single" w:sz="8" w:color="auto"/>
            </w:tcBorders>
            <w:gridSpan w:val="13"/>
          </w:tcPr>
          <w:p>
            <w:pPr>
              <w:jc w:val="center"/>
              <w:spacing w:after="0"/>
              <w:rPr>
                <w:sz w:val="20"/>
                <w:szCs w:val="20"/>
                <w:color w:val="auto"/>
              </w:rPr>
            </w:pPr>
            <w:r>
              <w:rPr>
                <w:rFonts w:ascii="Times New Roman" w:cs="Times New Roman" w:eastAsia="Times New Roman" w:hAnsi="Times New Roman"/>
                <w:sz w:val="21"/>
                <w:szCs w:val="21"/>
                <w:color w:val="auto"/>
                <w:w w:val="98"/>
              </w:rPr>
              <w:t>From an including the date immediately succeeding</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20" w:type="dxa"/>
            <w:vAlign w:val="bottom"/>
            <w:tcBorders>
              <w:left w:val="single" w:sz="8" w:color="auto"/>
              <w:right w:val="single" w:sz="8" w:color="auto"/>
            </w:tcBorders>
            <w:gridSpan w:val="13"/>
          </w:tcPr>
          <w:p>
            <w:pPr>
              <w:jc w:val="center"/>
              <w:spacing w:after="0" w:line="246" w:lineRule="exact"/>
              <w:rPr>
                <w:sz w:val="20"/>
                <w:szCs w:val="20"/>
                <w:color w:val="auto"/>
              </w:rPr>
            </w:pPr>
            <w:r>
              <w:rPr>
                <w:rFonts w:ascii="Times New Roman" w:cs="Times New Roman" w:eastAsia="Times New Roman" w:hAnsi="Times New Roman"/>
                <w:sz w:val="21"/>
                <w:szCs w:val="21"/>
                <w:color w:val="auto"/>
                <w:w w:val="97"/>
              </w:rPr>
              <w:t>the last day of the 2</w:t>
            </w:r>
            <w:r>
              <w:rPr>
                <w:rFonts w:ascii="Times New Roman" w:cs="Times New Roman" w:eastAsia="Times New Roman" w:hAnsi="Times New Roman"/>
                <w:sz w:val="26"/>
                <w:szCs w:val="26"/>
                <w:color w:val="auto"/>
                <w:w w:val="97"/>
                <w:vertAlign w:val="superscript"/>
              </w:rPr>
              <w:t>nd</w:t>
            </w:r>
            <w:r>
              <w:rPr>
                <w:rFonts w:ascii="Times New Roman" w:cs="Times New Roman" w:eastAsia="Times New Roman" w:hAnsi="Times New Roman"/>
                <w:sz w:val="21"/>
                <w:szCs w:val="21"/>
                <w:color w:val="auto"/>
                <w:w w:val="97"/>
              </w:rPr>
              <w:t xml:space="preserve"> Period, to and excluding that</w:t>
            </w:r>
          </w:p>
        </w:tc>
        <w:tc>
          <w:tcPr>
            <w:tcW w:w="3760" w:type="dxa"/>
            <w:vAlign w:val="bottom"/>
            <w:gridSpan w:val="5"/>
            <w:vMerge w:val="restart"/>
          </w:tcPr>
          <w:p>
            <w:pPr>
              <w:jc w:val="center"/>
              <w:ind w:left="737"/>
              <w:spacing w:after="0"/>
              <w:rPr>
                <w:sz w:val="20"/>
                <w:szCs w:val="20"/>
                <w:color w:val="auto"/>
              </w:rPr>
            </w:pPr>
            <w:r>
              <w:rPr>
                <w:rFonts w:ascii="Times New Roman" w:cs="Times New Roman" w:eastAsia="Times New Roman" w:hAnsi="Times New Roman"/>
                <w:sz w:val="21"/>
                <w:szCs w:val="21"/>
                <w:color w:val="auto"/>
                <w:w w:val="93"/>
              </w:rPr>
              <w:t>50%</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tcBorders>
              <w:left w:val="single" w:sz="8" w:color="auto"/>
            </w:tcBorders>
            <w:gridSpan w:val="9"/>
            <w:vMerge w:val="restart"/>
          </w:tcPr>
          <w:p>
            <w:pPr>
              <w:jc w:val="center"/>
              <w:ind w:left="157"/>
              <w:spacing w:after="0" w:line="224" w:lineRule="exact"/>
              <w:rPr>
                <w:sz w:val="20"/>
                <w:szCs w:val="20"/>
                <w:color w:val="auto"/>
              </w:rPr>
            </w:pPr>
            <w:r>
              <w:rPr>
                <w:rFonts w:ascii="Times New Roman" w:cs="Times New Roman" w:eastAsia="Times New Roman" w:hAnsi="Times New Roman"/>
                <w:sz w:val="21"/>
                <w:szCs w:val="21"/>
                <w:color w:val="auto"/>
                <w:w w:val="98"/>
              </w:rPr>
              <w:t>date that is [*] after such date (the “3</w:t>
            </w:r>
          </w:p>
        </w:tc>
        <w:tc>
          <w:tcPr>
            <w:tcW w:w="100" w:type="dxa"/>
            <w:vAlign w:val="bottom"/>
            <w:vMerge w:val="restart"/>
          </w:tcPr>
          <w:p>
            <w:pPr>
              <w:spacing w:after="0" w:line="127" w:lineRule="exact"/>
              <w:rPr>
                <w:sz w:val="20"/>
                <w:szCs w:val="20"/>
                <w:color w:val="auto"/>
              </w:rPr>
            </w:pPr>
            <w:r>
              <w:rPr>
                <w:rFonts w:ascii="Times New Roman" w:cs="Times New Roman" w:eastAsia="Times New Roman" w:hAnsi="Times New Roman"/>
                <w:sz w:val="13"/>
                <w:szCs w:val="13"/>
                <w:color w:val="auto"/>
                <w:w w:val="73"/>
              </w:rPr>
              <w:t>rd</w:t>
            </w:r>
          </w:p>
        </w:tc>
        <w:tc>
          <w:tcPr>
            <w:tcW w:w="1080" w:type="dxa"/>
            <w:vAlign w:val="bottom"/>
            <w:tcBorders>
              <w:right w:val="single" w:sz="8" w:color="auto"/>
            </w:tcBorders>
            <w:gridSpan w:val="3"/>
            <w:vMerge w:val="restart"/>
          </w:tcPr>
          <w:p>
            <w:pPr>
              <w:ind w:left="60"/>
              <w:spacing w:after="0" w:line="224" w:lineRule="exact"/>
              <w:rPr>
                <w:sz w:val="20"/>
                <w:szCs w:val="20"/>
                <w:color w:val="auto"/>
              </w:rPr>
            </w:pPr>
            <w:r>
              <w:rPr>
                <w:rFonts w:ascii="Times New Roman" w:cs="Times New Roman" w:eastAsia="Times New Roman" w:hAnsi="Times New Roman"/>
                <w:sz w:val="21"/>
                <w:szCs w:val="21"/>
                <w:color w:val="auto"/>
              </w:rPr>
              <w:t>Period”);</w:t>
            </w:r>
          </w:p>
        </w:tc>
        <w:tc>
          <w:tcPr>
            <w:tcW w:w="37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340" w:type="dxa"/>
            <w:vAlign w:val="bottom"/>
            <w:tcBorders>
              <w:left w:val="single" w:sz="8" w:color="auto"/>
            </w:tcBorders>
            <w:gridSpan w:val="9"/>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1080" w:type="dxa"/>
            <w:vAlign w:val="bottom"/>
            <w:tcBorders>
              <w:right w:val="single" w:sz="8" w:color="auto"/>
            </w:tcBorders>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3340" w:type="dxa"/>
            <w:vAlign w:val="bottom"/>
            <w:tcBorders>
              <w:left w:val="single" w:sz="8" w:color="auto"/>
            </w:tcBorders>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0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616"/>
          </w:cols>
          <w:pgMar w:left="944" w:top="1440" w:right="339" w:bottom="1440" w:gutter="0" w:footer="0" w:header="0"/>
        </w:sectPr>
      </w:pPr>
    </w:p>
    <w:bookmarkStart w:id="160" w:name="page161"/>
    <w:bookmarkEnd w:id="160"/>
    <w:p>
      <w:pPr>
        <w:spacing w:after="0" w:line="50" w:lineRule="exact"/>
        <w:rPr>
          <w:sz w:val="20"/>
          <w:szCs w:val="20"/>
          <w:color w:val="auto"/>
        </w:rPr>
      </w:pPr>
    </w:p>
    <w:tbl>
      <w:tblPr>
        <w:tblLayout w:type="fixed"/>
        <w:tblInd w:w="546" w:type="dxa"/>
        <w:tblCellMar>
          <w:top w:w="0" w:type="dxa"/>
          <w:left w:w="0" w:type="dxa"/>
          <w:bottom w:w="0" w:type="dxa"/>
          <w:right w:w="0" w:type="dxa"/>
        </w:tblCellMar>
      </w:tblPr>
      <w:tr>
        <w:trPr>
          <w:trHeight w:val="272"/>
        </w:trPr>
        <w:tc>
          <w:tcPr>
            <w:tcW w:w="4520" w:type="dxa"/>
            <w:vAlign w:val="bottom"/>
            <w:tcBorders>
              <w:top w:val="single" w:sz="8" w:color="auto"/>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1"/>
                <w:szCs w:val="21"/>
                <w:color w:val="auto"/>
                <w:w w:val="98"/>
              </w:rPr>
              <w:t>From an including the date immediately succeeding</w:t>
            </w:r>
          </w:p>
        </w:tc>
        <w:tc>
          <w:tcPr>
            <w:tcW w:w="40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520" w:type="dxa"/>
            <w:vAlign w:val="bottom"/>
            <w:tcBorders>
              <w:left w:val="single" w:sz="8" w:color="auto"/>
              <w:right w:val="single" w:sz="8" w:color="auto"/>
            </w:tcBorders>
            <w:gridSpan w:val="5"/>
          </w:tcPr>
          <w:p>
            <w:pPr>
              <w:jc w:val="center"/>
              <w:spacing w:after="0" w:line="246" w:lineRule="exact"/>
              <w:rPr>
                <w:sz w:val="20"/>
                <w:szCs w:val="20"/>
                <w:color w:val="auto"/>
              </w:rPr>
            </w:pPr>
            <w:r>
              <w:rPr>
                <w:rFonts w:ascii="Times New Roman" w:cs="Times New Roman" w:eastAsia="Times New Roman" w:hAnsi="Times New Roman"/>
                <w:sz w:val="21"/>
                <w:szCs w:val="21"/>
                <w:color w:val="auto"/>
                <w:w w:val="97"/>
              </w:rPr>
              <w:t>the last day of the 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21"/>
                <w:szCs w:val="21"/>
                <w:color w:val="auto"/>
                <w:w w:val="97"/>
              </w:rPr>
              <w:t xml:space="preserve"> Period, to and excluding that</w:t>
            </w:r>
          </w:p>
        </w:tc>
        <w:tc>
          <w:tcPr>
            <w:tcW w:w="4000" w:type="dxa"/>
            <w:vAlign w:val="bottom"/>
            <w:tcBorders>
              <w:right w:val="single" w:sz="8" w:color="auto"/>
            </w:tcBorders>
            <w:vMerge w:val="restart"/>
          </w:tcPr>
          <w:p>
            <w:pPr>
              <w:jc w:val="right"/>
              <w:ind w:right="1417"/>
              <w:spacing w:after="0"/>
              <w:rPr>
                <w:sz w:val="20"/>
                <w:szCs w:val="20"/>
                <w:color w:val="auto"/>
              </w:rPr>
            </w:pPr>
            <w:r>
              <w:rPr>
                <w:rFonts w:ascii="Times New Roman" w:cs="Times New Roman" w:eastAsia="Times New Roman" w:hAnsi="Times New Roman"/>
                <w:sz w:val="21"/>
                <w:szCs w:val="21"/>
                <w:color w:val="auto"/>
              </w:rPr>
              <w:t>75%</w:t>
            </w:r>
          </w:p>
        </w:tc>
        <w:tc>
          <w:tcPr>
            <w:tcW w:w="0" w:type="dxa"/>
            <w:vAlign w:val="bottom"/>
          </w:tcPr>
          <w:p>
            <w:pPr>
              <w:spacing w:after="0"/>
              <w:rPr>
                <w:sz w:val="1"/>
                <w:szCs w:val="1"/>
                <w:color w:val="auto"/>
              </w:rPr>
            </w:pPr>
          </w:p>
        </w:tc>
      </w:tr>
      <w:tr>
        <w:trPr>
          <w:trHeight w:val="126"/>
        </w:trPr>
        <w:tc>
          <w:tcPr>
            <w:tcW w:w="3340" w:type="dxa"/>
            <w:vAlign w:val="bottom"/>
            <w:tcBorders>
              <w:left w:val="single" w:sz="8" w:color="auto"/>
            </w:tcBorders>
            <w:gridSpan w:val="2"/>
            <w:vMerge w:val="restart"/>
          </w:tcPr>
          <w:p>
            <w:pPr>
              <w:ind w:left="260"/>
              <w:spacing w:after="0" w:line="219" w:lineRule="exact"/>
              <w:rPr>
                <w:sz w:val="20"/>
                <w:szCs w:val="20"/>
                <w:color w:val="auto"/>
              </w:rPr>
            </w:pPr>
            <w:r>
              <w:rPr>
                <w:rFonts w:ascii="Times New Roman" w:cs="Times New Roman" w:eastAsia="Times New Roman" w:hAnsi="Times New Roman"/>
                <w:sz w:val="21"/>
                <w:szCs w:val="21"/>
                <w:color w:val="auto"/>
                <w:w w:val="98"/>
              </w:rPr>
              <w:t>date that is [*] after such date (the “4</w:t>
            </w:r>
          </w:p>
        </w:tc>
        <w:tc>
          <w:tcPr>
            <w:tcW w:w="100" w:type="dxa"/>
            <w:vAlign w:val="bottom"/>
            <w:vMerge w:val="restart"/>
          </w:tcPr>
          <w:p>
            <w:pPr>
              <w:spacing w:after="0" w:line="134" w:lineRule="exact"/>
              <w:rPr>
                <w:sz w:val="20"/>
                <w:szCs w:val="20"/>
                <w:color w:val="auto"/>
              </w:rPr>
            </w:pPr>
            <w:r>
              <w:rPr>
                <w:rFonts w:ascii="Times New Roman" w:cs="Times New Roman" w:eastAsia="Times New Roman" w:hAnsi="Times New Roman"/>
                <w:sz w:val="13"/>
                <w:szCs w:val="13"/>
                <w:color w:val="auto"/>
                <w:w w:val="78"/>
              </w:rPr>
              <w:t>th</w:t>
            </w:r>
          </w:p>
        </w:tc>
        <w:tc>
          <w:tcPr>
            <w:tcW w:w="1080" w:type="dxa"/>
            <w:vAlign w:val="bottom"/>
            <w:tcBorders>
              <w:right w:val="single" w:sz="8" w:color="auto"/>
            </w:tcBorders>
            <w:gridSpan w:val="2"/>
            <w:vMerge w:val="restart"/>
          </w:tcPr>
          <w:p>
            <w:pPr>
              <w:ind w:left="60"/>
              <w:spacing w:after="0" w:line="219" w:lineRule="exact"/>
              <w:rPr>
                <w:sz w:val="20"/>
                <w:szCs w:val="20"/>
                <w:color w:val="auto"/>
              </w:rPr>
            </w:pPr>
            <w:r>
              <w:rPr>
                <w:rFonts w:ascii="Times New Roman" w:cs="Times New Roman" w:eastAsia="Times New Roman" w:hAnsi="Times New Roman"/>
                <w:sz w:val="21"/>
                <w:szCs w:val="21"/>
                <w:color w:val="auto"/>
              </w:rPr>
              <w:t>Period”);</w:t>
            </w:r>
          </w:p>
        </w:tc>
        <w:tc>
          <w:tcPr>
            <w:tcW w:w="4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340" w:type="dxa"/>
            <w:vAlign w:val="bottom"/>
            <w:tcBorders>
              <w:left w:val="single" w:sz="8" w:color="auto"/>
            </w:tcBorders>
            <w:gridSpan w:val="2"/>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1080" w:type="dxa"/>
            <w:vAlign w:val="bottom"/>
            <w:tcBorders>
              <w:right w:val="single" w:sz="8" w:color="auto"/>
            </w:tcBorders>
            <w:gridSpan w:val="2"/>
            <w:vMerge w:val="continue"/>
          </w:tcPr>
          <w:p>
            <w:pPr>
              <w:spacing w:after="0"/>
              <w:rPr>
                <w:sz w:val="2"/>
                <w:szCs w:val="2"/>
                <w:color w:val="auto"/>
              </w:rPr>
            </w:pPr>
          </w:p>
        </w:tc>
        <w:tc>
          <w:tcPr>
            <w:tcW w:w="40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3340" w:type="dxa"/>
            <w:vAlign w:val="bottom"/>
            <w:tcBorders>
              <w:left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right w:val="single" w:sz="8" w:color="auto"/>
            </w:tcBorders>
            <w:gridSpan w:val="2"/>
            <w:vMerge w:val="continue"/>
          </w:tcPr>
          <w:p>
            <w:pPr>
              <w:spacing w:after="0"/>
              <w:rPr>
                <w:sz w:val="3"/>
                <w:szCs w:val="3"/>
                <w:color w:val="auto"/>
              </w:rPr>
            </w:pPr>
          </w:p>
        </w:tc>
        <w:tc>
          <w:tcPr>
            <w:tcW w:w="4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40" w:type="dxa"/>
            <w:vAlign w:val="bottom"/>
            <w:tcBorders>
              <w:left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4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52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1"/>
                <w:szCs w:val="21"/>
                <w:color w:val="auto"/>
                <w:w w:val="98"/>
              </w:rPr>
              <w:t>From and after the date immediately succeeding the</w:t>
            </w:r>
          </w:p>
        </w:tc>
        <w:tc>
          <w:tcPr>
            <w:tcW w:w="4000" w:type="dxa"/>
            <w:vAlign w:val="bottom"/>
            <w:tcBorders>
              <w:right w:val="single" w:sz="8" w:color="auto"/>
            </w:tcBorders>
            <w:vMerge w:val="restart"/>
          </w:tcPr>
          <w:p>
            <w:pPr>
              <w:jc w:val="right"/>
              <w:ind w:right="1357"/>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361"/>
        </w:trPr>
        <w:tc>
          <w:tcPr>
            <w:tcW w:w="452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1"/>
                <w:szCs w:val="21"/>
                <w:color w:val="auto"/>
                <w:w w:val="97"/>
              </w:rPr>
              <w:t>last day of the 4</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1"/>
                <w:szCs w:val="21"/>
                <w:color w:val="auto"/>
                <w:w w:val="97"/>
              </w:rPr>
              <w:t xml:space="preserve"> Period.</w:t>
            </w:r>
          </w:p>
        </w:tc>
        <w:tc>
          <w:tcPr>
            <w:tcW w:w="4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16" w:hanging="616"/>
        <w:spacing w:after="0"/>
        <w:tabs>
          <w:tab w:leader="none" w:pos="616" w:val="left"/>
        </w:tabs>
        <w:numPr>
          <w:ilvl w:val="0"/>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Representations &amp; Warranties of the Parties</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ind w:left="616" w:hanging="616"/>
        <w:spacing w:after="0"/>
        <w:tabs>
          <w:tab w:leader="none" w:pos="61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Oaktree Party represents and warrants, severally and not jointly, to Onity and the Company:</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48" w:lineRule="auto"/>
        <w:tabs>
          <w:tab w:leader="none" w:pos="1225"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&amp; Good Standing</w:t>
      </w:r>
      <w:r>
        <w:rPr>
          <w:rFonts w:ascii="Times New Roman" w:cs="Times New Roman" w:eastAsia="Times New Roman" w:hAnsi="Times New Roman"/>
          <w:sz w:val="21"/>
          <w:szCs w:val="21"/>
          <w:color w:val="auto"/>
        </w:rPr>
        <w:t>: Such Oaktree Party is a limited liability company duly organized, validly existing and in good standing under the laws of the State of Delaware. Such Oaktree Party is licensed, qualified and in good standing, and is duly authorized and qualified to transact, in each case, (a) to carry on its business as currently conducted, and (b) any and all business contemplated by this Agreement and each Transaction Agreement to which it is a party to the extent necessary to perform its obligations under this Agreement and each Transaction Agreement to which it is a party, in each case except where the failure to possess such qualifications or licenses would not reasonably be expected to have a material adverse effect on such Oaktree Party or the ability of such Oaktree Party to perform under this Agreement or any Transaction Agreement to which it is a party. Such Oaktree Party has the power and authority to make, execute, deliver and perform this Agreement (or will have with respect to each Transaction Agreement to which it is a party), and perform all of the transactions contemplated to be performed by it under this Agreement and each Transaction Agreement to which it is a party, and has taken (or will take) all necessary action to authorize the execution, delivery and performance of this Agreement and each Transaction Agreement to which it is a party. When executed and delivered by each Party hereto, this Agreement and each Transaction Agreement to which it is a party will constitute the legal, valid and binding obligation of such Oaktree Party, enforceable in accordance with its terms, except (i) as limited by general equitable principles and applicable bankruptcy,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616"/>
          </w:cols>
          <w:pgMar w:left="944" w:top="1440" w:right="339" w:bottom="1440" w:gutter="0" w:footer="0" w:header="0"/>
        </w:sectPr>
      </w:pPr>
    </w:p>
    <w:bookmarkStart w:id="161" w:name="page162"/>
    <w:bookmarkEnd w:id="161"/>
    <w:p>
      <w:pPr>
        <w:spacing w:after="0" w:line="32" w:lineRule="exact"/>
        <w:rPr>
          <w:sz w:val="20"/>
          <w:szCs w:val="20"/>
          <w:color w:val="auto"/>
        </w:rPr>
      </w:pPr>
    </w:p>
    <w:p>
      <w:pPr>
        <w:jc w:val="both"/>
        <w:ind w:left="1236"/>
        <w:spacing w:after="0" w:line="257" w:lineRule="auto"/>
        <w:rPr>
          <w:sz w:val="20"/>
          <w:szCs w:val="20"/>
          <w:color w:val="auto"/>
        </w:rPr>
      </w:pPr>
      <w:r>
        <w:rPr>
          <w:rFonts w:ascii="Times New Roman" w:cs="Times New Roman" w:eastAsia="Times New Roman" w:hAnsi="Times New Roman"/>
          <w:sz w:val="21"/>
          <w:szCs w:val="21"/>
          <w:color w:val="auto"/>
        </w:rPr>
        <w:t>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4" w:lineRule="exact"/>
        <w:rPr>
          <w:sz w:val="20"/>
          <w:szCs w:val="20"/>
          <w:color w:val="auto"/>
        </w:rPr>
      </w:pPr>
    </w:p>
    <w:p>
      <w:pPr>
        <w:jc w:val="both"/>
        <w:ind w:left="1236" w:hanging="616"/>
        <w:spacing w:after="0" w:line="251" w:lineRule="auto"/>
        <w:tabs>
          <w:tab w:leader="none" w:pos="1231"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Violations</w:t>
      </w:r>
      <w:r>
        <w:rPr>
          <w:rFonts w:ascii="Times New Roman" w:cs="Times New Roman" w:eastAsia="Times New Roman" w:hAnsi="Times New Roman"/>
          <w:sz w:val="21"/>
          <w:szCs w:val="21"/>
          <w:color w:val="auto"/>
        </w:rPr>
        <w:t>. Subject to receipt of the Company Approvals and any Investor approvals contemplated by the Transaction Agreements, the execution, delivery and performance of this Agreement and each Transaction Agreement to which it is a party by such Oaktree Party, will not violate any provision of any existing Law or Order of any court applicable to such Oaktree Party, except for violations that would not reasonably be expected to materially and adversely affect such Oaktree Party’s ability to perform its obligations under this Agreement or any Transaction Agreement to which it is a party.</w:t>
      </w:r>
    </w:p>
    <w:p>
      <w:pPr>
        <w:spacing w:after="0" w:line="73" w:lineRule="exact"/>
        <w:rPr>
          <w:rFonts w:ascii="Times New Roman" w:cs="Times New Roman" w:eastAsia="Times New Roman" w:hAnsi="Times New Roman"/>
          <w:sz w:val="21"/>
          <w:szCs w:val="21"/>
          <w:color w:val="auto"/>
        </w:rPr>
      </w:pPr>
    </w:p>
    <w:p>
      <w:pPr>
        <w:jc w:val="both"/>
        <w:ind w:left="1236" w:hanging="616"/>
        <w:spacing w:after="0" w:line="253" w:lineRule="auto"/>
        <w:tabs>
          <w:tab w:leader="none" w:pos="1236"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No litigation or administrative proceeding before any court, tribunal or governmental body is currently pending or to the knowledge of such Oaktree Party threatened against such Oaktree Party or with respect to this Agreement or any Transaction Agreement to which it is a party, which would be reasonably likely to impair materially the ability of such Oaktree Party to perform under the terms of this Agreement or any Transaction Agreement to which it is a party.</w:t>
      </w:r>
    </w:p>
    <w:p>
      <w:pPr>
        <w:spacing w:after="0" w:line="70" w:lineRule="exact"/>
        <w:rPr>
          <w:rFonts w:ascii="Times New Roman" w:cs="Times New Roman" w:eastAsia="Times New Roman" w:hAnsi="Times New Roman"/>
          <w:sz w:val="21"/>
          <w:szCs w:val="21"/>
          <w:color w:val="auto"/>
        </w:rPr>
      </w:pPr>
    </w:p>
    <w:p>
      <w:pPr>
        <w:jc w:val="both"/>
        <w:ind w:left="1236" w:hanging="616"/>
        <w:spacing w:after="0" w:line="250" w:lineRule="auto"/>
        <w:tabs>
          <w:tab w:leader="none" w:pos="1225"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Except with respect to the Company Approvals and any Investor approvals contemplated by the Transaction Agreements, such Oaktree Party is not required to obtain the consent of any other party or any consent, license, approval or authorization from, or registration or declaration with, any Governmental Authority in connection with the execution, delivery, performance, validity or enforceability of this Agreement or any Transaction Agreement to which it is a party, except such as have been obtained or made or as to which the failure to obtain or make would not reasonably be expected to materially adversely affect the ability of such Oaktree Party to perform its obligations hereunder or thereunder.</w:t>
      </w:r>
    </w:p>
    <w:p>
      <w:pPr>
        <w:spacing w:after="0" w:line="73"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Onity represents and warrants to the Oaktree Parties and the Company:</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57" w:lineRule="auto"/>
        <w:tabs>
          <w:tab w:leader="none" w:pos="1225"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&amp; Good Standing</w:t>
      </w:r>
      <w:r>
        <w:rPr>
          <w:rFonts w:ascii="Times New Roman" w:cs="Times New Roman" w:eastAsia="Times New Roman" w:hAnsi="Times New Roman"/>
          <w:sz w:val="21"/>
          <w:szCs w:val="21"/>
          <w:color w:val="auto"/>
        </w:rPr>
        <w:t>: Onity is a corporation duly organized, validly existing and in good standing under the laws of the State of Florida and PMC is a corporation duly organized, validly existing and in good standing under the laws of the State of New Jersey. Each of Onity and PMC is licensed, qualified and in good standing, and is duly authorized and qualified to transact,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616"/>
          </w:cols>
          <w:pgMar w:left="944" w:top="1440" w:right="339" w:bottom="1440" w:gutter="0" w:footer="0" w:header="0"/>
        </w:sectPr>
      </w:pPr>
    </w:p>
    <w:bookmarkStart w:id="162" w:name="page163"/>
    <w:bookmarkEnd w:id="162"/>
    <w:p>
      <w:pPr>
        <w:spacing w:after="0" w:line="31" w:lineRule="exact"/>
        <w:rPr>
          <w:sz w:val="20"/>
          <w:szCs w:val="20"/>
          <w:color w:val="auto"/>
        </w:rPr>
      </w:pPr>
    </w:p>
    <w:p>
      <w:pPr>
        <w:jc w:val="both"/>
        <w:ind w:left="740"/>
        <w:spacing w:after="0" w:line="248" w:lineRule="auto"/>
        <w:rPr>
          <w:sz w:val="20"/>
          <w:szCs w:val="20"/>
          <w:color w:val="auto"/>
        </w:rPr>
      </w:pPr>
      <w:r>
        <w:rPr>
          <w:rFonts w:ascii="Times New Roman" w:cs="Times New Roman" w:eastAsia="Times New Roman" w:hAnsi="Times New Roman"/>
          <w:sz w:val="21"/>
          <w:szCs w:val="21"/>
          <w:color w:val="auto"/>
        </w:rPr>
        <w:t>each case, (a) to carry on its business as currently conducted, and (b) any and all business contemplated by this Agreement and each Transaction Agreement to which it is a party to the extent necessary to perform its obligations under this Agreement and each Transaction Agreement to which it is a party, in each case except where the failure to possess such qualifications or licenses would not reasonably be expected to have a material adverse effect on Onity and its Subsidiaries, taken as a whole, or the ability of Onity or PMC to perform under this Agreement or any Transaction Agreement to which it is a party. Each of Onity and PMC has the corporate power and authority to make, execute, deliver and perform this Agreement (or will have with respect to each Transaction Agreement to which it is a party), and perform all of the transactions contemplated to be performed by it under this Agreement and each Transaction Agreement to which it is a party, and has taken (or will take) all necessary action to authorize the execution, delivery and performance of this Agreement and each Transaction Agreement to which it is a party. When executed and delivered by each Party hereto, this Agreement and each Transaction Agreement to which it is a party will constitute the legal, valid and binding obligation of Onity or PMC, as applicable, enforceable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4" w:lineRule="exact"/>
        <w:rPr>
          <w:sz w:val="20"/>
          <w:szCs w:val="20"/>
          <w:color w:val="auto"/>
        </w:rPr>
      </w:pPr>
    </w:p>
    <w:p>
      <w:pPr>
        <w:jc w:val="both"/>
        <w:ind w:left="740" w:hanging="616"/>
        <w:spacing w:after="0" w:line="251" w:lineRule="auto"/>
        <w:tabs>
          <w:tab w:leader="none" w:pos="73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Violations</w:t>
      </w:r>
      <w:r>
        <w:rPr>
          <w:rFonts w:ascii="Times New Roman" w:cs="Times New Roman" w:eastAsia="Times New Roman" w:hAnsi="Times New Roman"/>
          <w:sz w:val="21"/>
          <w:szCs w:val="21"/>
          <w:color w:val="auto"/>
        </w:rPr>
        <w:t>. Subject to receipt of the Company Approvals and any Investor approvals contemplated by the Transaction Agreements, the execution, delivery and performance by each of Onity and PMC, as applicable, of this Agreement and each Transaction Agreement to which it is a party will not violate any provision of any existing Law or Order of any court applicable to Onity or PMC, as applicable, except for violations that would not reasonably be expected to materially and adversely affect Onity’s or PMC’s ability to perform its obligations under this Agreement or any Transaction Agreement to which it is a party.</w:t>
      </w:r>
    </w:p>
    <w:p>
      <w:pPr>
        <w:spacing w:after="0" w:line="73" w:lineRule="exact"/>
        <w:rPr>
          <w:rFonts w:ascii="Times New Roman" w:cs="Times New Roman" w:eastAsia="Times New Roman" w:hAnsi="Times New Roman"/>
          <w:sz w:val="21"/>
          <w:szCs w:val="21"/>
          <w:color w:val="auto"/>
        </w:rPr>
      </w:pPr>
    </w:p>
    <w:p>
      <w:pPr>
        <w:jc w:val="both"/>
        <w:ind w:left="740" w:hanging="616"/>
        <w:spacing w:after="0" w:line="257" w:lineRule="auto"/>
        <w:tabs>
          <w:tab w:leader="none" w:pos="7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No litigation or administrative proceeding before any court, tribunal or governmental body is currently pending or to the knowledge of Onity threatened against Onity or PMC or with respect to this Agreement or any Transaction Agreement to which Onity or PMC is a party, which would be reasonably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32" w:lineRule="exact"/>
        <w:rPr>
          <w:sz w:val="20"/>
          <w:szCs w:val="20"/>
          <w:color w:val="auto"/>
        </w:rPr>
      </w:pPr>
    </w:p>
    <w:p>
      <w:pPr>
        <w:ind w:left="1236"/>
        <w:spacing w:after="0" w:line="270" w:lineRule="auto"/>
        <w:rPr>
          <w:sz w:val="20"/>
          <w:szCs w:val="20"/>
          <w:color w:val="auto"/>
        </w:rPr>
      </w:pPr>
      <w:r>
        <w:rPr>
          <w:rFonts w:ascii="Times New Roman" w:cs="Times New Roman" w:eastAsia="Times New Roman" w:hAnsi="Times New Roman"/>
          <w:sz w:val="21"/>
          <w:szCs w:val="21"/>
          <w:color w:val="auto"/>
        </w:rPr>
        <w:t>impair materially the ability of Onity or PMC to perform under the terms of this Agreement or any Transaction Agreement to which it is a party.</w:t>
      </w:r>
    </w:p>
    <w:p>
      <w:pPr>
        <w:spacing w:after="0" w:line="51" w:lineRule="exact"/>
        <w:rPr>
          <w:sz w:val="20"/>
          <w:szCs w:val="20"/>
          <w:color w:val="auto"/>
        </w:rPr>
      </w:pPr>
    </w:p>
    <w:p>
      <w:pPr>
        <w:jc w:val="both"/>
        <w:ind w:left="1236" w:hanging="616"/>
        <w:spacing w:after="0" w:line="252" w:lineRule="auto"/>
        <w:tabs>
          <w:tab w:leader="none" w:pos="1225"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Except with respect to the Company Approvals and any Investor approvals contemplated by the Transaction Agreements, neither Onity nor PMC is required to obtain the consent of any other party or any consent, license, approval or authorization from, or registration or declaration with, any Governmental Authority in connection with the execution, delivery, performance, validity or enforceability of this Agreement or any Transaction Agreement to which it is a party, except such as have been (or will be) obtained or made or as to which the failure to obtain or make would not reasonably be expected to materially adversely affect the ability of Onity or PMC to perform all obligations hereunder or thereunder.</w:t>
      </w:r>
    </w:p>
    <w:p>
      <w:pPr>
        <w:spacing w:after="0" w:line="72"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and warrants to the Oaktree Parties and Onity:</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48" w:lineRule="auto"/>
        <w:tabs>
          <w:tab w:leader="none" w:pos="1225"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&amp; Good Standing</w:t>
      </w:r>
      <w:r>
        <w:rPr>
          <w:rFonts w:ascii="Times New Roman" w:cs="Times New Roman" w:eastAsia="Times New Roman" w:hAnsi="Times New Roman"/>
          <w:sz w:val="21"/>
          <w:szCs w:val="21"/>
          <w:color w:val="auto"/>
        </w:rPr>
        <w:t>: The Company is a limited liability company duly organized, validly existing and in good standing under the laws of the State of Delaware and MAV is a limited liability company duly organized, validly existing and in good standing under the laws of the State of California. Each of the Company and MAV is licensed, qualified and in good standing, and is duly authorized and qualified to transact, in each case, (a) to carry on its business as currently conducted, and (b) any and all business contemplated by this Agreement and each Transaction Agreement to which it is a party to the extent necessary to perform its obligations under this Agreement and each Transaction Agreement to which it is a party, in each case except where the failure to possess such qualifications or licenses would not reasonably be expected to have a Material Adverse Effect. Each of the Company and MAV has the power and authority to make, execute, deliver and perform this Agreement (or will have with respect to each Transaction Agreement to which it is a party), and perform all of the transactions contemplated to be performed by it under this Agreement and each Transaction Agreement to which it is a party, and has taken (or will take) all necessary action to authorize the execution, delivery and performance of this Agreement and each Transaction Agreement to which it is a party. When executed and delivered by each Party hereto, this Agreement and each Transaction Agreement to which it is a party will constitute the legal, valid and binding obligation of the Company or MAV, as applicable, enforceable in accordance with its terms, except (i) as limited by general equitable principles and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616"/>
          </w:cols>
          <w:pgMar w:left="944" w:top="1440" w:right="339" w:bottom="1440" w:gutter="0" w:footer="0" w:header="0"/>
        </w:sectPr>
      </w:pPr>
    </w:p>
    <w:bookmarkStart w:id="164" w:name="page165"/>
    <w:bookmarkEnd w:id="164"/>
    <w:p>
      <w:pPr>
        <w:spacing w:after="0" w:line="32" w:lineRule="exact"/>
        <w:rPr>
          <w:sz w:val="20"/>
          <w:szCs w:val="20"/>
          <w:color w:val="auto"/>
        </w:rPr>
      </w:pPr>
    </w:p>
    <w:p>
      <w:pPr>
        <w:jc w:val="both"/>
        <w:ind w:left="1236"/>
        <w:spacing w:after="0" w:line="257" w:lineRule="auto"/>
        <w:rPr>
          <w:sz w:val="20"/>
          <w:szCs w:val="20"/>
          <w:color w:val="auto"/>
        </w:rPr>
      </w:pPr>
      <w:r>
        <w:rPr>
          <w:rFonts w:ascii="Times New Roman" w:cs="Times New Roman" w:eastAsia="Times New Roman" w:hAnsi="Times New Roman"/>
          <w:sz w:val="21"/>
          <w:szCs w:val="21"/>
          <w:color w:val="auto"/>
        </w:rPr>
        <w:t>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4" w:lineRule="exact"/>
        <w:rPr>
          <w:sz w:val="20"/>
          <w:szCs w:val="20"/>
          <w:color w:val="auto"/>
        </w:rPr>
      </w:pPr>
    </w:p>
    <w:p>
      <w:pPr>
        <w:jc w:val="both"/>
        <w:ind w:left="1236" w:hanging="616"/>
        <w:spacing w:after="0" w:line="253" w:lineRule="auto"/>
        <w:tabs>
          <w:tab w:leader="none" w:pos="123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Violations</w:t>
      </w:r>
      <w:r>
        <w:rPr>
          <w:rFonts w:ascii="Times New Roman" w:cs="Times New Roman" w:eastAsia="Times New Roman" w:hAnsi="Times New Roman"/>
          <w:sz w:val="21"/>
          <w:szCs w:val="21"/>
          <w:color w:val="auto"/>
        </w:rPr>
        <w:t>. Subject to receipt of the Company Approvals and any Investor approvals contemplated by the Transaction Agreements, the execution, delivery and performance by each of the Company and MAV, as applicable, of this Agreement and each Transaction Agreement to which it is a party will not violate any provision of any existing Law or Order of any court applicable to the Company or MAV, as applicable, except for violations that would not reasonably be expected to have a Material Adverse Effect.</w:t>
      </w:r>
    </w:p>
    <w:p>
      <w:pPr>
        <w:spacing w:after="0" w:line="70" w:lineRule="exact"/>
        <w:rPr>
          <w:rFonts w:ascii="Times New Roman" w:cs="Times New Roman" w:eastAsia="Times New Roman" w:hAnsi="Times New Roman"/>
          <w:sz w:val="21"/>
          <w:szCs w:val="21"/>
          <w:color w:val="auto"/>
        </w:rPr>
      </w:pPr>
    </w:p>
    <w:p>
      <w:pPr>
        <w:jc w:val="both"/>
        <w:ind w:left="1236" w:hanging="616"/>
        <w:spacing w:after="0" w:line="252" w:lineRule="auto"/>
        <w:tabs>
          <w:tab w:leader="none" w:pos="123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No litigation or administrative proceeding before any court, tribunal or governmental body is currently pending or to the knowledge of the Company threatened against the Company or MAV or with respect to this Agreement or any Transaction Agreement to which the Company or MAV is a party, which would be reasonably likely to have a Material Adverse Effect.</w:t>
      </w:r>
    </w:p>
    <w:p>
      <w:pPr>
        <w:spacing w:after="0" w:line="71" w:lineRule="exact"/>
        <w:rPr>
          <w:rFonts w:ascii="Times New Roman" w:cs="Times New Roman" w:eastAsia="Times New Roman" w:hAnsi="Times New Roman"/>
          <w:sz w:val="21"/>
          <w:szCs w:val="21"/>
          <w:color w:val="auto"/>
        </w:rPr>
      </w:pPr>
    </w:p>
    <w:p>
      <w:pPr>
        <w:jc w:val="both"/>
        <w:ind w:left="1236" w:hanging="616"/>
        <w:spacing w:after="0" w:line="251" w:lineRule="auto"/>
        <w:tabs>
          <w:tab w:leader="none" w:pos="122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Except with respect to the Company Approvals and any Investor approvals contemplated by the Transaction Agreements, neither the Company nor MAV is required to obtain the consent of any other party or any consent, license, approval or authorization from, or registration or declaration with, any Governmental Authority in connection with the execution, delivery, performance, validity or enforceability of this Agreement or any Transaction Agreement to which it is a party, except such as have been (or will be) obtained or made or as to which the failure to obtain or make would not reasonably be expected to have a Material Adverse Effect.</w:t>
      </w:r>
    </w:p>
    <w:p>
      <w:pPr>
        <w:spacing w:after="0" w:line="83" w:lineRule="exact"/>
        <w:rPr>
          <w:sz w:val="20"/>
          <w:szCs w:val="20"/>
          <w:color w:val="auto"/>
        </w:rPr>
      </w:pPr>
    </w:p>
    <w:p>
      <w:pPr>
        <w:ind w:left="936" w:hanging="936"/>
        <w:spacing w:after="0"/>
        <w:tabs>
          <w:tab w:leader="none" w:pos="936"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Tax Matters</w:t>
      </w:r>
    </w:p>
    <w:p>
      <w:pPr>
        <w:spacing w:after="0" w:line="111" w:lineRule="exact"/>
        <w:rPr>
          <w:sz w:val="20"/>
          <w:szCs w:val="20"/>
          <w:color w:val="auto"/>
        </w:rPr>
      </w:pPr>
    </w:p>
    <w:p>
      <w:pPr>
        <w:jc w:val="both"/>
        <w:ind w:left="616" w:hanging="616"/>
        <w:spacing w:after="0" w:line="250" w:lineRule="auto"/>
        <w:tabs>
          <w:tab w:leader="none" w:pos="61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The Company, OMH and any agent, representative or Affiliate thereof, as applicable, shall be entitled to deduct and withhold from the consideration otherwise payable pursuant to this Agreement such amounts as it is required to deduct and withhold with respect to the making of such payment under applicable tax law. If the Company, OMH or any agent, representative or Affiliate thereof believes in good faith that it is obligated under applicable tax law to deduct or withhold any Taxes from consideration payable under this Agreement (other than with respect to any withholding obligation as a result of the failure of Onity to provide an the IRS Form W-9 pursuant to </w:t>
      </w:r>
      <w:r>
        <w:rPr>
          <w:rFonts w:ascii="Times New Roman" w:cs="Times New Roman" w:eastAsia="Times New Roman" w:hAnsi="Times New Roman"/>
          <w:sz w:val="21"/>
          <w:szCs w:val="21"/>
          <w:u w:val="single" w:color="auto"/>
          <w:color w:val="auto"/>
        </w:rPr>
        <w:t>Section 2(a)(v)</w:t>
      </w:r>
      <w:r>
        <w:rPr>
          <w:rFonts w:ascii="Times New Roman" w:cs="Times New Roman" w:eastAsia="Times New Roman" w:hAnsi="Times New Roman"/>
          <w:sz w:val="21"/>
          <w:szCs w:val="21"/>
          <w:color w:val="auto"/>
        </w:rPr>
        <w:t>), then OMH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616"/>
          </w:cols>
          <w:pgMar w:left="944" w:top="1440" w:right="339" w:bottom="1440" w:gutter="0" w:footer="0" w:header="0"/>
        </w:sectPr>
      </w:pPr>
    </w:p>
    <w:bookmarkStart w:id="165" w:name="page166"/>
    <w:bookmarkEnd w:id="165"/>
    <w:p>
      <w:pPr>
        <w:spacing w:after="0" w:line="31" w:lineRule="exact"/>
        <w:rPr>
          <w:sz w:val="20"/>
          <w:szCs w:val="20"/>
          <w:color w:val="auto"/>
        </w:rPr>
      </w:pPr>
    </w:p>
    <w:p>
      <w:pPr>
        <w:ind w:left="616"/>
        <w:spacing w:after="0" w:line="267" w:lineRule="auto"/>
        <w:rPr>
          <w:sz w:val="20"/>
          <w:szCs w:val="20"/>
          <w:color w:val="auto"/>
        </w:rPr>
      </w:pPr>
      <w:r>
        <w:rPr>
          <w:rFonts w:ascii="Times New Roman" w:cs="Times New Roman" w:eastAsia="Times New Roman" w:hAnsi="Times New Roman"/>
          <w:sz w:val="20"/>
          <w:szCs w:val="20"/>
          <w:color w:val="auto"/>
        </w:rPr>
        <w:t>Company, as applicable, shall use commercially reasonable efforts to promptly notify Onity in writing prior to any such deduction or withholding, and shall use commercially reasonable efforts to give Onity a reasonable opportunity to</w:t>
      </w:r>
    </w:p>
    <w:p>
      <w:pPr>
        <w:spacing w:after="0" w:line="1" w:lineRule="exact"/>
        <w:rPr>
          <w:sz w:val="20"/>
          <w:szCs w:val="20"/>
          <w:color w:val="auto"/>
        </w:rPr>
      </w:pPr>
    </w:p>
    <w:p>
      <w:pPr>
        <w:ind w:left="876" w:hanging="256"/>
        <w:spacing w:after="0"/>
        <w:tabs>
          <w:tab w:leader="none" w:pos="876"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with OMH or the Company, as applicable, in good faith the basis for any such deduction or withholding and</w:t>
      </w:r>
    </w:p>
    <w:p>
      <w:pPr>
        <w:spacing w:after="0" w:line="16" w:lineRule="exact"/>
        <w:rPr>
          <w:rFonts w:ascii="Times New Roman" w:cs="Times New Roman" w:eastAsia="Times New Roman" w:hAnsi="Times New Roman"/>
          <w:sz w:val="20"/>
          <w:szCs w:val="20"/>
          <w:color w:val="auto"/>
        </w:rPr>
      </w:pPr>
    </w:p>
    <w:p>
      <w:pPr>
        <w:jc w:val="both"/>
        <w:ind w:left="616" w:firstLine="4"/>
        <w:spacing w:after="0" w:line="248" w:lineRule="auto"/>
        <w:tabs>
          <w:tab w:leader="none" w:pos="964"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or eliminate any such deduction or withholding, including by providing (or causing to be provided) a certificate or other documentary evidence establishing an exemption or reduction of deduction or withholding. To the extent that amounts are so withheld and remitted to the applicable governmental authority, as applicable, such withheld amounts shall be treated for all purposes of this Agreement as having been paid to the applicable Person in respect of which such deduction and withholding was made.</w:t>
      </w:r>
    </w:p>
    <w:p>
      <w:pPr>
        <w:spacing w:after="0" w:line="86" w:lineRule="exact"/>
        <w:rPr>
          <w:rFonts w:ascii="Times New Roman" w:cs="Times New Roman" w:eastAsia="Times New Roman" w:hAnsi="Times New Roman"/>
          <w:sz w:val="21"/>
          <w:szCs w:val="21"/>
          <w:color w:val="auto"/>
        </w:rPr>
      </w:pPr>
    </w:p>
    <w:p>
      <w:pPr>
        <w:jc w:val="both"/>
        <w:ind w:left="616" w:hanging="616"/>
        <w:spacing w:after="0" w:line="250" w:lineRule="auto"/>
        <w:tabs>
          <w:tab w:leader="none" w:pos="61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Treatment</w:t>
      </w:r>
      <w:r>
        <w:rPr>
          <w:rFonts w:ascii="Times New Roman" w:cs="Times New Roman" w:eastAsia="Times New Roman" w:hAnsi="Times New Roman"/>
          <w:sz w:val="21"/>
          <w:szCs w:val="21"/>
          <w:color w:val="auto"/>
        </w:rPr>
        <w:t>. The Parties acknowledged and agree that, for U.S. federal, and applicable state and local, income tax purposes, the Contribution and the Interest Redemption, take together, are intended to be treated as (x) with respect to Onity, a sale or exchange of interests in the Company under Section 741 of the U.S.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(y) with respect to OMH, an acquisition of the assets of the Company, in a transaction described in Revenue Ruling 99-6, Situation 1, 1999-1 CB 432 (the “</w:t>
      </w:r>
      <w:r>
        <w:rPr>
          <w:rFonts w:ascii="Times New Roman" w:cs="Times New Roman" w:eastAsia="Times New Roman" w:hAnsi="Times New Roman"/>
          <w:sz w:val="21"/>
          <w:szCs w:val="21"/>
          <w:u w:val="single" w:color="auto"/>
          <w:color w:val="auto"/>
        </w:rPr>
        <w:t>Intended Tax Treatment</w:t>
      </w:r>
      <w:r>
        <w:rPr>
          <w:rFonts w:ascii="Times New Roman" w:cs="Times New Roman" w:eastAsia="Times New Roman" w:hAnsi="Times New Roman"/>
          <w:sz w:val="21"/>
          <w:szCs w:val="21"/>
          <w:color w:val="auto"/>
        </w:rPr>
        <w:t>”). No party shall take a position inconsistent with the Intended Tax Treatment on any tax return or in any proceeding, unless required by a change in applicable law or a “final determination” as defined in Section 1313 of the Code.</w:t>
      </w:r>
    </w:p>
    <w:p>
      <w:pPr>
        <w:spacing w:after="0" w:line="70" w:lineRule="exact"/>
        <w:rPr>
          <w:sz w:val="20"/>
          <w:szCs w:val="20"/>
          <w:color w:val="auto"/>
        </w:rPr>
      </w:pPr>
    </w:p>
    <w:p>
      <w:pPr>
        <w:ind w:left="616" w:hanging="616"/>
        <w:spacing w:after="0"/>
        <w:tabs>
          <w:tab w:leader="none" w:pos="616" w:val="left"/>
        </w:tabs>
        <w:numPr>
          <w:ilvl w:val="0"/>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ind w:left="616" w:hanging="616"/>
        <w:spacing w:after="0"/>
        <w:tabs>
          <w:tab w:leader="none" w:pos="616"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terminated on or prior to the Closing as follows:</w:t>
      </w:r>
    </w:p>
    <w:p>
      <w:pPr>
        <w:spacing w:after="0" w:line="107" w:lineRule="exact"/>
        <w:rPr>
          <w:rFonts w:ascii="Times New Roman" w:cs="Times New Roman" w:eastAsia="Times New Roman" w:hAnsi="Times New Roman"/>
          <w:sz w:val="21"/>
          <w:szCs w:val="21"/>
          <w:color w:val="auto"/>
        </w:rPr>
      </w:pPr>
    </w:p>
    <w:p>
      <w:pPr>
        <w:ind w:left="1236" w:hanging="616"/>
        <w:spacing w:after="0"/>
        <w:tabs>
          <w:tab w:leader="none" w:pos="123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mutual written agreement of Onity and the Oaktree Parties;</w:t>
      </w:r>
    </w:p>
    <w:p>
      <w:pPr>
        <w:spacing w:after="0" w:line="107" w:lineRule="exact"/>
        <w:rPr>
          <w:rFonts w:ascii="Times New Roman" w:cs="Times New Roman" w:eastAsia="Times New Roman" w:hAnsi="Times New Roman"/>
          <w:sz w:val="21"/>
          <w:szCs w:val="21"/>
          <w:color w:val="auto"/>
        </w:rPr>
      </w:pPr>
    </w:p>
    <w:p>
      <w:pPr>
        <w:jc w:val="both"/>
        <w:ind w:left="1236" w:hanging="616"/>
        <w:spacing w:after="0" w:line="249" w:lineRule="auto"/>
        <w:tabs>
          <w:tab w:leader="none" w:pos="123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Onity or the Oaktree Parties may terminate this Agreement if the Closing Date shall not have occurred on or before February 1, 2025 (the “</w:t>
      </w:r>
      <w:r>
        <w:rPr>
          <w:rFonts w:ascii="Times New Roman" w:cs="Times New Roman" w:eastAsia="Times New Roman" w:hAnsi="Times New Roman"/>
          <w:sz w:val="21"/>
          <w:szCs w:val="21"/>
          <w:u w:val="single" w:color="auto"/>
          <w:color w:val="auto"/>
        </w:rPr>
        <w:t>Outside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(x) Onity shall not have the right to terminate this Agreement pursuant to this </w:t>
      </w:r>
      <w:r>
        <w:rPr>
          <w:rFonts w:ascii="Times New Roman" w:cs="Times New Roman" w:eastAsia="Times New Roman" w:hAnsi="Times New Roman"/>
          <w:sz w:val="21"/>
          <w:szCs w:val="21"/>
          <w:u w:val="single" w:color="auto"/>
          <w:color w:val="auto"/>
        </w:rPr>
        <w:t>Section 6(a)(ii)</w:t>
      </w:r>
      <w:r>
        <w:rPr>
          <w:rFonts w:ascii="Times New Roman" w:cs="Times New Roman" w:eastAsia="Times New Roman" w:hAnsi="Times New Roman"/>
          <w:sz w:val="21"/>
          <w:szCs w:val="21"/>
          <w:color w:val="auto"/>
        </w:rPr>
        <w:t xml:space="preserve"> if the Closing Date fails to occur on or before the Outside Date, and such failure is attributable to a material breach by Onity or PMC, as applicable, of its representations, warranties, covenants or agreements contained in this Agreement or any Transaction Agreement, and (y) the Oaktree Parties shall not have the right to terminate this Agreement pursuant to this </w:t>
      </w:r>
      <w:r>
        <w:rPr>
          <w:rFonts w:ascii="Times New Roman" w:cs="Times New Roman" w:eastAsia="Times New Roman" w:hAnsi="Times New Roman"/>
          <w:sz w:val="21"/>
          <w:szCs w:val="21"/>
          <w:u w:val="single" w:color="auto"/>
          <w:color w:val="auto"/>
        </w:rPr>
        <w:t>Section 6(a)(ii)</w:t>
      </w:r>
      <w:r>
        <w:rPr>
          <w:rFonts w:ascii="Times New Roman" w:cs="Times New Roman" w:eastAsia="Times New Roman" w:hAnsi="Times New Roman"/>
          <w:sz w:val="21"/>
          <w:szCs w:val="21"/>
          <w:color w:val="auto"/>
        </w:rPr>
        <w:t xml:space="preserve"> if the Closing Date fails to occur on or before the Outside Date, and such failure is attributable to a material breach by any Oaktree Party of its representations, warranties, covenants or agreements contained in this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if, as of the date that is five (5) Business Day prior to the Outside Date, any Required Regulatory Approvals have not been obtained,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96"/>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616"/>
          </w:cols>
          <w:pgMar w:left="944" w:top="1440" w:right="339" w:bottom="1440" w:gutter="0" w:footer="0" w:header="0"/>
        </w:sectPr>
      </w:pPr>
    </w:p>
    <w:bookmarkStart w:id="166" w:name="page167"/>
    <w:bookmarkEnd w:id="166"/>
    <w:p>
      <w:pPr>
        <w:spacing w:after="0" w:line="31" w:lineRule="exact"/>
        <w:rPr>
          <w:sz w:val="20"/>
          <w:szCs w:val="20"/>
          <w:color w:val="auto"/>
        </w:rPr>
      </w:pPr>
    </w:p>
    <w:p>
      <w:pPr>
        <w:jc w:val="both"/>
        <w:ind w:left="740"/>
        <w:spacing w:after="0" w:line="257" w:lineRule="auto"/>
        <w:rPr>
          <w:sz w:val="20"/>
          <w:szCs w:val="20"/>
          <w:color w:val="auto"/>
        </w:rPr>
      </w:pPr>
      <w:r>
        <w:rPr>
          <w:rFonts w:ascii="Times New Roman" w:cs="Times New Roman" w:eastAsia="Times New Roman" w:hAnsi="Times New Roman"/>
          <w:sz w:val="21"/>
          <w:szCs w:val="21"/>
          <w:color w:val="auto"/>
        </w:rPr>
        <w:t xml:space="preserve">all other conditions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have theretofore been satisfied or are reasonably capable of being satisfied on or prior to the Outside Date, then either the Oaktree Parties or Onity may, by written notice to the other Party, extend the Outside Date for up to an additional thirty (30) days in order to obtain such outstanding Required Regulatory Approvals;</w:t>
      </w:r>
    </w:p>
    <w:p>
      <w:pPr>
        <w:spacing w:after="0" w:line="64" w:lineRule="exact"/>
        <w:rPr>
          <w:sz w:val="20"/>
          <w:szCs w:val="20"/>
          <w:color w:val="auto"/>
        </w:rPr>
      </w:pPr>
    </w:p>
    <w:p>
      <w:pPr>
        <w:jc w:val="both"/>
        <w:ind w:left="740" w:hanging="616"/>
        <w:spacing w:after="0" w:line="252" w:lineRule="auto"/>
        <w:tabs>
          <w:tab w:leader="none" w:pos="74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Onity or the Oaktree Parties may terminate this Agreement if (A) any Governmental Authority or Investor which must grant a Required Regulatory Approval has denied such approval and such denial has become final and nonappealable or (B) any Governmental Authority or Investor shall have issued a final nonappealable order enjoining or otherwise prohibiting the consummation of the Closing;</w:t>
      </w:r>
    </w:p>
    <w:p>
      <w:pPr>
        <w:spacing w:after="0" w:line="84" w:lineRule="exact"/>
        <w:rPr>
          <w:rFonts w:ascii="Times New Roman" w:cs="Times New Roman" w:eastAsia="Times New Roman" w:hAnsi="Times New Roman"/>
          <w:sz w:val="21"/>
          <w:szCs w:val="21"/>
          <w:color w:val="auto"/>
        </w:rPr>
      </w:pPr>
    </w:p>
    <w:p>
      <w:pPr>
        <w:jc w:val="both"/>
        <w:ind w:left="740" w:hanging="616"/>
        <w:spacing w:after="0" w:line="248" w:lineRule="auto"/>
        <w:tabs>
          <w:tab w:leader="none" w:pos="72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Onity may terminate this Agreement (if Onity or PMC, as applicable, is not then in breach of its representations, warranties, covenants or agreements under this Agreement or any Transaction Agreement so as to cause any of the conditions set forth in </w:t>
      </w:r>
      <w:r>
        <w:rPr>
          <w:rFonts w:ascii="Times New Roman" w:cs="Times New Roman" w:eastAsia="Times New Roman" w:hAnsi="Times New Roman"/>
          <w:sz w:val="21"/>
          <w:szCs w:val="21"/>
          <w:u w:val="single" w:color="auto"/>
          <w:color w:val="auto"/>
        </w:rPr>
        <w:t>Sections 2(a)(i)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2(c)(i)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2(c)(ii)</w:t>
      </w:r>
      <w:r>
        <w:rPr>
          <w:rFonts w:ascii="Times New Roman" w:cs="Times New Roman" w:eastAsia="Times New Roman" w:hAnsi="Times New Roman"/>
          <w:sz w:val="21"/>
          <w:szCs w:val="21"/>
          <w:color w:val="auto"/>
        </w:rPr>
        <w:t xml:space="preserve"> not to be satisfied), upon written notice to the Oaktree Parties, if there has been a violation, breach or inaccuracy of any representation, warranty, covenant or agreement of the Oaktree Parties or the Company contained in this Agreement, which violation, breach or inaccuracy would cause any of the conditions set forth in </w:t>
      </w:r>
      <w:r>
        <w:rPr>
          <w:rFonts w:ascii="Times New Roman" w:cs="Times New Roman" w:eastAsia="Times New Roman" w:hAnsi="Times New Roman"/>
          <w:sz w:val="21"/>
          <w:szCs w:val="21"/>
          <w:u w:val="single" w:color="auto"/>
          <w:color w:val="auto"/>
        </w:rPr>
        <w:t>Section 2(b)(i)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2(c)(i)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2(c)(ii)</w:t>
      </w:r>
      <w:r>
        <w:rPr>
          <w:rFonts w:ascii="Times New Roman" w:cs="Times New Roman" w:eastAsia="Times New Roman" w:hAnsi="Times New Roman"/>
          <w:sz w:val="21"/>
          <w:szCs w:val="21"/>
          <w:color w:val="auto"/>
        </w:rPr>
        <w:t xml:space="preserve"> not to be satisfied, and such violation, breach or inaccuracy has not been waived by Onity or cured by the Oaktree Parties or the Company, as applicable, within twenty (20) Business Days after receipt by the Oaktree Parties and the Company of written notice thereof from Onity;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written notice is received by the Oaktree Parties and the Company within twenty (20) Business Days of the Outside Date and such violation, breach or inaccuracy is capable of being cured within twenty (20) Business Days, then the Outside Date shall automatically be extended to the date that is twenty (20) Business Days following receipt of such written notice by the Oaktree Parties and the Company; or</w:t>
      </w:r>
    </w:p>
    <w:p>
      <w:pPr>
        <w:spacing w:after="0" w:line="76" w:lineRule="exact"/>
        <w:rPr>
          <w:rFonts w:ascii="Times New Roman" w:cs="Times New Roman" w:eastAsia="Times New Roman" w:hAnsi="Times New Roman"/>
          <w:sz w:val="21"/>
          <w:szCs w:val="21"/>
          <w:color w:val="auto"/>
        </w:rPr>
      </w:pPr>
    </w:p>
    <w:p>
      <w:pPr>
        <w:jc w:val="both"/>
        <w:ind w:left="740" w:hanging="616"/>
        <w:spacing w:after="0" w:line="253" w:lineRule="auto"/>
        <w:tabs>
          <w:tab w:leader="none" w:pos="736"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Oaktree Parties may terminate this Agreement (if the Oaktree Parties are not then in breach of their respective representations, warranties, covenants or agreements under this Agreement so as to cause any of the conditions set forth in </w:t>
      </w:r>
      <w:r>
        <w:rPr>
          <w:rFonts w:ascii="Times New Roman" w:cs="Times New Roman" w:eastAsia="Times New Roman" w:hAnsi="Times New Roman"/>
          <w:sz w:val="21"/>
          <w:szCs w:val="21"/>
          <w:u w:val="single" w:color="auto"/>
          <w:color w:val="auto"/>
        </w:rPr>
        <w:t>Sections 2(b)(i)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2(c)(i)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2(c)(ii)</w:t>
      </w:r>
      <w:r>
        <w:rPr>
          <w:rFonts w:ascii="Times New Roman" w:cs="Times New Roman" w:eastAsia="Times New Roman" w:hAnsi="Times New Roman"/>
          <w:sz w:val="21"/>
          <w:szCs w:val="21"/>
          <w:color w:val="auto"/>
        </w:rPr>
        <w:t xml:space="preserve"> not to be satisfied), upon written notice to Onity, if there has been a violation, breach or inaccuracy of any representation, warranty, covenant or agreement of Onity or PMC contained in this Agreement or any Transaction Agreement,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120"/>
          </w:cols>
          <w:pgMar w:left="1440" w:top="1440" w:right="339" w:bottom="1440" w:gutter="0" w:footer="0" w:header="0"/>
        </w:sectPr>
      </w:pPr>
    </w:p>
    <w:bookmarkStart w:id="167" w:name="page168"/>
    <w:bookmarkEnd w:id="167"/>
    <w:p>
      <w:pPr>
        <w:spacing w:after="0" w:line="32" w:lineRule="exact"/>
        <w:rPr>
          <w:sz w:val="20"/>
          <w:szCs w:val="20"/>
          <w:color w:val="auto"/>
        </w:rPr>
      </w:pPr>
    </w:p>
    <w:p>
      <w:pPr>
        <w:jc w:val="both"/>
        <w:ind w:left="1860"/>
        <w:spacing w:after="0" w:line="265" w:lineRule="auto"/>
        <w:rPr>
          <w:sz w:val="20"/>
          <w:szCs w:val="20"/>
          <w:color w:val="auto"/>
        </w:rPr>
      </w:pPr>
      <w:r>
        <w:rPr>
          <w:rFonts w:ascii="Times New Roman" w:cs="Times New Roman" w:eastAsia="Times New Roman" w:hAnsi="Times New Roman"/>
          <w:sz w:val="20"/>
          <w:szCs w:val="20"/>
          <w:color w:val="auto"/>
        </w:rPr>
        <w:t xml:space="preserve">violation, breach or inaccuracy would cause any of the conditions set forth in </w:t>
      </w:r>
      <w:r>
        <w:rPr>
          <w:rFonts w:ascii="Times New Roman" w:cs="Times New Roman" w:eastAsia="Times New Roman" w:hAnsi="Times New Roman"/>
          <w:sz w:val="20"/>
          <w:szCs w:val="20"/>
          <w:u w:val="single" w:color="auto"/>
          <w:color w:val="auto"/>
        </w:rPr>
        <w:t>Sections 2(a)(i)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2(c)(ii)</w:t>
      </w:r>
      <w:r>
        <w:rPr>
          <w:rFonts w:ascii="Times New Roman" w:cs="Times New Roman" w:eastAsia="Times New Roman" w:hAnsi="Times New Roman"/>
          <w:sz w:val="20"/>
          <w:szCs w:val="20"/>
          <w:color w:val="auto"/>
        </w:rPr>
        <w:t xml:space="preserve"> not to be satisfied, and such violation, breach or inaccuracy has not been waived by the Oaktree Parties or cured by Onity or PMC, as applicable, within twenty (20) Business Days after receipt by Onity and PMC of written notice thereof from the Oaktree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written notice is received by Onity and PMC within twenty (20) Business Days of the Outside Date and such violation, breach or inaccuracy is capable of being cured within twenty (20) Business Days, then the Outside Date shall automatically be extended to the date that is twenty (20) Business Days following receipt of such written notice by Onity and PMC.</w:t>
      </w:r>
    </w:p>
    <w:p>
      <w:pPr>
        <w:spacing w:after="0" w:line="57" w:lineRule="exact"/>
        <w:rPr>
          <w:sz w:val="20"/>
          <w:szCs w:val="20"/>
          <w:color w:val="auto"/>
        </w:rPr>
      </w:pPr>
    </w:p>
    <w:p>
      <w:pPr>
        <w:jc w:val="both"/>
        <w:ind w:left="1240" w:hanging="616"/>
        <w:spacing w:after="0" w:line="253" w:lineRule="auto"/>
        <w:tabs>
          <w:tab w:leader="none" w:pos="1236"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xml:space="preserve">. If this Agreement is terminated by the Parties in accordance with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hereof, this Agreement shall become void and of no further force and effect and there shall be no liability on the part of any Party to any other Party, except that (i) the provisions of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6(c)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16</w:t>
      </w:r>
      <w:r>
        <w:rPr>
          <w:rFonts w:ascii="Times New Roman" w:cs="Times New Roman" w:eastAsia="Times New Roman" w:hAnsi="Times New Roman"/>
          <w:sz w:val="21"/>
          <w:szCs w:val="21"/>
          <w:color w:val="auto"/>
        </w:rPr>
        <w:t xml:space="preserve"> shall remain in full force and effect and (ii) no such termination shall relieve any Party of material and willful breach of this Agreement prior to termination.</w:t>
      </w:r>
    </w:p>
    <w:p>
      <w:pPr>
        <w:spacing w:after="0" w:line="70"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w:t>
      </w:r>
    </w:p>
    <w:p>
      <w:pPr>
        <w:spacing w:after="0" w:line="103" w:lineRule="exact"/>
        <w:rPr>
          <w:sz w:val="20"/>
          <w:szCs w:val="20"/>
          <w:color w:val="auto"/>
        </w:rPr>
      </w:pPr>
    </w:p>
    <w:p>
      <w:pPr>
        <w:jc w:val="both"/>
        <w:ind w:firstLine="624"/>
        <w:spacing w:after="0" w:line="253" w:lineRule="auto"/>
        <w:tabs>
          <w:tab w:leader="none" w:pos="1240" w:val="left"/>
        </w:tabs>
        <w:numPr>
          <w:ilvl w:val="0"/>
          <w:numId w:val="1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Specific Performance</w:t>
      </w:r>
      <w:r>
        <w:rPr>
          <w:rFonts w:ascii="Times New Roman" w:cs="Times New Roman" w:eastAsia="Times New Roman" w:hAnsi="Times New Roman"/>
          <w:sz w:val="21"/>
          <w:szCs w:val="21"/>
          <w:color w:val="auto"/>
        </w:rPr>
        <w:t>. Each of the Parties agree that this Agreement is intended to be legally binding and specifically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enforceable pursuant to its terms and that the Parties would be irreparably harmed if any of the provisions of the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injunctive relief without the posting of any bond to prevent breaches of this Agreement and to specifically enforce the terms and provisions hereof;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no Person other than Onity or PMC may bring a claim to cause Oaktree Parties to effect the Closing.</w:t>
      </w:r>
    </w:p>
    <w:p>
      <w:pPr>
        <w:spacing w:after="0" w:line="65" w:lineRule="exact"/>
        <w:rPr>
          <w:rFonts w:ascii="Times New Roman" w:cs="Times New Roman" w:eastAsia="Times New Roman" w:hAnsi="Times New Roman"/>
          <w:sz w:val="21"/>
          <w:szCs w:val="21"/>
          <w:b w:val="1"/>
          <w:bCs w:val="1"/>
          <w:color w:val="auto"/>
        </w:rPr>
      </w:pPr>
    </w:p>
    <w:p>
      <w:pPr>
        <w:jc w:val="both"/>
        <w:ind w:firstLine="624"/>
        <w:spacing w:after="0" w:line="254" w:lineRule="auto"/>
        <w:tabs>
          <w:tab w:leader="none" w:pos="1240" w:val="left"/>
        </w:tabs>
        <w:numPr>
          <w:ilvl w:val="0"/>
          <w:numId w:val="1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All notices, requests, demands and other communications which are required or permitted to be given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in writing and shall be deemed to have been duly given upon the mailing thereof, sent by registered or certified mail, return receipt requested, or nationally recognized overnight delivery service, or if sent by email, on the date of transmission (provided, that notices sent by email shall only be effective upon transmission if such notices are also delivered via nationally recognized overnight delivery service within one (1) Business Day of such email transmission).</w:t>
      </w:r>
    </w:p>
    <w:p>
      <w:pPr>
        <w:spacing w:after="0" w:line="70" w:lineRule="exact"/>
        <w:rPr>
          <w:sz w:val="20"/>
          <w:szCs w:val="20"/>
          <w:color w:val="auto"/>
        </w:rPr>
      </w:pPr>
    </w:p>
    <w:p>
      <w:pPr>
        <w:ind w:left="1240" w:hanging="616"/>
        <w:spacing w:after="0"/>
        <w:tabs>
          <w:tab w:leader="none" w:pos="124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Onity:</w:t>
      </w:r>
    </w:p>
    <w:p>
      <w:pPr>
        <w:spacing w:after="0" w:line="107"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Onity Group Inc.</w:t>
      </w:r>
    </w:p>
    <w:p>
      <w:pPr>
        <w:spacing w:after="0" w:line="26"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1661 Worthington Road, Suite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West Palm Beach, FL 33409</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Aaron Wade</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 Address: [*]</w:t>
      </w:r>
    </w:p>
    <w:p>
      <w:pPr>
        <w:spacing w:after="0" w:line="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and a copy to:</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General Counsel, Onity Group Inc.</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1661 Worthington Road, Suite 100</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West Palm Beach, FL 33409</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Joseph Samarias</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 Address: [*]</w:t>
      </w:r>
    </w:p>
    <w:p>
      <w:pPr>
        <w:spacing w:after="0" w:line="2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and a copy to:</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Mayer Brown</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1999 K Street NW</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Washington, DC 20006</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Lauren B. Pryor</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 Address: lpryor@mayerbrown.com</w:t>
      </w:r>
    </w:p>
    <w:p>
      <w:pPr>
        <w:spacing w:after="0" w:line="98" w:lineRule="exact"/>
        <w:rPr>
          <w:sz w:val="20"/>
          <w:szCs w:val="20"/>
          <w:color w:val="auto"/>
        </w:rPr>
      </w:pPr>
    </w:p>
    <w:p>
      <w:pPr>
        <w:ind w:left="1240" w:hanging="616"/>
        <w:spacing w:after="0"/>
        <w:tabs>
          <w:tab w:leader="none" w:pos="124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Oaktree Parties or the Company:</w:t>
      </w:r>
    </w:p>
    <w:p>
      <w:pPr>
        <w:spacing w:after="0" w:line="107"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 Oaktree Capital Management, L.P.</w:t>
      </w:r>
    </w:p>
    <w:p>
      <w:pPr>
        <w:spacing w:after="0" w:line="26" w:lineRule="exact"/>
        <w:rPr>
          <w:rFonts w:ascii="Times New Roman" w:cs="Times New Roman" w:eastAsia="Times New Roman" w:hAnsi="Times New Roman"/>
          <w:sz w:val="21"/>
          <w:szCs w:val="21"/>
          <w:color w:val="auto"/>
        </w:rPr>
      </w:pPr>
    </w:p>
    <w:p>
      <w:pPr>
        <w:ind w:left="1240" w:right="730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333 S.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Los Angeles, CA 90071</w:t>
      </w: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Attn:   Cary Kleinman and Jordan Mikes</w:t>
      </w:r>
    </w:p>
    <w:p>
      <w:pPr>
        <w:spacing w:after="0" w:line="16" w:lineRule="exact"/>
        <w:rPr>
          <w:rFonts w:ascii="Times New Roman" w:cs="Times New Roman" w:eastAsia="Times New Roman" w:hAnsi="Times New Roman"/>
          <w:sz w:val="21"/>
          <w:szCs w:val="21"/>
          <w:color w:val="auto"/>
        </w:rPr>
      </w:pPr>
    </w:p>
    <w:p>
      <w:pPr>
        <w:ind w:left="1240" w:right="7820"/>
        <w:spacing w:after="0" w:line="3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Address: [*]; [*] and a copy to:</w:t>
      </w:r>
    </w:p>
    <w:p>
      <w:pPr>
        <w:spacing w:after="0" w:line="1" w:lineRule="exact"/>
        <w:rPr>
          <w:rFonts w:ascii="Times New Roman" w:cs="Times New Roman" w:eastAsia="Times New Roman" w:hAnsi="Times New Roman"/>
          <w:sz w:val="21"/>
          <w:szCs w:val="21"/>
          <w:color w:val="auto"/>
        </w:rPr>
      </w:pPr>
    </w:p>
    <w:p>
      <w:pPr>
        <w:ind w:left="1240" w:right="606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Paul, Weiss, Rifkind, Wharton &amp; Garrison LLP 1285 Avenue of the Americas</w:t>
      </w: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York, New York 10019</w:t>
      </w:r>
    </w:p>
    <w:p>
      <w:pPr>
        <w:spacing w:after="0" w:line="16"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Attn:   Kenneth M. Schneider, Esq. and Brian Bolin, Esq.</w:t>
      </w:r>
    </w:p>
    <w:p>
      <w:pPr>
        <w:spacing w:after="0" w:line="85" w:lineRule="exact"/>
        <w:rPr>
          <w:rFonts w:ascii="Times New Roman" w:cs="Times New Roman" w:eastAsia="Times New Roman" w:hAnsi="Times New Roman"/>
          <w:sz w:val="21"/>
          <w:szCs w:val="21"/>
          <w:color w:val="auto"/>
        </w:rPr>
      </w:pPr>
    </w:p>
    <w:p>
      <w:pPr>
        <w:ind w:left="1240" w:right="600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Address: kschneider@paulweiss.com; bbolin@paulweiss.com</w:t>
      </w:r>
    </w:p>
    <w:p>
      <w:pPr>
        <w:spacing w:after="0" w:line="47" w:lineRule="exact"/>
        <w:rPr>
          <w:sz w:val="20"/>
          <w:szCs w:val="20"/>
          <w:color w:val="auto"/>
        </w:rPr>
      </w:pPr>
    </w:p>
    <w:p>
      <w:pPr>
        <w:jc w:val="both"/>
        <w:ind w:firstLine="624"/>
        <w:spacing w:after="0" w:line="258" w:lineRule="auto"/>
        <w:tabs>
          <w:tab w:leader="none" w:pos="1240"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Third Party Beneficiaries</w:t>
      </w:r>
      <w:r>
        <w:rPr>
          <w:rFonts w:ascii="Times New Roman" w:cs="Times New Roman" w:eastAsia="Times New Roman" w:hAnsi="Times New Roman"/>
          <w:sz w:val="21"/>
          <w:szCs w:val="21"/>
          <w:color w:val="auto"/>
        </w:rPr>
        <w:t>. This Agreement shall inure to the benefit of and be binding upon the Parties hereto and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respective successors and permitted assigns. Nothing in this Agreement, express or implied, is intended to confer on any Person other than the Parties hereto and their successors and permitted assigns any rights, obligations, remedies or liabilities; provided that the Non-Recourse Parties shall be express third party beneficiaries of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w:t>
      </w:r>
    </w:p>
    <w:p>
      <w:pPr>
        <w:spacing w:after="0" w:line="59" w:lineRule="exact"/>
        <w:rPr>
          <w:rFonts w:ascii="Times New Roman" w:cs="Times New Roman" w:eastAsia="Times New Roman" w:hAnsi="Times New Roman"/>
          <w:sz w:val="21"/>
          <w:szCs w:val="21"/>
          <w:b w:val="1"/>
          <w:bCs w:val="1"/>
          <w:color w:val="auto"/>
        </w:rPr>
      </w:pPr>
    </w:p>
    <w:p>
      <w:pPr>
        <w:jc w:val="both"/>
        <w:ind w:firstLine="624"/>
        <w:spacing w:after="0" w:line="258" w:lineRule="auto"/>
        <w:tabs>
          <w:tab w:leader="none" w:pos="1240"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 Amendments</w:t>
      </w:r>
      <w:r>
        <w:rPr>
          <w:rFonts w:ascii="Times New Roman" w:cs="Times New Roman" w:eastAsia="Times New Roman" w:hAnsi="Times New Roman"/>
          <w:sz w:val="21"/>
          <w:szCs w:val="21"/>
          <w:color w:val="auto"/>
        </w:rPr>
        <w:t>. This Agreement and the Transaction Agreements, including all documents, exhibits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schedules incorporated by reference herein or therein, constitutes the entire agreement between the Parties with respect to the transactions contemplated hereby and thereby and supersedes all prior agreements, written or oral, with respect thereto. This Agreement and any schedules hereto may be amended only if such amendment is agreed to in writing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7" w:lineRule="exact"/>
        <w:rPr>
          <w:sz w:val="20"/>
          <w:szCs w:val="20"/>
          <w:color w:val="auto"/>
        </w:rPr>
      </w:pPr>
    </w:p>
    <w:p>
      <w:pPr>
        <w:jc w:val="both"/>
        <w:ind w:firstLine="624"/>
        <w:spacing w:after="0" w:line="258" w:lineRule="auto"/>
        <w:tabs>
          <w:tab w:leader="none" w:pos="1229"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IN ACCORDANCE WITH THE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NEW YORK AND THE OBLIGATIONS, RIGHTS AND REMEDIES HEREUNDER SHALL BE DETERMINED IN ACCORDANCE WITH THE LAWS OF THE STATE OF NEW YORK, WITHOUT REGARD TO CONFLICTS OF LAWS PRINCIPLES.</w:t>
      </w:r>
    </w:p>
    <w:p>
      <w:pPr>
        <w:spacing w:after="0" w:line="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0"/>
          <w:szCs w:val="20"/>
          <w:color w:val="auto"/>
        </w:rPr>
        <w:t>ANY LEGAL ACTION, SUIT OR OTHER PROCEEDING ARISING OUT OF, OR IN ANY WAY CONNECTED WITH, THIS AGREEMENT SHALL BE BROUGHT IN THE COURTS OF THE STATE OF NEW YORK, OR IN THE UNITED STATES COURTS FOR THE SOUTHERN DISTRICT OF NEW YORK. WITH RESPECT TO ANY SUCH PROCEEDING IN ANY SUCH COURT: (A) EACH PARTY GENERALLY AND UNCONDITIONALLY SUBMITS ITSELF AND ITS PROPERTY TO THE EXCLUSIVE JURISDICTION OF SUCH COURT; AND (B) EACH PARTY WAIVES, TO THE FULLEST EXTENT PERMITTED BY LAW, ANY OBJECTION IT HAS OR HEREAFTER MAY HAVE TO THE VENUE OF SUCH PROCEEDING, AS WELL AS ANY CLAIM IT HAS OR MAY HAVE THAT SUCH PROCEEDING IS IN AN INCONVENIENT FORUM.</w:t>
      </w:r>
    </w:p>
    <w:p>
      <w:pPr>
        <w:spacing w:after="0" w:line="53" w:lineRule="exact"/>
        <w:rPr>
          <w:sz w:val="20"/>
          <w:szCs w:val="20"/>
          <w:color w:val="auto"/>
        </w:rPr>
      </w:pPr>
    </w:p>
    <w:p>
      <w:pPr>
        <w:jc w:val="both"/>
        <w:ind w:firstLine="624"/>
        <w:spacing w:after="0" w:line="258" w:lineRule="auto"/>
        <w:tabs>
          <w:tab w:leader="none" w:pos="124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Onity or the Oaktree Parties may, by written notice to the other, waive compliance with any of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conditions or covenants required to be complied with by the other hereunder; and waive or modify performance of any of the obligations of the other hereunder. The waiver by Onity or the Oaktree Parties of a breach of any provision of this Agreement shall not operate or be construed as a waiver of any subsequent breach.</w:t>
      </w:r>
    </w:p>
    <w:p>
      <w:pPr>
        <w:spacing w:after="0" w:line="59" w:lineRule="exact"/>
        <w:rPr>
          <w:rFonts w:ascii="Times New Roman" w:cs="Times New Roman" w:eastAsia="Times New Roman" w:hAnsi="Times New Roman"/>
          <w:sz w:val="21"/>
          <w:szCs w:val="21"/>
          <w:b w:val="1"/>
          <w:bCs w:val="1"/>
          <w:color w:val="auto"/>
        </w:rPr>
      </w:pPr>
    </w:p>
    <w:p>
      <w:pPr>
        <w:jc w:val="both"/>
        <w:ind w:firstLine="624"/>
        <w:spacing w:after="0" w:line="278" w:lineRule="auto"/>
        <w:tabs>
          <w:tab w:leader="none" w:pos="124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 OF TRIAL BY JURY</w:t>
      </w:r>
      <w:r>
        <w:rPr>
          <w:rFonts w:ascii="Times New Roman" w:cs="Times New Roman" w:eastAsia="Times New Roman" w:hAnsi="Times New Roman"/>
          <w:sz w:val="20"/>
          <w:szCs w:val="20"/>
          <w:color w:val="auto"/>
        </w:rPr>
        <w:t>. EACH PARTY KNOWINGLY, VOLUNTARILY AND INTENTIONALLY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WAIVES TO THE FULLEST EXTENT PERMITTED BY LAW ANY RIGHT IT MAY HAVE TO A TRIAL BY JURY OF ANY DISPUTE ARISING UNDER OR RELATING TO THIS AGREEMENT OR THE TRANSACTIONS CONTEMPLATED HEREBY.</w:t>
      </w:r>
    </w:p>
    <w:p>
      <w:pPr>
        <w:spacing w:after="0" w:line="40" w:lineRule="exact"/>
        <w:rPr>
          <w:rFonts w:ascii="Times New Roman" w:cs="Times New Roman" w:eastAsia="Times New Roman" w:hAnsi="Times New Roman"/>
          <w:sz w:val="20"/>
          <w:szCs w:val="20"/>
          <w:b w:val="1"/>
          <w:bCs w:val="1"/>
          <w:color w:val="auto"/>
        </w:rPr>
      </w:pPr>
    </w:p>
    <w:p>
      <w:pPr>
        <w:ind w:firstLine="624"/>
        <w:spacing w:after="0" w:line="287" w:lineRule="auto"/>
        <w:tabs>
          <w:tab w:leader="none" w:pos="124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 Headings of the Articles and Sections in this Agreement are for reference purposes only and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have any substantive effect.</w:t>
      </w:r>
    </w:p>
    <w:p>
      <w:pPr>
        <w:spacing w:after="0" w:line="29" w:lineRule="exact"/>
        <w:rPr>
          <w:rFonts w:ascii="Times New Roman" w:cs="Times New Roman" w:eastAsia="Times New Roman" w:hAnsi="Times New Roman"/>
          <w:sz w:val="21"/>
          <w:szCs w:val="21"/>
          <w:b w:val="1"/>
          <w:bCs w:val="1"/>
          <w:color w:val="auto"/>
        </w:rPr>
      </w:pPr>
    </w:p>
    <w:p>
      <w:pPr>
        <w:jc w:val="both"/>
        <w:ind w:firstLine="624"/>
        <w:spacing w:after="0" w:line="249" w:lineRule="auto"/>
        <w:tabs>
          <w:tab w:leader="none" w:pos="124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and by the different Parties hereto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separate counterparts, each of which, when so executed, shall be deemed to be an original; such counterparts, together, shall constitute one and the same agreement. This Agreement shall inure to the benefit of and be binding upon the Parties and their respective permitted successors and assigns. A signature on a copy of this Agreement received by either Party by facsimile or portable document format (PDF) is binding upon the other Party as an original. The Parties shall treat a photocopy of such facsimile or PDF as a duplicate original. The Parties agree that a secured electronic signature process is acceptable and binding. This Agreement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8" w:lineRule="exact"/>
        <w:rPr>
          <w:sz w:val="20"/>
          <w:szCs w:val="20"/>
          <w:color w:val="auto"/>
        </w:rPr>
      </w:pPr>
    </w:p>
    <w:p>
      <w:pPr>
        <w:jc w:val="both"/>
        <w:ind w:firstLine="624"/>
        <w:spacing w:after="0" w:line="248" w:lineRule="auto"/>
        <w:tabs>
          <w:tab w:leader="none" w:pos="124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Non-Recourse</w:t>
      </w:r>
      <w:r>
        <w:rPr>
          <w:rFonts w:ascii="Times New Roman" w:cs="Times New Roman" w:eastAsia="Times New Roman" w:hAnsi="Times New Roman"/>
          <w:sz w:val="21"/>
          <w:szCs w:val="21"/>
          <w:color w:val="auto"/>
        </w:rPr>
        <w:t>. Notwithstanding anything in this Agreement to the contrary, this Agreement may only be enforced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and any action for breach of such Agreement may only be made against, in each case, a Person who is expressly identified as a party to this Agreement and their respective successors and permitted assigns, and none of the current or former officers and directors, members, managers, agents, employees, partners, equityholders, advisors or representatives of such Persons or any of their respective Affiliates (including direct or indirect equityholders of Onity or any Oaktree Party or any of their respective Affiliates or any investment fund, vehicle or holding company that is directly or indirectly affiliated with, or managed or advised by, any of the foregoing Persons) (each, a “</w:t>
      </w:r>
      <w:r>
        <w:rPr>
          <w:rFonts w:ascii="Times New Roman" w:cs="Times New Roman" w:eastAsia="Times New Roman" w:hAnsi="Times New Roman"/>
          <w:sz w:val="21"/>
          <w:szCs w:val="21"/>
          <w:u w:val="single" w:color="auto"/>
          <w:color w:val="auto"/>
        </w:rPr>
        <w:t>Non-Recourse Party</w:t>
      </w:r>
      <w:r>
        <w:rPr>
          <w:rFonts w:ascii="Times New Roman" w:cs="Times New Roman" w:eastAsia="Times New Roman" w:hAnsi="Times New Roman"/>
          <w:sz w:val="21"/>
          <w:szCs w:val="21"/>
          <w:color w:val="auto"/>
        </w:rPr>
        <w:t>”) who are not parties to this Agreement, shall have any obligation or liability for any losses, liabilities, damages or obligations of any kind of any of the parties to this Agreement (whether in tort, contract or otherwise) for breach of the Agreement, or be considered a successor or assign of any Party for any purpose hereunder. No Person shall have any rights of recovery in respect of the Agreement against any Non-Recourse Party that is not party to the Agreement, and no personal liability shall attach to any Non-Recourse Party that is not party to the Agreement through any affiliated Person who is party hereto, or otherwise, whether by or through attempted piercing of the corporate veil, by or through an action (whether in tort, contract or otherwise), by the enforcement of any judgment, fine or penalty or by virtue of any statute, regulation or other applicable Law or otherwise.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171" w:name="page172"/>
    <w:bookmarkEnd w:id="171"/>
    <w:p>
      <w:pPr>
        <w:ind w:firstLine="620"/>
        <w:spacing w:after="0" w:line="270" w:lineRule="auto"/>
        <w:rPr>
          <w:sz w:val="20"/>
          <w:szCs w:val="20"/>
          <w:color w:val="auto"/>
        </w:rPr>
      </w:pPr>
      <w:r>
        <w:rPr>
          <w:rFonts w:ascii="Times New Roman" w:cs="Times New Roman" w:eastAsia="Times New Roman" w:hAnsi="Times New Roman"/>
          <w:sz w:val="21"/>
          <w:szCs w:val="21"/>
          <w:color w:val="auto"/>
        </w:rPr>
        <w:t>IN WITNESS WHEREOF, the parties hereto, each intending to be legally bound hereby, have caused this Transaction Agreement to be executed as of the date first above written.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ONITY GROUP INC.</w:t>
      </w:r>
    </w:p>
    <w:p>
      <w:pPr>
        <w:spacing w:after="0" w:line="200" w:lineRule="exact"/>
        <w:rPr>
          <w:sz w:val="20"/>
          <w:szCs w:val="20"/>
          <w:color w:val="auto"/>
        </w:rPr>
      </w:pPr>
    </w:p>
    <w:p>
      <w:pPr>
        <w:spacing w:after="0" w:line="2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2249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Sean B. O’Neil</w:t>
      </w:r>
    </w:p>
    <w:p>
      <w:pPr>
        <w:spacing w:after="0" w:line="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OCW MAV HOLDINGS, LLC</w:t>
      </w:r>
    </w:p>
    <w:p>
      <w:pPr>
        <w:spacing w:after="0" w:line="2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LLC</w:t>
      </w:r>
    </w:p>
    <w:p>
      <w:pPr>
        <w:spacing w:after="0" w:line="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Manager</w:t>
      </w:r>
    </w:p>
    <w:p>
      <w:pPr>
        <w:spacing w:after="0" w:line="2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I, L.P.</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Managing Member</w:t>
      </w:r>
    </w:p>
    <w:p>
      <w:pPr>
        <w:spacing w:after="0" w:line="200" w:lineRule="exact"/>
        <w:rPr>
          <w:sz w:val="20"/>
          <w:szCs w:val="20"/>
          <w:color w:val="auto"/>
        </w:rPr>
      </w:pP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2249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Cary Kleinman</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30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Jordan Mikes</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11240"/>
          </w:cols>
          <w:pgMar w:left="320" w:top="136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ROF8 OCW HOLDINGS, LLC</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LLC</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General Partner</w:t>
      </w:r>
    </w:p>
    <w:p>
      <w:pPr>
        <w:spacing w:after="0" w:line="22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I, L.P.</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Managing Member</w:t>
      </w:r>
    </w:p>
    <w:p>
      <w:pPr>
        <w:spacing w:after="0" w:line="200" w:lineRule="exact"/>
        <w:rPr>
          <w:sz w:val="20"/>
          <w:szCs w:val="20"/>
          <w:color w:val="auto"/>
        </w:rPr>
      </w:pP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2249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Cary Kleinman</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0718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Jason Keller</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OPPS OCW HOLDINGS, LLC</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LLC</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General Partner</w:t>
      </w:r>
    </w:p>
    <w:p>
      <w:pPr>
        <w:spacing w:after="0" w:line="22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I, L.P.</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Managing Member</w:t>
      </w:r>
    </w:p>
    <w:p>
      <w:pPr>
        <w:spacing w:after="0" w:line="200" w:lineRule="exact"/>
        <w:rPr>
          <w:sz w:val="20"/>
          <w:szCs w:val="20"/>
          <w:color w:val="auto"/>
        </w:rPr>
      </w:pP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303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Jordan Mikes</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Dante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664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Name:</w:t>
        <w:tab/>
        <w:t>Dante Quazzo</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ectPr>
          <w:pgSz w:w="11900" w:h="16838" w:orient="portrait"/>
          <w:cols w:equalWidth="0" w:num="1">
            <w:col w:w="10139"/>
          </w:cols>
          <w:pgMar w:left="320" w:top="1364"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MAV CANOPY HOLDCO I, LLC</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LLC</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General Partner</w:t>
      </w:r>
    </w:p>
    <w:p>
      <w:pPr>
        <w:spacing w:after="0" w:line="22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Oaktree Fund GP I, L.P.</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Its:</w:t>
        <w:tab/>
        <w:t>Managing Member</w:t>
      </w:r>
    </w:p>
    <w:p>
      <w:pPr>
        <w:spacing w:after="0" w:line="200" w:lineRule="exact"/>
        <w:rPr>
          <w:sz w:val="20"/>
          <w:szCs w:val="20"/>
          <w:color w:val="auto"/>
        </w:rPr>
      </w:pP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30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Jordan Mikes</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Dante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664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Name:</w:t>
        <w:tab/>
        <w:t>Dante Quazzo</w:t>
      </w:r>
    </w:p>
    <w:p>
      <w:pPr>
        <w:spacing w:after="0" w:line="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MSR ASSET VEHICLE LLC</w:t>
      </w:r>
    </w:p>
    <w:p>
      <w:pPr>
        <w:spacing w:after="0" w:line="200" w:lineRule="exact"/>
        <w:rPr>
          <w:sz w:val="20"/>
          <w:szCs w:val="20"/>
          <w:color w:val="auto"/>
        </w:rPr>
      </w:pPr>
    </w:p>
    <w:p>
      <w:pPr>
        <w:spacing w:after="0" w:line="27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Nikhil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-13335</wp:posOffset>
            </wp:positionV>
            <wp:extent cx="11010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Nikhil Malik</w:t>
      </w:r>
    </w:p>
    <w:p>
      <w:pPr>
        <w:spacing w:after="0" w:line="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President and CEO</w:t>
      </w:r>
    </w:p>
    <w:p>
      <w:pPr>
        <w:sectPr>
          <w:pgSz w:w="11900" w:h="16838" w:orient="portrait"/>
          <w:cols w:equalWidth="0" w:num="1">
            <w:col w:w="10139"/>
          </w:cols>
          <w:pgMar w:left="320" w:top="1364" w:right="1440"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COMPANY PERMITS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B</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INVESTOR FINANCING FACILITIES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ASA SERVICES; TSA TERMS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AGREEMENT AMENDMENT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[Filed separately]</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INTEREST REDEMPTION AGREEMENT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[Filed separately]</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A&amp;R SSA</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364" w:right="1440"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TO WARRANT CERTIFICATES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[Filed separately]</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OMNIBUS AMENDMENT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SIDE LETTER</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REQUIRED REGULATORY APPROVALS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364" w:right="1440" w:bottom="1440" w:gutter="0" w:footer="0" w:header="0"/>
        </w:sectPr>
      </w:pPr>
    </w:p>
    <w:bookmarkStart w:id="176" w:name="page177"/>
    <w:bookmarkEnd w:id="176"/>
    <w:p>
      <w:pPr>
        <w:spacing w:after="0" w:line="2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1"/>
          <w:szCs w:val="21"/>
          <w:i w:val="1"/>
          <w:iCs w:val="1"/>
          <w:color w:val="auto"/>
        </w:rPr>
        <w:t>Certain information marked by [*]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1384935</wp:posOffset>
            </wp:positionV>
            <wp:extent cx="713803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Onity Group Inc.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Senior Secured Notes due 2027</w:t>
      </w: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Note and Warrant Purchase Agreement</w:t>
      </w:r>
    </w:p>
    <w:p>
      <w:pPr>
        <w:spacing w:after="0" w:line="1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633730</wp:posOffset>
            </wp:positionV>
            <wp:extent cx="713803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80"/>
          </w:cols>
          <w:pgMar w:left="600" w:top="1440" w:right="619" w:bottom="1440" w:gutter="0" w:footer="0" w:header="0"/>
        </w:sectPr>
      </w:pPr>
    </w:p>
    <w:bookmarkStart w:id="177" w:name="page178"/>
    <w:bookmarkEnd w:id="177"/>
    <w:p>
      <w:pPr>
        <w:spacing w:after="0" w:line="28"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This Amendment No. 1, dated as of September 30, 2024 (this “</w:t>
      </w:r>
      <w:r>
        <w:rPr>
          <w:rFonts w:ascii="Times New Roman" w:cs="Times New Roman" w:eastAsia="Times New Roman" w:hAnsi="Times New Roman"/>
          <w:sz w:val="21"/>
          <w:szCs w:val="21"/>
          <w:i w:val="1"/>
          <w:iCs w:val="1"/>
          <w:color w:val="auto"/>
        </w:rPr>
        <w:t>Amendment</w:t>
      </w:r>
      <w:r>
        <w:rPr>
          <w:rFonts w:ascii="Times New Roman" w:cs="Times New Roman" w:eastAsia="Times New Roman" w:hAnsi="Times New Roman"/>
          <w:sz w:val="21"/>
          <w:szCs w:val="21"/>
          <w:color w:val="auto"/>
        </w:rPr>
        <w:t>”) among and between Onity Group Inc., a corporation organized under the laws of Florida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Oaktree Fund Administration, LLC, in its capacity as collateral agent (the “</w:t>
      </w:r>
      <w:r>
        <w:rPr>
          <w:rFonts w:ascii="Times New Roman" w:cs="Times New Roman" w:eastAsia="Times New Roman" w:hAnsi="Times New Roman"/>
          <w:sz w:val="21"/>
          <w:szCs w:val="21"/>
          <w:i w:val="1"/>
          <w:iCs w:val="1"/>
          <w:color w:val="auto"/>
        </w:rPr>
        <w:t>Collateral Agent</w:t>
      </w:r>
      <w:r>
        <w:rPr>
          <w:rFonts w:ascii="Times New Roman" w:cs="Times New Roman" w:eastAsia="Times New Roman" w:hAnsi="Times New Roman"/>
          <w:sz w:val="21"/>
          <w:szCs w:val="21"/>
          <w:color w:val="auto"/>
        </w:rPr>
        <w:t>”), and Opps OCW Holdings, LLC, a Delaware limited liability company (“</w:t>
      </w:r>
      <w:r>
        <w:rPr>
          <w:rFonts w:ascii="Times New Roman" w:cs="Times New Roman" w:eastAsia="Times New Roman" w:hAnsi="Times New Roman"/>
          <w:sz w:val="21"/>
          <w:szCs w:val="21"/>
          <w:i w:val="1"/>
          <w:iCs w:val="1"/>
          <w:color w:val="auto"/>
        </w:rPr>
        <w:t>Opps</w:t>
      </w:r>
      <w:r>
        <w:rPr>
          <w:rFonts w:ascii="Times New Roman" w:cs="Times New Roman" w:eastAsia="Times New Roman" w:hAnsi="Times New Roman"/>
          <w:sz w:val="21"/>
          <w:szCs w:val="21"/>
          <w:color w:val="auto"/>
        </w:rPr>
        <w:t>”) and ROF8 OCW Holdings, LLC, a Delaware limited liability company (“</w:t>
      </w:r>
      <w:r>
        <w:rPr>
          <w:rFonts w:ascii="Times New Roman" w:cs="Times New Roman" w:eastAsia="Times New Roman" w:hAnsi="Times New Roman"/>
          <w:sz w:val="21"/>
          <w:szCs w:val="21"/>
          <w:i w:val="1"/>
          <w:iCs w:val="1"/>
          <w:color w:val="auto"/>
        </w:rPr>
        <w:t>ROF8</w:t>
      </w:r>
      <w:r>
        <w:rPr>
          <w:rFonts w:ascii="Times New Roman" w:cs="Times New Roman" w:eastAsia="Times New Roman" w:hAnsi="Times New Roman"/>
          <w:sz w:val="21"/>
          <w:szCs w:val="21"/>
          <w:color w:val="auto"/>
        </w:rPr>
        <w:t>” and together with Opps, the “</w:t>
      </w:r>
      <w:r>
        <w:rPr>
          <w:rFonts w:ascii="Times New Roman" w:cs="Times New Roman" w:eastAsia="Times New Roman" w:hAnsi="Times New Roman"/>
          <w:sz w:val="21"/>
          <w:szCs w:val="21"/>
          <w:i w:val="1"/>
          <w:iCs w:val="1"/>
          <w:color w:val="auto"/>
        </w:rPr>
        <w:t>Holders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i w:val="1"/>
          <w:iCs w:val="1"/>
          <w:color w:val="auto"/>
        </w:rPr>
        <w:t>Holder</w:t>
      </w:r>
      <w:r>
        <w:rPr>
          <w:rFonts w:ascii="Times New Roman" w:cs="Times New Roman" w:eastAsia="Times New Roman" w:hAnsi="Times New Roman"/>
          <w:sz w:val="21"/>
          <w:szCs w:val="21"/>
          <w:color w:val="auto"/>
        </w:rPr>
        <w:t>”) amends certain provisions of that certain Note and Warrant Purchase Agreement, dated as of February 9, 2021 (the “</w:t>
      </w:r>
      <w:r>
        <w:rPr>
          <w:rFonts w:ascii="Times New Roman" w:cs="Times New Roman" w:eastAsia="Times New Roman" w:hAnsi="Times New Roman"/>
          <w:sz w:val="21"/>
          <w:szCs w:val="21"/>
          <w:i w:val="1"/>
          <w:iCs w:val="1"/>
          <w:color w:val="auto"/>
        </w:rPr>
        <w:t>Purchase Agreement</w:t>
      </w:r>
      <w:r>
        <w:rPr>
          <w:rFonts w:ascii="Times New Roman" w:cs="Times New Roman" w:eastAsia="Times New Roman" w:hAnsi="Times New Roman"/>
          <w:sz w:val="21"/>
          <w:szCs w:val="21"/>
          <w:color w:val="auto"/>
        </w:rPr>
        <w:t>”), among the Company, the Holders and the Collateral Agent, as herein after set forth. Any capitalized term used herein that is not otherwise defined has the meaning ascribed to such term in the Purchase Agreement.</w:t>
      </w:r>
    </w:p>
    <w:p>
      <w:pPr>
        <w:spacing w:after="0" w:line="7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WHEREAS, the Company is contemplating a debt financing through the offering, issuance and sale of senior secured notes (the “</w:t>
      </w:r>
      <w:r>
        <w:rPr>
          <w:rFonts w:ascii="Times New Roman" w:cs="Times New Roman" w:eastAsia="Times New Roman" w:hAnsi="Times New Roman"/>
          <w:sz w:val="21"/>
          <w:szCs w:val="21"/>
          <w:i w:val="1"/>
          <w:iCs w:val="1"/>
          <w:color w:val="auto"/>
        </w:rPr>
        <w:t>New First Lien PHH Notes</w:t>
      </w:r>
      <w:r>
        <w:rPr>
          <w:rFonts w:ascii="Times New Roman" w:cs="Times New Roman" w:eastAsia="Times New Roman" w:hAnsi="Times New Roman"/>
          <w:sz w:val="21"/>
          <w:szCs w:val="21"/>
          <w:color w:val="auto"/>
        </w:rPr>
        <w:t>”) to be issued by the Company’s subsidiary PHH Corporation (“</w:t>
      </w:r>
      <w:r>
        <w:rPr>
          <w:rFonts w:ascii="Times New Roman" w:cs="Times New Roman" w:eastAsia="Times New Roman" w:hAnsi="Times New Roman"/>
          <w:sz w:val="21"/>
          <w:szCs w:val="21"/>
          <w:i w:val="1"/>
          <w:iCs w:val="1"/>
          <w:color w:val="auto"/>
        </w:rPr>
        <w:t>PHH</w:t>
      </w:r>
      <w:r>
        <w:rPr>
          <w:rFonts w:ascii="Times New Roman" w:cs="Times New Roman" w:eastAsia="Times New Roman" w:hAnsi="Times New Roman"/>
          <w:sz w:val="21"/>
          <w:szCs w:val="21"/>
          <w:color w:val="auto"/>
        </w:rPr>
        <w:t>”) and guaranteed by the Company and other subsidiaries of the Company, including PHH Mortgage Corporation (“</w:t>
      </w:r>
      <w:r>
        <w:rPr>
          <w:rFonts w:ascii="Times New Roman" w:cs="Times New Roman" w:eastAsia="Times New Roman" w:hAnsi="Times New Roman"/>
          <w:sz w:val="21"/>
          <w:szCs w:val="21"/>
          <w:i w:val="1"/>
          <w:iCs w:val="1"/>
          <w:color w:val="auto"/>
        </w:rPr>
        <w:t>PMC</w:t>
      </w:r>
      <w:r>
        <w:rPr>
          <w:rFonts w:ascii="Times New Roman" w:cs="Times New Roman" w:eastAsia="Times New Roman" w:hAnsi="Times New Roman"/>
          <w:sz w:val="21"/>
          <w:szCs w:val="21"/>
          <w:color w:val="auto"/>
        </w:rPr>
        <w:t>”), PHH Asset Services Corporation, PHH Asset Services Parent LLC and PHH Asset Services LLC (collectively, the “</w:t>
      </w:r>
      <w:r>
        <w:rPr>
          <w:rFonts w:ascii="Times New Roman" w:cs="Times New Roman" w:eastAsia="Times New Roman" w:hAnsi="Times New Roman"/>
          <w:sz w:val="21"/>
          <w:szCs w:val="21"/>
          <w:i w:val="1"/>
          <w:iCs w:val="1"/>
          <w:color w:val="auto"/>
        </w:rPr>
        <w:t>Subsidiary Guarantors</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21"/>
          <w:szCs w:val="21"/>
          <w:color w:val="auto"/>
        </w:rPr>
        <w:t>WHEREAS, the New First Lien PHH Notes may be “issued into escrow” which means (i) the New First Lien PHH Notes would initially be issued by either a subsidiary of the Company or a special purpose entity (such subsidiary or entity, the “</w:t>
      </w:r>
      <w:r>
        <w:rPr>
          <w:rFonts w:ascii="Times New Roman" w:cs="Times New Roman" w:eastAsia="Times New Roman" w:hAnsi="Times New Roman"/>
          <w:sz w:val="21"/>
          <w:szCs w:val="21"/>
          <w:i w:val="1"/>
          <w:iCs w:val="1"/>
          <w:color w:val="auto"/>
        </w:rPr>
        <w:t>Escrow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Issuer</w:t>
      </w:r>
      <w:r>
        <w:rPr>
          <w:rFonts w:ascii="Times New Roman" w:cs="Times New Roman" w:eastAsia="Times New Roman" w:hAnsi="Times New Roman"/>
          <w:sz w:val="21"/>
          <w:szCs w:val="21"/>
          <w:color w:val="auto"/>
        </w:rPr>
        <w:t>”), (ii) the net proceeds from the issuance and sale of the New First Lien PHH Notes would be placed into escrow pending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consummation of certain specified conditions (the “</w:t>
      </w:r>
      <w:r>
        <w:rPr>
          <w:rFonts w:ascii="Times New Roman" w:cs="Times New Roman" w:eastAsia="Times New Roman" w:hAnsi="Times New Roman"/>
          <w:sz w:val="21"/>
          <w:szCs w:val="21"/>
          <w:i w:val="1"/>
          <w:iCs w:val="1"/>
          <w:color w:val="auto"/>
        </w:rPr>
        <w:t>Escrow Conditions</w:t>
      </w:r>
      <w:r>
        <w:rPr>
          <w:rFonts w:ascii="Times New Roman" w:cs="Times New Roman" w:eastAsia="Times New Roman" w:hAnsi="Times New Roman"/>
          <w:sz w:val="21"/>
          <w:szCs w:val="21"/>
          <w:color w:val="auto"/>
        </w:rPr>
        <w:t>”), including the consummation of the redemption by MAV Holdco (as defined herein) of the Company’s 15.0% ownership interest in MAV Holdco and the concurrent payment in cash by MAV Holdco to the Company of the Estimated Closing Payment (as defined in the Redemption Agreement (as defined herein)), and (iii) once the Escrow Conditions have been satisfied, the net proceeds from the New First Lien PHH Notes would be released from escrow and delivered to PHH (such release, the “</w:t>
      </w:r>
      <w:r>
        <w:rPr>
          <w:rFonts w:ascii="Times New Roman" w:cs="Times New Roman" w:eastAsia="Times New Roman" w:hAnsi="Times New Roman"/>
          <w:sz w:val="21"/>
          <w:szCs w:val="21"/>
          <w:i w:val="1"/>
          <w:iCs w:val="1"/>
          <w:color w:val="auto"/>
        </w:rPr>
        <w:t>Escrow Release</w:t>
      </w:r>
      <w:r>
        <w:rPr>
          <w:rFonts w:ascii="Times New Roman" w:cs="Times New Roman" w:eastAsia="Times New Roman" w:hAnsi="Times New Roman"/>
          <w:sz w:val="21"/>
          <w:szCs w:val="21"/>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1"/>
          <w:szCs w:val="21"/>
          <w:color w:val="auto"/>
        </w:rPr>
        <w:t xml:space="preserve"> and the Escrow Issuer would merge with and into PHH, with PHH as the survivor and thereupon becoming the issuer of, and obligor under, the New First Lien PHH Notes and related indenture;</w:t>
      </w:r>
    </w:p>
    <w:p>
      <w:pPr>
        <w:spacing w:after="0" w:line="80"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WHEREAS, the net proceeds from the issuance and sale of the New First Lien PHH Notes, after paying the discounts and commissions of the initial purchasers and other expenses related to the offering payable by the Company, are to be used to refinance all of PMC’s outstanding 7.875% Senior Secured Notes due 2026 (the “</w:t>
      </w:r>
      <w:r>
        <w:rPr>
          <w:rFonts w:ascii="Times New Roman" w:cs="Times New Roman" w:eastAsia="Times New Roman" w:hAnsi="Times New Roman"/>
          <w:sz w:val="21"/>
          <w:szCs w:val="21"/>
          <w:i w:val="1"/>
          <w:iCs w:val="1"/>
          <w:color w:val="auto"/>
        </w:rPr>
        <w:t>PMC Notes</w:t>
      </w:r>
      <w:r>
        <w:rPr>
          <w:rFonts w:ascii="Times New Roman" w:cs="Times New Roman" w:eastAsia="Times New Roman" w:hAnsi="Times New Roman"/>
          <w:sz w:val="21"/>
          <w:szCs w:val="21"/>
          <w:color w:val="auto"/>
        </w:rPr>
        <w:t>”) and, thereafter, to redeem the Notes in whole or in part depending on the size of the offering;</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WHEREAS, the Holders collectively own all of the outstanding Notes that have been issued under the Purchase Agreement;</w:t>
      </w:r>
    </w:p>
    <w:p>
      <w:pPr>
        <w:spacing w:after="0" w:line="10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WHEREAS, the Company and the Holders desire to amend certain provisions of the Purchase Agreement as set forth herein in accordance with Section 17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6408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195" w:lineRule="exact"/>
        <w:rPr>
          <w:sz w:val="20"/>
          <w:szCs w:val="20"/>
          <w:color w:val="auto"/>
        </w:rPr>
      </w:pPr>
    </w:p>
    <w:p>
      <w:pPr>
        <w:ind w:right="240" w:firstLine="3"/>
        <w:spacing w:after="0" w:line="230" w:lineRule="auto"/>
        <w:tabs>
          <w:tab w:leader="none" w:pos="99" w:val="left"/>
        </w:tabs>
        <w:numPr>
          <w:ilvl w:val="0"/>
          <w:numId w:val="1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Note: For the avoidance of doubt, the Escrow Release shall not mean the point in time when the funds in the escrow are released for the purpose of redeeming the New First Lien PHH Notes due to the MAV Redemption not occurring by a specified date.</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NOW THEREFORE, for the mutual benefit of the parties hereto and other good and valuable consideration the receipt and sufficiency of which is hereby acknowledged, the parties hereto agree as follows:</w:t>
      </w:r>
    </w:p>
    <w:p>
      <w:pPr>
        <w:spacing w:after="0" w:line="47"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SECTION 1. </w:t>
      </w:r>
      <w:r>
        <w:rPr>
          <w:rFonts w:ascii="Times New Roman" w:cs="Times New Roman" w:eastAsia="Times New Roman" w:hAnsi="Times New Roman"/>
          <w:sz w:val="21"/>
          <w:szCs w:val="21"/>
          <w:i w:val="1"/>
          <w:iCs w:val="1"/>
          <w:u w:val="single" w:color="auto"/>
          <w:color w:val="auto"/>
        </w:rPr>
        <w:t>Issuance of New First Lien PHH Notes Permitted</w:t>
      </w:r>
      <w:r>
        <w:rPr>
          <w:rFonts w:ascii="Times New Roman" w:cs="Times New Roman" w:eastAsia="Times New Roman" w:hAnsi="Times New Roman"/>
          <w:sz w:val="21"/>
          <w:szCs w:val="21"/>
          <w:color w:val="auto"/>
        </w:rPr>
        <w:t>. The issuance and sale of the New First Lien PHH Notes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PHH, or initially by the Escrow Issuer, and the guarantee of the New First Lien PHH Notes by the Company and the Subsidiary Guarantors (the “</w:t>
      </w:r>
      <w:r>
        <w:rPr>
          <w:rFonts w:ascii="Times New Roman" w:cs="Times New Roman" w:eastAsia="Times New Roman" w:hAnsi="Times New Roman"/>
          <w:sz w:val="21"/>
          <w:szCs w:val="21"/>
          <w:i w:val="1"/>
          <w:iCs w:val="1"/>
          <w:color w:val="auto"/>
        </w:rPr>
        <w:t>New First Lien PHH Notes Guarantors</w:t>
      </w:r>
      <w:r>
        <w:rPr>
          <w:rFonts w:ascii="Times New Roman" w:cs="Times New Roman" w:eastAsia="Times New Roman" w:hAnsi="Times New Roman"/>
          <w:sz w:val="21"/>
          <w:szCs w:val="21"/>
          <w:color w:val="auto"/>
        </w:rPr>
        <w:t>”) and the Lien on the assets of the Escrow Issuer, PHH, the Company and the Subsidiary Guarantors are all expressly permitted under the Purchase Agreement provided that the offering of the New First Lien PHH Notes has priced on or prior to November 4, 2024 (the “</w:t>
      </w:r>
      <w:r>
        <w:rPr>
          <w:rFonts w:ascii="Times New Roman" w:cs="Times New Roman" w:eastAsia="Times New Roman" w:hAnsi="Times New Roman"/>
          <w:sz w:val="21"/>
          <w:szCs w:val="21"/>
          <w:u w:val="single" w:color="auto"/>
          <w:color w:val="auto"/>
        </w:rPr>
        <w:t>Pricing Condition</w:t>
      </w:r>
      <w:r>
        <w:rPr>
          <w:rFonts w:ascii="Times New Roman" w:cs="Times New Roman" w:eastAsia="Times New Roman" w:hAnsi="Times New Roman"/>
          <w:sz w:val="21"/>
          <w:szCs w:val="21"/>
          <w:color w:val="auto"/>
        </w:rPr>
        <w:t>”).</w:t>
      </w:r>
    </w:p>
    <w:p>
      <w:pPr>
        <w:spacing w:after="0" w:line="66"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21"/>
          <w:szCs w:val="21"/>
          <w:i w:val="1"/>
          <w:iCs w:val="1"/>
          <w:color w:val="auto"/>
        </w:rPr>
        <w:t xml:space="preserve">SECTION </w:t>
      </w: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0"/>
          <w:szCs w:val="20"/>
          <w:i w:val="1"/>
          <w:iCs w:val="1"/>
          <w:u w:val="single" w:color="auto"/>
          <w:color w:val="auto"/>
        </w:rPr>
        <w:t>Amendments to Schedule B – Defined Terms</w:t>
      </w:r>
      <w:r>
        <w:rPr>
          <w:rFonts w:ascii="Times New Roman" w:cs="Times New Roman" w:eastAsia="Times New Roman" w:hAnsi="Times New Roman"/>
          <w:sz w:val="20"/>
          <w:szCs w:val="20"/>
          <w:u w:val="single" w:color="auto"/>
          <w:color w:val="auto"/>
        </w:rPr>
        <w:t>.</w:t>
      </w:r>
    </w:p>
    <w:p>
      <w:pPr>
        <w:spacing w:after="0" w:line="124" w:lineRule="exact"/>
        <w:rPr>
          <w:sz w:val="20"/>
          <w:szCs w:val="20"/>
          <w:color w:val="auto"/>
        </w:rPr>
      </w:pPr>
    </w:p>
    <w:p>
      <w:pPr>
        <w:ind w:firstLine="624"/>
        <w:spacing w:after="0" w:line="270" w:lineRule="auto"/>
        <w:tabs>
          <w:tab w:leader="none" w:pos="1237"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satisfaction of the Pricing Condition, the following defined terms shall be added to Schedule B to the Purchase Agreement in alphabetical order:</w:t>
      </w:r>
    </w:p>
    <w:p>
      <w:pPr>
        <w:spacing w:after="0" w:line="47" w:lineRule="exact"/>
        <w:rPr>
          <w:sz w:val="20"/>
          <w:szCs w:val="20"/>
          <w:color w:val="auto"/>
        </w:rPr>
      </w:pPr>
    </w:p>
    <w:p>
      <w:pPr>
        <w:jc w:val="both"/>
        <w:ind w:left="620" w:firstLine="620"/>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Issuer</w:t>
      </w:r>
      <w:r>
        <w:rPr>
          <w:rFonts w:ascii="Times New Roman" w:cs="Times New Roman" w:eastAsia="Times New Roman" w:hAnsi="Times New Roman"/>
          <w:sz w:val="21"/>
          <w:szCs w:val="21"/>
          <w:color w:val="auto"/>
        </w:rPr>
        <w:t>” means, if the New First Lien PHH Notes are issued into escrow, a subsidiary of the Company or a special purpose entity that will issue the New First Lien PHH Notes and, upon the Escrow Release, will merge with and into PHH with PHH as the survivor.</w:t>
      </w:r>
    </w:p>
    <w:p>
      <w:pPr>
        <w:spacing w:after="0" w:line="58" w:lineRule="exact"/>
        <w:rPr>
          <w:sz w:val="20"/>
          <w:szCs w:val="20"/>
          <w:color w:val="auto"/>
        </w:rPr>
      </w:pPr>
    </w:p>
    <w:p>
      <w:pPr>
        <w:jc w:val="both"/>
        <w:ind w:left="620" w:firstLine="62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Conditions</w:t>
      </w:r>
      <w:r>
        <w:rPr>
          <w:rFonts w:ascii="Times New Roman" w:cs="Times New Roman" w:eastAsia="Times New Roman" w:hAnsi="Times New Roman"/>
          <w:sz w:val="21"/>
          <w:szCs w:val="21"/>
          <w:color w:val="auto"/>
        </w:rPr>
        <w:t>” means, if the New First Lien PHH Notes are issued into escrow, the specified conditions that must be satisfied in order for the net proceeds from the issuance and sale of the New First Lien PHH Notes to be released from escrow and delivered to PHH or one of its affiliates, including the consummation of the redemption by MAV Holdco of the Company’s 15.0% ownership interest in MAV Holdco and the concurrent payment in cash by MAV Holdco to the Company of the Estimated Closing Payment (as defined in the Redemption Agreement).</w:t>
      </w:r>
    </w:p>
    <w:p>
      <w:pPr>
        <w:spacing w:after="0" w:line="66" w:lineRule="exact"/>
        <w:rPr>
          <w:sz w:val="20"/>
          <w:szCs w:val="20"/>
          <w:color w:val="auto"/>
        </w:rPr>
      </w:pPr>
    </w:p>
    <w:p>
      <w:pPr>
        <w:jc w:val="both"/>
        <w:ind w:left="620" w:firstLine="620"/>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Release</w:t>
      </w:r>
      <w:r>
        <w:rPr>
          <w:rFonts w:ascii="Times New Roman" w:cs="Times New Roman" w:eastAsia="Times New Roman" w:hAnsi="Times New Roman"/>
          <w:sz w:val="21"/>
          <w:szCs w:val="21"/>
          <w:color w:val="auto"/>
        </w:rPr>
        <w:t>” means, if the New First Lien PHH Notes are issued into escrow, the point in time when net proceeds from the issuance and sale of the New First Lien PHH Notes are released from escrow and delivered to PHH or one of its affiliates, as a result of the satisfaction of the Escrow Conditions.</w:t>
      </w:r>
    </w:p>
    <w:p>
      <w:pPr>
        <w:spacing w:after="0" w:line="53" w:lineRule="exact"/>
        <w:rPr>
          <w:sz w:val="20"/>
          <w:szCs w:val="20"/>
          <w:color w:val="auto"/>
        </w:rPr>
      </w:pPr>
    </w:p>
    <w:p>
      <w:pPr>
        <w:jc w:val="both"/>
        <w:ind w:left="620" w:firstLine="620"/>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MAM Transaction</w:t>
      </w:r>
      <w:r>
        <w:rPr>
          <w:rFonts w:ascii="Times New Roman" w:cs="Times New Roman" w:eastAsia="Times New Roman" w:hAnsi="Times New Roman"/>
          <w:sz w:val="21"/>
          <w:szCs w:val="21"/>
          <w:color w:val="auto"/>
        </w:rPr>
        <w:t>” the consummation of the acquisition by PMC of substantially all of Mortgage Assets Management, LLC’s assets (including cash and certain reverse mortgage loans and mortgage servicing rights) with a target aggregate net asset value of approximately $55 million.</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MAV Holdco</w:t>
      </w:r>
      <w:r>
        <w:rPr>
          <w:rFonts w:ascii="Times New Roman" w:cs="Times New Roman" w:eastAsia="Times New Roman" w:hAnsi="Times New Roman"/>
          <w:sz w:val="21"/>
          <w:szCs w:val="21"/>
          <w:color w:val="auto"/>
        </w:rPr>
        <w:t>” means MAV Canopy Holdco I, LLC, a Delaware limited liability company.</w:t>
      </w:r>
    </w:p>
    <w:p>
      <w:pPr>
        <w:spacing w:after="0" w:line="107" w:lineRule="exact"/>
        <w:rPr>
          <w:sz w:val="20"/>
          <w:szCs w:val="20"/>
          <w:color w:val="auto"/>
        </w:rPr>
      </w:pPr>
    </w:p>
    <w:p>
      <w:pPr>
        <w:jc w:val="both"/>
        <w:ind w:left="620" w:firstLine="620"/>
        <w:spacing w:after="0" w:line="30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New First Lien PHH Notes</w:t>
      </w:r>
      <w:r>
        <w:rPr>
          <w:rFonts w:ascii="Times New Roman" w:cs="Times New Roman" w:eastAsia="Times New Roman" w:hAnsi="Times New Roman"/>
          <w:sz w:val="20"/>
          <w:szCs w:val="20"/>
          <w:color w:val="auto"/>
        </w:rPr>
        <w:t>” means the senior secured high yield notes to be issued by PHH or, if the New First Lien PHH Notes are issued into escrow, initially by the Escrow Issuer, in an aggregate principal amount of at least $[*], which shall:</w:t>
      </w:r>
    </w:p>
    <w:p>
      <w:pPr>
        <w:spacing w:after="0" w:line="23" w:lineRule="exact"/>
        <w:rPr>
          <w:sz w:val="20"/>
          <w:szCs w:val="20"/>
          <w:color w:val="auto"/>
        </w:rPr>
      </w:pPr>
    </w:p>
    <w:p>
      <w:pPr>
        <w:ind w:left="1680" w:hanging="436"/>
        <w:spacing w:after="0"/>
        <w:tabs>
          <w:tab w:leader="none" w:pos="168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07"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7" w:lineRule="exact"/>
        <w:rPr>
          <w:sz w:val="20"/>
          <w:szCs w:val="20"/>
          <w:color w:val="auto"/>
        </w:rPr>
      </w:pPr>
    </w:p>
    <w:p>
      <w:pPr>
        <w:jc w:val="both"/>
        <w:ind w:left="620" w:firstLine="62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 First Lien PHH Notes Collateral Trustee</w:t>
      </w:r>
      <w:r>
        <w:rPr>
          <w:rFonts w:ascii="Times New Roman" w:cs="Times New Roman" w:eastAsia="Times New Roman" w:hAnsi="Times New Roman"/>
          <w:sz w:val="21"/>
          <w:szCs w:val="21"/>
          <w:color w:val="auto"/>
        </w:rPr>
        <w:t>” means Wilmington Trust, National Association, and its permitted successors and assigns in such capacity, as collateral trustee with respect to the New First Lien PHH Notes.</w:t>
      </w:r>
    </w:p>
    <w:p>
      <w:pPr>
        <w:spacing w:after="0" w:line="43" w:lineRule="exact"/>
        <w:rPr>
          <w:sz w:val="20"/>
          <w:szCs w:val="20"/>
          <w:color w:val="auto"/>
        </w:rPr>
      </w:pPr>
    </w:p>
    <w:p>
      <w:pPr>
        <w:jc w:val="both"/>
        <w:ind w:left="620" w:firstLine="62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New First Lien Notes Refinancing Date</w:t>
      </w:r>
      <w:r>
        <w:rPr>
          <w:rFonts w:ascii="Times New Roman" w:cs="Times New Roman" w:eastAsia="Times New Roman" w:hAnsi="Times New Roman"/>
          <w:sz w:val="20"/>
          <w:szCs w:val="20"/>
          <w:color w:val="auto"/>
        </w:rPr>
        <w:t>” means the date on which the New First Lien Notes issued on the Initial Issue Date shall have been legally defeased, discharged, or redeemed in full using the proceeds from the Estimated Closing Payment (as defined in the Redemption Agreement) in accordance with Section 8.2(a)(ii) and the net proceeds of the New First Lien PHH Notes in accordance with Section 8.2(a)(iii), which date shall be on or about the original issue date of the New First Lien PHH Notes or, in the event the New First Lien PHH Notes are issued into escrow, the date of the Escrow Release.</w:t>
      </w:r>
    </w:p>
    <w:p>
      <w:pPr>
        <w:spacing w:after="0" w:line="50" w:lineRule="exact"/>
        <w:rPr>
          <w:sz w:val="20"/>
          <w:szCs w:val="20"/>
          <w:color w:val="auto"/>
        </w:rPr>
      </w:pPr>
    </w:p>
    <w:p>
      <w:pPr>
        <w:jc w:val="both"/>
        <w:ind w:left="620" w:firstLine="620"/>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Redemption Agreement</w:t>
      </w:r>
      <w:r>
        <w:rPr>
          <w:rFonts w:ascii="Times New Roman" w:cs="Times New Roman" w:eastAsia="Times New Roman" w:hAnsi="Times New Roman"/>
          <w:sz w:val="21"/>
          <w:szCs w:val="21"/>
          <w:color w:val="auto"/>
        </w:rPr>
        <w:t>” means that certain Redemption Agreement to be entered into by and among the Company, MAV Holdco and OCW MAV Holdings, LLC, in the form set forth in Exhibit B to the Transaction Agreement.</w:t>
      </w:r>
    </w:p>
    <w:p>
      <w:pPr>
        <w:spacing w:after="0" w:line="30" w:lineRule="exact"/>
        <w:rPr>
          <w:sz w:val="20"/>
          <w:szCs w:val="20"/>
          <w:color w:val="auto"/>
        </w:rPr>
      </w:pPr>
    </w:p>
    <w:p>
      <w:pPr>
        <w:jc w:val="both"/>
        <w:ind w:left="620" w:firstLine="62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 Agreement</w:t>
      </w:r>
      <w:r>
        <w:rPr>
          <w:rFonts w:ascii="Times New Roman" w:cs="Times New Roman" w:eastAsia="Times New Roman" w:hAnsi="Times New Roman"/>
          <w:sz w:val="21"/>
          <w:szCs w:val="21"/>
          <w:color w:val="auto"/>
        </w:rPr>
        <w:t>” dated as of September 30, 2024, by and among OCW MAV Holdings, LLC, ROF8 OCW Holdings, LLC, OPPS OCW Holdings, LLC, the Company, MAV Holdco and MSR Asset Vehicle LLC.</w:t>
      </w:r>
    </w:p>
    <w:p>
      <w:pPr>
        <w:spacing w:after="0" w:line="47" w:lineRule="exact"/>
        <w:rPr>
          <w:sz w:val="20"/>
          <w:szCs w:val="20"/>
          <w:color w:val="auto"/>
        </w:rPr>
      </w:pPr>
    </w:p>
    <w:p>
      <w:pPr>
        <w:ind w:firstLine="624"/>
        <w:spacing w:after="0" w:line="270" w:lineRule="auto"/>
        <w:tabs>
          <w:tab w:leader="none" w:pos="1236"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satisfaction of the Pricing Condition, the following defined terms in Schedule B to the Purchase Agreement shall be amended as follows:</w:t>
      </w:r>
    </w:p>
    <w:p>
      <w:pPr>
        <w:spacing w:after="0" w:line="51" w:lineRule="exact"/>
        <w:rPr>
          <w:rFonts w:ascii="Times New Roman" w:cs="Times New Roman" w:eastAsia="Times New Roman" w:hAnsi="Times New Roman"/>
          <w:sz w:val="21"/>
          <w:szCs w:val="21"/>
          <w:color w:val="auto"/>
        </w:rPr>
      </w:pPr>
    </w:p>
    <w:p>
      <w:pPr>
        <w:ind w:left="620" w:firstLine="624"/>
        <w:spacing w:after="0" w:line="283" w:lineRule="auto"/>
        <w:tabs>
          <w:tab w:leader="none" w:pos="1849"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“Junior Priority Intercreditor Agreement” shall hereby be amended and restated as follows (additions shown in double underline):</w:t>
      </w:r>
    </w:p>
    <w:p>
      <w:pPr>
        <w:spacing w:after="0" w:line="38" w:lineRule="exact"/>
        <w:rPr>
          <w:sz w:val="20"/>
          <w:szCs w:val="20"/>
          <w:color w:val="auto"/>
        </w:rPr>
      </w:pPr>
    </w:p>
    <w:p>
      <w:pPr>
        <w:jc w:val="both"/>
        <w:ind w:left="1240"/>
        <w:spacing w:after="0" w:line="250" w:lineRule="auto"/>
        <w:rPr>
          <w:sz w:val="20"/>
          <w:szCs w:val="20"/>
          <w:color w:val="auto"/>
        </w:rPr>
      </w:pPr>
      <w:r>
        <w:rPr>
          <w:rFonts w:ascii="Times New Roman" w:cs="Times New Roman" w:eastAsia="Times New Roman" w:hAnsi="Times New Roman"/>
          <w:sz w:val="21"/>
          <w:szCs w:val="21"/>
          <w:color w:val="auto"/>
        </w:rPr>
        <w:t>““Junior Priority Intercreditor Agreement” means</w:t>
      </w:r>
      <w:r>
        <w:rPr>
          <w:rFonts w:ascii="Times New Roman" w:cs="Times New Roman" w:eastAsia="Times New Roman" w:hAnsi="Times New Roman"/>
          <w:sz w:val="21"/>
          <w:szCs w:val="21"/>
          <w:u w:val="single" w:color="auto"/>
          <w:color w:val="auto"/>
        </w:rPr>
        <w:t>, prior to the New First Lien Notes Refinancing Date,</w:t>
      </w:r>
      <w:r>
        <w:rPr>
          <w:rFonts w:ascii="Times New Roman" w:cs="Times New Roman" w:eastAsia="Times New Roman" w:hAnsi="Times New Roman"/>
          <w:sz w:val="21"/>
          <w:szCs w:val="21"/>
          <w:color w:val="auto"/>
        </w:rPr>
        <w:t xml:space="preserve"> the Junior Priority Intercreditor Agreement, in substantially the form attached as Exhibit 6 to the Note Purchase Agreement, to be dated as of the Initial Issue Date and entered into by the Company, the Collateral Agent and the New Notes Collateral Trustee </w:t>
      </w:r>
      <w:r>
        <w:rPr>
          <w:rFonts w:ascii="Times New Roman" w:cs="Times New Roman" w:eastAsia="Times New Roman" w:hAnsi="Times New Roman"/>
          <w:sz w:val="21"/>
          <w:szCs w:val="21"/>
          <w:u w:val="single" w:color="auto"/>
          <w:color w:val="auto"/>
        </w:rPr>
        <w:t>and, from and after the New First Lien Refinancing Date, means the Junior Priority Intercreditor Agreement,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substantially the form attached as Exhibit 6 to the Note Purchase Agreement, to be dated on or about the New First Lien Notes Refinancing Date and entered into by the Company, the Collateral Agent and the New First Lien PHH Notes Collateral Trustee</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620" w:firstLine="624"/>
        <w:spacing w:after="0" w:line="270" w:lineRule="auto"/>
        <w:tabs>
          <w:tab w:leader="none" w:pos="185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“New First Lien Notes” shall hereby be amended and restated as follows (additions shown in double underline, deletions shown in strikethrough):</w:t>
      </w:r>
    </w:p>
    <w:p>
      <w:pPr>
        <w:spacing w:after="0" w:line="64" w:lineRule="exact"/>
        <w:rPr>
          <w:sz w:val="20"/>
          <w:szCs w:val="20"/>
          <w:color w:val="auto"/>
        </w:rPr>
      </w:pPr>
    </w:p>
    <w:p>
      <w:pPr>
        <w:ind w:left="1240"/>
        <w:spacing w:after="0" w:line="270" w:lineRule="auto"/>
        <w:rPr>
          <w:sz w:val="20"/>
          <w:szCs w:val="20"/>
          <w:color w:val="auto"/>
        </w:rPr>
      </w:pPr>
      <w:r>
        <w:rPr>
          <w:rFonts w:ascii="Times New Roman" w:cs="Times New Roman" w:eastAsia="Times New Roman" w:hAnsi="Times New Roman"/>
          <w:sz w:val="21"/>
          <w:szCs w:val="21"/>
          <w:color w:val="auto"/>
        </w:rPr>
        <w:t xml:space="preserve">““New First Lien Notes” means </w:t>
      </w:r>
      <w:r>
        <w:rPr>
          <w:rFonts w:ascii="Times New Roman" w:cs="Times New Roman" w:eastAsia="Times New Roman" w:hAnsi="Times New Roman"/>
          <w:sz w:val="21"/>
          <w:szCs w:val="21"/>
          <w:u w:val="single" w:color="auto"/>
          <w:color w:val="auto"/>
        </w:rPr>
        <w:t>(x) prior to the New First Lien Notes Refinancing Date,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7.875%</w:t>
      </w:r>
      <w:r>
        <w:rPr>
          <w:rFonts w:ascii="Times New Roman" w:cs="Times New Roman" w:eastAsia="Times New Roman" w:hAnsi="Times New Roman"/>
          <w:sz w:val="21"/>
          <w:szCs w:val="21"/>
          <w:color w:val="auto"/>
        </w:rPr>
        <w:t xml:space="preserve"> Senior Secured Notes due 2026 to be issued by PMC on the Initial Issue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which shall:</w:t>
      </w:r>
    </w:p>
    <w:p>
      <w:pPr>
        <w:spacing w:after="0" w:line="51" w:lineRule="exact"/>
        <w:rPr>
          <w:sz w:val="20"/>
          <w:szCs w:val="20"/>
          <w:color w:val="auto"/>
        </w:rPr>
      </w:pPr>
    </w:p>
    <w:p>
      <w:pPr>
        <w:ind w:left="1860" w:firstLine="4"/>
        <w:spacing w:after="0" w:line="270" w:lineRule="auto"/>
        <w:tabs>
          <w:tab w:leader="none" w:pos="2146" w:val="left"/>
        </w:tabs>
        <w:numPr>
          <w:ilvl w:val="0"/>
          <w:numId w:val="183"/>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have the terms, other than pricing terms, set forth on Schedule 4.15 (with only such changes to such terms as are satisfactory to the Purchasers in their sole discretion);</w:t>
      </w:r>
    </w:p>
    <w:p>
      <w:pPr>
        <w:spacing w:after="0" w:line="51" w:lineRule="exact"/>
        <w:rPr>
          <w:rFonts w:ascii="Times New Roman" w:cs="Times New Roman" w:eastAsia="Times New Roman" w:hAnsi="Times New Roman"/>
          <w:sz w:val="21"/>
          <w:szCs w:val="21"/>
          <w:color w:val="auto"/>
          <w:strike w:val="1"/>
        </w:rPr>
      </w:pPr>
    </w:p>
    <w:p>
      <w:pPr>
        <w:ind w:left="2160" w:hanging="296"/>
        <w:spacing w:after="0"/>
        <w:tabs>
          <w:tab w:leader="none" w:pos="2160" w:val="left"/>
        </w:tabs>
        <w:numPr>
          <w:ilvl w:val="0"/>
          <w:numId w:val="183"/>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mature no earlier than the 54-month anniversary of the Initial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2" w:lineRule="exact"/>
        <w:rPr>
          <w:sz w:val="20"/>
          <w:szCs w:val="20"/>
          <w:color w:val="auto"/>
        </w:rPr>
      </w:pPr>
    </w:p>
    <w:p>
      <w:pPr>
        <w:ind w:left="2140" w:hanging="276"/>
        <w:spacing w:after="0"/>
        <w:tabs>
          <w:tab w:leader="none" w:pos="2140" w:val="left"/>
        </w:tabs>
        <w:numPr>
          <w:ilvl w:val="1"/>
          <w:numId w:val="184"/>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not be in an aggregate principal amount in excess of $450,000,000; and</w:t>
      </w:r>
    </w:p>
    <w:p>
      <w:pPr>
        <w:spacing w:after="0" w:line="107" w:lineRule="exact"/>
        <w:rPr>
          <w:rFonts w:ascii="Times New Roman" w:cs="Times New Roman" w:eastAsia="Times New Roman" w:hAnsi="Times New Roman"/>
          <w:sz w:val="21"/>
          <w:szCs w:val="21"/>
          <w:color w:val="auto"/>
          <w:strike w:val="1"/>
        </w:rPr>
      </w:pPr>
    </w:p>
    <w:p>
      <w:pPr>
        <w:ind w:left="2160" w:hanging="296"/>
        <w:spacing w:after="0"/>
        <w:tabs>
          <w:tab w:leader="none" w:pos="2160" w:val="left"/>
        </w:tabs>
        <w:numPr>
          <w:ilvl w:val="1"/>
          <w:numId w:val="184"/>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not provide for interest payments in excess of 9% per annum</w:t>
      </w:r>
      <w:r>
        <w:rPr>
          <w:rFonts w:ascii="Times New Roman" w:cs="Times New Roman" w:eastAsia="Times New Roman" w:hAnsi="Times New Roman"/>
          <w:sz w:val="21"/>
          <w:szCs w:val="21"/>
          <w:u w:val="single" w:color="auto"/>
          <w:color w:val="auto"/>
          <w:strike w:val="1"/>
        </w:rPr>
        <w:t>;</w:t>
      </w:r>
    </w:p>
    <w:p>
      <w:pPr>
        <w:spacing w:after="0" w:line="107" w:lineRule="exact"/>
        <w:rPr>
          <w:rFonts w:ascii="Times New Roman" w:cs="Times New Roman" w:eastAsia="Times New Roman" w:hAnsi="Times New Roman"/>
          <w:sz w:val="21"/>
          <w:szCs w:val="21"/>
          <w:color w:val="auto"/>
          <w:strike w:val="1"/>
        </w:rPr>
      </w:pPr>
    </w:p>
    <w:p>
      <w:pPr>
        <w:ind w:left="1540" w:hanging="296"/>
        <w:spacing w:after="0"/>
        <w:tabs>
          <w:tab w:leader="none" w:pos="1540" w:val="left"/>
        </w:tabs>
        <w:numPr>
          <w:ilvl w:val="0"/>
          <w:numId w:val="18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from and after the First Lien Notes Refinancing Date, the New First Lien PHH Notes</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ind w:left="620" w:firstLine="624"/>
        <w:spacing w:after="0" w:line="270" w:lineRule="auto"/>
        <w:tabs>
          <w:tab w:leader="none" w:pos="186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Clause (1) of the definition of “Permitted Indebtedness” shall hereby be amended and restated as follows (additions shown in double underline):</w:t>
      </w:r>
    </w:p>
    <w:p>
      <w:pPr>
        <w:spacing w:after="0" w:line="51" w:lineRule="exact"/>
        <w:rPr>
          <w:rFonts w:ascii="Times New Roman" w:cs="Times New Roman" w:eastAsia="Times New Roman" w:hAnsi="Times New Roman"/>
          <w:sz w:val="21"/>
          <w:szCs w:val="21"/>
          <w:color w:val="auto"/>
        </w:rPr>
      </w:pPr>
    </w:p>
    <w:p>
      <w:pPr>
        <w:ind w:left="2160" w:hanging="296"/>
        <w:spacing w:after="0"/>
        <w:tabs>
          <w:tab w:leader="none" w:pos="216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7" w:lineRule="exact"/>
        <w:rPr>
          <w:rFonts w:ascii="Times New Roman" w:cs="Times New Roman" w:eastAsia="Times New Roman" w:hAnsi="Times New Roman"/>
          <w:sz w:val="21"/>
          <w:szCs w:val="21"/>
          <w:color w:val="auto"/>
        </w:rPr>
      </w:pPr>
    </w:p>
    <w:p>
      <w:pPr>
        <w:ind w:left="620" w:firstLine="624"/>
        <w:spacing w:after="0" w:line="270" w:lineRule="auto"/>
        <w:tabs>
          <w:tab w:leader="none" w:pos="1849"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proviso at the end of the definition of “Permitted Indebtedness” shall hereby be amended and restated as follows (additions shown in double underline):</w:t>
      </w:r>
    </w:p>
    <w:p>
      <w:pPr>
        <w:spacing w:after="0" w:line="60" w:lineRule="exact"/>
        <w:rPr>
          <w:sz w:val="20"/>
          <w:szCs w:val="20"/>
          <w:color w:val="auto"/>
        </w:rPr>
      </w:pPr>
    </w:p>
    <w:p>
      <w:pPr>
        <w:ind w:left="1240"/>
        <w:spacing w:after="0" w:line="274"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notwithstanding anything herein to the contrary, the Company shall not be permitted to incur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Corporate Indebtedness other than </w:t>
      </w:r>
      <w:r>
        <w:rPr>
          <w:rFonts w:ascii="Times New Roman" w:cs="Times New Roman" w:eastAsia="Times New Roman" w:hAnsi="Times New Roman"/>
          <w:sz w:val="21"/>
          <w:szCs w:val="21"/>
          <w:u w:val="single" w:color="auto"/>
          <w:color w:val="auto"/>
        </w:rPr>
        <w:t>its guarantee of</w:t>
      </w:r>
      <w:r>
        <w:rPr>
          <w:rFonts w:ascii="Times New Roman" w:cs="Times New Roman" w:eastAsia="Times New Roman" w:hAnsi="Times New Roman"/>
          <w:sz w:val="21"/>
          <w:szCs w:val="21"/>
          <w:color w:val="auto"/>
        </w:rPr>
        <w:t xml:space="preserve"> the New First Lien Notes.”</w:t>
      </w:r>
    </w:p>
    <w:p>
      <w:pPr>
        <w:spacing w:after="0" w:line="47" w:lineRule="exact"/>
        <w:rPr>
          <w:sz w:val="20"/>
          <w:szCs w:val="20"/>
          <w:color w:val="auto"/>
        </w:rPr>
      </w:pPr>
    </w:p>
    <w:p>
      <w:pPr>
        <w:ind w:left="620" w:firstLine="624"/>
        <w:spacing w:after="0" w:line="270" w:lineRule="auto"/>
        <w:tabs>
          <w:tab w:leader="none" w:pos="185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proviso at the end of the definition of “Permitted Liens” shall hereby be amended and restated as follows (additions shown in double underline):</w:t>
      </w:r>
    </w:p>
    <w:p>
      <w:pPr>
        <w:spacing w:after="0" w:line="51" w:lineRule="exact"/>
        <w:rPr>
          <w:sz w:val="20"/>
          <w:szCs w:val="20"/>
          <w:color w:val="auto"/>
        </w:rPr>
      </w:pPr>
    </w:p>
    <w:p>
      <w:pPr>
        <w:jc w:val="both"/>
        <w:ind w:left="1240"/>
        <w:spacing w:after="0" w:line="263" w:lineRule="auto"/>
        <w:rPr>
          <w:sz w:val="20"/>
          <w:szCs w:val="20"/>
          <w:color w:val="auto"/>
        </w:rPr>
      </w:pPr>
      <w:r>
        <w:rPr>
          <w:rFonts w:ascii="Times New Roman" w:cs="Times New Roman" w:eastAsia="Times New Roman" w:hAnsi="Times New Roman"/>
          <w:sz w:val="21"/>
          <w:szCs w:val="21"/>
          <w:color w:val="auto"/>
        </w:rPr>
        <w:t xml:space="preserve">“provided that the Company shall not create, incur, assume or permit or suffer to exist any Liens of any kind on its assets that secure Corporate Indebtedness other than the New First Lien Notes </w:t>
      </w:r>
      <w:r>
        <w:rPr>
          <w:rFonts w:ascii="Times New Roman" w:cs="Times New Roman" w:eastAsia="Times New Roman" w:hAnsi="Times New Roman"/>
          <w:sz w:val="21"/>
          <w:szCs w:val="21"/>
          <w:u w:val="single" w:color="auto"/>
          <w:color w:val="auto"/>
        </w:rPr>
        <w:t>and guarantees thereof</w:t>
      </w:r>
      <w:r>
        <w:rPr>
          <w:rFonts w:ascii="Times New Roman" w:cs="Times New Roman" w:eastAsia="Times New Roman" w:hAnsi="Times New Roman"/>
          <w:sz w:val="21"/>
          <w:szCs w:val="21"/>
          <w:color w:val="auto"/>
        </w:rPr>
        <w:t xml:space="preserve"> and, prior to the Initial Issue Date, the Existing Indebtedness.”</w:t>
      </w:r>
    </w:p>
    <w:p>
      <w:pPr>
        <w:spacing w:after="0" w:line="59" w:lineRule="exact"/>
        <w:rPr>
          <w:sz w:val="20"/>
          <w:szCs w:val="20"/>
          <w:color w:val="auto"/>
        </w:rPr>
      </w:pPr>
    </w:p>
    <w:p>
      <w:pPr>
        <w:ind w:left="620" w:firstLine="624"/>
        <w:spacing w:after="0" w:line="270" w:lineRule="auto"/>
        <w:tabs>
          <w:tab w:leader="none" w:pos="1849"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Clause (D) of the definition of “Total LTV Ratio” shall hereby be amended and restated as follows (additions shown in double underline):</w:t>
      </w:r>
    </w:p>
    <w:p>
      <w:pPr>
        <w:spacing w:after="0" w:line="51" w:lineRule="exact"/>
        <w:rPr>
          <w:sz w:val="20"/>
          <w:szCs w:val="20"/>
          <w:color w:val="auto"/>
        </w:rPr>
      </w:pPr>
    </w:p>
    <w:p>
      <w:pPr>
        <w:ind w:left="1860"/>
        <w:spacing w:after="0"/>
        <w:tabs>
          <w:tab w:leader="none" w:pos="2480" w:val="left"/>
        </w:tabs>
        <w:rPr>
          <w:sz w:val="20"/>
          <w:szCs w:val="20"/>
          <w:color w:val="auto"/>
        </w:rPr>
      </w:pPr>
      <w:r>
        <w:rPr>
          <w:rFonts w:ascii="Times New Roman" w:cs="Times New Roman" w:eastAsia="Times New Roman" w:hAnsi="Times New Roman"/>
          <w:sz w:val="21"/>
          <w:szCs w:val="21"/>
          <w:color w:val="auto"/>
        </w:rPr>
        <w:t>“(D)</w:t>
        <w:tab/>
        <w:t>[*]”</w:t>
      </w:r>
    </w:p>
    <w:p>
      <w:pPr>
        <w:spacing w:after="0" w:line="103" w:lineRule="exact"/>
        <w:rPr>
          <w:sz w:val="20"/>
          <w:szCs w:val="20"/>
          <w:color w:val="auto"/>
        </w:rPr>
      </w:pPr>
    </w:p>
    <w:p>
      <w:pPr>
        <w:ind w:firstLine="620"/>
        <w:spacing w:after="0" w:line="287" w:lineRule="auto"/>
        <w:rPr>
          <w:sz w:val="20"/>
          <w:szCs w:val="20"/>
          <w:color w:val="auto"/>
        </w:rPr>
      </w:pPr>
      <w:r>
        <w:rPr>
          <w:rFonts w:ascii="Times New Roman" w:cs="Times New Roman" w:eastAsia="Times New Roman" w:hAnsi="Times New Roman"/>
          <w:sz w:val="21"/>
          <w:szCs w:val="21"/>
          <w:i w:val="1"/>
          <w:iCs w:val="1"/>
          <w:color w:val="auto"/>
        </w:rPr>
        <w:t xml:space="preserve">SECTION 3. </w:t>
      </w:r>
      <w:r>
        <w:rPr>
          <w:rFonts w:ascii="Times New Roman" w:cs="Times New Roman" w:eastAsia="Times New Roman" w:hAnsi="Times New Roman"/>
          <w:sz w:val="21"/>
          <w:szCs w:val="21"/>
          <w:i w:val="1"/>
          <w:iCs w:val="1"/>
          <w:u w:val="single" w:color="auto"/>
          <w:color w:val="auto"/>
        </w:rPr>
        <w:t>Amendment to Section 8.2(a)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satisfaction of the Pricing Condition, Section 8.2(a) of the 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is hereby amended and restated in its entirely to read as follows (additions shown in double underline):</w:t>
      </w:r>
    </w:p>
    <w:p>
      <w:pPr>
        <w:spacing w:after="0" w:line="30"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i w:val="1"/>
          <w:iCs w:val="1"/>
          <w:color w:val="auto"/>
        </w:rPr>
        <w:t>Optional Redemption</w:t>
      </w:r>
      <w:r>
        <w:rPr>
          <w:rFonts w:ascii="Times New Roman" w:cs="Times New Roman" w:eastAsia="Times New Roman" w:hAnsi="Times New Roman"/>
          <w:sz w:val="20"/>
          <w:szCs w:val="20"/>
          <w:color w:val="auto"/>
        </w:rPr>
        <w:t>.</w:t>
      </w:r>
    </w:p>
    <w:p>
      <w:pPr>
        <w:spacing w:after="0" w:line="111" w:lineRule="exact"/>
        <w:rPr>
          <w:sz w:val="20"/>
          <w:szCs w:val="20"/>
          <w:color w:val="auto"/>
        </w:rPr>
      </w:pPr>
    </w:p>
    <w:p>
      <w:pPr>
        <w:jc w:val="both"/>
        <w:ind w:left="620" w:firstLine="624"/>
        <w:spacing w:after="0" w:line="251" w:lineRule="auto"/>
        <w:tabs>
          <w:tab w:leader="none" w:pos="1707"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 as otherwise provided in subsection (ii), (iii), (iv) or (v) below of this Section 8.2(a)</w:t>
      </w:r>
      <w:r>
        <w:rPr>
          <w:rFonts w:ascii="Times New Roman" w:cs="Times New Roman" w:eastAsia="Times New Roman" w:hAnsi="Times New Roman"/>
          <w:sz w:val="21"/>
          <w:szCs w:val="21"/>
          <w:color w:val="auto"/>
        </w:rPr>
        <w:t>, the Company may, at its option, upon revocable notice as provided below, redeem at any time all, or from time to time any part, of the Notes (including PIK Notes), at 100% of the principal amount of the Notes so redeemed, together with (x) interest accrued thereon (including applicable default interest, if any) to the date of such redemption, and (y) with respect to any Notes (other than PIK Notes) redeemed on or prior to the fifth anniversary of the Initial Issue Date, the Make-Whole Amount as of the date of such redemption.</w:t>
      </w:r>
    </w:p>
    <w:p>
      <w:pPr>
        <w:spacing w:after="0" w:line="73" w:lineRule="exact"/>
        <w:rPr>
          <w:rFonts w:ascii="Times New Roman" w:cs="Times New Roman" w:eastAsia="Times New Roman" w:hAnsi="Times New Roman"/>
          <w:sz w:val="21"/>
          <w:szCs w:val="21"/>
          <w:color w:val="auto"/>
        </w:rPr>
      </w:pPr>
    </w:p>
    <w:p>
      <w:pPr>
        <w:jc w:val="both"/>
        <w:ind w:left="620" w:firstLine="624"/>
        <w:spacing w:after="0" w:line="257" w:lineRule="auto"/>
        <w:tabs>
          <w:tab w:leader="none" w:pos="1856" w:val="left"/>
        </w:tabs>
        <w:numPr>
          <w:ilvl w:val="0"/>
          <w:numId w:val="18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Promptly following receipt of the Estimated Closing Payment (as defined in the Redemption Agreement), the Company shall, upon not more than 3 business days irrevocable notice as provided below, redeem a principal amount of Notes (including PIK Notes) equal to the amount of such Estimated Closing Payment at a redemption price equal to 100% of the principal amount of the Notes so redeemed, together with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u w:val="single" w:color="auto"/>
          <w:color w:val="auto"/>
        </w:rPr>
        <w:t>accrued thereon (including applicable default interest, if any) to the date of such redemption (but without any Make-Whole Amount or other premium).</w:t>
      </w:r>
    </w:p>
    <w:p>
      <w:pPr>
        <w:spacing w:after="0" w:line="51" w:lineRule="exact"/>
        <w:rPr>
          <w:sz w:val="20"/>
          <w:szCs w:val="20"/>
          <w:color w:val="auto"/>
        </w:rPr>
      </w:pPr>
    </w:p>
    <w:p>
      <w:pPr>
        <w:jc w:val="both"/>
        <w:ind w:firstLine="624"/>
        <w:spacing w:after="0" w:line="249" w:lineRule="auto"/>
        <w:tabs>
          <w:tab w:leader="none" w:pos="1182" w:val="left"/>
        </w:tabs>
        <w:numPr>
          <w:ilvl w:val="0"/>
          <w:numId w:val="19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 xml:space="preserve">Promptly following the original issue date of the New First Lien PHH Notes or, in the event the New First Lien PHH Notes are issued into escrow, the Escrow Release, the Company shall, upon not more than 3 business days irrevocable notice as provided below, redeem at least a principal amount of Notes (including PIK Notes) equal to the net cash proceeds received from any issuance and sale of New First Lien PHH Notes, after paying the discounts and commissions of the initial purchasers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u w:val="single" w:color="auto"/>
          <w:color w:val="auto"/>
        </w:rPr>
        <w:t xml:space="preserve"> the total amount of such net cash proceeds necessary (and actually used) to redeem the New First Lien Notes in full (principal amount,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u w:val="single" w:color="auto"/>
          <w:color w:val="auto"/>
        </w:rPr>
        <w:t xml:space="preserve"> redemption premium,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u w:val="single" w:color="auto"/>
          <w:color w:val="auto"/>
        </w:rPr>
        <w:t xml:space="preserve"> accrued interest to the redemption date) at a redemption price equal to 100% of the principal amount of the Notes so redeemed, together with interest accrued thereon (including applicable default interest, if any) to the date of such redemption, plus a redemption premium equal to 2.5% of the principal amount of the Notes so redeemed;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u w:val="single" w:color="auto"/>
          <w:color w:val="auto"/>
        </w:rPr>
        <w:t>, that if the Company redeems Notes pursuant to clause (ii) above and this clause (iii) on the same date, the redemption pursuant to clause (ii) above shall be deemed to occur immediately prior to the redemption pursuant to this clause (iii);</w:t>
      </w:r>
    </w:p>
    <w:p>
      <w:pPr>
        <w:spacing w:after="0" w:line="73" w:lineRule="exact"/>
        <w:rPr>
          <w:rFonts w:ascii="Times New Roman" w:cs="Times New Roman" w:eastAsia="Times New Roman" w:hAnsi="Times New Roman"/>
          <w:sz w:val="21"/>
          <w:szCs w:val="21"/>
          <w:u w:val="single" w:color="auto"/>
          <w:color w:val="auto"/>
        </w:rPr>
      </w:pPr>
    </w:p>
    <w:p>
      <w:pPr>
        <w:jc w:val="both"/>
        <w:ind w:firstLine="624"/>
        <w:spacing w:after="0" w:line="248" w:lineRule="auto"/>
        <w:tabs>
          <w:tab w:leader="none" w:pos="1287" w:val="left"/>
        </w:tabs>
        <w:numPr>
          <w:ilvl w:val="0"/>
          <w:numId w:val="19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 xml:space="preserve">The Company shall, upon not more than 3 business days irrevocable notice as provided below, (A) promptly following the receipt by the Company or any of its subsidiaries of cash proceeds from the consummation of the MAM Transaction (including cash proceeds from MAM and from any debt financing secured by the assets acquired in the MAM Transaction), redeem a principal amount of Notes (including PIK Notes) equal to such cash proceeds, and (B) promptly following receipt of the Estimated Closing Payment (or, at the option of the Company, earlier), redeem a principal amount of Notes (including PIK Notes) equal to $[*] million (or, if greater, the net cash proceeds received by the Company or any of its Subsidiaries from the consummation of the sale of the OLIT 2024-HB2 Notes by Onity Loan Investment Trust 2024-HB2 (“OLIT”) pursuant to that certain Indenture, dated as of September 13, 2024, between OLIT, as issuer, and U.S. Bank Trust Company, National Association, as indenture trustee, paying agent, and note registrar), in each case at a redemption price equal to 100% of the principal amount of the Notes so redeemed, together with interest accrued thereon (including applicable default interest, if any) to the date of such redemption, plus a redemption premium equal to 2.5% of the principal amount of the Notes so redeemed;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u w:val="single" w:color="auto"/>
          <w:color w:val="auto"/>
        </w:rPr>
        <w:t>, that if the Company redeems Notes pursuant to clause (ii) above and this clause (iv) on the same date, the redemption pursuant to clause (ii) above shall be deemed to occur immediately prior to the redemption pursuant to this clause (iv); and</w:t>
      </w:r>
    </w:p>
    <w:p>
      <w:pPr>
        <w:spacing w:after="0" w:line="85" w:lineRule="exact"/>
        <w:rPr>
          <w:rFonts w:ascii="Times New Roman" w:cs="Times New Roman" w:eastAsia="Times New Roman" w:hAnsi="Times New Roman"/>
          <w:sz w:val="21"/>
          <w:szCs w:val="21"/>
          <w:u w:val="single" w:color="auto"/>
          <w:color w:val="auto"/>
        </w:rPr>
      </w:pPr>
    </w:p>
    <w:p>
      <w:pPr>
        <w:jc w:val="both"/>
        <w:ind w:firstLine="624"/>
        <w:spacing w:after="0" w:line="253" w:lineRule="auto"/>
        <w:tabs>
          <w:tab w:leader="none" w:pos="1064" w:val="left"/>
        </w:tabs>
        <w:numPr>
          <w:ilvl w:val="0"/>
          <w:numId w:val="19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The Company may, at its option, at any time prior to December 31, 2024, upon revocable notice as provided below, redeem, at any time or from time to time, up to $50.0 million aggregate principal amount of Notes (including PIK Notes) at a redemption price equal to 100% of the principal amount of the Notes so redeemed, together with interest accrued thereon (including applicable default interest, if any) to the date of such redemption, plus a redemption premium equal to 2.5% of the principal amount of the Notes so redeemed; provided, that if the Company redeems Notes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20"/>
          </w:cols>
          <w:pgMar w:left="940" w:top="1440" w:right="339" w:bottom="1440" w:gutter="0" w:footer="0" w:header="0"/>
        </w:sectPr>
      </w:pPr>
    </w:p>
    <w:bookmarkStart w:id="182" w:name="page183"/>
    <w:bookmarkEnd w:id="182"/>
    <w:p>
      <w:pPr>
        <w:spacing w:after="0" w:line="32" w:lineRule="exact"/>
        <w:rPr>
          <w:sz w:val="20"/>
          <w:szCs w:val="20"/>
          <w:color w:val="auto"/>
        </w:rPr>
      </w:pPr>
    </w:p>
    <w:p>
      <w:pPr>
        <w:ind w:left="620"/>
        <w:spacing w:after="0" w:line="270" w:lineRule="auto"/>
        <w:rPr>
          <w:sz w:val="20"/>
          <w:szCs w:val="20"/>
          <w:color w:val="auto"/>
        </w:rPr>
      </w:pPr>
      <w:r>
        <w:rPr>
          <w:rFonts w:ascii="Times New Roman" w:cs="Times New Roman" w:eastAsia="Times New Roman" w:hAnsi="Times New Roman"/>
          <w:sz w:val="21"/>
          <w:szCs w:val="21"/>
          <w:u w:val="single" w:color="auto"/>
          <w:color w:val="auto"/>
        </w:rPr>
        <w:t>to clause (ii) above and this clause (iv) on the same date, the redemption pursuant to clause (ii) above shall be deemed to occur immediately prior to the redemption pursuant to this clause (v);.</w:t>
      </w:r>
      <w:r>
        <w:rPr>
          <w:rFonts w:ascii="Times New Roman" w:cs="Times New Roman" w:eastAsia="Times New Roman" w:hAnsi="Times New Roman"/>
          <w:sz w:val="21"/>
          <w:szCs w:val="21"/>
          <w:color w:val="auto"/>
        </w:rPr>
        <w:t>”</w:t>
      </w:r>
    </w:p>
    <w:p>
      <w:pPr>
        <w:spacing w:after="0" w:line="4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SECTION 4. </w:t>
      </w:r>
      <w:r>
        <w:rPr>
          <w:rFonts w:ascii="Times New Roman" w:cs="Times New Roman" w:eastAsia="Times New Roman" w:hAnsi="Times New Roman"/>
          <w:sz w:val="21"/>
          <w:szCs w:val="21"/>
          <w:i w:val="1"/>
          <w:iCs w:val="1"/>
          <w:u w:val="single" w:color="auto"/>
          <w:color w:val="auto"/>
        </w:rPr>
        <w:t>Amendment to Section 8.2(c)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satisfaction of the Pricing Condition, the first sentence of Section 8.2(c)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Purchase Agreement is hereby amended and restated in its entirely to read as follows (additions shown in double underline and deletion shown in strikethrough):</w:t>
      </w:r>
    </w:p>
    <w:p>
      <w:pPr>
        <w:spacing w:after="0" w:line="57"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1"/>
          <w:szCs w:val="21"/>
          <w:color w:val="auto"/>
        </w:rPr>
        <w:t xml:space="preserve">“The Company will give each Holder </w:t>
      </w:r>
      <w:r>
        <w:rPr>
          <w:rFonts w:ascii="Times New Roman" w:cs="Times New Roman" w:eastAsia="Times New Roman" w:hAnsi="Times New Roman"/>
          <w:sz w:val="21"/>
          <w:szCs w:val="21"/>
          <w:u w:val="single" w:color="auto"/>
          <w:color w:val="auto"/>
        </w:rPr>
        <w:t>of Notes</w:t>
      </w:r>
      <w:r>
        <w:rPr>
          <w:rFonts w:ascii="Times New Roman" w:cs="Times New Roman" w:eastAsia="Times New Roman" w:hAnsi="Times New Roman"/>
          <w:sz w:val="21"/>
          <w:szCs w:val="21"/>
          <w:color w:val="auto"/>
        </w:rPr>
        <w:t xml:space="preserve"> to be redeemed written notice of each redemption under this Section 8.2 not less than </w:t>
      </w:r>
      <w:r>
        <w:rPr>
          <w:rFonts w:ascii="Times New Roman" w:cs="Times New Roman" w:eastAsia="Times New Roman" w:hAnsi="Times New Roman"/>
          <w:sz w:val="21"/>
          <w:szCs w:val="21"/>
          <w:color w:val="auto"/>
          <w:strike w:val="1"/>
        </w:rPr>
        <w:t>30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 business</w:t>
      </w:r>
      <w:r>
        <w:rPr>
          <w:rFonts w:ascii="Times New Roman" w:cs="Times New Roman" w:eastAsia="Times New Roman" w:hAnsi="Times New Roman"/>
          <w:sz w:val="21"/>
          <w:szCs w:val="21"/>
          <w:color w:val="auto"/>
        </w:rPr>
        <w:t xml:space="preserve"> days and not more than 60 days prior to the date fixed for such redemption unless the Company and the Required Holders agree to another time period pursuant to Section 17.”</w:t>
      </w:r>
    </w:p>
    <w:p>
      <w:pPr>
        <w:spacing w:after="0" w:line="7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SECTION 5. </w:t>
      </w:r>
      <w:r>
        <w:rPr>
          <w:rFonts w:ascii="Times New Roman" w:cs="Times New Roman" w:eastAsia="Times New Roman" w:hAnsi="Times New Roman"/>
          <w:sz w:val="21"/>
          <w:szCs w:val="21"/>
          <w:i w:val="1"/>
          <w:iCs w:val="1"/>
          <w:u w:val="single" w:color="auto"/>
          <w:color w:val="auto"/>
        </w:rPr>
        <w:t>Ratification of Purchase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terms and provisions of the Purchase Agreement, including those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amended or amended and restated by this Amendment and all other terms and provisions of Purchase Agreement, are hereby ratified and remain in full force and effect. From and after the execution and delivery of this Amendment by the parities hereto, all references in the Notes to the Purchase Agreement shall mean the Purchase Agreement as amended by this Amendment.</w:t>
      </w:r>
    </w:p>
    <w:p>
      <w:pPr>
        <w:spacing w:after="0" w:line="63"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6. </w:t>
      </w:r>
      <w:r>
        <w:rPr>
          <w:rFonts w:ascii="Times New Roman" w:cs="Times New Roman" w:eastAsia="Times New Roman" w:hAnsi="Times New Roman"/>
          <w:sz w:val="21"/>
          <w:szCs w:val="21"/>
          <w:i w:val="1"/>
          <w:iCs w:val="1"/>
          <w:u w:val="single" w:color="auto"/>
          <w:color w:val="auto"/>
        </w:rPr>
        <w:t>Agreement to Cooperate to Amend Security Documents</w:t>
      </w:r>
      <w:r>
        <w:rPr>
          <w:rFonts w:ascii="Times New Roman" w:cs="Times New Roman" w:eastAsia="Times New Roman" w:hAnsi="Times New Roman"/>
          <w:sz w:val="21"/>
          <w:szCs w:val="21"/>
          <w:color w:val="auto"/>
        </w:rPr>
        <w:t>. Subject to satisfaction of the Pricing Condition,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Holders and the Collateral Agent agree to use their reasonable best efforts to cooperate with the Company to enter into the Junior Priority Intercreditor Agreement with the Company and the New First Lien PHH Notes Collateral Trustee on or prior to the issue date of the New First Lien PHH Notes and to amend, amend and restate and/or replace the Security Agreement and the other Security Documents and take such other action reasonably requested by the Company so that the Liens on the Collateral securing the Notes are junior to the Liens on the Collateral securing the New First Lien PHH Notes in the same manner the Liens on the Collateral securing the Notes are junior to the Liens on the Collateral securing the New First Lien Notes issued on the Initial Issue Date. From and after the issue date of the New First Lien PHH Notes, all references in the Note Purchase Agreement to “the Security Agreement” and “the Security Documents” shall mean the Security Agreement or the Security Documents as so amended, amended and restated and/or replaced, as the case may be.</w:t>
      </w:r>
    </w:p>
    <w:p>
      <w:pPr>
        <w:spacing w:after="0" w:line="69"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i w:val="1"/>
          <w:iCs w:val="1"/>
          <w:color w:val="auto"/>
        </w:rPr>
        <w:t xml:space="preserve">SECTION 7. </w:t>
      </w:r>
      <w:r>
        <w:rPr>
          <w:rFonts w:ascii="Times New Roman" w:cs="Times New Roman" w:eastAsia="Times New Roman" w:hAnsi="Times New Roman"/>
          <w:sz w:val="21"/>
          <w:szCs w:val="21"/>
          <w:i w:val="1"/>
          <w:iCs w:val="1"/>
          <w:u w:val="single" w:color="auto"/>
          <w:color w:val="auto"/>
        </w:rPr>
        <w:t>Miscellaneous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of the provisions of Sections 15.1 and 22.1 thru 22.9 of the Purchase Agreement shall apply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this Amendment mutatis mutandis as if set forth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2" w:lineRule="exact"/>
        <w:rPr>
          <w:sz w:val="20"/>
          <w:szCs w:val="20"/>
          <w:color w:val="auto"/>
        </w:rPr>
      </w:pPr>
    </w:p>
    <w:p>
      <w:pPr>
        <w:ind w:left="3720" w:right="919" w:hanging="3100"/>
        <w:spacing w:after="0" w:line="373" w:lineRule="auto"/>
        <w:rPr>
          <w:sz w:val="20"/>
          <w:szCs w:val="20"/>
          <w:color w:val="auto"/>
        </w:rPr>
      </w:pPr>
      <w:r>
        <w:rPr>
          <w:rFonts w:ascii="Times New Roman" w:cs="Times New Roman" w:eastAsia="Times New Roman" w:hAnsi="Times New Roman"/>
          <w:sz w:val="21"/>
          <w:szCs w:val="21"/>
          <w:color w:val="auto"/>
        </w:rPr>
        <w:t>IN WITNESS WHEREOF, the parties hereto execute this Amendment as of the date first above written. Very truly yours,</w:t>
      </w:r>
    </w:p>
    <w:p>
      <w:pPr>
        <w:spacing w:after="0" w:line="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ONITY GROUP INC.</w:t>
      </w:r>
    </w:p>
    <w:p>
      <w:pPr>
        <w:spacing w:after="0" w:line="120"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21"/>
          <w:szCs w:val="21"/>
          <w:color w:val="auto"/>
        </w:rPr>
        <w:t>By:</w:t>
        <w:tab/>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-13335</wp:posOffset>
            </wp:positionV>
            <wp:extent cx="1094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6" w:lineRule="exact"/>
        <w:rPr>
          <w:sz w:val="20"/>
          <w:szCs w:val="20"/>
          <w:color w:val="auto"/>
        </w:rPr>
      </w:pPr>
    </w:p>
    <w:p>
      <w:pPr>
        <w:ind w:left="4100"/>
        <w:spacing w:after="0"/>
        <w:tabs>
          <w:tab w:leader="none" w:pos="4880" w:val="left"/>
        </w:tabs>
        <w:rPr>
          <w:sz w:val="20"/>
          <w:szCs w:val="20"/>
          <w:color w:val="auto"/>
        </w:rPr>
      </w:pPr>
      <w:r>
        <w:rPr>
          <w:rFonts w:ascii="Times New Roman" w:cs="Times New Roman" w:eastAsia="Times New Roman" w:hAnsi="Times New Roman"/>
          <w:sz w:val="21"/>
          <w:szCs w:val="21"/>
          <w:color w:val="auto"/>
        </w:rPr>
        <w:t>Name:</w:t>
        <w:tab/>
        <w:t>Sean B. O’Neil</w:t>
      </w:r>
    </w:p>
    <w:p>
      <w:pPr>
        <w:spacing w:after="0" w:line="4" w:lineRule="exact"/>
        <w:rPr>
          <w:sz w:val="20"/>
          <w:szCs w:val="20"/>
          <w:color w:val="auto"/>
        </w:rPr>
      </w:pPr>
    </w:p>
    <w:p>
      <w:pPr>
        <w:ind w:left="4100"/>
        <w:spacing w:after="0"/>
        <w:tabs>
          <w:tab w:leader="none" w:pos="478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as of the date first written above</w:t>
      </w:r>
    </w:p>
    <w:p>
      <w:pPr>
        <w:spacing w:after="0" w:line="1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Oaktree Fund Administration, LLC, as collateral agent</w:t>
      </w:r>
    </w:p>
    <w:p>
      <w:pPr>
        <w:spacing w:after="0" w:line="120"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-13335</wp:posOffset>
            </wp:positionV>
            <wp:extent cx="9988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6" w:lineRule="exact"/>
        <w:rPr>
          <w:sz w:val="20"/>
          <w:szCs w:val="20"/>
          <w:color w:val="auto"/>
        </w:rPr>
      </w:pPr>
    </w:p>
    <w:p>
      <w:pPr>
        <w:ind w:left="4100"/>
        <w:spacing w:after="0"/>
        <w:tabs>
          <w:tab w:leader="none" w:pos="4880" w:val="left"/>
        </w:tabs>
        <w:rPr>
          <w:sz w:val="20"/>
          <w:szCs w:val="20"/>
          <w:color w:val="auto"/>
        </w:rPr>
      </w:pPr>
      <w:r>
        <w:rPr>
          <w:rFonts w:ascii="Times New Roman" w:cs="Times New Roman" w:eastAsia="Times New Roman" w:hAnsi="Times New Roman"/>
          <w:sz w:val="21"/>
          <w:szCs w:val="21"/>
          <w:color w:val="auto"/>
        </w:rPr>
        <w:t>Name:</w:t>
        <w:tab/>
        <w:t>Jordan Mikes</w:t>
      </w:r>
    </w:p>
    <w:p>
      <w:pPr>
        <w:spacing w:after="0" w:line="4"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85"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-13335</wp:posOffset>
            </wp:positionV>
            <wp:extent cx="940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6" w:lineRule="exact"/>
        <w:rPr>
          <w:sz w:val="20"/>
          <w:szCs w:val="20"/>
          <w:color w:val="auto"/>
        </w:rPr>
      </w:pPr>
    </w:p>
    <w:p>
      <w:pPr>
        <w:ind w:left="4100"/>
        <w:spacing w:after="0"/>
        <w:tabs>
          <w:tab w:leader="none" w:pos="4880" w:val="left"/>
        </w:tabs>
        <w:rPr>
          <w:sz w:val="20"/>
          <w:szCs w:val="20"/>
          <w:color w:val="auto"/>
        </w:rPr>
      </w:pPr>
      <w:r>
        <w:rPr>
          <w:rFonts w:ascii="Times New Roman" w:cs="Times New Roman" w:eastAsia="Times New Roman" w:hAnsi="Times New Roman"/>
          <w:sz w:val="21"/>
          <w:szCs w:val="21"/>
          <w:color w:val="auto"/>
        </w:rPr>
        <w:t>Name:</w:t>
        <w:tab/>
        <w:t>Jason Keller</w:t>
      </w:r>
    </w:p>
    <w:p>
      <w:pPr>
        <w:spacing w:after="0" w:line="4"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Opps OCW Holdings, LLC</w:t>
      </w:r>
    </w:p>
    <w:p>
      <w:pPr>
        <w:sectPr>
          <w:pgSz w:w="11900" w:h="16838" w:orient="portrait"/>
          <w:cols w:equalWidth="0" w:num="1">
            <w:col w:w="10139"/>
          </w:cols>
          <w:pgMar w:left="320" w:top="1440" w:right="1440" w:bottom="1440" w:gutter="0" w:footer="0" w:header="0"/>
        </w:sectPr>
      </w:pPr>
    </w:p>
    <w:p>
      <w:pPr>
        <w:spacing w:after="0" w:line="1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Oaktree Fund GP,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Partner</w:t>
      </w:r>
    </w:p>
    <w:p>
      <w:pPr>
        <w:spacing w:after="0" w:line="85" w:lineRule="exact"/>
        <w:rPr>
          <w:sz w:val="20"/>
          <w:szCs w:val="20"/>
          <w:color w:val="auto"/>
        </w:rPr>
      </w:pPr>
    </w:p>
    <w:p>
      <w:pPr>
        <w:sectPr>
          <w:pgSz w:w="11900" w:h="16838" w:orient="portrait"/>
          <w:cols w:equalWidth="0" w:num="2">
            <w:col w:w="4020" w:space="380"/>
            <w:col w:w="5739"/>
          </w:cols>
          <w:pgMar w:left="320" w:top="1440" w:right="1440" w:bottom="1440" w:gutter="0" w:footer="0" w:header="0"/>
          <w:type w:val="continuous"/>
        </w:sectPr>
      </w:pPr>
    </w:p>
    <w:p>
      <w:pPr>
        <w:ind w:left="3720"/>
        <w:spacing w:after="0"/>
        <w:rPr>
          <w:sz w:val="20"/>
          <w:szCs w:val="20"/>
          <w:color w:val="auto"/>
        </w:rPr>
      </w:pPr>
      <w:r>
        <w:rPr>
          <w:rFonts w:ascii="Times New Roman" w:cs="Times New Roman" w:eastAsia="Times New Roman" w:hAnsi="Times New Roman"/>
          <w:sz w:val="20"/>
          <w:szCs w:val="20"/>
          <w:color w:val="auto"/>
        </w:rPr>
        <w:t>By:</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0"/>
          <w:szCs w:val="20"/>
          <w:color w:val="auto"/>
        </w:rPr>
        <w:t>Oaktree Fund GP I, L.P.</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ectPr>
          <w:pgSz w:w="11900" w:h="16838" w:orient="portrait"/>
          <w:cols w:equalWidth="0" w:num="2">
            <w:col w:w="4020" w:space="380"/>
            <w:col w:w="5739"/>
          </w:cols>
          <w:pgMar w:left="320" w:top="1440" w:right="1440" w:bottom="1440" w:gutter="0" w:footer="0" w:header="0"/>
          <w:type w:val="continuous"/>
        </w:sectPr>
      </w:pPr>
    </w:p>
    <w:p>
      <w:pPr>
        <w:spacing w:after="0" w:line="234"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-13335</wp:posOffset>
            </wp:positionV>
            <wp:extent cx="9988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6" w:lineRule="exact"/>
        <w:rPr>
          <w:sz w:val="20"/>
          <w:szCs w:val="20"/>
          <w:color w:val="auto"/>
        </w:rPr>
      </w:pPr>
    </w:p>
    <w:p>
      <w:pPr>
        <w:ind w:left="4100"/>
        <w:spacing w:after="0"/>
        <w:tabs>
          <w:tab w:leader="none" w:pos="4880" w:val="left"/>
        </w:tabs>
        <w:rPr>
          <w:sz w:val="20"/>
          <w:szCs w:val="20"/>
          <w:color w:val="auto"/>
        </w:rPr>
      </w:pPr>
      <w:r>
        <w:rPr>
          <w:rFonts w:ascii="Times New Roman" w:cs="Times New Roman" w:eastAsia="Times New Roman" w:hAnsi="Times New Roman"/>
          <w:sz w:val="21"/>
          <w:szCs w:val="21"/>
          <w:color w:val="auto"/>
        </w:rPr>
        <w:t>Name:</w:t>
        <w:tab/>
        <w:t>Jordan Mikes</w:t>
      </w:r>
    </w:p>
    <w:p>
      <w:pPr>
        <w:spacing w:after="0" w:line="4"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85"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Dante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-13335</wp:posOffset>
            </wp:positionV>
            <wp:extent cx="10350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6" w:lineRule="exact"/>
        <w:rPr>
          <w:sz w:val="20"/>
          <w:szCs w:val="20"/>
          <w:color w:val="auto"/>
        </w:rPr>
      </w:pPr>
    </w:p>
    <w:p>
      <w:pPr>
        <w:ind w:left="4100"/>
        <w:spacing w:after="0"/>
        <w:tabs>
          <w:tab w:leader="none" w:pos="4880" w:val="left"/>
        </w:tabs>
        <w:rPr>
          <w:sz w:val="20"/>
          <w:szCs w:val="20"/>
          <w:color w:val="auto"/>
        </w:rPr>
      </w:pPr>
      <w:r>
        <w:rPr>
          <w:rFonts w:ascii="Times New Roman" w:cs="Times New Roman" w:eastAsia="Times New Roman" w:hAnsi="Times New Roman"/>
          <w:sz w:val="21"/>
          <w:szCs w:val="21"/>
          <w:color w:val="auto"/>
        </w:rPr>
        <w:t>Name:</w:t>
        <w:tab/>
        <w:t>Dante Quazzo</w:t>
      </w:r>
    </w:p>
    <w:p>
      <w:pPr>
        <w:spacing w:after="0" w:line="5"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9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ROF8 OCW Holdings, LLC</w:t>
      </w:r>
    </w:p>
    <w:p>
      <w:pPr>
        <w:sectPr>
          <w:pgSz w:w="11900" w:h="16838" w:orient="portrait"/>
          <w:cols w:equalWidth="0" w:num="1">
            <w:col w:w="10139"/>
          </w:cols>
          <w:pgMar w:left="320" w:top="1440" w:right="1440" w:bottom="1440" w:gutter="0" w:footer="0" w:header="0"/>
          <w:type w:val="continuous"/>
        </w:sectPr>
      </w:pPr>
    </w:p>
    <w:p>
      <w:pPr>
        <w:spacing w:after="0" w:line="10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Oaktree Fund GP,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Partner</w:t>
      </w:r>
    </w:p>
    <w:p>
      <w:pPr>
        <w:spacing w:after="0" w:line="85" w:lineRule="exact"/>
        <w:rPr>
          <w:sz w:val="20"/>
          <w:szCs w:val="20"/>
          <w:color w:val="auto"/>
        </w:rPr>
      </w:pPr>
    </w:p>
    <w:p>
      <w:pPr>
        <w:sectPr>
          <w:pgSz w:w="11900" w:h="16838" w:orient="portrait"/>
          <w:cols w:equalWidth="0" w:num="2">
            <w:col w:w="4020" w:space="380"/>
            <w:col w:w="5739"/>
          </w:cols>
          <w:pgMar w:left="320" w:top="1440" w:right="1440" w:bottom="1440" w:gutter="0" w:footer="0" w:header="0"/>
          <w:type w:val="continuous"/>
        </w:sectPr>
      </w:pPr>
    </w:p>
    <w:p>
      <w:pPr>
        <w:ind w:left="3720"/>
        <w:spacing w:after="0"/>
        <w:rPr>
          <w:sz w:val="20"/>
          <w:szCs w:val="20"/>
          <w:color w:val="auto"/>
        </w:rPr>
      </w:pPr>
      <w:r>
        <w:rPr>
          <w:rFonts w:ascii="Times New Roman" w:cs="Times New Roman" w:eastAsia="Times New Roman" w:hAnsi="Times New Roman"/>
          <w:sz w:val="20"/>
          <w:szCs w:val="20"/>
          <w:color w:val="auto"/>
        </w:rPr>
        <w:t>By:</w:t>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0"/>
          <w:szCs w:val="20"/>
          <w:color w:val="auto"/>
        </w:rPr>
        <w:t>Oaktree Fund GP I, L.P.</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ectPr>
          <w:pgSz w:w="11900" w:h="16838" w:orient="portrait"/>
          <w:cols w:equalWidth="0" w:num="2">
            <w:col w:w="4020" w:space="380"/>
            <w:col w:w="57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Amendment No. 1 to Note and Warrant Purchase Agreement</w:t>
      </w:r>
    </w:p>
    <w:p>
      <w:pPr>
        <w:sectPr>
          <w:pgSz w:w="11900" w:h="16838" w:orient="portrait"/>
          <w:cols w:equalWidth="0" w:num="1">
            <w:col w:w="10139"/>
          </w:cols>
          <w:pgMar w:left="320" w:top="1440" w:right="1440" w:bottom="1440" w:gutter="0" w:footer="0" w:header="0"/>
          <w:type w:val="continuous"/>
        </w:sectPr>
      </w:pPr>
    </w:p>
    <w:bookmarkStart w:id="184" w:name="page185"/>
    <w:bookmarkEnd w:id="184"/>
    <w:p>
      <w:pPr>
        <w:spacing w:after="0" w:line="381"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-13335</wp:posOffset>
            </wp:positionV>
            <wp:extent cx="10941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6" w:lineRule="exact"/>
        <w:rPr>
          <w:sz w:val="20"/>
          <w:szCs w:val="20"/>
          <w:color w:val="auto"/>
        </w:rPr>
      </w:pPr>
    </w:p>
    <w:p>
      <w:pPr>
        <w:ind w:left="2980"/>
        <w:spacing w:after="0"/>
        <w:tabs>
          <w:tab w:leader="none" w:pos="3760" w:val="left"/>
        </w:tabs>
        <w:rPr>
          <w:sz w:val="20"/>
          <w:szCs w:val="20"/>
          <w:color w:val="auto"/>
        </w:rPr>
      </w:pPr>
      <w:r>
        <w:rPr>
          <w:rFonts w:ascii="Times New Roman" w:cs="Times New Roman" w:eastAsia="Times New Roman" w:hAnsi="Times New Roman"/>
          <w:sz w:val="21"/>
          <w:szCs w:val="21"/>
          <w:color w:val="auto"/>
        </w:rPr>
        <w:t>Name:</w:t>
        <w:tab/>
        <w:t>Cary Kleinman</w:t>
      </w:r>
    </w:p>
    <w:p>
      <w:pPr>
        <w:spacing w:after="0" w:line="4" w:lineRule="exact"/>
        <w:rPr>
          <w:sz w:val="20"/>
          <w:szCs w:val="20"/>
          <w:color w:val="auto"/>
        </w:rPr>
      </w:pPr>
    </w:p>
    <w:p>
      <w:pPr>
        <w:ind w:left="2980"/>
        <w:spacing w:after="0"/>
        <w:tabs>
          <w:tab w:leader="none" w:pos="36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98"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-13335</wp:posOffset>
            </wp:positionV>
            <wp:extent cx="940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6" w:lineRule="exact"/>
        <w:rPr>
          <w:sz w:val="20"/>
          <w:szCs w:val="20"/>
          <w:color w:val="auto"/>
        </w:rPr>
      </w:pPr>
    </w:p>
    <w:p>
      <w:pPr>
        <w:ind w:left="2980"/>
        <w:spacing w:after="0"/>
        <w:tabs>
          <w:tab w:leader="none" w:pos="3760" w:val="left"/>
        </w:tabs>
        <w:rPr>
          <w:sz w:val="20"/>
          <w:szCs w:val="20"/>
          <w:color w:val="auto"/>
        </w:rPr>
      </w:pPr>
      <w:r>
        <w:rPr>
          <w:rFonts w:ascii="Times New Roman" w:cs="Times New Roman" w:eastAsia="Times New Roman" w:hAnsi="Times New Roman"/>
          <w:sz w:val="21"/>
          <w:szCs w:val="21"/>
          <w:color w:val="auto"/>
        </w:rPr>
        <w:t>Name:</w:t>
        <w:tab/>
        <w:t>Jason Keller</w:t>
      </w:r>
    </w:p>
    <w:p>
      <w:pPr>
        <w:spacing w:after="0" w:line="4" w:lineRule="exact"/>
        <w:rPr>
          <w:sz w:val="20"/>
          <w:szCs w:val="20"/>
          <w:color w:val="auto"/>
        </w:rPr>
      </w:pPr>
    </w:p>
    <w:p>
      <w:pPr>
        <w:ind w:left="2980"/>
        <w:spacing w:after="0"/>
        <w:tabs>
          <w:tab w:leader="none" w:pos="36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 to Note and Warrant Purchase Agreement</w:t>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28"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1"/>
          <w:szCs w:val="21"/>
          <w:i w:val="1"/>
          <w:iCs w:val="1"/>
          <w:color w:val="auto"/>
        </w:rPr>
        <w:t>Certain information marked by [*]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REDEMPTION AGREEMENT</w:t>
      </w:r>
    </w:p>
    <w:p>
      <w:pPr>
        <w:spacing w:after="0" w:line="117"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9"/>
          <w:szCs w:val="19"/>
          <w:color w:val="auto"/>
        </w:rPr>
        <w:t>THIS REDEMPTION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and entered into as of [●], 2024, by and among MAV Canopy HoldCo I, LLC, a Delaware limited liability company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Onity Group Inc. (f/k/a Ocwen Financial Corporation), a Florida corporation (“</w:t>
      </w:r>
      <w:r>
        <w:rPr>
          <w:rFonts w:ascii="Times New Roman" w:cs="Times New Roman" w:eastAsia="Times New Roman" w:hAnsi="Times New Roman"/>
          <w:sz w:val="19"/>
          <w:szCs w:val="19"/>
          <w:b w:val="1"/>
          <w:bCs w:val="1"/>
          <w:color w:val="auto"/>
        </w:rPr>
        <w:t>Selling Member</w:t>
      </w:r>
      <w:r>
        <w:rPr>
          <w:rFonts w:ascii="Times New Roman" w:cs="Times New Roman" w:eastAsia="Times New Roman" w:hAnsi="Times New Roman"/>
          <w:sz w:val="19"/>
          <w:szCs w:val="19"/>
          <w:color w:val="auto"/>
        </w:rPr>
        <w:t xml:space="preserve">”), and, solely for purposes of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hereof, OCW MAV Holdings, LLC, a Delaware limited liability company (“</w:t>
      </w:r>
      <w:r>
        <w:rPr>
          <w:rFonts w:ascii="Times New Roman" w:cs="Times New Roman" w:eastAsia="Times New Roman" w:hAnsi="Times New Roman"/>
          <w:sz w:val="19"/>
          <w:szCs w:val="19"/>
          <w:b w:val="1"/>
          <w:bCs w:val="1"/>
          <w:color w:val="auto"/>
        </w:rPr>
        <w:t>Oaktree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Member</w:t>
      </w:r>
      <w:r>
        <w:rPr>
          <w:rFonts w:ascii="Times New Roman" w:cs="Times New Roman" w:eastAsia="Times New Roman" w:hAnsi="Times New Roman"/>
          <w:sz w:val="19"/>
          <w:szCs w:val="19"/>
          <w:color w:val="auto"/>
        </w:rPr>
        <w:t>”). Capitalized terms used herein and not otherwise defined shall have the meanings ascribed to such terms in the Operating Agreement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defined below).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09" w:lineRule="exact"/>
        <w:rPr>
          <w:sz w:val="20"/>
          <w:szCs w:val="20"/>
          <w:color w:val="auto"/>
        </w:rPr>
      </w:pPr>
    </w:p>
    <w:p>
      <w:pPr>
        <w:jc w:val="both"/>
        <w:ind w:firstLine="624"/>
        <w:spacing w:after="0" w:line="269" w:lineRule="auto"/>
        <w:tabs>
          <w:tab w:leader="none" w:pos="123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is made to that certain Second Amended &amp; Restated Limited Liability Company Agreement of the Company, dated as of November 2, 2022, by and between Selling Member and Oaktree Member, as amended by that certain Amendment No. 1, dated as of November 1, 2023 (as may be further amended or modified, the “</w:t>
      </w:r>
      <w:r>
        <w:rPr>
          <w:rFonts w:ascii="Times New Roman" w:cs="Times New Roman" w:eastAsia="Times New Roman" w:hAnsi="Times New Roman"/>
          <w:sz w:val="19"/>
          <w:szCs w:val="19"/>
          <w:b w:val="1"/>
          <w:bCs w:val="1"/>
          <w:color w:val="auto"/>
        </w:rPr>
        <w:t>Operating Agreement</w:t>
      </w:r>
      <w:r>
        <w:rPr>
          <w:rFonts w:ascii="Times New Roman" w:cs="Times New Roman" w:eastAsia="Times New Roman" w:hAnsi="Times New Roman"/>
          <w:sz w:val="19"/>
          <w:szCs w:val="19"/>
          <w:color w:val="auto"/>
        </w:rPr>
        <w:t>”).</w:t>
      </w:r>
    </w:p>
    <w:p>
      <w:pPr>
        <w:spacing w:after="0" w:line="53" w:lineRule="exact"/>
        <w:rPr>
          <w:rFonts w:ascii="Times New Roman" w:cs="Times New Roman" w:eastAsia="Times New Roman" w:hAnsi="Times New Roman"/>
          <w:sz w:val="19"/>
          <w:szCs w:val="19"/>
          <w:color w:val="auto"/>
        </w:rPr>
      </w:pPr>
    </w:p>
    <w:p>
      <w:pPr>
        <w:jc w:val="both"/>
        <w:ind w:firstLine="624"/>
        <w:spacing w:after="0" w:line="262" w:lineRule="auto"/>
        <w:tabs>
          <w:tab w:leader="none" w:pos="1233"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is the record owner of an Interest equal to a Percentage Interest of fifteen percent (15%), and Selling Member and the Company have agreed that the Company shall redeem from Selling Member the entirety of Selling Member’s Interest (the “</w:t>
      </w:r>
      <w:r>
        <w:rPr>
          <w:rFonts w:ascii="Times New Roman" w:cs="Times New Roman" w:eastAsia="Times New Roman" w:hAnsi="Times New Roman"/>
          <w:sz w:val="19"/>
          <w:szCs w:val="19"/>
          <w:b w:val="1"/>
          <w:bCs w:val="1"/>
          <w:color w:val="auto"/>
        </w:rPr>
        <w:t>Redeemed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pursuant to the terms and conditions set forth in this Agreement.</w:t>
      </w:r>
    </w:p>
    <w:p>
      <w:pPr>
        <w:spacing w:after="0" w:line="72" w:lineRule="exact"/>
        <w:rPr>
          <w:rFonts w:ascii="Times New Roman" w:cs="Times New Roman" w:eastAsia="Times New Roman" w:hAnsi="Times New Roman"/>
          <w:sz w:val="19"/>
          <w:szCs w:val="19"/>
          <w:color w:val="auto"/>
        </w:rPr>
      </w:pPr>
    </w:p>
    <w:p>
      <w:pPr>
        <w:ind w:firstLine="624"/>
        <w:spacing w:after="0" w:line="270" w:lineRule="auto"/>
        <w:tabs>
          <w:tab w:leader="none" w:pos="1233"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exchange of the Aggregate Consideration for the Redeemed Interest, the Company and Selling Member desire to make certain representations and warranties to each other and make certain acknowledgements, in each case as set forth in this Agreement.</w:t>
      </w:r>
    </w:p>
    <w:p>
      <w:pPr>
        <w:spacing w:after="0" w:line="64"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NOW, THEREFORE, in consideration of the mutual covenants, agreements and understandings contained herein, and intending to be legally bound, the parties hereto hereby agree as follows:</w:t>
      </w:r>
    </w:p>
    <w:p>
      <w:pPr>
        <w:spacing w:after="0" w:line="39" w:lineRule="exact"/>
        <w:rPr>
          <w:sz w:val="20"/>
          <w:szCs w:val="20"/>
          <w:color w:val="auto"/>
        </w:rPr>
      </w:pPr>
    </w:p>
    <w:p>
      <w:pPr>
        <w:ind w:firstLine="624"/>
        <w:spacing w:after="0" w:line="284" w:lineRule="auto"/>
        <w:tabs>
          <w:tab w:leader="none" w:pos="124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 Used in this Agreement</w:t>
      </w:r>
      <w:r>
        <w:rPr>
          <w:rFonts w:ascii="Times New Roman" w:cs="Times New Roman" w:eastAsia="Times New Roman" w:hAnsi="Times New Roman"/>
          <w:sz w:val="19"/>
          <w:szCs w:val="19"/>
          <w:color w:val="auto"/>
        </w:rPr>
        <w:t>. In addition to the terms defined throughout this Agreement, the following terms used in this Agreement shall be construed to have the meanings set forth or referenced below.</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Aggregate Consideration</w:t>
      </w:r>
      <w:r>
        <w:rPr>
          <w:rFonts w:ascii="Times New Roman" w:cs="Times New Roman" w:eastAsia="Times New Roman" w:hAnsi="Times New Roman"/>
          <w:sz w:val="19"/>
          <w:szCs w:val="19"/>
          <w:color w:val="auto"/>
        </w:rPr>
        <w:t xml:space="preserve">” means the sum of the Final Closing Payment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Pricing Adjustment Amounts.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 Portfolio</w:t>
      </w:r>
      <w:r>
        <w:rPr>
          <w:rFonts w:ascii="Times New Roman" w:cs="Times New Roman" w:eastAsia="Times New Roman" w:hAnsi="Times New Roman"/>
          <w:sz w:val="19"/>
          <w:szCs w:val="19"/>
          <w:color w:val="auto"/>
        </w:rPr>
        <w:t>” means the mortgage servicing rights held by MAV as of the Closing Date.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Designated Servicing Multiple</w:t>
      </w:r>
      <w:r>
        <w:rPr>
          <w:rFonts w:ascii="Times New Roman" w:cs="Times New Roman" w:eastAsia="Times New Roman" w:hAnsi="Times New Roman"/>
          <w:sz w:val="19"/>
          <w:szCs w:val="19"/>
          <w:color w:val="auto"/>
        </w:rPr>
        <w:t>” means a Servicing Multiple of [*].</w:t>
      </w:r>
    </w:p>
    <w:p>
      <w:pPr>
        <w:spacing w:after="0" w:line="10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Encumbrance</w:t>
      </w:r>
      <w:r>
        <w:rPr>
          <w:rFonts w:ascii="Times New Roman" w:cs="Times New Roman" w:eastAsia="Times New Roman" w:hAnsi="Times New Roman"/>
          <w:sz w:val="19"/>
          <w:szCs w:val="19"/>
          <w:color w:val="auto"/>
        </w:rPr>
        <w:t>” shall mean any claim, mortgage, pledge, security interest, voting trust, proxy, encumbrance, lien or charge of any kind (including any conditional sale or other title retention agreement or lease in the nature thereof), and any filing or agreement to file a financing statement as debtor under the Uniform Commercial Code of the State of Illinois or the State of Delaware or any similar statute.</w:t>
      </w:r>
    </w:p>
    <w:p>
      <w:pPr>
        <w:spacing w:after="0" w:line="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Sale Adjustment Event</w:t>
      </w:r>
      <w:r>
        <w:rPr>
          <w:rFonts w:ascii="Times New Roman" w:cs="Times New Roman" w:eastAsia="Times New Roman" w:hAnsi="Times New Roman"/>
          <w:sz w:val="19"/>
          <w:szCs w:val="19"/>
          <w:color w:val="auto"/>
        </w:rPr>
        <w:t xml:space="preserve">” means any transaction (or series of related transactions) involving the issuance of equity securities by MAV or the Company, or any sale or transfer of any equity securities in the Company by any member of the Company, in each case, for which the applicable “closing date” occurs on or prior to the first anniversary of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notwithstanding the foregoing, any issuance of equity to (a) any existing or future employees, officers or directors of MAV, the Company or any subsidiary of MAV or the Company, (b) [*] or (c) the Oaktree Member or any of its Affiliates, in each case of the foregoing clauses (a)-(c), shall not be included for purposes of determining whether or not an Equity Sale Adjustment Event has occurred.</w:t>
      </w:r>
    </w:p>
    <w:p>
      <w:pPr>
        <w:spacing w:after="0" w:line="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means generally accepted accounting principles in the United States.</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MAV</w:t>
      </w:r>
      <w:r>
        <w:rPr>
          <w:rFonts w:ascii="Times New Roman" w:cs="Times New Roman" w:eastAsia="Times New Roman" w:hAnsi="Times New Roman"/>
          <w:sz w:val="19"/>
          <w:szCs w:val="19"/>
          <w:color w:val="auto"/>
        </w:rPr>
        <w:t>” means MSR Asset Vehicle LLC, a California limited liability company.</w:t>
      </w:r>
    </w:p>
    <w:p>
      <w:pPr>
        <w:spacing w:after="0" w:line="11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Member Equity</w:t>
      </w:r>
      <w:r>
        <w:rPr>
          <w:rFonts w:ascii="Times New Roman" w:cs="Times New Roman" w:eastAsia="Times New Roman" w:hAnsi="Times New Roman"/>
          <w:sz w:val="19"/>
          <w:szCs w:val="19"/>
          <w:color w:val="auto"/>
        </w:rPr>
        <w:t xml:space="preserve">” means (a) total assets of the Company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(b) total liabilities of the Company, each as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 of this definition, the mortgage servicing rights portfolio of MAV will be valued by an independent third-party valuation firm based on the Designated Servicing Multiple.</w:t>
      </w:r>
    </w:p>
    <w:p>
      <w:pPr>
        <w:spacing w:after="0" w:line="64"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MSR Sale Adjustment Event</w:t>
      </w:r>
      <w:r>
        <w:rPr>
          <w:rFonts w:ascii="Times New Roman" w:cs="Times New Roman" w:eastAsia="Times New Roman" w:hAnsi="Times New Roman"/>
          <w:sz w:val="19"/>
          <w:szCs w:val="19"/>
          <w:color w:val="auto"/>
        </w:rPr>
        <w:t>” means any sale or transfer of mortgage servicing rights by the Company or MAV from the Closing Date Portfolio, for which the applicable “sale date” occurs on or prior to the first anniversary of the Closing Date.</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Onity Competitor</w:t>
      </w:r>
      <w:r>
        <w:rPr>
          <w:rFonts w:ascii="Times New Roman" w:cs="Times New Roman" w:eastAsia="Times New Roman" w:hAnsi="Times New Roman"/>
          <w:sz w:val="19"/>
          <w:szCs w:val="19"/>
          <w:color w:val="auto"/>
        </w:rPr>
        <w:t>” means [*].</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Adjustment Amount</w:t>
      </w:r>
      <w:r>
        <w:rPr>
          <w:rFonts w:ascii="Times New Roman" w:cs="Times New Roman" w:eastAsia="Times New Roman" w:hAnsi="Times New Roman"/>
          <w:sz w:val="19"/>
          <w:szCs w:val="19"/>
          <w:color w:val="auto"/>
        </w:rPr>
        <w:t>” means [*].</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Adjustment Event</w:t>
      </w:r>
      <w:r>
        <w:rPr>
          <w:rFonts w:ascii="Times New Roman" w:cs="Times New Roman" w:eastAsia="Times New Roman" w:hAnsi="Times New Roman"/>
          <w:sz w:val="19"/>
          <w:szCs w:val="19"/>
          <w:color w:val="auto"/>
        </w:rPr>
        <w:t>” means any Equity Sale Adjustment Event or any MSR Sale Adjustment Event.</w:t>
      </w:r>
    </w:p>
    <w:p>
      <w:pPr>
        <w:spacing w:after="0" w:line="11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Servicing Multiple</w:t>
      </w:r>
      <w:r>
        <w:rPr>
          <w:rFonts w:ascii="Times New Roman" w:cs="Times New Roman" w:eastAsia="Times New Roman" w:hAnsi="Times New Roman"/>
          <w:sz w:val="19"/>
          <w:szCs w:val="19"/>
          <w:color w:val="auto"/>
        </w:rPr>
        <w:t>” means the value of a servicing asset expressed as a percentage of the principal balance, then normalized by dividing the value by the servicing fee of the loan or the portfolio. For illustrative purposes, a servicing portfolio worth 100 basis points, with a servicing fee of 25 basis points, would have a servicing multiple of 4.</w:t>
      </w:r>
    </w:p>
    <w:p>
      <w:pPr>
        <w:spacing w:after="0" w:line="68" w:lineRule="exact"/>
        <w:rPr>
          <w:sz w:val="20"/>
          <w:szCs w:val="20"/>
          <w:color w:val="auto"/>
        </w:rPr>
      </w:pPr>
    </w:p>
    <w:p>
      <w:pPr>
        <w:ind w:firstLine="624"/>
        <w:spacing w:after="0" w:line="270" w:lineRule="auto"/>
        <w:tabs>
          <w:tab w:leader="none" w:pos="124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Sale and Redemption</w:t>
      </w:r>
      <w:r>
        <w:rPr>
          <w:rFonts w:ascii="Times New Roman" w:cs="Times New Roman" w:eastAsia="Times New Roman" w:hAnsi="Times New Roman"/>
          <w:sz w:val="19"/>
          <w:szCs w:val="19"/>
          <w:color w:val="auto"/>
        </w:rPr>
        <w:t>. Selling Member agrees to and does hereby sell, and the Company agrees to and does hereby purchase, Selling Member’s Redeemed Interest, effective as of the Closing (defined below).</w:t>
      </w:r>
    </w:p>
    <w:p>
      <w:pPr>
        <w:spacing w:after="0" w:line="60" w:lineRule="exact"/>
        <w:rPr>
          <w:rFonts w:ascii="Times New Roman" w:cs="Times New Roman" w:eastAsia="Times New Roman" w:hAnsi="Times New Roman"/>
          <w:sz w:val="19"/>
          <w:szCs w:val="19"/>
          <w:color w:val="auto"/>
        </w:rPr>
      </w:pPr>
    </w:p>
    <w:p>
      <w:pPr>
        <w:jc w:val="both"/>
        <w:ind w:firstLine="624"/>
        <w:spacing w:after="0" w:line="257" w:lineRule="auto"/>
        <w:tabs>
          <w:tab w:leader="none" w:pos="124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The consummation of the redemption transaction hereunder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shall occur on the date hereof remotely by electronic transfer of documents. At the time and place of the Closing, each of Selling Member and the Company shall have delivered to the other a properly executed copy of this Agreement. The date on which the Closing occurs in accordance with the preceding sentence is referred to in this Agreement as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w:t>
      </w:r>
    </w:p>
    <w:p>
      <w:pPr>
        <w:spacing w:after="0" w:line="76"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Estimated Closing Payment</w:t>
      </w:r>
      <w:r>
        <w:rPr>
          <w:rFonts w:ascii="Times New Roman" w:cs="Times New Roman" w:eastAsia="Times New Roman" w:hAnsi="Times New Roman"/>
          <w:sz w:val="19"/>
          <w:szCs w:val="19"/>
          <w:color w:val="auto"/>
        </w:rPr>
        <w:t>.</w:t>
      </w:r>
    </w:p>
    <w:p>
      <w:pPr>
        <w:spacing w:after="0" w:line="117" w:lineRule="exact"/>
        <w:rPr>
          <w:rFonts w:ascii="Times New Roman" w:cs="Times New Roman" w:eastAsia="Times New Roman" w:hAnsi="Times New Roman"/>
          <w:sz w:val="19"/>
          <w:szCs w:val="19"/>
          <w:color w:val="auto"/>
        </w:rPr>
      </w:pPr>
    </w:p>
    <w:p>
      <w:pPr>
        <w:jc w:val="both"/>
        <w:ind w:left="620" w:firstLine="624"/>
        <w:spacing w:after="0" w:line="255" w:lineRule="auto"/>
        <w:tabs>
          <w:tab w:leader="none" w:pos="1851"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Closing, the Company shall pay the Estimated Closing Payment to Selling Member by wire transfer of immediately available funds to an account designated by Selling Member. For purposes of this Agreement, the “</w:t>
      </w:r>
      <w:r>
        <w:rPr>
          <w:rFonts w:ascii="Times New Roman" w:cs="Times New Roman" w:eastAsia="Times New Roman" w:hAnsi="Times New Roman"/>
          <w:sz w:val="19"/>
          <w:szCs w:val="19"/>
          <w:b w:val="1"/>
          <w:bCs w:val="1"/>
          <w:color w:val="auto"/>
        </w:rPr>
        <w:t>Estimated Closing Payment</w:t>
      </w:r>
      <w:r>
        <w:rPr>
          <w:rFonts w:ascii="Times New Roman" w:cs="Times New Roman" w:eastAsia="Times New Roman" w:hAnsi="Times New Roman"/>
          <w:sz w:val="19"/>
          <w:szCs w:val="19"/>
          <w:color w:val="auto"/>
        </w:rPr>
        <w:t xml:space="preserve">” means an amount determined as the sum of (i) 15%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Member Equity as of the month-end prior to the Closing Date (or the month-end of the month immediately preceding the month-end prior to the Closing Date, if the Closing Date occurs during the first five (5) days of a calendar month),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$15,000,000.</w:t>
      </w:r>
    </w:p>
    <w:p>
      <w:pPr>
        <w:spacing w:after="0" w:line="79" w:lineRule="exact"/>
        <w:rPr>
          <w:rFonts w:ascii="Times New Roman" w:cs="Times New Roman" w:eastAsia="Times New Roman" w:hAnsi="Times New Roman"/>
          <w:sz w:val="19"/>
          <w:szCs w:val="19"/>
          <w:color w:val="auto"/>
        </w:rPr>
      </w:pPr>
    </w:p>
    <w:p>
      <w:pPr>
        <w:jc w:val="both"/>
        <w:ind w:left="620" w:firstLine="624"/>
        <w:spacing w:after="0" w:line="262" w:lineRule="auto"/>
        <w:tabs>
          <w:tab w:leader="none" w:pos="1848"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Estimated Closing Payment shall be subject to adjustment as provided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The Estimated Closing Payment, as adjusted pursuant to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is referred to herein as the “</w:t>
      </w:r>
      <w:r>
        <w:rPr>
          <w:rFonts w:ascii="Times New Roman" w:cs="Times New Roman" w:eastAsia="Times New Roman" w:hAnsi="Times New Roman"/>
          <w:sz w:val="19"/>
          <w:szCs w:val="19"/>
          <w:b w:val="1"/>
          <w:bCs w:val="1"/>
          <w:color w:val="auto"/>
        </w:rPr>
        <w:t>Final Closing Payment</w:t>
      </w:r>
      <w:r>
        <w:rPr>
          <w:rFonts w:ascii="Times New Roman" w:cs="Times New Roman" w:eastAsia="Times New Roman" w:hAnsi="Times New Roman"/>
          <w:sz w:val="19"/>
          <w:szCs w:val="19"/>
          <w:color w:val="auto"/>
        </w:rPr>
        <w:t xml:space="preserve">”, which, for the avoidance of doubt, shall be an amount determined as the sum of (i) 15%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Member Equity as of the Closing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$15,000,000.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3" w:lineRule="exact"/>
        <w:rPr>
          <w:sz w:val="20"/>
          <w:szCs w:val="20"/>
          <w:color w:val="auto"/>
        </w:rPr>
      </w:pPr>
    </w:p>
    <w:p>
      <w:pPr>
        <w:ind w:left="1100" w:hanging="616"/>
        <w:spacing w:after="0"/>
        <w:tabs>
          <w:tab w:leader="none" w:pos="110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 Payment Adjustment</w:t>
      </w:r>
      <w:r>
        <w:rPr>
          <w:rFonts w:ascii="Times New Roman" w:cs="Times New Roman" w:eastAsia="Times New Roman" w:hAnsi="Times New Roman"/>
          <w:sz w:val="19"/>
          <w:szCs w:val="19"/>
          <w:color w:val="auto"/>
        </w:rPr>
        <w:t>.</w:t>
      </w:r>
    </w:p>
    <w:p>
      <w:pPr>
        <w:spacing w:after="0" w:line="117" w:lineRule="exact"/>
        <w:rPr>
          <w:rFonts w:ascii="Times New Roman" w:cs="Times New Roman" w:eastAsia="Times New Roman" w:hAnsi="Times New Roman"/>
          <w:sz w:val="19"/>
          <w:szCs w:val="19"/>
          <w:color w:val="auto"/>
        </w:rPr>
      </w:pPr>
    </w:p>
    <w:p>
      <w:pPr>
        <w:jc w:val="both"/>
        <w:ind w:left="480" w:firstLine="624"/>
        <w:spacing w:after="0" w:line="255" w:lineRule="auto"/>
        <w:tabs>
          <w:tab w:leader="none" w:pos="1711"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but not later than ninety (90) calendar days after the Closing Date, Company shall (i) prepare a statement of the calculation of Member Equity as of the Closing Date together with any additional components contained in the determination of the Estimated Closing Payment (the “</w:t>
      </w:r>
      <w:r>
        <w:rPr>
          <w:rFonts w:ascii="Times New Roman" w:cs="Times New Roman" w:eastAsia="Times New Roman" w:hAnsi="Times New Roman"/>
          <w:sz w:val="19"/>
          <w:szCs w:val="19"/>
          <w:b w:val="1"/>
          <w:bCs w:val="1"/>
          <w:color w:val="auto"/>
        </w:rPr>
        <w:t>Closing Date Statement</w:t>
      </w:r>
      <w:r>
        <w:rPr>
          <w:rFonts w:ascii="Times New Roman" w:cs="Times New Roman" w:eastAsia="Times New Roman" w:hAnsi="Times New Roman"/>
          <w:sz w:val="19"/>
          <w:szCs w:val="19"/>
          <w:color w:val="auto"/>
        </w:rPr>
        <w:t>”), and (ii) deliver the Closing Date Statement to Selling Member. The Closing Date Statement shall be prepared on a good faith basis and shall include a reconciliation of any differences between the calculations used in the determination of the Estimated Closing Payment and those set forth in the Closing Date Statement, together with reasonable supporting materials used in the preparation of the Closing Date Statement.</w:t>
      </w:r>
    </w:p>
    <w:p>
      <w:pPr>
        <w:spacing w:after="0" w:line="67" w:lineRule="exact"/>
        <w:rPr>
          <w:rFonts w:ascii="Times New Roman" w:cs="Times New Roman" w:eastAsia="Times New Roman" w:hAnsi="Times New Roman"/>
          <w:sz w:val="19"/>
          <w:szCs w:val="19"/>
          <w:color w:val="auto"/>
        </w:rPr>
      </w:pPr>
    </w:p>
    <w:p>
      <w:pPr>
        <w:jc w:val="both"/>
        <w:ind w:left="480" w:firstLine="624"/>
        <w:spacing w:after="0" w:line="262" w:lineRule="auto"/>
        <w:tabs>
          <w:tab w:leader="none" w:pos="1708"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review of the Closing Date Statement by Selling Member, Company shall provide Selling Member with prompt and reasonable access to the books and records of the Company during normal business hours and in a manner so as to not unreasonably interfere with the operation of the Company and its Subsidiaries.</w:t>
      </w:r>
    </w:p>
    <w:p>
      <w:pPr>
        <w:spacing w:after="0" w:line="72" w:lineRule="exact"/>
        <w:rPr>
          <w:rFonts w:ascii="Times New Roman" w:cs="Times New Roman" w:eastAsia="Times New Roman" w:hAnsi="Times New Roman"/>
          <w:sz w:val="19"/>
          <w:szCs w:val="19"/>
          <w:color w:val="auto"/>
        </w:rPr>
      </w:pPr>
    </w:p>
    <w:p>
      <w:pPr>
        <w:jc w:val="both"/>
        <w:ind w:left="480" w:firstLine="624"/>
        <w:spacing w:after="0" w:line="251" w:lineRule="auto"/>
        <w:tabs>
          <w:tab w:leader="none" w:pos="1711"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forty-five (45) calendar days after its receipt of the Closing Date Statement, Selling Member shall inform Company in writing either (i) that the Closing Date Statement is acceptable or (ii) of any good faith objection to the Closing Date Statement, setting forth in reasonable detail the basis for such objection and the specific adjustment to amounts, determinations and calculations set forth on the Closing Date Statement that Selling Member believes should be made (an “</w:t>
      </w:r>
      <w:r>
        <w:rPr>
          <w:rFonts w:ascii="Times New Roman" w:cs="Times New Roman" w:eastAsia="Times New Roman" w:hAnsi="Times New Roman"/>
          <w:sz w:val="19"/>
          <w:szCs w:val="19"/>
          <w:b w:val="1"/>
          <w:bCs w:val="1"/>
          <w:color w:val="auto"/>
        </w:rPr>
        <w:t>Objection Notice</w:t>
      </w:r>
      <w:r>
        <w:rPr>
          <w:rFonts w:ascii="Times New Roman" w:cs="Times New Roman" w:eastAsia="Times New Roman" w:hAnsi="Times New Roman"/>
          <w:sz w:val="19"/>
          <w:szCs w:val="19"/>
          <w:color w:val="auto"/>
        </w:rPr>
        <w:t>”). If Selling Member does not timely deliver an Objection Notice with respect to the Closing Date Statement within such forty-five (45) calendar day period, the Closing Date Statement will be final, conclusive and binding on the parties hereto. If an Objection Notice is timely delivered within such forty-five (45) calendar day period, Company and Selling Member shall negotiate in good faith to resolve each dispute raised therein (each, a “</w:t>
      </w:r>
      <w:r>
        <w:rPr>
          <w:rFonts w:ascii="Times New Roman" w:cs="Times New Roman" w:eastAsia="Times New Roman" w:hAnsi="Times New Roman"/>
          <w:sz w:val="19"/>
          <w:szCs w:val="19"/>
          <w:b w:val="1"/>
          <w:bCs w:val="1"/>
          <w:color w:val="auto"/>
        </w:rPr>
        <w:t>Disputed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Item</w:t>
      </w:r>
      <w:r>
        <w:rPr>
          <w:rFonts w:ascii="Times New Roman" w:cs="Times New Roman" w:eastAsia="Times New Roman" w:hAnsi="Times New Roman"/>
          <w:sz w:val="19"/>
          <w:szCs w:val="19"/>
          <w:color w:val="auto"/>
        </w:rPr>
        <w:t>”) and any resolution by them as to any such Disputed Item shall be final, conclusive and binding. If Company and Selling Member,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such good faith efforts, fail to resolve any Disputed Item within thirty (30) calendar days after Selling Member timely delivers an Objection Notice or such longer period as the Parties mutually agree in writing, then Company and Selling Member shall jointly engage [ ● ] or, if such firm is unable or unwilling to act, such other nationally recognized, mutually agreeable independent public accounting firm capable as serving as an accounting expert with relevant experience in resolving such disputes, which firm is not the regular auditing firm of Company or Selling Member (the “</w:t>
      </w:r>
      <w:r>
        <w:rPr>
          <w:rFonts w:ascii="Times New Roman" w:cs="Times New Roman" w:eastAsia="Times New Roman" w:hAnsi="Times New Roman"/>
          <w:sz w:val="19"/>
          <w:szCs w:val="19"/>
          <w:b w:val="1"/>
          <w:bCs w:val="1"/>
          <w:color w:val="auto"/>
        </w:rPr>
        <w:t>Referral Firm</w:t>
      </w:r>
      <w:r>
        <w:rPr>
          <w:rFonts w:ascii="Times New Roman" w:cs="Times New Roman" w:eastAsia="Times New Roman" w:hAnsi="Times New Roman"/>
          <w:sz w:val="19"/>
          <w:szCs w:val="19"/>
          <w:color w:val="auto"/>
        </w:rPr>
        <w:t>”), to resolve only any remaining Disputed Items as soon as practicable thereafter (but in any event, within thirty (30) calendar days after engagement of the Referral Firm or such longer period as the Referral Firm may reasonably require), which resolution must be in writing and set forth in reasonable detail the basis therefor. All Disputed Items that are resolved between the parties in writing or are determined by the Referral Firm will be final, conclusive and binding on the parties, absent manifest error. Upon the agreement of the parties with respect to all Disputed Items, the decision of the Referral Firm with respect to all Disputed Items or Selling Member’s failure to deliver an Objection Notice to Company within the 45-day period referred to above, the Closing Date Statement, as it may be adjusted (the “</w:t>
      </w:r>
      <w:r>
        <w:rPr>
          <w:rFonts w:ascii="Times New Roman" w:cs="Times New Roman" w:eastAsia="Times New Roman" w:hAnsi="Times New Roman"/>
          <w:sz w:val="19"/>
          <w:szCs w:val="19"/>
          <w:b w:val="1"/>
          <w:bCs w:val="1"/>
          <w:color w:val="auto"/>
        </w:rPr>
        <w:t>Final Closing Date Statement</w:t>
      </w:r>
      <w:r>
        <w:rPr>
          <w:rFonts w:ascii="Times New Roman" w:cs="Times New Roman" w:eastAsia="Times New Roman" w:hAnsi="Times New Roman"/>
          <w:sz w:val="19"/>
          <w:szCs w:val="19"/>
          <w:color w:val="auto"/>
        </w:rPr>
        <w:t>”), shall be final, conclusive and binding against the parties hereto.</w:t>
      </w:r>
    </w:p>
    <w:p>
      <w:pPr>
        <w:spacing w:after="0" w:line="81" w:lineRule="exact"/>
        <w:rPr>
          <w:rFonts w:ascii="Times New Roman" w:cs="Times New Roman" w:eastAsia="Times New Roman" w:hAnsi="Times New Roman"/>
          <w:sz w:val="19"/>
          <w:szCs w:val="19"/>
          <w:color w:val="auto"/>
        </w:rPr>
      </w:pPr>
    </w:p>
    <w:p>
      <w:pPr>
        <w:jc w:val="both"/>
        <w:ind w:left="480" w:firstLine="624"/>
        <w:spacing w:after="0" w:line="260" w:lineRule="auto"/>
        <w:tabs>
          <w:tab w:leader="none" w:pos="1708"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resolving any Disputed Item, the Referral Firm (i) shall act as an expert and not as an arbitrator, (ii) shall be bound by the provisions of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(iii) may not assign a value to any Disputed Item greater than the greatest value claimed for such Disputed Item or less than the smallest value for such Disputed Item claimed by either Company in the Closing Date Statement or Selling Member in the Objection Notice, (iv) shall limit its decision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00"/>
          </w:cols>
          <w:pgMar w:left="460" w:top="1440" w:right="339" w:bottom="1440" w:gutter="0" w:footer="0" w:header="0"/>
        </w:sectPr>
      </w:pPr>
    </w:p>
    <w:bookmarkStart w:id="188" w:name="page189"/>
    <w:bookmarkEnd w:id="188"/>
    <w:p>
      <w:pPr>
        <w:spacing w:after="0" w:line="23" w:lineRule="exact"/>
        <w:rPr>
          <w:sz w:val="20"/>
          <w:szCs w:val="20"/>
          <w:color w:val="auto"/>
        </w:rPr>
      </w:pPr>
    </w:p>
    <w:p>
      <w:pPr>
        <w:jc w:val="both"/>
        <w:ind w:left="480"/>
        <w:spacing w:after="0" w:line="251" w:lineRule="auto"/>
        <w:rPr>
          <w:sz w:val="20"/>
          <w:szCs w:val="20"/>
          <w:color w:val="auto"/>
        </w:rPr>
      </w:pPr>
      <w:r>
        <w:rPr>
          <w:rFonts w:ascii="Times New Roman" w:cs="Times New Roman" w:eastAsia="Times New Roman" w:hAnsi="Times New Roman"/>
          <w:sz w:val="19"/>
          <w:szCs w:val="19"/>
          <w:color w:val="auto"/>
        </w:rPr>
        <w:t xml:space="preserve">Disputed Item and (v) shall make its determination based solely on presentations by Company and Selling Member which are in accordance with the guidelines and procedures set forth in this Agreement (i.e. not on the basis of independent review). For purposes of complying with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Company and Selling Member shall furnish to each other and to the Referral Firm such work papers and other documents and information relating to the Disputed Items as the Referral Firm may require and that are available to the party (or its independent public accountants) from whom such documents or information are requested. The Referral Firm shall deliver its determination of the Disputed Items to Company and Selling Member in writing, together with a reasonable basis for its determination of each Disputed Item. Neither Company nor Selling Member shall engage in ex parte communications with the Referral Firm with respect to any Disputed Item until the Referral Firm issues its final determination in accordance with this </w:t>
      </w:r>
      <w:r>
        <w:rPr>
          <w:rFonts w:ascii="Times New Roman" w:cs="Times New Roman" w:eastAsia="Times New Roman" w:hAnsi="Times New Roman"/>
          <w:sz w:val="19"/>
          <w:szCs w:val="19"/>
          <w:u w:val="single" w:color="auto"/>
          <w:color w:val="auto"/>
        </w:rPr>
        <w:t>Section 5(d)</w:t>
      </w:r>
      <w:r>
        <w:rPr>
          <w:rFonts w:ascii="Times New Roman" w:cs="Times New Roman" w:eastAsia="Times New Roman" w:hAnsi="Times New Roman"/>
          <w:sz w:val="19"/>
          <w:szCs w:val="19"/>
          <w:color w:val="auto"/>
        </w:rPr>
        <w:t xml:space="preserve">. The fees and expenses of the Referral Firm incurred pursuant to this </w:t>
      </w:r>
      <w:r>
        <w:rPr>
          <w:rFonts w:ascii="Times New Roman" w:cs="Times New Roman" w:eastAsia="Times New Roman" w:hAnsi="Times New Roman"/>
          <w:sz w:val="19"/>
          <w:szCs w:val="19"/>
          <w:u w:val="single" w:color="auto"/>
          <w:color w:val="auto"/>
        </w:rPr>
        <w:t>Section 5(d)</w:t>
      </w:r>
      <w:r>
        <w:rPr>
          <w:rFonts w:ascii="Times New Roman" w:cs="Times New Roman" w:eastAsia="Times New Roman" w:hAnsi="Times New Roman"/>
          <w:sz w:val="19"/>
          <w:szCs w:val="19"/>
          <w:color w:val="auto"/>
        </w:rPr>
        <w:t xml:space="preserve"> shall be allocated between Company and Selling Member in inverse proportion to their success on the Disputed Items, i.e. (A) Company shall be responsible for that portion of the fees and expenses multiplied by a fraction, the numerator of which is the aggregate dollar value of the Disputed Items submitted to the Referral Firm that are resolved against Company (as finally determined by the Referral Firm) and the denominator of which is the total dollar value of the Disputed Items so submitted and (B) Selling Member shall be responsible for the remaining amount of fees and expenses. In the event of any dispute regarding such allocation, the Referral Firm shall determine the allocation of its fees and expenses as between Company and Selling Member in accordance with such allocation methodology, such determination to be final and binding on both Company and Selling Member. Except as otherwise set forth in this </w:t>
      </w:r>
      <w:r>
        <w:rPr>
          <w:rFonts w:ascii="Times New Roman" w:cs="Times New Roman" w:eastAsia="Times New Roman" w:hAnsi="Times New Roman"/>
          <w:sz w:val="19"/>
          <w:szCs w:val="19"/>
          <w:u w:val="single" w:color="auto"/>
          <w:color w:val="auto"/>
        </w:rPr>
        <w:t>Section 5(d)</w:t>
      </w:r>
      <w:r>
        <w:rPr>
          <w:rFonts w:ascii="Times New Roman" w:cs="Times New Roman" w:eastAsia="Times New Roman" w:hAnsi="Times New Roman"/>
          <w:sz w:val="19"/>
          <w:szCs w:val="19"/>
          <w:color w:val="auto"/>
        </w:rPr>
        <w:t>, the fees and expenses of Selling Member incurred in connection with the Closing Date Statement and any Disputed Items shall be borne by Selling Member, and the fees and expenses of Company incurred in connection with the Closing Date Statement and any Disputed Items shall be borne by Company.</w:t>
      </w:r>
    </w:p>
    <w:p>
      <w:pPr>
        <w:spacing w:after="0" w:line="87" w:lineRule="exact"/>
        <w:rPr>
          <w:sz w:val="20"/>
          <w:szCs w:val="20"/>
          <w:color w:val="auto"/>
        </w:rPr>
      </w:pPr>
    </w:p>
    <w:p>
      <w:pPr>
        <w:jc w:val="both"/>
        <w:ind w:left="480" w:firstLine="624"/>
        <w:spacing w:after="0" w:line="253" w:lineRule="auto"/>
        <w:tabs>
          <w:tab w:leader="none" w:pos="1711"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their receipt of the Final Closing Date Statement, Selling Member and the Company shall compute the difference, if any, between the Estimated Closing Payment and the Final Closing Payment. If the Estimated Closing Payment is less than the Final Closing Payment, then the Company shall pay, promptly and in any event within three (3) business days, an amount in cash equal to such deficiency to Selling Member by wire transfer of immediately available funds to an account designated by Selling Member. If the Estimated Closing Payment exceeds the Final Closing Payment, then Selling Member shall pay, promptly and in any event within three (3) business days, an amount in cash equal to such deficiency to the Company by wire transfer of immediately available funds to an account designated by the Company.</w:t>
      </w:r>
    </w:p>
    <w:p>
      <w:pPr>
        <w:spacing w:after="0" w:line="80" w:lineRule="exact"/>
        <w:rPr>
          <w:rFonts w:ascii="Times New Roman" w:cs="Times New Roman" w:eastAsia="Times New Roman" w:hAnsi="Times New Roman"/>
          <w:sz w:val="19"/>
          <w:szCs w:val="19"/>
          <w:color w:val="auto"/>
        </w:rPr>
      </w:pPr>
    </w:p>
    <w:p>
      <w:pPr>
        <w:jc w:val="both"/>
        <w:ind w:left="-140" w:firstLine="624"/>
        <w:spacing w:after="0" w:line="253" w:lineRule="auto"/>
        <w:tabs>
          <w:tab w:leader="none" w:pos="110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Pricing Adjustment Amount</w:t>
      </w:r>
      <w:r>
        <w:rPr>
          <w:rFonts w:ascii="Times New Roman" w:cs="Times New Roman" w:eastAsia="Times New Roman" w:hAnsi="Times New Roman"/>
          <w:sz w:val="19"/>
          <w:szCs w:val="19"/>
          <w:color w:val="auto"/>
        </w:rPr>
        <w:t xml:space="preserve">. As part of the Aggregate Consideration to be paid by the Company in exchange for the Redeemed Interest, in the event that a Pricing Adjustment Event occurs, the Company shall pay, promptly (and in any event within five (5) business days of the day on which the Company or MAV, as applicable, has received payment of any undisputed portion or undisputed installment of the purchase price payable to it in respect of such Pricing Adjustment Event) the Pricing Adjustment Amount applicable to such undisputed portion or installment to Selling Member by wire transfer of immediately available funds to an account designated by Selling Member. For the avoidance of doubt, the occurrence of each Pricing Adjustment Event triggers an obligation to pay the related Pricing Adjustment Amount (unless such calculation results in an amount of zero dollars);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no event will the Company be obligated to pay any Pricing Adjustment Amount unless and until the Company has actually received proceeds in respect of the applicable Pricing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100"/>
          </w:cols>
          <w:pgMar w:left="460" w:top="1440" w:right="339" w:bottom="1440" w:gutter="0" w:footer="0" w:header="0"/>
        </w:sectPr>
      </w:pPr>
    </w:p>
    <w:bookmarkStart w:id="189" w:name="page190"/>
    <w:bookmarkEnd w:id="189"/>
    <w:p>
      <w:pPr>
        <w:spacing w:after="0" w:line="23" w:lineRule="exact"/>
        <w:rPr>
          <w:sz w:val="20"/>
          <w:szCs w:val="20"/>
          <w:color w:val="auto"/>
        </w:rPr>
      </w:pPr>
    </w:p>
    <w:p>
      <w:pPr>
        <w:jc w:val="both"/>
        <w:ind w:left="-140" w:firstLine="624"/>
        <w:spacing w:after="0" w:line="262" w:lineRule="auto"/>
        <w:tabs>
          <w:tab w:leader="none" w:pos="11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Selling Member</w:t>
      </w:r>
      <w:r>
        <w:rPr>
          <w:rFonts w:ascii="Times New Roman" w:cs="Times New Roman" w:eastAsia="Times New Roman" w:hAnsi="Times New Roman"/>
          <w:sz w:val="19"/>
          <w:szCs w:val="19"/>
          <w:color w:val="auto"/>
        </w:rPr>
        <w:t>. In connection with the execution and delivery of this Agreement and the consummation of the purchase and sale of the Redeemed Interest provided for under this Agreement, Selling Member hereby represents and warrants to the Company, as of the date hereof, as follows:</w:t>
      </w:r>
    </w:p>
    <w:p>
      <w:pPr>
        <w:spacing w:after="0" w:line="72" w:lineRule="exact"/>
        <w:rPr>
          <w:rFonts w:ascii="Times New Roman" w:cs="Times New Roman" w:eastAsia="Times New Roman" w:hAnsi="Times New Roman"/>
          <w:sz w:val="19"/>
          <w:szCs w:val="19"/>
          <w:color w:val="auto"/>
        </w:rPr>
      </w:pPr>
    </w:p>
    <w:p>
      <w:pPr>
        <w:ind w:left="480" w:firstLine="624"/>
        <w:spacing w:after="0" w:line="270" w:lineRule="auto"/>
        <w:tabs>
          <w:tab w:leader="none" w:pos="1711"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owns and continues to be the owner of Selling Member’s Redeemed Interest (until completion of the sale of the Redeemed Interest to the Company provided for under this Agreement);</w:t>
      </w:r>
    </w:p>
    <w:p>
      <w:pPr>
        <w:spacing w:after="0" w:line="64" w:lineRule="exact"/>
        <w:rPr>
          <w:rFonts w:ascii="Times New Roman" w:cs="Times New Roman" w:eastAsia="Times New Roman" w:hAnsi="Times New Roman"/>
          <w:sz w:val="19"/>
          <w:szCs w:val="19"/>
          <w:color w:val="auto"/>
        </w:rPr>
      </w:pPr>
    </w:p>
    <w:p>
      <w:pPr>
        <w:ind w:left="1720" w:hanging="616"/>
        <w:spacing w:after="0"/>
        <w:tabs>
          <w:tab w:leader="none" w:pos="1720"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Redeemed Interest represents the entirety of Selling Member’s Interest;</w:t>
      </w:r>
    </w:p>
    <w:p>
      <w:pPr>
        <w:spacing w:after="0" w:line="117" w:lineRule="exact"/>
        <w:rPr>
          <w:rFonts w:ascii="Times New Roman" w:cs="Times New Roman" w:eastAsia="Times New Roman" w:hAnsi="Times New Roman"/>
          <w:sz w:val="19"/>
          <w:szCs w:val="19"/>
          <w:color w:val="auto"/>
        </w:rPr>
      </w:pPr>
    </w:p>
    <w:p>
      <w:pPr>
        <w:jc w:val="both"/>
        <w:ind w:left="480" w:firstLine="624"/>
        <w:spacing w:after="0" w:line="255" w:lineRule="auto"/>
        <w:tabs>
          <w:tab w:leader="none" w:pos="1711"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contemplated by the Operating Agreement, neither Selling Member nor any representative of Selling Member has granted any proxy or other right or interest in or with respect to the Redeemed Interest, deposited the Redeemed Interest into any voting trust, or entered into any voting agreement or arrangement with respect to the Redeemed Interest or, if the Redeemed Interest is subject to any such arrangement, Selling Member has obtained any required consent to transfer the Redeemed Interest to the Company as set forth herein;</w:t>
      </w:r>
    </w:p>
    <w:p>
      <w:pPr>
        <w:spacing w:after="0" w:line="79" w:lineRule="exact"/>
        <w:rPr>
          <w:rFonts w:ascii="Times New Roman" w:cs="Times New Roman" w:eastAsia="Times New Roman" w:hAnsi="Times New Roman"/>
          <w:sz w:val="19"/>
          <w:szCs w:val="19"/>
          <w:color w:val="auto"/>
        </w:rPr>
      </w:pPr>
    </w:p>
    <w:p>
      <w:pPr>
        <w:ind w:left="480" w:firstLine="624"/>
        <w:spacing w:after="0" w:line="270" w:lineRule="auto"/>
        <w:tabs>
          <w:tab w:leader="none" w:pos="1708"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has good, valid and marketable title to the Redeemed Interest, and the full legal right, power and authority to sell, assign and transfer the Redeemed Interest to the Company, free and clear of any and all Encumbrances (as defined below);</w:t>
      </w:r>
    </w:p>
    <w:p>
      <w:pPr>
        <w:spacing w:after="0" w:line="64" w:lineRule="exact"/>
        <w:rPr>
          <w:rFonts w:ascii="Times New Roman" w:cs="Times New Roman" w:eastAsia="Times New Roman" w:hAnsi="Times New Roman"/>
          <w:sz w:val="19"/>
          <w:szCs w:val="19"/>
          <w:color w:val="auto"/>
        </w:rPr>
      </w:pPr>
    </w:p>
    <w:p>
      <w:pPr>
        <w:ind w:left="480" w:firstLine="624"/>
        <w:spacing w:after="0" w:line="270" w:lineRule="auto"/>
        <w:tabs>
          <w:tab w:leader="none" w:pos="1711"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delivery of the Redeemed Interest to the Company, (i) the Company will acquire the Redeemed Interest free and clear of any and all Encumbrances and (ii) Selling Member will no longer hold an Interest;</w:t>
      </w:r>
    </w:p>
    <w:p>
      <w:pPr>
        <w:spacing w:after="0" w:line="64" w:lineRule="exact"/>
        <w:rPr>
          <w:rFonts w:ascii="Times New Roman" w:cs="Times New Roman" w:eastAsia="Times New Roman" w:hAnsi="Times New Roman"/>
          <w:sz w:val="19"/>
          <w:szCs w:val="19"/>
          <w:color w:val="auto"/>
        </w:rPr>
      </w:pPr>
    </w:p>
    <w:p>
      <w:pPr>
        <w:jc w:val="both"/>
        <w:ind w:left="480" w:firstLine="624"/>
        <w:spacing w:after="0" w:line="255" w:lineRule="auto"/>
        <w:tabs>
          <w:tab w:leader="none" w:pos="1716"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Agreement by Selling Member and the performance and satisfaction of any agreement or condition contained in this Agreement that is required to be performed or satisfied by Selling Member (including the sale of the Redeemed Interest to the Company) will not constitute a violation of, or create a default under, any contract, agreement, arrangement, understanding or instrument to which Selling Member is a party or by which Selling Member or all or any portion of the Redeemed Interest is bound except for any such agreement, arrangement, understanding or instrument with respect to which Selling Member has obtained any required consent to transfer the Redeemed Interest to the Company as set forth herein;</w:t>
      </w:r>
    </w:p>
    <w:p>
      <w:pPr>
        <w:spacing w:after="0" w:line="67" w:lineRule="exact"/>
        <w:rPr>
          <w:rFonts w:ascii="Times New Roman" w:cs="Times New Roman" w:eastAsia="Times New Roman" w:hAnsi="Times New Roman"/>
          <w:sz w:val="19"/>
          <w:szCs w:val="19"/>
          <w:color w:val="auto"/>
        </w:rPr>
      </w:pPr>
    </w:p>
    <w:p>
      <w:pPr>
        <w:jc w:val="both"/>
        <w:ind w:left="480" w:firstLine="624"/>
        <w:spacing w:after="0" w:line="259" w:lineRule="auto"/>
        <w:tabs>
          <w:tab w:leader="none" w:pos="1708"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is knowledgeable about the condition of the Company, financial and otherwise; acknowledges and agrees that in deciding to enter into this Agreement, Selling Member is relying on its own judgment and the judgment of the professionals of its choice with whom it has consulted; has received all information that it has requested of the Company and deemed necessary in order to evaluate the transactions contemplated hereby; and acknowledges and agrees that the consideration to be paid by the Company for the Redeemed Interest is fair and correct;</w:t>
      </w:r>
    </w:p>
    <w:p>
      <w:pPr>
        <w:spacing w:after="0" w:line="61" w:lineRule="exact"/>
        <w:rPr>
          <w:rFonts w:ascii="Times New Roman" w:cs="Times New Roman" w:eastAsia="Times New Roman" w:hAnsi="Times New Roman"/>
          <w:sz w:val="19"/>
          <w:szCs w:val="19"/>
          <w:color w:val="auto"/>
        </w:rPr>
      </w:pPr>
    </w:p>
    <w:p>
      <w:pPr>
        <w:ind w:left="480" w:firstLine="624"/>
        <w:spacing w:after="0" w:line="284" w:lineRule="auto"/>
        <w:tabs>
          <w:tab w:leader="none" w:pos="1708"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has received independent tax and legal advice from attorneys and/or accountants of its choice with respect to the implications of executing this Agreement and performing its obligations hereunder;</w:t>
      </w:r>
    </w:p>
    <w:p>
      <w:pPr>
        <w:spacing w:after="0" w:line="51" w:lineRule="exact"/>
        <w:rPr>
          <w:rFonts w:ascii="Times New Roman" w:cs="Times New Roman" w:eastAsia="Times New Roman" w:hAnsi="Times New Roman"/>
          <w:sz w:val="19"/>
          <w:szCs w:val="19"/>
          <w:color w:val="auto"/>
        </w:rPr>
      </w:pPr>
    </w:p>
    <w:p>
      <w:pPr>
        <w:jc w:val="both"/>
        <w:ind w:left="480" w:firstLine="624"/>
        <w:spacing w:after="0" w:line="262" w:lineRule="auto"/>
        <w:tabs>
          <w:tab w:leader="none" w:pos="1718"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has no actual knowledge of any pending or threatened action, suit, proceeding, hearing, or investigation of, in, or before any court or quasi-judicial or administrative agency of any federal, state, local or non-U.S. jurisdiction or before any arbitrator involving the Redeemed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100"/>
          </w:cols>
          <w:pgMar w:left="460" w:top="1440" w:right="339" w:bottom="1440" w:gutter="0" w:footer="0" w:header="0"/>
        </w:sectPr>
      </w:pPr>
    </w:p>
    <w:bookmarkStart w:id="190" w:name="page191"/>
    <w:bookmarkEnd w:id="190"/>
    <w:p>
      <w:pPr>
        <w:spacing w:after="0" w:line="23" w:lineRule="exact"/>
        <w:rPr>
          <w:sz w:val="20"/>
          <w:szCs w:val="20"/>
          <w:color w:val="auto"/>
        </w:rPr>
      </w:pPr>
    </w:p>
    <w:p>
      <w:pPr>
        <w:jc w:val="both"/>
        <w:ind w:left="480" w:firstLine="624"/>
        <w:spacing w:after="0" w:line="262" w:lineRule="auto"/>
        <w:tabs>
          <w:tab w:leader="none" w:pos="1718"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(or the undersigned representative thereof) has all requisite power and authority to execute and deliver this Agreement and the assignment documents relating to the Redeemed Interest, to transfer title to the Redeemed Interest to the Company and to consummate the transactions contemplated under this Agreement;</w:t>
      </w:r>
    </w:p>
    <w:p>
      <w:pPr>
        <w:spacing w:after="0" w:line="72" w:lineRule="exact"/>
        <w:rPr>
          <w:rFonts w:ascii="Times New Roman" w:cs="Times New Roman" w:eastAsia="Times New Roman" w:hAnsi="Times New Roman"/>
          <w:sz w:val="19"/>
          <w:szCs w:val="19"/>
          <w:color w:val="auto"/>
        </w:rPr>
      </w:pPr>
    </w:p>
    <w:p>
      <w:pPr>
        <w:jc w:val="both"/>
        <w:ind w:left="480" w:firstLine="624"/>
        <w:spacing w:after="0" w:line="253" w:lineRule="auto"/>
        <w:tabs>
          <w:tab w:leader="none" w:pos="1708"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Selling Member nor any of its subsidiaries, affiliates, members, managers, employees, partners, agents, representatives, successors and assigns has any claims against the Company (or any of its subsidiaries) arising out of, or resulting from, the Operating Agreement or Selling Member’s capacity as a Member or ownership of the Redeemed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for the avoidance of doubt, the foregoing representation and warranty does not pertain to (and shall not be deemed to or interpreted as limiting or diminishing in any respect) any claims arising out of, resulting from or relating to any agreement by and among Selling Member (or any its Affiliates) and the Company (or any of its Affiliates), including any servicing rights sale agreement, servicing or subservicing agreement, recapture or administrative services agreements among any such parties; and</w:t>
      </w:r>
    </w:p>
    <w:p>
      <w:pPr>
        <w:spacing w:after="0" w:line="80" w:lineRule="exact"/>
        <w:rPr>
          <w:rFonts w:ascii="Times New Roman" w:cs="Times New Roman" w:eastAsia="Times New Roman" w:hAnsi="Times New Roman"/>
          <w:sz w:val="19"/>
          <w:szCs w:val="19"/>
          <w:color w:val="auto"/>
        </w:rPr>
      </w:pPr>
    </w:p>
    <w:p>
      <w:pPr>
        <w:ind w:left="480" w:firstLine="624"/>
        <w:spacing w:after="0" w:line="284" w:lineRule="auto"/>
        <w:tabs>
          <w:tab w:leader="none" w:pos="1718"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when executed and delivered by the undersigned, will constitute the valid and binding agreement of Selling Member, enforceable against Selling Member in accordance with its terms.</w:t>
      </w:r>
    </w:p>
    <w:p>
      <w:pPr>
        <w:spacing w:after="0" w:line="38" w:lineRule="exact"/>
        <w:rPr>
          <w:rFonts w:ascii="Times New Roman" w:cs="Times New Roman" w:eastAsia="Times New Roman" w:hAnsi="Times New Roman"/>
          <w:sz w:val="19"/>
          <w:szCs w:val="19"/>
          <w:color w:val="auto"/>
        </w:rPr>
      </w:pPr>
    </w:p>
    <w:p>
      <w:pPr>
        <w:jc w:val="both"/>
        <w:ind w:left="-140" w:firstLine="624"/>
        <w:spacing w:after="0" w:line="262" w:lineRule="auto"/>
        <w:tabs>
          <w:tab w:leader="none" w:pos="110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In connection with the execution and delivery of this Agreement and the consummation of the purchase and sale of the Redeemed Interest provided for under this Agreement, the Company hereby represents and warrants to Selling Member, as of the date hereof as follows:</w:t>
      </w:r>
    </w:p>
    <w:p>
      <w:pPr>
        <w:spacing w:after="0" w:line="72" w:lineRule="exact"/>
        <w:rPr>
          <w:rFonts w:ascii="Times New Roman" w:cs="Times New Roman" w:eastAsia="Times New Roman" w:hAnsi="Times New Roman"/>
          <w:sz w:val="19"/>
          <w:szCs w:val="19"/>
          <w:color w:val="auto"/>
        </w:rPr>
      </w:pPr>
    </w:p>
    <w:p>
      <w:pPr>
        <w:jc w:val="both"/>
        <w:ind w:left="480" w:firstLine="624"/>
        <w:spacing w:after="0" w:line="255" w:lineRule="auto"/>
        <w:tabs>
          <w:tab w:leader="none" w:pos="1711"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Agreement by the Company and the performance and satisfaction of any agreement or condition contained in this Agreement that is required to be performed or satisfied by the Company will not constitute a violation of, or create a default under, any contract, agreement, arrangement, understanding or instrument to which the Company is a party or by which the Company is bound except for any such agreement, arrangement, understanding or instrument with respect to which the Company has obtained any required consent or waiver to transfer the Redeemed Interest to the Company as set forth herein;</w:t>
      </w:r>
    </w:p>
    <w:p>
      <w:pPr>
        <w:spacing w:after="0" w:line="79" w:lineRule="exact"/>
        <w:rPr>
          <w:rFonts w:ascii="Times New Roman" w:cs="Times New Roman" w:eastAsia="Times New Roman" w:hAnsi="Times New Roman"/>
          <w:sz w:val="19"/>
          <w:szCs w:val="19"/>
          <w:color w:val="auto"/>
        </w:rPr>
      </w:pPr>
    </w:p>
    <w:p>
      <w:pPr>
        <w:ind w:left="1720" w:hanging="616"/>
        <w:spacing w:after="0"/>
        <w:tabs>
          <w:tab w:leader="none" w:pos="1720"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the undersigned representative thereof) has all requisite power and authority to execute and deliver this</w:t>
      </w:r>
    </w:p>
    <w:p>
      <w:pPr>
        <w:spacing w:after="0" w:line="21" w:lineRule="exact"/>
        <w:rPr>
          <w:rFonts w:ascii="Times New Roman" w:cs="Times New Roman" w:eastAsia="Times New Roman" w:hAnsi="Times New Roman"/>
          <w:sz w:val="19"/>
          <w:szCs w:val="19"/>
          <w:color w:val="auto"/>
        </w:rPr>
      </w:pPr>
    </w:p>
    <w:p>
      <w:pPr>
        <w:ind w:left="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97" w:lineRule="exact"/>
        <w:rPr>
          <w:rFonts w:ascii="Times New Roman" w:cs="Times New Roman" w:eastAsia="Times New Roman" w:hAnsi="Times New Roman"/>
          <w:sz w:val="19"/>
          <w:szCs w:val="19"/>
          <w:color w:val="auto"/>
        </w:rPr>
      </w:pPr>
    </w:p>
    <w:p>
      <w:pPr>
        <w:jc w:val="both"/>
        <w:ind w:left="480" w:firstLine="624"/>
        <w:spacing w:after="0" w:line="262" w:lineRule="auto"/>
        <w:tabs>
          <w:tab w:leader="none" w:pos="1711"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no actual knowledge of any pending or threatened action, suit, proceeding, hearing, or investigation of, in, or before any court or quasi-judicial or administrative agency of any federal, state, local or non-U.S. jurisdiction or before any arbitrator involving the Redeemed Interest;</w:t>
      </w:r>
    </w:p>
    <w:p>
      <w:pPr>
        <w:spacing w:after="0" w:line="72" w:lineRule="exact"/>
        <w:rPr>
          <w:rFonts w:ascii="Times New Roman" w:cs="Times New Roman" w:eastAsia="Times New Roman" w:hAnsi="Times New Roman"/>
          <w:sz w:val="19"/>
          <w:szCs w:val="19"/>
          <w:color w:val="auto"/>
        </w:rPr>
      </w:pPr>
    </w:p>
    <w:p>
      <w:pPr>
        <w:jc w:val="both"/>
        <w:ind w:left="480" w:firstLine="624"/>
        <w:spacing w:after="0" w:line="256" w:lineRule="auto"/>
        <w:tabs>
          <w:tab w:leader="none" w:pos="1708"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Company nor any of its subsidiaries, affiliates, members, managers, employees, partners, agents, representatives, successors and assigns has any claims against the Selling Member (or any of its Affiliates) arising out of, or resulting from, the Operating Agreement or Selling Member’s capacity as a Member or ownership of the Redeemed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for the avoidance of doubt, the foregoing representation and warranty does not pertain to (and shall not be deemed to or interpreted as limiting or diminishing in any respect) any claims arising out of, resulting from or relating to any agreement by and among Selling Member (or any its Affiliates) and the Company (or any of its Affiliates), including any servicing rights sale agreement, servicing or subservicing agreement, recapture or administrative services agreements among any such parties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100"/>
          </w:cols>
          <w:pgMar w:left="460" w:top="1440" w:right="339" w:bottom="1440" w:gutter="0" w:footer="0" w:header="0"/>
        </w:sectPr>
      </w:pPr>
    </w:p>
    <w:bookmarkStart w:id="191" w:name="page192"/>
    <w:bookmarkEnd w:id="191"/>
    <w:p>
      <w:pPr>
        <w:spacing w:after="0" w:line="23" w:lineRule="exact"/>
        <w:rPr>
          <w:sz w:val="20"/>
          <w:szCs w:val="20"/>
          <w:color w:val="auto"/>
        </w:rPr>
      </w:pPr>
    </w:p>
    <w:p>
      <w:pPr>
        <w:ind w:left="480" w:firstLine="624"/>
        <w:spacing w:after="0" w:line="284" w:lineRule="auto"/>
        <w:tabs>
          <w:tab w:leader="none" w:pos="1711"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when executed and delivered by the undersigned, will constitute the valid and binding agreement of the Company, enforceable against it in accordance with its terms.</w:t>
      </w:r>
    </w:p>
    <w:p>
      <w:pPr>
        <w:spacing w:after="0" w:line="38" w:lineRule="exact"/>
        <w:rPr>
          <w:rFonts w:ascii="Times New Roman" w:cs="Times New Roman" w:eastAsia="Times New Roman" w:hAnsi="Times New Roman"/>
          <w:sz w:val="19"/>
          <w:szCs w:val="19"/>
          <w:color w:val="auto"/>
        </w:rPr>
      </w:pPr>
    </w:p>
    <w:p>
      <w:pPr>
        <w:ind w:left="1100" w:hanging="616"/>
        <w:spacing w:after="0"/>
        <w:tabs>
          <w:tab w:leader="none" w:pos="110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Selling Member Acknowledgments</w:t>
      </w:r>
      <w:r>
        <w:rPr>
          <w:rFonts w:ascii="Times New Roman" w:cs="Times New Roman" w:eastAsia="Times New Roman" w:hAnsi="Times New Roman"/>
          <w:sz w:val="19"/>
          <w:szCs w:val="19"/>
          <w:color w:val="auto"/>
        </w:rPr>
        <w:t>. Selling Member, as of the date hereof, expressly acknowledges and agrees as follows:</w:t>
      </w:r>
    </w:p>
    <w:p>
      <w:pPr>
        <w:spacing w:after="0" w:line="117" w:lineRule="exact"/>
        <w:rPr>
          <w:rFonts w:ascii="Times New Roman" w:cs="Times New Roman" w:eastAsia="Times New Roman" w:hAnsi="Times New Roman"/>
          <w:sz w:val="19"/>
          <w:szCs w:val="19"/>
          <w:color w:val="auto"/>
        </w:rPr>
      </w:pPr>
    </w:p>
    <w:p>
      <w:pPr>
        <w:jc w:val="both"/>
        <w:ind w:left="480" w:firstLine="624"/>
        <w:spacing w:after="0" w:line="255" w:lineRule="auto"/>
        <w:tabs>
          <w:tab w:leader="none" w:pos="1711"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and without the necessity of further action by any person, (i) the Redeemed Interest will be considered to have been redeemed by and transferred to the Company in its entirety, and (ii) if applicable, any certificate or other evidence of the Redeemed Interest shall be deemed cancelled and shall be null and void;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anything to the contrary, Selling Member shall be entitled to receive tax distributions with respect to the Redeemed Interest in accordance with the Operating Agreement in respect of the period prior to the Closing to the extent not previously paid;</w:t>
      </w:r>
    </w:p>
    <w:p>
      <w:pPr>
        <w:spacing w:after="0" w:line="79" w:lineRule="exact"/>
        <w:rPr>
          <w:rFonts w:ascii="Times New Roman" w:cs="Times New Roman" w:eastAsia="Times New Roman" w:hAnsi="Times New Roman"/>
          <w:sz w:val="19"/>
          <w:szCs w:val="19"/>
          <w:color w:val="auto"/>
        </w:rPr>
      </w:pPr>
    </w:p>
    <w:p>
      <w:pPr>
        <w:ind w:left="480" w:firstLine="624"/>
        <w:spacing w:after="0" w:line="270" w:lineRule="auto"/>
        <w:tabs>
          <w:tab w:leader="none" w:pos="1708"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its members, nor any of their respective affiliates, agents or representatives, have made any representations or warranties of any kind or nature to Selling Member or any of its affiliates regarding the value of the Redeemed Interest;</w:t>
      </w:r>
    </w:p>
    <w:p>
      <w:pPr>
        <w:spacing w:after="0" w:line="64" w:lineRule="exact"/>
        <w:rPr>
          <w:rFonts w:ascii="Times New Roman" w:cs="Times New Roman" w:eastAsia="Times New Roman" w:hAnsi="Times New Roman"/>
          <w:sz w:val="19"/>
          <w:szCs w:val="19"/>
          <w:color w:val="auto"/>
        </w:rPr>
      </w:pPr>
    </w:p>
    <w:p>
      <w:pPr>
        <w:ind w:left="1720" w:hanging="616"/>
        <w:spacing w:after="0"/>
        <w:tabs>
          <w:tab w:leader="none" w:pos="17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Member has reached its own independent determination with respect to the value of the Redeemed Interest; and</w:t>
      </w:r>
    </w:p>
    <w:p>
      <w:pPr>
        <w:spacing w:after="0" w:line="117" w:lineRule="exact"/>
        <w:rPr>
          <w:rFonts w:ascii="Times New Roman" w:cs="Times New Roman" w:eastAsia="Times New Roman" w:hAnsi="Times New Roman"/>
          <w:sz w:val="19"/>
          <w:szCs w:val="19"/>
          <w:color w:val="auto"/>
        </w:rPr>
      </w:pPr>
    </w:p>
    <w:p>
      <w:pPr>
        <w:ind w:left="1720" w:hanging="616"/>
        <w:spacing w:after="0"/>
        <w:tabs>
          <w:tab w:leader="none" w:pos="17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provided to Selling Member all information regarding the Company, if any, that Selling Member has</w:t>
      </w:r>
    </w:p>
    <w:p>
      <w:pPr>
        <w:spacing w:after="0" w:line="21" w:lineRule="exact"/>
        <w:rPr>
          <w:rFonts w:ascii="Times New Roman" w:cs="Times New Roman" w:eastAsia="Times New Roman" w:hAnsi="Times New Roman"/>
          <w:sz w:val="19"/>
          <w:szCs w:val="19"/>
          <w:color w:val="auto"/>
        </w:rPr>
      </w:pPr>
    </w:p>
    <w:p>
      <w:pPr>
        <w:ind w:left="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requested.</w:t>
      </w:r>
    </w:p>
    <w:p>
      <w:pPr>
        <w:spacing w:after="0" w:line="97" w:lineRule="exact"/>
        <w:rPr>
          <w:rFonts w:ascii="Times New Roman" w:cs="Times New Roman" w:eastAsia="Times New Roman" w:hAnsi="Times New Roman"/>
          <w:sz w:val="19"/>
          <w:szCs w:val="19"/>
          <w:color w:val="auto"/>
        </w:rPr>
      </w:pPr>
    </w:p>
    <w:p>
      <w:pPr>
        <w:ind w:left="1100" w:hanging="616"/>
        <w:spacing w:after="0"/>
        <w:tabs>
          <w:tab w:leader="none" w:pos="110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Oaktree Member Acknowledgments</w:t>
      </w:r>
      <w:r>
        <w:rPr>
          <w:rFonts w:ascii="Times New Roman" w:cs="Times New Roman" w:eastAsia="Times New Roman" w:hAnsi="Times New Roman"/>
          <w:sz w:val="19"/>
          <w:szCs w:val="19"/>
          <w:color w:val="auto"/>
        </w:rPr>
        <w:t>. Oaktree Member, as of the date hereof, expressly acknowledges and agrees as follows:</w:t>
      </w:r>
    </w:p>
    <w:p>
      <w:pPr>
        <w:spacing w:after="0" w:line="104" w:lineRule="exact"/>
        <w:rPr>
          <w:rFonts w:ascii="Times New Roman" w:cs="Times New Roman" w:eastAsia="Times New Roman" w:hAnsi="Times New Roman"/>
          <w:sz w:val="19"/>
          <w:szCs w:val="19"/>
          <w:color w:val="auto"/>
        </w:rPr>
      </w:pPr>
    </w:p>
    <w:p>
      <w:pPr>
        <w:ind w:left="480" w:firstLine="624"/>
        <w:spacing w:after="0" w:line="284" w:lineRule="auto"/>
        <w:tabs>
          <w:tab w:leader="none" w:pos="1711"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Oaktree Member consents for all purposes to the transactions contemplated by this Agreement pursuant to Section 8.01 of the Operating Agreement; and</w:t>
      </w:r>
    </w:p>
    <w:p>
      <w:pPr>
        <w:spacing w:after="0" w:line="51" w:lineRule="exact"/>
        <w:rPr>
          <w:rFonts w:ascii="Times New Roman" w:cs="Times New Roman" w:eastAsia="Times New Roman" w:hAnsi="Times New Roman"/>
          <w:sz w:val="19"/>
          <w:szCs w:val="19"/>
          <w:color w:val="auto"/>
        </w:rPr>
      </w:pPr>
    </w:p>
    <w:p>
      <w:pPr>
        <w:ind w:left="1720" w:hanging="616"/>
        <w:spacing w:after="0"/>
        <w:tabs>
          <w:tab w:leader="none" w:pos="17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Oaktree Member waives any tag-along rights it holds pursuant to Section 8.07 of the Operating Agreement.</w:t>
      </w:r>
    </w:p>
    <w:p>
      <w:pPr>
        <w:spacing w:after="0" w:line="104" w:lineRule="exact"/>
        <w:rPr>
          <w:rFonts w:ascii="Times New Roman" w:cs="Times New Roman" w:eastAsia="Times New Roman" w:hAnsi="Times New Roman"/>
          <w:sz w:val="19"/>
          <w:szCs w:val="19"/>
          <w:color w:val="auto"/>
        </w:rPr>
      </w:pPr>
    </w:p>
    <w:p>
      <w:pPr>
        <w:ind w:left="1080" w:hanging="596"/>
        <w:spacing w:after="0"/>
        <w:tabs>
          <w:tab w:leader="none" w:pos="108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 Indemnification</w:t>
      </w:r>
      <w:r>
        <w:rPr>
          <w:rFonts w:ascii="Times New Roman" w:cs="Times New Roman" w:eastAsia="Times New Roman" w:hAnsi="Times New Roman"/>
          <w:sz w:val="19"/>
          <w:szCs w:val="19"/>
          <w:color w:val="auto"/>
        </w:rPr>
        <w:t>.</w:t>
      </w:r>
    </w:p>
    <w:p>
      <w:pPr>
        <w:spacing w:after="0" w:line="117" w:lineRule="exact"/>
        <w:rPr>
          <w:rFonts w:ascii="Times New Roman" w:cs="Times New Roman" w:eastAsia="Times New Roman" w:hAnsi="Times New Roman"/>
          <w:sz w:val="19"/>
          <w:szCs w:val="19"/>
          <w:color w:val="auto"/>
        </w:rPr>
      </w:pPr>
    </w:p>
    <w:p>
      <w:pPr>
        <w:jc w:val="both"/>
        <w:ind w:left="480" w:firstLine="624"/>
        <w:spacing w:after="0" w:line="269" w:lineRule="auto"/>
        <w:tabs>
          <w:tab w:leader="none" w:pos="171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representations and warranties contained herein will survive the closing of the transactions contemplated by this Agreement and will expire on the date that is ninety (90) days following expiration of the applicable statute of limitations. All covenants and agreements contained herein will survive the closing of the transactions contemplated by this Agreement in accordance with their terms until the expiration of the applicable statute of limitations. Notwithstanding the foregoing, if a Company Indemnified Party (as defined below) delivers to Selling Member, before expiration of a covenant, agreement, representation or warranty, a written claim notice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based upon a breach of such covenant, agreement, representation or warranty, then the applicable covenant, agreement, representation or warranty will survive until, and only for purposes of, the resolution of the matter covered by such written claim notice.</w:t>
      </w:r>
    </w:p>
    <w:p>
      <w:pPr>
        <w:spacing w:after="0" w:line="68" w:lineRule="exact"/>
        <w:rPr>
          <w:rFonts w:ascii="Times New Roman" w:cs="Times New Roman" w:eastAsia="Times New Roman" w:hAnsi="Times New Roman"/>
          <w:sz w:val="18"/>
          <w:szCs w:val="18"/>
          <w:color w:val="auto"/>
        </w:rPr>
      </w:pPr>
    </w:p>
    <w:p>
      <w:pPr>
        <w:jc w:val="both"/>
        <w:ind w:left="480" w:firstLine="624"/>
        <w:spacing w:after="0" w:line="255" w:lineRule="auto"/>
        <w:tabs>
          <w:tab w:leader="none" w:pos="1708"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Closing, Selling Member shall indemnify and hold harmless the Company and its subsidiaries, affiliates, members, managers, employees, partners, agents, representatives, successors and assigns (collectively, the “</w:t>
      </w:r>
      <w:r>
        <w:rPr>
          <w:rFonts w:ascii="Times New Roman" w:cs="Times New Roman" w:eastAsia="Times New Roman" w:hAnsi="Times New Roman"/>
          <w:sz w:val="19"/>
          <w:szCs w:val="19"/>
          <w:b w:val="1"/>
          <w:bCs w:val="1"/>
          <w:color w:val="auto"/>
        </w:rPr>
        <w:t>Company Indemnified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from, against and in respect of any and all losses, claims, damages, deficiencies, awards, assessments, judgments, fines, penalties,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costs and expenses suffered or incurred, directly or indirectly, by the Company Indemnified Parties arising from, relating or attributable to or otherwise in connection with (i) any breach of, or any inaccuracy in, any representation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100"/>
          </w:cols>
          <w:pgMar w:left="460" w:top="1440" w:right="339" w:bottom="1440" w:gutter="0" w:footer="0" w:header="0"/>
        </w:sectPr>
      </w:pPr>
    </w:p>
    <w:bookmarkStart w:id="192" w:name="page193"/>
    <w:bookmarkEnd w:id="192"/>
    <w:p>
      <w:pPr>
        <w:spacing w:after="0" w:line="23"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9"/>
          <w:szCs w:val="19"/>
          <w:color w:val="auto"/>
        </w:rPr>
        <w:t xml:space="preserve">warranty made by Selling Member in this Agreement or (ii) any breach or default in performance by Selling Member of any covenant or agreement of Selling Member contained in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no event shall such indemnification obligations in the aggregate exceed the amount of the Aggregate Consideration.</w:t>
      </w:r>
    </w:p>
    <w:p>
      <w:pPr>
        <w:spacing w:after="0" w:line="73" w:lineRule="exact"/>
        <w:rPr>
          <w:sz w:val="20"/>
          <w:szCs w:val="20"/>
          <w:color w:val="auto"/>
        </w:rPr>
      </w:pPr>
    </w:p>
    <w:p>
      <w:pPr>
        <w:jc w:val="both"/>
        <w:ind w:firstLine="624"/>
        <w:spacing w:after="0" w:line="250" w:lineRule="auto"/>
        <w:tabs>
          <w:tab w:leader="none" w:pos="1232"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xml:space="preserve">. The Recitals set forth above are hereby incorporated into this Agreement and made a part hereof by this reference. This Agreement is binding upon and will inure to the benefit of the parties hereto and their respective representatives, heirs, successor and assigns;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neither this Agreement nor any of the covenants and agreements herein or rights, interests or obligations hereunder may be assigned or delegated by Selling Member without the prior written consent of the Company. This Agreement (together with any other agreements or instruments entered into by the parties hereto in connection with the transactions contemplated by this Agreement) constitutes the entire agreement between the parties pertaining to the subject matter contained herein, and supersedes all prior agreements, representations and understandings of the parties hereto with respect to subject matter hereof. Selling Member agrees to execute and deliver any such additional documents and instruments as may be necessary or desirable to effectuate and further evidence the transfers intended to be made hereby, including, without limitation, an assignment of membership interest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Selling Member acknowledges and agrees that no promises, oral or written, have been made or relied upon by either party in entering into this Agreement, except as expressly set forth in this Agreement. In the event of any ambiguity or if question of intent or interpretation arises, this Agreement shall be construed as if drafted jointly by the Company on the one hand and Selling Member on the other hand, and no presumption or burden of proof shall arise favoring or disfavoring any party by virtue of the authorship of any of the provisions of this Agreement. No supplement, modification or amendment of this Agreement shall be binding unless executed in writing by the parties. If any provision of this Agreement is held to be invalid or unenforceable for any reason it shall be adjusted rather than voided, if possible, in order to achieve the intent of the parties to this Agreement to the greatest extent possible. Notwithstanding the invalidity or unenforceability of any provision of this Agreement, all other provisions shall remain valid and enforceable to the greatest extent possible. This Agreement shall be construed in accordance with and governed by the laws of the State of Delaware. Each of the parties hereto consents to the exclusive jurisdiction of the Court of Chancery of the State of Delaware (or if such court lacks jurisdiction, in any appropriate state or federal court in the State of Delaware) (collectively the “</w:t>
      </w:r>
      <w:r>
        <w:rPr>
          <w:rFonts w:ascii="Times New Roman" w:cs="Times New Roman" w:eastAsia="Times New Roman" w:hAnsi="Times New Roman"/>
          <w:sz w:val="19"/>
          <w:szCs w:val="19"/>
          <w:u w:val="single" w:color="auto"/>
          <w:color w:val="auto"/>
        </w:rPr>
        <w:t>Designated Courts</w:t>
      </w:r>
      <w:r>
        <w:rPr>
          <w:rFonts w:ascii="Times New Roman" w:cs="Times New Roman" w:eastAsia="Times New Roman" w:hAnsi="Times New Roman"/>
          <w:sz w:val="19"/>
          <w:szCs w:val="19"/>
          <w:color w:val="auto"/>
        </w:rPr>
        <w:t>”), for any action arising out of matters related to this Agreement. Each of the parties hereto waives the right to commence an action in connection with this Agreement in any court other than the Designated Courts. This Agreement may be executed in multiple counterparts which together shall constitute a single agreement. The submission of a signature page or executed version of this Agreement by facsimile, pdf, docusign, RightSignature, or other similar electronic transmission mode shall be considered as an “original” for purposes of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MAV CANOPY HOLDCO I, LLC</w:t>
      </w: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By:</w:t>
        <w:tab/>
        <w:t>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SELLING MEMBER: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ONITY GROUP INC.</w:t>
      </w: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By:</w:t>
        <w:tab/>
        <w:t>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OAKTREE MEMBER</w:t>
      </w:r>
      <w:r>
        <w:rPr>
          <w:rFonts w:ascii="Times New Roman" w:cs="Times New Roman" w:eastAsia="Times New Roman" w:hAnsi="Times New Roman"/>
          <w:sz w:val="19"/>
          <w:szCs w:val="19"/>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OCW MAV HOLDINGS, LLC</w:t>
      </w:r>
      <w:r>
        <w:rPr>
          <w:rFonts w:ascii="Times New Roman" w:cs="Times New Roman" w:eastAsia="Times New Roman" w:hAnsi="Times New Roman"/>
          <w:sz w:val="19"/>
          <w:szCs w:val="19"/>
          <w:color w:val="auto"/>
        </w:rPr>
        <w:t>, solely for purposes of Section 10</w:t>
      </w: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By:</w:t>
        <w:tab/>
        <w:t>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(Signature Page – Redemption Agreement)</w:t>
      </w:r>
    </w:p>
    <w:p>
      <w:pPr>
        <w:sectPr>
          <w:pgSz w:w="11900" w:h="16838" w:orient="portrait"/>
          <w:cols w:equalWidth="0" w:num="1">
            <w:col w:w="10139"/>
          </w:cols>
          <w:pgMar w:left="320" w:top="1440" w:right="1440" w:bottom="1440" w:gutter="0" w:footer="0" w:header="0"/>
        </w:sectPr>
      </w:pPr>
    </w:p>
    <w:bookmarkStart w:id="194" w:name="page195"/>
    <w:bookmarkEnd w:id="194"/>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EXHIBIT 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Form of Assignment of Membership Interest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ASSIGNMENT OF INTEREST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MAV CANOPY HOLDCO I, LLC</w:t>
      </w:r>
    </w:p>
    <w:p>
      <w:pPr>
        <w:spacing w:after="0" w:line="200" w:lineRule="exact"/>
        <w:rPr>
          <w:sz w:val="20"/>
          <w:szCs w:val="20"/>
          <w:color w:val="auto"/>
        </w:rPr>
      </w:pPr>
    </w:p>
    <w:p>
      <w:pPr>
        <w:spacing w:after="0" w:line="240" w:lineRule="exact"/>
        <w:rPr>
          <w:sz w:val="20"/>
          <w:szCs w:val="20"/>
          <w:color w:val="auto"/>
        </w:rPr>
      </w:pPr>
    </w:p>
    <w:p>
      <w:pPr>
        <w:jc w:val="both"/>
        <w:ind w:firstLine="267"/>
        <w:spacing w:after="0" w:line="254" w:lineRule="auto"/>
        <w:rPr>
          <w:sz w:val="20"/>
          <w:szCs w:val="20"/>
          <w:color w:val="auto"/>
        </w:rPr>
      </w:pPr>
      <w:r>
        <w:rPr>
          <w:rFonts w:ascii="Times New Roman" w:cs="Times New Roman" w:eastAsia="Times New Roman" w:hAnsi="Times New Roman"/>
          <w:sz w:val="19"/>
          <w:szCs w:val="19"/>
          <w:b w:val="1"/>
          <w:bCs w:val="1"/>
          <w:color w:val="auto"/>
        </w:rPr>
        <w:t>FOR VALUE RECEIVED</w:t>
      </w:r>
      <w:r>
        <w:rPr>
          <w:rFonts w:ascii="Times New Roman" w:cs="Times New Roman" w:eastAsia="Times New Roman" w:hAnsi="Times New Roman"/>
          <w:sz w:val="19"/>
          <w:szCs w:val="19"/>
          <w:color w:val="auto"/>
        </w:rPr>
        <w:t>, the undersigned (the “</w:t>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 for valuable consideration, hereby assigns, transfers, conveys and delivers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MAV Canopy HoldCo I, LLC, a Delaware limited liability company (the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the entirety of Assignor’s Interest equal to a Percentage Interest of fifteen percent (15%) (as each such term is defined in that certain Second Amended &amp; Restated Limited Liability Company Agreement of Assignee, dated as of November 2, 2022, as amended by that certain Amendment No. 1, dated as of November 1, 2023, by and between the Assignor and OCW MAV Holdings, LLC). Except as contemplated by the Second Amended &amp; Restated Limited Liability Company Agreement of Assignee, Assignor represents and warrants that such Interest has not been transferred or made subject to any claim, mortgage, pledge, security interest, voting trust, proxy, encumbrance, lien or charge of any kind (including any conditional sale or other title retention agreement or lease in the nature thereof), or any filing or agreement to file a financing statement as debtor under the Uniform Commercial Code of the State of Delaware or any similar statute of any kind.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as of [__], 2024.</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ASSIGNOR</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ONITY GROUP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_________________________</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Name: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40"/>
          </w:cols>
          <w:pgMar w:left="320" w:top="1440"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TO WARRANT CERTIFICATES</w:t>
      </w:r>
    </w:p>
    <w:p>
      <w:pPr>
        <w:spacing w:after="0" w:line="200" w:lineRule="exact"/>
        <w:rPr>
          <w:sz w:val="20"/>
          <w:szCs w:val="20"/>
          <w:color w:val="auto"/>
        </w:rPr>
      </w:pPr>
    </w:p>
    <w:p>
      <w:pPr>
        <w:spacing w:after="0" w:line="282"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7"/>
          <w:szCs w:val="17"/>
          <w:color w:val="auto"/>
        </w:rPr>
        <w:t>This Amendment to Warrant Certificates, dated as of October 13, 2024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by and between Onity Group Inc., a Florida corporation (f/k/a Ocwen Financial Corporation) (the “Company”) and Opps OCW Holdings, LLC, a Delaware limited liability company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amends (i) the certain Warrant Certificate No. [●], dated March 4, 2021, issued by the Company to the Holder evidencing Warrants to purchase up to [●] shares of commons stock of the Company, subject to the terms and conditions set forth therein (“</w:t>
      </w:r>
      <w:r>
        <w:rPr>
          <w:rFonts w:ascii="Times New Roman" w:cs="Times New Roman" w:eastAsia="Times New Roman" w:hAnsi="Times New Roman"/>
          <w:sz w:val="17"/>
          <w:szCs w:val="17"/>
          <w:u w:val="single" w:color="auto"/>
          <w:color w:val="auto"/>
        </w:rPr>
        <w:t>Warrant Certificate No. [●]</w:t>
      </w:r>
      <w:r>
        <w:rPr>
          <w:rFonts w:ascii="Times New Roman" w:cs="Times New Roman" w:eastAsia="Times New Roman" w:hAnsi="Times New Roman"/>
          <w:sz w:val="17"/>
          <w:szCs w:val="17"/>
          <w:color w:val="auto"/>
        </w:rPr>
        <w:t>”) and (ii) Warrant Certificate No. [●], dated May 3, 2021, issued by the Company to the Holder evidencing Warrants to purchase up to [●] shares of commons stock of the Company, subject to the terms and conditions set forth therein (“</w:t>
      </w:r>
      <w:r>
        <w:rPr>
          <w:rFonts w:ascii="Times New Roman" w:cs="Times New Roman" w:eastAsia="Times New Roman" w:hAnsi="Times New Roman"/>
          <w:sz w:val="17"/>
          <w:szCs w:val="17"/>
          <w:u w:val="single" w:color="auto"/>
          <w:color w:val="auto"/>
        </w:rPr>
        <w:t>Warrant Certificate No. [●]</w:t>
      </w:r>
      <w:r>
        <w:rPr>
          <w:rFonts w:ascii="Times New Roman" w:cs="Times New Roman" w:eastAsia="Times New Roman" w:hAnsi="Times New Roman"/>
          <w:sz w:val="17"/>
          <w:szCs w:val="17"/>
          <w:color w:val="auto"/>
        </w:rPr>
        <w:t>” and together with Warrant Certificate No. [●], collectively, the “</w:t>
      </w:r>
      <w:r>
        <w:rPr>
          <w:rFonts w:ascii="Times New Roman" w:cs="Times New Roman" w:eastAsia="Times New Roman" w:hAnsi="Times New Roman"/>
          <w:sz w:val="17"/>
          <w:szCs w:val="17"/>
          <w:u w:val="single" w:color="auto"/>
          <w:color w:val="auto"/>
        </w:rPr>
        <w:t>Warrant Certificates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Warrant Certificate</w:t>
      </w:r>
      <w:r>
        <w:rPr>
          <w:rFonts w:ascii="Times New Roman" w:cs="Times New Roman" w:eastAsia="Times New Roman" w:hAnsi="Times New Roman"/>
          <w:sz w:val="17"/>
          <w:szCs w:val="17"/>
          <w:color w:val="auto"/>
        </w:rPr>
        <w:t>”). Capitalized terms used in this Amendment without being defined herein have the meaning ascribed to such terms in the Warrant Certificates.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and the Holder hereby agree that the Warrant Certificates are hereby amended to provide that upon the exercise by the Holder of all or any portion of the Warrants represented by the Warrant Certificate, the Holder shall only be permitted to exercise such Warrants pursuant to Section 1(b) (Cash Exercise) of the Warrant Certificates with the prior consent of the Company. For the avoidance of doubt, the Holder shall be permitted, without any prior consent of the Company, to exercise its Warrants pursuant to Section 1(c) (Net Exercise) of the Warrant Certificates in accordance with the terms thereof.</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expressly amended by this Amendment, all terms and provisions of the Warrant Certificates shall remain in full force and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provisions of Section 13 of the Warrant Certificate shall apply to this Amendment mutatis mutandis as if set forth herein.</w:t>
      </w:r>
    </w:p>
    <w:p>
      <w:pPr>
        <w:spacing w:after="0" w:line="1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ectPr>
          <w:pgSz w:w="11900" w:h="16838" w:orient="portrait"/>
          <w:cols w:equalWidth="0" w:num="1">
            <w:col w:w="11240"/>
          </w:cols>
          <w:pgMar w:left="320" w:top="1002"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color w:val="auto"/>
        </w:rPr>
        <w:t>IN WITNESS WHEREOF, the parties hereto execute this Amendment as of the date first above written.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ONITY GROUP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184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-6350</wp:posOffset>
            </wp:positionV>
            <wp:extent cx="218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10139"/>
          </w:cols>
          <w:pgMar w:left="320" w:top="1338"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[Newrez LLC logo]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October 14, 2024</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auto"/>
        </w:rPr>
        <w:t>Via Email &amp; FedEx</w:t>
      </w:r>
    </w:p>
    <w:p>
      <w:pPr>
        <w:spacing w:after="0" w:line="1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PHH Mortgage Corporation</w:t>
      </w:r>
    </w:p>
    <w:p>
      <w:pPr>
        <w:spacing w:after="0" w:line="1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1661 Worthington Road, Suite 100 West Palm Beach, FL 33409</w:t>
      </w:r>
    </w:p>
    <w:p>
      <w:pPr>
        <w:spacing w:after="0" w:line="1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Attn: Curtis J. Schares, Vice President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Re: Termination Notice Extension</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Dear Mr. Schares:</w:t>
      </w:r>
    </w:p>
    <w:p>
      <w:pPr>
        <w:spacing w:after="0" w:line="200" w:lineRule="exact"/>
        <w:rPr>
          <w:sz w:val="20"/>
          <w:szCs w:val="20"/>
          <w:color w:val="auto"/>
        </w:rPr>
      </w:pPr>
    </w:p>
    <w:p>
      <w:pPr>
        <w:spacing w:after="0" w:line="251" w:lineRule="exact"/>
        <w:rPr>
          <w:sz w:val="20"/>
          <w:szCs w:val="20"/>
          <w:color w:val="auto"/>
        </w:rPr>
      </w:pPr>
    </w:p>
    <w:p>
      <w:pPr>
        <w:jc w:val="both"/>
        <w:ind w:firstLine="86"/>
        <w:spacing w:after="0" w:line="262" w:lineRule="auto"/>
        <w:rPr>
          <w:sz w:val="20"/>
          <w:szCs w:val="20"/>
          <w:color w:val="auto"/>
        </w:rPr>
      </w:pPr>
      <w:r>
        <w:rPr>
          <w:rFonts w:ascii="Times New Roman" w:cs="Times New Roman" w:eastAsia="Times New Roman" w:hAnsi="Times New Roman"/>
          <w:sz w:val="17"/>
          <w:szCs w:val="17"/>
          <w:color w:val="auto"/>
        </w:rPr>
        <w:t>Reference is made to the Subservicing Agreement by and between PHH Mortgage Corporation, as successor-by-merger to Ocwen Loan Servicing, LLC (“PHH”) and New Residential Mortgage LLC (“NRM”), dated July 23, 2017 (as amended, supplemented or restated from time to time, “NRM Agreement”), and the Subservicing Agreement by and between PHH and Newrez LLC d/b/a Shellpoint Mortgage Servicing (“Newrez”), dated August 17, 2018 (as amended, supplemented or restated from time to time, “Newrez Agreement” and together with the NRM Agreement, the “Agreements”). Capitalized terms used herein without definition shall have the meanings assigned to them in the Agreements.</w:t>
      </w:r>
    </w:p>
    <w:p>
      <w:pPr>
        <w:spacing w:after="0" w:line="200" w:lineRule="exact"/>
        <w:rPr>
          <w:sz w:val="20"/>
          <w:szCs w:val="20"/>
          <w:color w:val="auto"/>
        </w:rPr>
      </w:pPr>
    </w:p>
    <w:p>
      <w:pPr>
        <w:spacing w:after="0" w:line="206" w:lineRule="exact"/>
        <w:rPr>
          <w:sz w:val="20"/>
          <w:szCs w:val="20"/>
          <w:color w:val="auto"/>
        </w:rPr>
      </w:pPr>
    </w:p>
    <w:p>
      <w:pPr>
        <w:ind w:left="620" w:hanging="307"/>
        <w:spacing w:after="0"/>
        <w:tabs>
          <w:tab w:leader="none" w:pos="62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Notice Extension</w:t>
      </w:r>
    </w:p>
    <w:p>
      <w:pPr>
        <w:spacing w:after="0" w:line="200" w:lineRule="exact"/>
        <w:rPr>
          <w:sz w:val="20"/>
          <w:szCs w:val="20"/>
          <w:color w:val="auto"/>
        </w:rPr>
      </w:pPr>
    </w:p>
    <w:p>
      <w:pPr>
        <w:spacing w:after="0" w:line="251" w:lineRule="exact"/>
        <w:rPr>
          <w:sz w:val="20"/>
          <w:szCs w:val="20"/>
          <w:color w:val="auto"/>
        </w:rPr>
      </w:pPr>
    </w:p>
    <w:p>
      <w:pPr>
        <w:jc w:val="both"/>
        <w:ind w:firstLine="86"/>
        <w:spacing w:after="0" w:line="237" w:lineRule="auto"/>
        <w:rPr>
          <w:sz w:val="20"/>
          <w:szCs w:val="20"/>
          <w:color w:val="auto"/>
        </w:rPr>
      </w:pPr>
      <w:r>
        <w:rPr>
          <w:rFonts w:ascii="Times New Roman" w:cs="Times New Roman" w:eastAsia="Times New Roman" w:hAnsi="Times New Roman"/>
          <w:sz w:val="17"/>
          <w:szCs w:val="17"/>
          <w:color w:val="auto"/>
        </w:rPr>
        <w:t>Pursuant to Section 5.1(b) of the Agreements, each Owner/Servicer may terminate the NRM Agreement or the Newrez Agreement, as applicable, by providing notice to Subservicer on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(or if such day is not a Business Day, the first Business Day immediately following such day) of such applicable term. The parties subsequently agreed to extend the termination rights through October 15, 2024 (“Termination Extension Date”).</w:t>
      </w:r>
    </w:p>
    <w:p>
      <w:pPr>
        <w:spacing w:after="0" w:line="88" w:lineRule="exact"/>
        <w:rPr>
          <w:sz w:val="20"/>
          <w:szCs w:val="20"/>
          <w:color w:val="auto"/>
        </w:rPr>
      </w:pPr>
    </w:p>
    <w:p>
      <w:pPr>
        <w:jc w:val="both"/>
        <w:ind w:firstLine="86"/>
        <w:spacing w:after="0" w:line="270" w:lineRule="auto"/>
        <w:rPr>
          <w:sz w:val="20"/>
          <w:szCs w:val="20"/>
          <w:color w:val="auto"/>
        </w:rPr>
      </w:pPr>
      <w:r>
        <w:rPr>
          <w:rFonts w:ascii="Times New Roman" w:cs="Times New Roman" w:eastAsia="Times New Roman" w:hAnsi="Times New Roman"/>
          <w:sz w:val="17"/>
          <w:szCs w:val="17"/>
          <w:color w:val="auto"/>
        </w:rPr>
        <w:t>Notwithstanding the foregoing, this letter serves as an additional extension of NRM’s termination rights of the NRM Agreement, and Newrez’s termination rights of the Newrez Agreement. Accordingly, Newrez’s termination rights of the Newrez Agreement, and NRM’s termination rights of the NRM Agreement shall be extended through November 15, 2024 (“New Termination Extension Date”).</w:t>
      </w:r>
    </w:p>
    <w:p>
      <w:pPr>
        <w:spacing w:after="0" w:line="64"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7"/>
          <w:szCs w:val="17"/>
          <w:color w:val="auto"/>
        </w:rPr>
        <w:t>II.</w:t>
        <w:tab/>
        <w:t>Termination Date Extension</w:t>
      </w:r>
    </w:p>
    <w:p>
      <w:pPr>
        <w:spacing w:after="0" w:line="200" w:lineRule="exact"/>
        <w:rPr>
          <w:sz w:val="20"/>
          <w:szCs w:val="20"/>
          <w:color w:val="auto"/>
        </w:rPr>
      </w:pPr>
    </w:p>
    <w:p>
      <w:pPr>
        <w:spacing w:after="0" w:line="251" w:lineRule="exact"/>
        <w:rPr>
          <w:sz w:val="20"/>
          <w:szCs w:val="20"/>
          <w:color w:val="auto"/>
        </w:rPr>
      </w:pPr>
    </w:p>
    <w:p>
      <w:pPr>
        <w:jc w:val="both"/>
        <w:ind w:firstLine="86"/>
        <w:spacing w:after="0" w:line="272" w:lineRule="auto"/>
        <w:rPr>
          <w:sz w:val="20"/>
          <w:szCs w:val="20"/>
          <w:color w:val="auto"/>
        </w:rPr>
      </w:pPr>
      <w:r>
        <w:rPr>
          <w:rFonts w:ascii="Times New Roman" w:cs="Times New Roman" w:eastAsia="Times New Roman" w:hAnsi="Times New Roman"/>
          <w:sz w:val="17"/>
          <w:szCs w:val="17"/>
          <w:color w:val="auto"/>
        </w:rPr>
        <w:t>Pursuant to Section 5.1(a) of the Agreements, if each Owner/Servicer terminates the NRM Agreement or the Newrez Agreement, as applicable, by providing notice to Subservicer on October 1st (or if such day is not a Business Day, the first Business Day immediately following such day) of such applicable term, the Agreements shall terminate effective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that year.</w:t>
      </w:r>
    </w:p>
    <w:p>
      <w:pPr>
        <w:spacing w:after="0" w:line="3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For the avoidance of doubt, the parties agree to extend the current term of the Agreements through February 1, 2025.</w:t>
      </w:r>
    </w:p>
    <w:p>
      <w:pPr>
        <w:spacing w:after="0" w:line="200" w:lineRule="exact"/>
        <w:rPr>
          <w:sz w:val="20"/>
          <w:szCs w:val="20"/>
          <w:color w:val="auto"/>
        </w:rPr>
      </w:pPr>
    </w:p>
    <w:p>
      <w:pPr>
        <w:spacing w:after="0" w:line="251" w:lineRule="exact"/>
        <w:rPr>
          <w:sz w:val="20"/>
          <w:szCs w:val="20"/>
          <w:color w:val="auto"/>
        </w:rPr>
      </w:pPr>
    </w:p>
    <w:p>
      <w:pPr>
        <w:jc w:val="both"/>
        <w:ind w:firstLine="86"/>
        <w:spacing w:after="0" w:line="288" w:lineRule="auto"/>
        <w:rPr>
          <w:sz w:val="20"/>
          <w:szCs w:val="20"/>
          <w:color w:val="auto"/>
        </w:rPr>
      </w:pPr>
      <w:r>
        <w:rPr>
          <w:rFonts w:ascii="Times New Roman" w:cs="Times New Roman" w:eastAsia="Times New Roman" w:hAnsi="Times New Roman"/>
          <w:sz w:val="17"/>
          <w:szCs w:val="17"/>
          <w:color w:val="auto"/>
        </w:rPr>
        <w:t>This notice is without prejudice to any of our rights, powers, privileges, remedies, and defenses, now existing or hereafter arising, all of which are hereby expressly reserved. Please let me know if you have any questions or concerns.</w:t>
      </w:r>
    </w:p>
    <w:p>
      <w:pPr>
        <w:sectPr>
          <w:pgSz w:w="11900" w:h="16838" w:orient="portrait"/>
          <w:cols w:equalWidth="0" w:num="1">
            <w:col w:w="11240"/>
          </w:cols>
          <w:pgMar w:left="320" w:top="963" w:right="339" w:bottom="1440" w:gutter="0" w:footer="0" w:header="0"/>
        </w:sectPr>
      </w:pPr>
    </w:p>
    <w:bookmarkStart w:id="198" w:name="page199"/>
    <w:bookmarkEnd w:id="198"/>
    <w:p>
      <w:pPr>
        <w:ind w:left="4360"/>
        <w:spacing w:after="0"/>
        <w:rPr>
          <w:sz w:val="20"/>
          <w:szCs w:val="20"/>
          <w:color w:val="auto"/>
        </w:rPr>
      </w:pPr>
      <w:r>
        <w:rPr>
          <w:rFonts w:ascii="Times New Roman" w:cs="Times New Roman" w:eastAsia="Times New Roman" w:hAnsi="Times New Roman"/>
          <w:sz w:val="17"/>
          <w:szCs w:val="17"/>
          <w:color w:val="2E2B1F"/>
        </w:rPr>
        <w:t>Thank you,</w:t>
      </w:r>
    </w:p>
    <w:p>
      <w:pPr>
        <w:spacing w:after="0" w:line="200" w:lineRule="exact"/>
        <w:rPr>
          <w:sz w:val="20"/>
          <w:szCs w:val="20"/>
          <w:color w:val="auto"/>
        </w:rPr>
      </w:pPr>
    </w:p>
    <w:p>
      <w:pPr>
        <w:spacing w:after="0" w:line="25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u w:val="single" w:color="auto"/>
          <w:color w:val="auto"/>
        </w:rPr>
        <w:t>/s/ Spencer Mosness</w:t>
      </w:r>
    </w:p>
    <w:p>
      <w:pPr>
        <w:spacing w:after="0" w:line="1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2E2B1F"/>
        </w:rPr>
        <w:t>Spencer Mosness</w:t>
      </w:r>
    </w:p>
    <w:p>
      <w:pPr>
        <w:spacing w:after="0" w:line="1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2E2B1F"/>
        </w:rPr>
        <w:t>Chief Legal &amp; Risk Officer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2E2B1F"/>
        </w:rPr>
        <w:t>ACKNOWLEDGED BY: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B1F"/>
        </w:rPr>
        <w:t>PHH Mortgage Corporation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Joseph J. Samarias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E2B1F"/>
        </w:rPr>
        <w:t>Joseph J. Samarias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E2B1F"/>
        </w:rPr>
        <w:t>EVP, Chief Legal Officer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B1F"/>
        </w:rPr>
        <w:t>October 14,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With a copy to</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PHH Mortgage Corporation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1661 Worthington Road, Suite 100 West Palm Beach, FL 33409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Attention: Chief Legal Officer and Secretary Email: </w:t>
      </w:r>
      <w:r>
        <w:rPr>
          <w:rFonts w:ascii="Times New Roman" w:cs="Times New Roman" w:eastAsia="Times New Roman" w:hAnsi="Times New Roman"/>
          <w:sz w:val="17"/>
          <w:szCs w:val="17"/>
          <w:color w:val="0000FF"/>
        </w:rPr>
        <w:t>NRMNotices@onitygroup.com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cc: Joseph J. Samarias, Executive Vice President, Chief Legal Officer (via email: </w:t>
      </w:r>
      <w:r>
        <w:rPr>
          <w:rFonts w:ascii="Times New Roman" w:cs="Times New Roman" w:eastAsia="Times New Roman" w:hAnsi="Times New Roman"/>
          <w:sz w:val="17"/>
          <w:szCs w:val="17"/>
          <w:color w:val="0000FF"/>
        </w:rPr>
        <w:t>joseph.samarias@onitygroup.com)</w:t>
      </w:r>
    </w:p>
    <w:p>
      <w:pPr>
        <w:sectPr>
          <w:pgSz w:w="11900" w:h="16838" w:orient="portrait"/>
          <w:cols w:equalWidth="0" w:num="1">
            <w:col w:w="10059"/>
          </w:cols>
          <w:pgMar w:left="400" w:top="963" w:right="1440" w:bottom="1440" w:gutter="0" w:footer="0" w:header="0"/>
        </w:sectPr>
      </w:pPr>
    </w:p>
    <w:bookmarkStart w:id="199" w:name="page200"/>
    <w:bookmarkEnd w:id="199"/>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REGISTRATION RIGHTS AGREEMENT</w:t>
      </w:r>
    </w:p>
    <w:p>
      <w:pPr>
        <w:spacing w:after="0" w:line="9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This REGISTRATION RIGHTS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and entered into as of November 1, 2024, by and between Onity Group Inc.,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SHAP 2018-1, LLC, a Delaware limited liability company (“</w:t>
      </w:r>
      <w:r>
        <w:rPr>
          <w:rFonts w:ascii="Times New Roman" w:cs="Times New Roman" w:eastAsia="Times New Roman" w:hAnsi="Times New Roman"/>
          <w:sz w:val="19"/>
          <w:szCs w:val="19"/>
          <w:u w:val="single" w:color="auto"/>
          <w:color w:val="auto"/>
        </w:rPr>
        <w:t>SHAP</w:t>
      </w:r>
      <w:r>
        <w:rPr>
          <w:rFonts w:ascii="Times New Roman" w:cs="Times New Roman" w:eastAsia="Times New Roman" w:hAnsi="Times New Roman"/>
          <w:sz w:val="19"/>
          <w:szCs w:val="19"/>
          <w:color w:val="auto"/>
        </w:rPr>
        <w:t>”), Waterfall Eden Master Fund, Ltd., Waterfall Sandstone Fund, L.P., Waterfall Rock Island, LLC and Waterfall Victoria Master Fund, Ltd. (each, a “</w:t>
      </w:r>
      <w:r>
        <w:rPr>
          <w:rFonts w:ascii="Times New Roman" w:cs="Times New Roman" w:eastAsia="Times New Roman" w:hAnsi="Times New Roman"/>
          <w:sz w:val="19"/>
          <w:szCs w:val="19"/>
          <w:u w:val="single" w:color="auto"/>
          <w:color w:val="auto"/>
        </w:rPr>
        <w:t>Waterfall Fund</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Waterfall Funds</w:t>
      </w:r>
      <w:r>
        <w:rPr>
          <w:rFonts w:ascii="Times New Roman" w:cs="Times New Roman" w:eastAsia="Times New Roman" w:hAnsi="Times New Roman"/>
          <w:sz w:val="19"/>
          <w:szCs w:val="19"/>
          <w:color w:val="auto"/>
        </w:rPr>
        <w:t>”).</w:t>
      </w:r>
    </w:p>
    <w:p>
      <w:pPr>
        <w:spacing w:after="0" w:line="7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WHEREAS, this Agreement is entered into in connection with that certain Amended and Restated Asset Purchase Agreement, dated as of November 1, 2024 (the “</w:t>
      </w:r>
      <w:r>
        <w:rPr>
          <w:rFonts w:ascii="Times New Roman" w:cs="Times New Roman" w:eastAsia="Times New Roman" w:hAnsi="Times New Roman"/>
          <w:sz w:val="19"/>
          <w:szCs w:val="19"/>
          <w:u w:val="single" w:color="auto"/>
          <w:color w:val="auto"/>
        </w:rPr>
        <w:t>Purchase Agreement</w:t>
      </w:r>
      <w:r>
        <w:rPr>
          <w:rFonts w:ascii="Times New Roman" w:cs="Times New Roman" w:eastAsia="Times New Roman" w:hAnsi="Times New Roman"/>
          <w:sz w:val="19"/>
          <w:szCs w:val="19"/>
          <w:color w:val="auto"/>
        </w:rPr>
        <w:t>”) among and between the Company, PHH Mortgage Corporation (“</w:t>
      </w:r>
      <w:r>
        <w:rPr>
          <w:rFonts w:ascii="Times New Roman" w:cs="Times New Roman" w:eastAsia="Times New Roman" w:hAnsi="Times New Roman"/>
          <w:sz w:val="19"/>
          <w:szCs w:val="19"/>
          <w:u w:val="single" w:color="auto"/>
          <w:color w:val="auto"/>
        </w:rPr>
        <w:t>PMC</w:t>
      </w:r>
      <w:r>
        <w:rPr>
          <w:rFonts w:ascii="Times New Roman" w:cs="Times New Roman" w:eastAsia="Times New Roman" w:hAnsi="Times New Roman"/>
          <w:sz w:val="19"/>
          <w:szCs w:val="19"/>
          <w:color w:val="auto"/>
        </w:rPr>
        <w:t>”), Mortgage Assets Management, LLC, SHAP and the Waterfall Funds;</w:t>
      </w:r>
    </w:p>
    <w:p>
      <w:pPr>
        <w:spacing w:after="0" w:line="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WHEREAS, the Company has filed with the Secretary of State of the State of Florida Articles of Designation, Preferences and Rights of Series B Perpetual Preferred Stock (the “</w:t>
      </w:r>
      <w:r>
        <w:rPr>
          <w:rFonts w:ascii="Times New Roman" w:cs="Times New Roman" w:eastAsia="Times New Roman" w:hAnsi="Times New Roman"/>
          <w:sz w:val="19"/>
          <w:szCs w:val="19"/>
          <w:u w:val="single" w:color="auto"/>
          <w:color w:val="auto"/>
        </w:rPr>
        <w:t>Articles of Designation</w:t>
      </w:r>
      <w:r>
        <w:rPr>
          <w:rFonts w:ascii="Times New Roman" w:cs="Times New Roman" w:eastAsia="Times New Roman" w:hAnsi="Times New Roman"/>
          <w:sz w:val="19"/>
          <w:szCs w:val="19"/>
          <w:color w:val="auto"/>
        </w:rPr>
        <w:t>”) to the Company’s Amended and Restated Articles of Incorporation, establishing a series of preferred stock of the Company designed as “Series B Perpetual Preferred Stock (the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w:t>
      </w:r>
    </w:p>
    <w:p>
      <w:pPr>
        <w:spacing w:after="0" w:line="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WHEREAS, in consideration for sale of assets to PMC pursuant to the Purchase Agreement, the Company has issued on the date hereof shares of Preferred Stock to SHAP (or its designees) (the total number of shares of Preferred Stock issued to SHAP (or its designees) pursuant to the Purchase Agreement, the “</w:t>
      </w:r>
      <w:r>
        <w:rPr>
          <w:rFonts w:ascii="Times New Roman" w:cs="Times New Roman" w:eastAsia="Times New Roman" w:hAnsi="Times New Roman"/>
          <w:sz w:val="19"/>
          <w:szCs w:val="19"/>
          <w:u w:val="single" w:color="auto"/>
          <w:color w:val="auto"/>
        </w:rPr>
        <w:t>Preferred Shares</w:t>
      </w:r>
      <w:r>
        <w:rPr>
          <w:rFonts w:ascii="Times New Roman" w:cs="Times New Roman" w:eastAsia="Times New Roman" w:hAnsi="Times New Roman"/>
          <w:sz w:val="19"/>
          <w:szCs w:val="19"/>
          <w:color w:val="auto"/>
        </w:rPr>
        <w:t>”); and</w:t>
      </w:r>
    </w:p>
    <w:p>
      <w:pPr>
        <w:spacing w:after="0" w:line="60"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WHEREAS, pursuant to the Purchase Agreement, the Company has agreed to provide for the registration of the Preferred Shares and other rights set forth in this Agreement for the benefit of the Holders pursuant to this Agreement;</w:t>
      </w:r>
    </w:p>
    <w:p>
      <w:pPr>
        <w:spacing w:after="0" w:line="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97"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Capitalized terms used herein without definition shall have the meanings given to them in the Purchase Agreement. The terms set forth below are used herein as so defined:</w:t>
      </w:r>
    </w:p>
    <w:p>
      <w:pPr>
        <w:spacing w:after="0" w:line="3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 or indirect, of the power to direct or cause the direction of the management and policies of a Person, whether through ownership of voting securities, by contract or otherwise. For avoidance of doubt, for purposes of this Agreement, (i) the Company, on the one hand, and SHAP, the Waterfall Funds and their respective Affiliates, on the other hand, shall not be considered Affiliates and (ii) any fund, entity or account (or portion of any of the foregoing) managed, advised or sub-advised, directly or indirectly, by any Holder or any of its Affiliates shall be considered an Affiliate of such Holder (as the case may be).</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specified therefor in the introductory paragraph of this Agreement.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Transaction</w:t>
      </w:r>
      <w:r>
        <w:rPr>
          <w:rFonts w:ascii="Times New Roman" w:cs="Times New Roman" w:eastAsia="Times New Roman" w:hAnsi="Times New Roman"/>
          <w:sz w:val="19"/>
          <w:szCs w:val="19"/>
          <w:color w:val="auto"/>
        </w:rPr>
        <w:t>” means a block trade, agented transaction, sale directly into the market, a purchase or sale by a broker, a derivative transaction, a short sale, a stock loan or stock pledge transaction and sales not involving a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LEGAL02/44730810v4</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Transaction Counterparty</w:t>
      </w:r>
      <w:r>
        <w:rPr>
          <w:rFonts w:ascii="Times New Roman" w:cs="Times New Roman" w:eastAsia="Times New Roman" w:hAnsi="Times New Roman"/>
          <w:sz w:val="19"/>
          <w:szCs w:val="19"/>
          <w:color w:val="auto"/>
        </w:rPr>
        <w:t>” means each counterparty in an Alternative Transaction.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Articles of Designation</w:t>
      </w:r>
      <w:r>
        <w:rPr>
          <w:rFonts w:ascii="Times New Roman" w:cs="Times New Roman" w:eastAsia="Times New Roman" w:hAnsi="Times New Roman"/>
          <w:sz w:val="19"/>
          <w:szCs w:val="19"/>
          <w:color w:val="auto"/>
        </w:rPr>
        <w:t>” has the meaning specified therefor in the whereas clauses of this Agreement.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other than a Saturday, Sunday, any federal legal holiday or day on which banking institutions in the State of New York are authorized or required by law or other governmental action to close.</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Company’s common stock, par value $0.01 per share.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the meaning specified therefor in the introductory paragraph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with respect to a particular Registration Statement, the date of effectiveness of such Registration Statement.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Effectiveness Period</w:t>
      </w:r>
      <w:r>
        <w:rPr>
          <w:rFonts w:ascii="Times New Roman" w:cs="Times New Roman" w:eastAsia="Times New Roman" w:hAnsi="Times New Roman"/>
          <w:sz w:val="19"/>
          <w:szCs w:val="19"/>
          <w:color w:val="auto"/>
        </w:rPr>
        <w:t xml:space="preserve">” means the period beginning on the Effective Date for a Registration Statement and ending at the time all Registrable Securities covered by such Registration Statement have ceased to be Registrable Securities pursuant to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of this Agreement.</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Electing Holders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any federal, state, local or foreign government, or other governmental, regulatory or administrative authority, agency or commission or any court, tribunal, or judicial or arbitral body.</w:t>
      </w:r>
    </w:p>
    <w:p>
      <w:pPr>
        <w:spacing w:after="0" w:line="6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 xml:space="preserve">” means the record holder of any Registrable Securities. In accordance with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of this Agreement, for purposes of determining the availability of any rights and applicability of any obligations under this Agreement, including for purposes of calculating the amount of Registrable Securities held by a Holder, a Holder’s Registrable Securities shall be aggregated together with all Registrable Securities held by other Holders who are Affiliates of such Holder.</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Launch</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Law</w:t>
      </w:r>
      <w:r>
        <w:rPr>
          <w:rFonts w:ascii="Times New Roman" w:cs="Times New Roman" w:eastAsia="Times New Roman" w:hAnsi="Times New Roman"/>
          <w:sz w:val="19"/>
          <w:szCs w:val="19"/>
          <w:color w:val="auto"/>
        </w:rPr>
        <w:t>” means any statute, law, ordinance, regulation, rule, order, code, governmental restriction, decree, injunction or other requirement of law, or any judicial or administrative interpretation thereof, of any Governmental Authority.</w:t>
      </w:r>
    </w:p>
    <w:p>
      <w:pPr>
        <w:spacing w:after="0" w:line="6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Listing Request</w:t>
      </w:r>
      <w:r>
        <w:rPr>
          <w:rFonts w:ascii="Times New Roman" w:cs="Times New Roman" w:eastAsia="Times New Roman" w:hAnsi="Times New Roman"/>
          <w:sz w:val="19"/>
          <w:szCs w:val="19"/>
          <w:color w:val="auto"/>
        </w:rPr>
        <w:t xml:space="preserve">” means a written request by any Holder to the Company requesting the Company to list the Preferred Shares on the NYSE, which must include information required by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Listing Requirements</w:t>
      </w:r>
      <w:r>
        <w:rPr>
          <w:rFonts w:ascii="Times New Roman" w:cs="Times New Roman" w:eastAsia="Times New Roman" w:hAnsi="Times New Roman"/>
          <w:sz w:val="19"/>
          <w:szCs w:val="19"/>
          <w:color w:val="auto"/>
        </w:rPr>
        <w:t>” means the eligibility requirements for the listing (and continued listing) of the Preferred Shares on the NYSE.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2.08(a)</w:t>
      </w:r>
      <w:r>
        <w:rPr>
          <w:rFonts w:ascii="Times New Roman" w:cs="Times New Roman" w:eastAsia="Times New Roman" w:hAnsi="Times New Roman"/>
          <w:sz w:val="19"/>
          <w:szCs w:val="19"/>
          <w:color w:val="auto"/>
        </w:rPr>
        <w:t xml:space="preserve"> of this Agreement.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w:t>
      </w:r>
      <w:r>
        <w:rPr>
          <w:rFonts w:ascii="Times New Roman" w:cs="Times New Roman" w:eastAsia="Times New Roman" w:hAnsi="Times New Roman"/>
          <w:sz w:val="18"/>
          <w:szCs w:val="18"/>
          <w:color w:val="auto"/>
        </w:rPr>
        <w:t>” means, with respect to any Underwritten Offering, the book-running lead manager of such Underwritten Offering.</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NYSE</w:t>
      </w:r>
      <w:r>
        <w:rPr>
          <w:rFonts w:ascii="Times New Roman" w:cs="Times New Roman" w:eastAsia="Times New Roman" w:hAnsi="Times New Roman"/>
          <w:sz w:val="19"/>
          <w:szCs w:val="19"/>
          <w:color w:val="auto"/>
        </w:rPr>
        <w:t>” means the New York Stock Exchange.</w:t>
      </w:r>
    </w:p>
    <w:p>
      <w:pPr>
        <w:spacing w:after="0" w:line="105"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or a corporation, limited liability company, partnership, joint venture, trust, unincorporated organization, association, government agency or political subdivision thereof or other entity.</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PMC</w:t>
      </w:r>
      <w:r>
        <w:rPr>
          <w:rFonts w:ascii="Times New Roman" w:cs="Times New Roman" w:eastAsia="Times New Roman" w:hAnsi="Times New Roman"/>
          <w:sz w:val="19"/>
          <w:szCs w:val="19"/>
          <w:color w:val="auto"/>
        </w:rPr>
        <w:t>” has the meaning specified therefor in the whereas clauses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Post-Launch Withdrawing Selling Holders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Shares</w:t>
      </w:r>
      <w:r>
        <w:rPr>
          <w:rFonts w:ascii="Times New Roman" w:cs="Times New Roman" w:eastAsia="Times New Roman" w:hAnsi="Times New Roman"/>
          <w:sz w:val="19"/>
          <w:szCs w:val="19"/>
          <w:color w:val="auto"/>
        </w:rPr>
        <w:t>” has the meaning specified therefor in the whereas clauses of this Agreement.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has the meaning specified therefor in the whereas clauses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Agreement</w:t>
      </w:r>
      <w:r>
        <w:rPr>
          <w:rFonts w:ascii="Times New Roman" w:cs="Times New Roman" w:eastAsia="Times New Roman" w:hAnsi="Times New Roman"/>
          <w:sz w:val="19"/>
          <w:szCs w:val="19"/>
          <w:color w:val="auto"/>
        </w:rPr>
        <w:t>” has the meaning specified therefor in the whereas clauses of this Agreement.</w:t>
      </w:r>
    </w:p>
    <w:p>
      <w:pPr>
        <w:spacing w:after="0" w:line="105"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Registrable Securities</w:t>
      </w:r>
      <w:r>
        <w:rPr>
          <w:rFonts w:ascii="Times New Roman" w:cs="Times New Roman" w:eastAsia="Times New Roman" w:hAnsi="Times New Roman"/>
          <w:sz w:val="19"/>
          <w:szCs w:val="19"/>
          <w:color w:val="auto"/>
        </w:rPr>
        <w:t xml:space="preserve">” means the Preferred Shares and includes any type of ownership interest issued to Holders as a result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of this Agreement.</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 Expenses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2.07(b)</w:t>
      </w:r>
      <w:r>
        <w:rPr>
          <w:rFonts w:ascii="Times New Roman" w:cs="Times New Roman" w:eastAsia="Times New Roman" w:hAnsi="Times New Roman"/>
          <w:sz w:val="19"/>
          <w:szCs w:val="19"/>
          <w:color w:val="auto"/>
        </w:rPr>
        <w:t xml:space="preserve"> of this Agreement.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U.S. Securities and Exchange Commission.</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as amended.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Selling Expenses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2.07(b)</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Selling Holder</w:t>
      </w:r>
      <w:r>
        <w:rPr>
          <w:rFonts w:ascii="Times New Roman" w:cs="Times New Roman" w:eastAsia="Times New Roman" w:hAnsi="Times New Roman"/>
          <w:sz w:val="19"/>
          <w:szCs w:val="19"/>
          <w:color w:val="auto"/>
        </w:rPr>
        <w:t>” means a Holder who is selling Registrable Securities under a Registration Statement pursuant to the terms of this Agreement.</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Selling Holder Indemnified Persons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2.08(a)</w:t>
      </w:r>
      <w:r>
        <w:rPr>
          <w:rFonts w:ascii="Times New Roman" w:cs="Times New Roman" w:eastAsia="Times New Roman" w:hAnsi="Times New Roman"/>
          <w:sz w:val="19"/>
          <w:szCs w:val="19"/>
          <w:color w:val="auto"/>
        </w:rPr>
        <w:t xml:space="preserve"> of this Agreement.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Shared Registration Expenses</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2.07(b)</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Shelf Registration Statement</w:t>
      </w:r>
      <w:r>
        <w:rPr>
          <w:rFonts w:ascii="Times New Roman" w:cs="Times New Roman" w:eastAsia="Times New Roman" w:hAnsi="Times New Roman"/>
          <w:sz w:val="19"/>
          <w:szCs w:val="19"/>
          <w:color w:val="auto"/>
        </w:rPr>
        <w:t>” means a registration statement under the Securities Act to permit the public resale of the Registrable Securities from time to time as permitted by Rule 415 under the Securities Act (or any successor or similar provision adopted by the SEC then in effect).</w:t>
      </w:r>
    </w:p>
    <w:p>
      <w:pPr>
        <w:spacing w:after="0" w:line="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Underwritten Offering</w:t>
      </w:r>
      <w:r>
        <w:rPr>
          <w:rFonts w:ascii="Times New Roman" w:cs="Times New Roman" w:eastAsia="Times New Roman" w:hAnsi="Times New Roman"/>
          <w:sz w:val="19"/>
          <w:szCs w:val="19"/>
          <w:color w:val="auto"/>
        </w:rPr>
        <w:t>” means an offering (including an offering pursuant to a Shelf Registration Statement) in which Registrable Securities are sold to one or more underwriters on a firm commitment basis for reoffering to the public or an offering that is a “bought deal” with one or more investment banks.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Underwritten Offering Maximum Offering Size</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Underwritten Offering Notice</w:t>
      </w:r>
      <w:r>
        <w:rPr>
          <w:rFonts w:ascii="Times New Roman" w:cs="Times New Roman" w:eastAsia="Times New Roman" w:hAnsi="Times New Roman"/>
          <w:sz w:val="19"/>
          <w:szCs w:val="19"/>
          <w:color w:val="auto"/>
        </w:rPr>
        <w:t xml:space="preserve">” has the meaning specified therefor in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of this Agreement.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Waterfall Funds</w:t>
      </w:r>
      <w:r>
        <w:rPr>
          <w:rFonts w:ascii="Times New Roman" w:cs="Times New Roman" w:eastAsia="Times New Roman" w:hAnsi="Times New Roman"/>
          <w:sz w:val="19"/>
          <w:szCs w:val="19"/>
          <w:color w:val="auto"/>
        </w:rPr>
        <w:t>” has the meaning specified therefor in the introductory paragraph of this Agreement.</w:t>
      </w:r>
    </w:p>
    <w:p>
      <w:pPr>
        <w:spacing w:after="0" w:line="105"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Registrable Securities</w:t>
      </w:r>
      <w:r>
        <w:rPr>
          <w:rFonts w:ascii="Times New Roman" w:cs="Times New Roman" w:eastAsia="Times New Roman" w:hAnsi="Times New Roman"/>
          <w:sz w:val="19"/>
          <w:szCs w:val="19"/>
          <w:color w:val="auto"/>
        </w:rPr>
        <w:t>. Any Registrable Security shall cease to be a Registrable Security at the earliest of the following: (a) when a registration statement covering such Registrable Security becomes or has been declared effective by the SEC and such Registrable Security has been sold or disposed of pursuant to such effective registration statement; or (b) when such Registrable Security has been sold or disposed of (excluding transfers or assignments by a Holder to an Affiliate) pursuant to Rule 144 under the Securities Act (or any successor or similar provision adopted by the SEC then in effect) under circumstances in which all of the applicable conditions of Rule 144 or any such successor or similar provision (as then in effect ) are met and the transferee receives Preferred Shares that are not “restricted securities”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REGISTRATION RIGHTS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4"/>
        <w:spacing w:after="0" w:line="253" w:lineRule="auto"/>
        <w:tabs>
          <w:tab w:leader="none" w:pos="87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Shelf Registration</w:t>
      </w:r>
      <w:r>
        <w:rPr>
          <w:rFonts w:ascii="Times New Roman" w:cs="Times New Roman" w:eastAsia="Times New Roman" w:hAnsi="Times New Roman"/>
          <w:sz w:val="19"/>
          <w:szCs w:val="19"/>
          <w:color w:val="auto"/>
        </w:rPr>
        <w:t xml:space="preserve">. The Company shall prepare and file with the SEC a Shelf Registration Statement registering the public resale of all Registrable Securities on the terms and conditions specified in this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and shall use its commercially reasonable efforts to cause such Registration Statement to become effective or be declared effective by the SEC within 180 days of the date of this Agreement (the date the Registration Statement becomes or is declared effective,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The Registration Statement filed with the SEC pursuant to this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shall be on Form S-3 or, if Form S-3 is not then available to the Company, on Form S-1 or such other form of registration statement as is then available to effect a registration for resale of the Registrable Securities, covering the Registrable Securities, and shall contain a prospectus in such form as to permit any Selling Holder covered by such Registration Statement to sell such Registrable Securities pursuant to Rule 415 under the Securities Act (or any successor or similar provision adopted by the SEC then in effect) at any time beginning on the Effective Date for such Registration Statement.</w:t>
      </w:r>
    </w:p>
    <w:p>
      <w:pPr>
        <w:spacing w:after="0" w:line="72"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19"/>
          <w:szCs w:val="19"/>
          <w:color w:val="auto"/>
        </w:rPr>
        <w:t>Notwithstanding the foregoing, if the SEC prevents the Company from including any or all of the Registrable Securities proposed to be registered under such Registration Statement due to limitations on the use of Rule 415 under the Securities Act for the resale of the Registrable Securities held by any Holder or otherwise, such Registration Statement shall register for resale such number of Registrable Securities which is equal to the maximum number of Registrable Securities as is permitted by the SEC. In such event, the number of Registrable Securities to be registered for each Selling Holder named in the Registration Statement shall be reduced pro rata among all such Selling Holders on the basis of the number of Registrable Securities held by each such Selling Holder or in such other manner as such Selling Holders may agree. In the event the SEC informs the Company that all of such Registrable Securities cannot, as a result of the application of Rule 415, be registered for resale on the Registration Statement, the Company agrees to promptly inform the Selling Holders thereof and use its commercially reasonable efforts to file amendments to the Registration Statement as required by the SEC, covering the maximum number of Registrable Securities permitted to be registered by the SEC, on Form S-3 or such other form available to register for resale such shares as a secondary offering. In accordance with the foregoing, the Company will use its reasonable best efforts to make inquiries and communicate with the SEC, including following the consummation of a disposition of any registered Registrable Securities, in order to register all such Registrable Securities of the Selling Holders as soon as the SEC no longer prevents the Company from including such Registrable Securities proposed to be registered under such Registration Statement.</w:t>
      </w:r>
    </w:p>
    <w:p>
      <w:pPr>
        <w:spacing w:after="0" w:line="70"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color w:val="auto"/>
        </w:rPr>
        <w:t xml:space="preserve">A Registration Statement shall provide for the resale pursuant to any method or combination of methods legally available to, and requested by, the Selling Holders, including by way of an Underwritten Offering, if such an election has been made pursuant to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of this Agreement, and by way of Alternative Transactions. During the Effectiveness Period, the Company shall use commercially reasonable efforts to cause a Registration Statement filed pursuant to this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to remain effective, and to be supplemented and amended to the extent necessary (including post-effective amendments) to ensure that such Registration Statement is available or, if not available, that another registration statement is available for the resale of the Registrable Securities until the date on which all Registrable Securities have ceased to be Registrable Securities. Within two Business Days of the Effective Date of a Registration Statement, the Company shall notify the Selling Holders of the effectiveness of such Registration Statement. When effective, a Registration Statement (including the documents incorporated therein by reference) will comply as to form in all material respects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If the Managing Underwriter of any proposed Underwritten Offering of Registrable Securities determines in good faith that the inclusion of all of the Selling Holders’ Registrable Securities that the Selling Holders intend to include in such offering exceeds the number that can be sold in such offering without being likely to have an adverse effect on the price, timing or distribution of the Registrable Securities offered or the market for the Registrable Securities (such number, the “</w:t>
      </w:r>
      <w:r>
        <w:rPr>
          <w:rFonts w:ascii="Times New Roman" w:cs="Times New Roman" w:eastAsia="Times New Roman" w:hAnsi="Times New Roman"/>
          <w:sz w:val="19"/>
          <w:szCs w:val="19"/>
          <w:u w:val="single" w:color="auto"/>
          <w:color w:val="auto"/>
        </w:rPr>
        <w:t>Underwritten Offering Maximum Offering Size</w:t>
      </w:r>
      <w:r>
        <w:rPr>
          <w:rFonts w:ascii="Times New Roman" w:cs="Times New Roman" w:eastAsia="Times New Roman" w:hAnsi="Times New Roman"/>
          <w:sz w:val="19"/>
          <w:szCs w:val="19"/>
          <w:color w:val="auto"/>
        </w:rPr>
        <w:t>”), then the Registrable Securities to be included in such Underwritten Offering shall include the number of Registrable Securities that such Managing Underwriter advises the Company and the Holders in its good faith opinion can be sold without having such adverse effect, with such number to be allocated among such Selling Holders pro rata on the basis of the number of Registrable Securities held by each such Selling Holder or in such other manner as such Selling Holders may agree.</w:t>
      </w:r>
    </w:p>
    <w:p>
      <w:pPr>
        <w:spacing w:after="0" w:line="83" w:lineRule="exact"/>
        <w:rPr>
          <w:sz w:val="20"/>
          <w:szCs w:val="20"/>
          <w:color w:val="auto"/>
        </w:rPr>
      </w:pPr>
    </w:p>
    <w:p>
      <w:pPr>
        <w:jc w:val="both"/>
        <w:ind w:firstLine="624"/>
        <w:spacing w:after="0" w:line="253" w:lineRule="auto"/>
        <w:tabs>
          <w:tab w:leader="none" w:pos="91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Listing Rights</w:t>
      </w:r>
      <w:r>
        <w:rPr>
          <w:rFonts w:ascii="Times New Roman" w:cs="Times New Roman" w:eastAsia="Times New Roman" w:hAnsi="Times New Roman"/>
          <w:sz w:val="19"/>
          <w:szCs w:val="19"/>
          <w:color w:val="auto"/>
        </w:rPr>
        <w:t>. Within 45 days of receipt of a Listing Request, the Company will use commercially reasonable efforts to have the Preferred Shares listed on the NYSE, provided that, notwithstanding the foregoing, the Company shall not be required to effect such listing prior to the Effective Date of the Registration Statement. Any such Listing Request shall include such information regarding the Holders, the number of Holders, the market value or expected market value of the Preferred Shares and the proposed distribution of the Registrable Securities and any other information as shall be necessary to satisfy the Listing Requirements of the NYSE or indicate that such Listing Requirements will be satisfied following the consummation of a pending Underwritten Offering. The Company may require the Selling Holders to furnish in writing to the Company such information regarding such Holders and the proposed distribution of Registrable Securities by such Holders as required to satisfy the Listing Requirements of the Preferred Shares and to effect the listing of the Preferred Shares on the NYSE and each Selling Holder agrees to furnish promptly to the Company all such information upon request.</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Suspension Rights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the Company may, upon written notice to (i) all Holders whose Registrable Securities are to be included in a Registration Statement, delay the filing or effectiveness of a Registration Statement required under Section 2.01(a), or (ii) any Holder whose Registrable Securities are included in a Registration Statement or other registration statement contemplated by this Agreement, suspend such Holder’s use of any prospectus that is a part of such Registration Statement or other registration statement (in which event the Holder shall discontinue sales of Registrable Securities pursuant to such Registration Statement or other registration statement contemplated by this Agreement but may settle any previously made sales of Registrable Securities) following the effectiveness of such Registration Statement or other registration statement if the Company (x) is pursuing an acquisition, merger, reorganization, disposition or other similar transaction and the Company determines in good faith that the Company’s ability to pursue or consummate such a transaction would be materially adversely affected by any required disclosure of such transaction in such Registration Statement or other registration statement or (y) has experienced some other material non-public event the disclosure of which at such time, in the good faith judgment of the Company, would materially adversely affect the Company;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in no event, during any rolling twelve-month period, shall the filing or effectiveness of such Registration Statement be delayed, or such Selling Holders be suspended from selling Registrable Securities pursuant to such Registration Statement or other registration statement on more than two occasions, for more than 90 calendar days in any one instance, or for more than an aggregate of 120 calendar days. Upon disclosure of such information or the termination of the condition described above, the Company shall provide prompt notice, but in any event within two Business Days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such disclosure or termination, to the Selling Holders whose Registrable Securities are included in such Registration Statement and shall promptly terminate any suspension of sales it has put into effect and shall take such other reasonable actions to permit registered sales of Registrable Securities as contemplated in this Agreement.</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Underwritten Offerings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9"/>
          <w:szCs w:val="19"/>
          <w:color w:val="auto"/>
        </w:rPr>
        <w:t>In the event that any Holder or group of Holders (the “</w:t>
      </w:r>
      <w:r>
        <w:rPr>
          <w:rFonts w:ascii="Times New Roman" w:cs="Times New Roman" w:eastAsia="Times New Roman" w:hAnsi="Times New Roman"/>
          <w:sz w:val="19"/>
          <w:szCs w:val="19"/>
          <w:u w:val="single" w:color="auto"/>
          <w:color w:val="auto"/>
        </w:rPr>
        <w:t>Electing Holders</w:t>
      </w:r>
      <w:r>
        <w:rPr>
          <w:rFonts w:ascii="Times New Roman" w:cs="Times New Roman" w:eastAsia="Times New Roman" w:hAnsi="Times New Roman"/>
          <w:sz w:val="19"/>
          <w:szCs w:val="19"/>
          <w:color w:val="auto"/>
        </w:rPr>
        <w:t>”) elect to sell their Registrable Securities in an Underwritten Offering which is expected to yield gross proceeds of at least $10.0 million, the Company shall, upon request by the Electing Holders (such request, an “</w:t>
      </w:r>
      <w:r>
        <w:rPr>
          <w:rFonts w:ascii="Times New Roman" w:cs="Times New Roman" w:eastAsia="Times New Roman" w:hAnsi="Times New Roman"/>
          <w:sz w:val="19"/>
          <w:szCs w:val="19"/>
          <w:u w:val="single" w:color="auto"/>
          <w:color w:val="auto"/>
        </w:rPr>
        <w:t>Underwritten Offering Notice</w:t>
      </w:r>
      <w:r>
        <w:rPr>
          <w:rFonts w:ascii="Times New Roman" w:cs="Times New Roman" w:eastAsia="Times New Roman" w:hAnsi="Times New Roman"/>
          <w:sz w:val="19"/>
          <w:szCs w:val="19"/>
          <w:color w:val="auto"/>
        </w:rPr>
        <w:t xml:space="preserve">”), retain underwriters to permit the Electing Holders to effect such sale through an Underwritten Offering;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each Holder, together with its Affiliates, shall have the option and right to require the Company to effect not more than two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Underwritten Offerings. Notwithstanding the foregoing, an Underwritten Offering shall not be deemed to have occurred if the Underwritten Offering Maximum Offering Size is reduced in accordance with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such that less than fifty percent (50%) of the Registrable Securities of the Electing Holders sought to be included in such registration are included. Upon delivery of such Underwritten Offering Notice to the Company, the Company shall as soon as practicable (but in no event later than five Business Days following the date of delivery of the Underwritten Offering Notice to the Company) deliver notice of such Underwritten Offering Notice to all other Holders, who shall then have five Business Days from the date that such notice is given to them to notify the Company in writing of the number of Registrable Securities held by such Holder that they want to be included in such Underwritten Offering. Any Holders notified about an Underwritten Offering by the Company after the Company has received the corresponding Underwritten Offering Notice may participate in such Underwritten Offering, but shall not count toward the $10.0 million of Registrable Securities required under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to request an Underwritten Offering pursuant to an Underwritten Offering Notice. In connection with any Underwritten Offering under this Agreement, the Holders of a majority of the Registrable Securities being sold in such Underwritten Offering shall be entitled to select the Managing Underwriter or Underwriters, but only with the consent of the Company, which shall not be unreasonably withheld, delayed or conditioned. In connection with an Underwritten Offering contemplated by this Agreement in which a Selling Holder participates, each Selling Holder and the Company shall be obligated to enter into an underwriting agreement that contains such representations, covenants, indemnities and other rights and obligations as are customary in underwriting agreements for firm commitment offerings of securities. No Selling Holder may participate in such Underwritten Offering unless such Selling Holder agrees to sell its Registrable Securities on the basis provided in such underwriting agreement and completes and executes all questionnaires, powers of attorney, indemnities and other documents reasonably required under the terms of such underwriting agreement. Each Selling Holder may, at its option, require that any or all of the representations and warranties by, and the other agreements on the part of, the Company to and for the benefit of such underwriters also be made to and for such Selling Holder’s benefit and that any or all of the conditions precedent to the obligations of such underwriters under such underwriting agreement also be conditions precedent to its obligations. No Selling Holder shall be required to make any representations or warranties to or agreements with the Company or the underwriters other than representations, warranties or agreements regarding such Selling Holder, its authority to enter into such underwriting agreement and to sell, and its ownership of, the securities whose offer and resale will be registered, on its behalf, its intended method of distribution and any other representation required by Law, or to undertake any indemnification obligations to the Company or the underwriters with respect thereto, except as otherwise provided in Section 2.08. If any Selling Holder disapproves of the terms of an underwriting, such Selling Holder may elect to withdraw therefrom by notice to the Company, the Electing Holders and the Managing Underwriter;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any such withdrawal must be made no later than the Business Day prior to the time of pricing of such Underwritten Offering. No such withdrawal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abandonment shall affect the Company’s obligation to pay Shared Registration Expenses pursuant to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 certain Selling Holders withdraw from an Underwritten Offering after the public announcement at launch (the “</w:t>
      </w:r>
      <w:r>
        <w:rPr>
          <w:rFonts w:ascii="Times New Roman" w:cs="Times New Roman" w:eastAsia="Times New Roman" w:hAnsi="Times New Roman"/>
          <w:sz w:val="19"/>
          <w:szCs w:val="19"/>
          <w:u w:val="single" w:color="auto"/>
          <w:color w:val="auto"/>
        </w:rPr>
        <w:t>Launch</w:t>
      </w:r>
      <w:r>
        <w:rPr>
          <w:rFonts w:ascii="Times New Roman" w:cs="Times New Roman" w:eastAsia="Times New Roman" w:hAnsi="Times New Roman"/>
          <w:sz w:val="19"/>
          <w:szCs w:val="19"/>
          <w:color w:val="auto"/>
        </w:rPr>
        <w:t>”) of such Underwritten Offering (such Selling Holders, the “</w:t>
      </w:r>
      <w:r>
        <w:rPr>
          <w:rFonts w:ascii="Times New Roman" w:cs="Times New Roman" w:eastAsia="Times New Roman" w:hAnsi="Times New Roman"/>
          <w:sz w:val="19"/>
          <w:szCs w:val="19"/>
          <w:u w:val="single" w:color="auto"/>
          <w:color w:val="auto"/>
        </w:rPr>
        <w:t>Post-Launch Withdrawing Selling Holders</w:t>
      </w:r>
      <w:r>
        <w:rPr>
          <w:rFonts w:ascii="Times New Roman" w:cs="Times New Roman" w:eastAsia="Times New Roman" w:hAnsi="Times New Roman"/>
          <w:sz w:val="19"/>
          <w:szCs w:val="19"/>
          <w:color w:val="auto"/>
        </w:rPr>
        <w:t xml:space="preserve">”), and (B) all Selling Holders withdraw from such Underwritten Offering prior to pricing, other than in either clause (A) or (B) as a result of the occurrence of any event that would reasonably be expected to permit the Company to exercise its rights to suspend the use of a Registration Statement as described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then the Post-Launch Withdrawing Selling Holders shall pay for all reasonable Shared Registration Expenses incurred by the Company during the period from the Launch of such Underwritten Offering until the time all Selling Holders withdraw from such Underwritten Offering.</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Sale Procedures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In connection with its obligations under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the Company shall, as expeditiously as possible:</w:t>
      </w:r>
    </w:p>
    <w:p>
      <w:pPr>
        <w:spacing w:after="0" w:line="105" w:lineRule="exact"/>
        <w:rPr>
          <w:sz w:val="20"/>
          <w:szCs w:val="20"/>
          <w:color w:val="auto"/>
        </w:rPr>
      </w:pPr>
    </w:p>
    <w:p>
      <w:pPr>
        <w:jc w:val="both"/>
        <w:ind w:firstLine="624"/>
        <w:spacing w:after="0" w:line="260" w:lineRule="auto"/>
        <w:tabs>
          <w:tab w:leader="none" w:pos="1075"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its reasonable best efforts to prepare and file with the SEC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74" w:lineRule="exact"/>
        <w:rPr>
          <w:rFonts w:ascii="Times New Roman" w:cs="Times New Roman" w:eastAsia="Times New Roman" w:hAnsi="Times New Roman"/>
          <w:sz w:val="19"/>
          <w:szCs w:val="19"/>
          <w:color w:val="auto"/>
        </w:rPr>
      </w:pPr>
    </w:p>
    <w:p>
      <w:pPr>
        <w:jc w:val="both"/>
        <w:ind w:firstLine="624"/>
        <w:spacing w:after="0" w:line="255" w:lineRule="auto"/>
        <w:tabs>
          <w:tab w:leader="none" w:pos="1137"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prospectus supplement will be used in connection with the marketing of an Underwritten Offering (or Alternative Transaction) from a Registration Statement and the Managing Underwriter (or Alternative Transaction Counterparty) at any time shall notify the Company in writing that, in the sole judgment of such Managing Underwriter (or Alternative Transaction Counterparty), inclusion of detailed information to be used in such prospectus supplement is of material importance to the success of the Underwritten Offering (or Alternative Transaction) of such Registrable Securities, the Company shall use its reasonable best efforts to include such information in such prospectus supplement;</w:t>
      </w:r>
    </w:p>
    <w:p>
      <w:pPr>
        <w:spacing w:after="0" w:line="79" w:lineRule="exact"/>
        <w:rPr>
          <w:rFonts w:ascii="Times New Roman" w:cs="Times New Roman" w:eastAsia="Times New Roman" w:hAnsi="Times New Roman"/>
          <w:sz w:val="19"/>
          <w:szCs w:val="19"/>
          <w:color w:val="auto"/>
        </w:rPr>
      </w:pPr>
    </w:p>
    <w:p>
      <w:pPr>
        <w:jc w:val="both"/>
        <w:ind w:firstLine="624"/>
        <w:spacing w:after="0" w:line="252" w:lineRule="auto"/>
        <w:tabs>
          <w:tab w:leader="none" w:pos="1173"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SEC), and provide each such Selling Holder the opportunity to object to any information pertaining to such Selling Holder and its plan of distribution that is contained therein and make the corrections reasonably requested by such Selling Holder with respect to such information prior to filing a Registration Statement or such other registration statement or supplement or amendment thereto, and</w:t>
      </w:r>
    </w:p>
    <w:p>
      <w:pPr>
        <w:ind w:left="320" w:hanging="317"/>
        <w:spacing w:after="0"/>
        <w:tabs>
          <w:tab w:leader="none" w:pos="3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number of copies of such Registration Statement or such other registration statement and the prospectus included therein and any</w:t>
      </w:r>
    </w:p>
    <w:p>
      <w:pPr>
        <w:spacing w:after="0" w:line="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supplements and amendments thereto as such Selling Holder may reasonably request in order to facilitate the sale or other disposition of the Registrable Securities covered by such Registration Statement or other registration statement;</w:t>
      </w:r>
    </w:p>
    <w:p>
      <w:pPr>
        <w:spacing w:after="0" w:line="77" w:lineRule="exact"/>
        <w:rPr>
          <w:sz w:val="20"/>
          <w:szCs w:val="20"/>
          <w:color w:val="auto"/>
        </w:rPr>
      </w:pPr>
    </w:p>
    <w:p>
      <w:pPr>
        <w:jc w:val="both"/>
        <w:ind w:firstLine="624"/>
        <w:spacing w:after="0" w:line="255" w:lineRule="auto"/>
        <w:tabs>
          <w:tab w:leader="none" w:pos="1078"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applicable, use its reasonable best efforts to register or qualify the Registrable Securities covered by a Registration Statement or any other registration statement contemplated by this Agreement under the securities or blue sky laws of such jurisdictions as the Selling Holders or, in the case of an Underwritten Offering (or Alternative Transaction), the Managing Underwriter (or Alternative Transaction Counterparty), shall reasonably request;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shall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3" w:lineRule="exact"/>
        <w:rPr>
          <w:sz w:val="20"/>
          <w:szCs w:val="20"/>
          <w:color w:val="auto"/>
        </w:rPr>
      </w:pPr>
    </w:p>
    <w:p>
      <w:pPr>
        <w:jc w:val="both"/>
        <w:ind w:firstLine="624"/>
        <w:spacing w:after="0" w:line="255" w:lineRule="auto"/>
        <w:tabs>
          <w:tab w:leader="none" w:pos="109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such Registration Statement or any other registration statement or any post-effective amendment thereto, when the same has become effective; and (ii) the receipt of any written comments from the SEC with respect to any filing referred to in clause (i) and any written request by the SEC for amendments or supplements to such Registration Statement or any other registration statement or any prospectus or prospectus supplement thereto;</w:t>
      </w:r>
    </w:p>
    <w:p>
      <w:pPr>
        <w:spacing w:after="0" w:line="80" w:lineRule="exact"/>
        <w:rPr>
          <w:rFonts w:ascii="Times New Roman" w:cs="Times New Roman" w:eastAsia="Times New Roman" w:hAnsi="Times New Roman"/>
          <w:sz w:val="19"/>
          <w:szCs w:val="19"/>
          <w:color w:val="auto"/>
        </w:rPr>
      </w:pPr>
    </w:p>
    <w:p>
      <w:pPr>
        <w:jc w:val="both"/>
        <w:ind w:firstLine="624"/>
        <w:spacing w:after="0" w:line="251" w:lineRule="auto"/>
        <w:tabs>
          <w:tab w:leader="none" w:pos="1121"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notify each Selling Holder, at any time when a prospectus relating thereto is required to be delivered by such Selling Holder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SEC of any stop order suspending the effectiveness of such Registration Statement or any other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commercially reasonable action as is necessary to remove a stop order, suspension, threat thereof or proceedings related thereto;</w:t>
      </w:r>
    </w:p>
    <w:p>
      <w:pPr>
        <w:spacing w:after="0" w:line="78" w:lineRule="exact"/>
        <w:rPr>
          <w:rFonts w:ascii="Times New Roman" w:cs="Times New Roman" w:eastAsia="Times New Roman" w:hAnsi="Times New Roman"/>
          <w:sz w:val="19"/>
          <w:szCs w:val="19"/>
          <w:color w:val="auto"/>
        </w:rPr>
      </w:pPr>
    </w:p>
    <w:p>
      <w:pPr>
        <w:jc w:val="both"/>
        <w:ind w:firstLine="624"/>
        <w:spacing w:after="0" w:line="262" w:lineRule="auto"/>
        <w:tabs>
          <w:tab w:leader="none" w:pos="11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request and subject to appropriate confidentiality obligations,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72" w:lineRule="exact"/>
        <w:rPr>
          <w:rFonts w:ascii="Times New Roman" w:cs="Times New Roman" w:eastAsia="Times New Roman" w:hAnsi="Times New Roman"/>
          <w:sz w:val="19"/>
          <w:szCs w:val="19"/>
          <w:color w:val="auto"/>
        </w:rPr>
      </w:pPr>
    </w:p>
    <w:p>
      <w:pPr>
        <w:jc w:val="both"/>
        <w:ind w:firstLine="624"/>
        <w:spacing w:after="0" w:line="252" w:lineRule="auto"/>
        <w:tabs>
          <w:tab w:leader="none" w:pos="1159"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Underwritten Offering (or an Alternative Transaction, to the extent customary for such Alternative Transaction), furnish, or use its reasonable best efforts to cause to be furnished, to the underwriters (or the Alternative Transaction Counterparties, as the case may be) upon request, (i) an opinion of counsel for the Company dated the date of the closing under the agreement governing such sale and (ii) a “comfort” letter, dated the pricing date of the relevant transaction and a letter of like kind dated the date of the closing under the agreement governing such sale, in each case, signed by the independent public accountants who have certified the Company’s financial statements included or incorporated by reference into the applicable registration statement, and each of the opinion and the “comfort” letter shall be in customary form and covering substantially the same matters with respect to such registration statement (and the prospectus and any prospectus supplement included therein) as would be customarily covered in opinions of issuer’s counsel and in accountants’ letters delivered to the underwriters (or Alternative Transaction Counterparties, as the case may be) in transactions of the type contemplated by such Underwritten Offering or Alternative Transaction (as the case may be) and such other matters as such underwriters and Selling Holders may reasonably request;</w:t>
      </w:r>
    </w:p>
    <w:p>
      <w:pPr>
        <w:spacing w:after="0" w:line="83" w:lineRule="exact"/>
        <w:rPr>
          <w:rFonts w:ascii="Times New Roman" w:cs="Times New Roman" w:eastAsia="Times New Roman" w:hAnsi="Times New Roman"/>
          <w:sz w:val="19"/>
          <w:szCs w:val="19"/>
          <w:color w:val="auto"/>
        </w:rPr>
      </w:pPr>
    </w:p>
    <w:p>
      <w:pPr>
        <w:jc w:val="both"/>
        <w:ind w:firstLine="624"/>
        <w:spacing w:after="0" w:line="262" w:lineRule="auto"/>
        <w:tabs>
          <w:tab w:leader="none" w:pos="1123"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use its reasonable best efforts to comply with all applicable rules and regulations of the SEC, and make available to its security holders, as soon as reasonably practicable, an earnings statement, covering a period of twelve months beginning within three months after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auto"/>
        </w:rPr>
        <w:t>Date of such Registration Statement, which earnings statement shall satisfy the provisions of Section 11(a) of the Securities Act and Rule 158 promulgated thereunder;</w:t>
      </w:r>
    </w:p>
    <w:p>
      <w:pPr>
        <w:spacing w:after="0" w:line="39" w:lineRule="exact"/>
        <w:rPr>
          <w:sz w:val="20"/>
          <w:szCs w:val="20"/>
          <w:color w:val="auto"/>
        </w:rPr>
      </w:pPr>
    </w:p>
    <w:p>
      <w:pPr>
        <w:jc w:val="both"/>
        <w:ind w:firstLine="624"/>
        <w:spacing w:after="0" w:line="260" w:lineRule="auto"/>
        <w:tabs>
          <w:tab w:leader="none" w:pos="1185"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make available to the appropriate representatives of the Managing Underwriter (or Alternative Transaction Counterparties) and Selling Holders access to such information and the Company personnel as is reasonable and customary to enable such parties to establish a due diligence defense under the Securities Act;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Company need not disclose any non-public information to any such representative unless and until such representative has entered into a confidentiality agreement with the Company;</w:t>
      </w:r>
    </w:p>
    <w:p>
      <w:pPr>
        <w:spacing w:after="0" w:line="74" w:lineRule="exact"/>
        <w:rPr>
          <w:rFonts w:ascii="Times New Roman" w:cs="Times New Roman" w:eastAsia="Times New Roman" w:hAnsi="Times New Roman"/>
          <w:sz w:val="19"/>
          <w:szCs w:val="19"/>
          <w:color w:val="auto"/>
        </w:rPr>
      </w:pPr>
    </w:p>
    <w:p>
      <w:pPr>
        <w:ind w:firstLine="624"/>
        <w:spacing w:after="0" w:line="270" w:lineRule="auto"/>
        <w:tabs>
          <w:tab w:leader="none" w:pos="1105"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a transfer agent and registrar for all Registrable Securities covered by such registration statement not later than the Effective Date of such registration statement;</w:t>
      </w:r>
    </w:p>
    <w:p>
      <w:pPr>
        <w:spacing w:after="0" w:line="64" w:lineRule="exact"/>
        <w:rPr>
          <w:rFonts w:ascii="Times New Roman" w:cs="Times New Roman" w:eastAsia="Times New Roman" w:hAnsi="Times New Roman"/>
          <w:sz w:val="19"/>
          <w:szCs w:val="19"/>
          <w:color w:val="auto"/>
        </w:rPr>
      </w:pPr>
    </w:p>
    <w:p>
      <w:pPr>
        <w:jc w:val="both"/>
        <w:ind w:firstLine="624"/>
        <w:spacing w:after="0" w:line="253" w:lineRule="auto"/>
        <w:tabs>
          <w:tab w:leader="none" w:pos="1049"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enter into customary agreements and take such other actions as are reasonably requested by the Selling Holders or the underwriters, if any, in order to expedite or facilitate the disposition of Registrable Securities (including, making appropriate officers of the Company available to participate in any “road show” presentations before analysts, and other customary marketing activities (including one-on-one meetings with prospective purchasers of the Registrable Securities)),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in the event the Company, using reasonable best efforts, is unable to make such appropriate officers of the Company available to participate in connection with any “road show” presentations and other customary marketing activities (whether in person or otherwise), the Company shall make such appropriate officers available to participate via conference call or other means of communication in connection with no more than one “road show” presentation per Underwritten Offering or Alternative Transaction;</w:t>
      </w:r>
    </w:p>
    <w:p>
      <w:pPr>
        <w:spacing w:after="0" w:line="82" w:lineRule="exact"/>
        <w:rPr>
          <w:rFonts w:ascii="Times New Roman" w:cs="Times New Roman" w:eastAsia="Times New Roman" w:hAnsi="Times New Roman"/>
          <w:sz w:val="19"/>
          <w:szCs w:val="19"/>
          <w:color w:val="auto"/>
        </w:rPr>
      </w:pPr>
    </w:p>
    <w:p>
      <w:pPr>
        <w:jc w:val="both"/>
        <w:ind w:firstLine="624"/>
        <w:spacing w:after="0" w:line="255" w:lineRule="auto"/>
        <w:tabs>
          <w:tab w:leader="none" w:pos="1186"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92" w:lineRule="exact"/>
        <w:rPr>
          <w:rFonts w:ascii="Times New Roman" w:cs="Times New Roman" w:eastAsia="Times New Roman" w:hAnsi="Times New Roman"/>
          <w:sz w:val="19"/>
          <w:szCs w:val="19"/>
          <w:color w:val="auto"/>
        </w:rPr>
      </w:pPr>
    </w:p>
    <w:p>
      <w:pPr>
        <w:jc w:val="both"/>
        <w:ind w:firstLine="624"/>
        <w:spacing w:after="0" w:line="269" w:lineRule="auto"/>
        <w:tabs>
          <w:tab w:leader="none" w:pos="1099"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reasonably required by the Company’s transfer agent, the Company shall promptly deliver any authorizations, certificates, opinions or directions required by the transfer agent which authorize and direct the transfer agent to transfer Registrable Securities without legend upon sale by the Holder of such Registrable Securities under a Registration Statement; and</w:t>
      </w:r>
    </w:p>
    <w:p>
      <w:pPr>
        <w:spacing w:after="0" w:line="53" w:lineRule="exact"/>
        <w:rPr>
          <w:rFonts w:ascii="Times New Roman" w:cs="Times New Roman" w:eastAsia="Times New Roman" w:hAnsi="Times New Roman"/>
          <w:sz w:val="19"/>
          <w:szCs w:val="19"/>
          <w:color w:val="auto"/>
        </w:rPr>
      </w:pPr>
    </w:p>
    <w:p>
      <w:pPr>
        <w:jc w:val="both"/>
        <w:ind w:firstLine="624"/>
        <w:spacing w:after="0" w:line="255" w:lineRule="auto"/>
        <w:tabs>
          <w:tab w:leader="none" w:pos="1066"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or transfer of Registrable Shares (whether or not pursuant to a Registration Statement) that will result in the securities being sold or transferred no longer being Registrable Shares, cooperate with the Selling Holders and the representative(s) of the underwriters, if any, to (i) facilitate the timely, (A) in the case of Registrable Shares held through a depositary, transfer of such equivalent Registrable Shares with an unrestricted CUSIP, or (B) in the case of certificated Registrable Shares, preparation and delivery of certificates representing the Registrable Shares to be sold, which certificates shall not bear any restrictive transfer legends, and (ii) enable such Registrable Shares to be in such denominations and registered in such names as the Selling Holders and the representative(s) of the underwriters, if any, may request at least three Business Days prior to any sale of the Registrable Shares.</w:t>
      </w:r>
    </w:p>
    <w:p>
      <w:pPr>
        <w:spacing w:after="0" w:line="6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the Company shall not name a Holder as an underwriter as defined in Section 2(a)(11) of the Securities Act in any Registration Statement without such Holder’s consent. If the staff of the SEC requires the Company to name any Holder as an underwriter as defined in Section 2(a)(11) of the Securities Act, and such Holder does not consent thereto, then such Holder’s Registrable Securities shall not be included on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Statement and the Company shall have no further obligations hereunder with respect to Registrable Securities held by such Holder, unless such Holder has not had an opportunity to conduct customary underwriter’s due diligence with respect to the Company at the time such Holder’s consent is sought.</w:t>
      </w:r>
    </w:p>
    <w:p>
      <w:pPr>
        <w:spacing w:after="0" w:line="73"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color w:val="auto"/>
        </w:rPr>
        <w:t xml:space="preserve">Each Selling Holder, upon receipt of notice from the Company of the happening of any event of the kind described in </w:t>
      </w:r>
      <w:r>
        <w:rPr>
          <w:rFonts w:ascii="Times New Roman" w:cs="Times New Roman" w:eastAsia="Times New Roman" w:hAnsi="Times New Roman"/>
          <w:sz w:val="19"/>
          <w:szCs w:val="19"/>
          <w:u w:val="single" w:color="auto"/>
          <w:color w:val="auto"/>
        </w:rPr>
        <w:t>Section 2.04(f)</w:t>
      </w:r>
      <w:r>
        <w:rPr>
          <w:rFonts w:ascii="Times New Roman" w:cs="Times New Roman" w:eastAsia="Times New Roman" w:hAnsi="Times New Roman"/>
          <w:sz w:val="19"/>
          <w:szCs w:val="19"/>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19"/>
          <w:szCs w:val="19"/>
          <w:u w:val="single" w:color="auto"/>
          <w:color w:val="auto"/>
        </w:rPr>
        <w:t>Section 2.04(f)</w:t>
      </w:r>
      <w:r>
        <w:rPr>
          <w:rFonts w:ascii="Times New Roman" w:cs="Times New Roman" w:eastAsia="Times New Roman" w:hAnsi="Times New Roman"/>
          <w:sz w:val="19"/>
          <w:szCs w:val="19"/>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shall, or shall request the Managing Underwriter, if any, to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Cooperation by Holders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The Company shall have no obligation to include Registrable Securities of a Holder in a Registration Statement or in an Underwritten Offering pursuant to Section 2.02(a) who has failed to timely furnish after receipt of a written request from the Company such information that the Company determines, after consultation with its counsel, is reasonably required in order for the registration statement or prospectus supplement, as applicable, to comply with the Securities Act, including, without limitation, the completion and submission by such Holder of any Selling Holder questionnaire required by the Company.</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Restrictions on Public Sale by Holders of Registrable Securities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color w:val="auto"/>
        </w:rPr>
        <w:t xml:space="preserve">Each Holder of Registrable Securities that participates in an Underwritten Offering, upon the request of the underwriters in such offering, will enter into a customary letter agreement with underwriters providing such Holder will not effect any public sale or distribution of Registrable Securities during the 60 calendar-day period beginning on the date of a prospectus or prospectus supplement filed with the SEC with respect to the pricing of any Underwritten Offering (or such shorter period specified by the Managing Underwriter for such Underwritten Offering),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3" w:lineRule="exact"/>
        <w:rPr>
          <w:sz w:val="20"/>
          <w:szCs w:val="20"/>
          <w:color w:val="auto"/>
        </w:rPr>
      </w:pPr>
    </w:p>
    <w:p>
      <w:pPr>
        <w:jc w:val="both"/>
        <w:ind w:firstLine="3"/>
        <w:spacing w:after="0" w:line="258" w:lineRule="auto"/>
        <w:tabs>
          <w:tab w:leader="none" w:pos="229"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duration of the foregoing restrictions shall be no longer than the duration of the shortest restriction generally imposed by the underwriters on the Company or the officers, directors or any other Affiliate of the Company on whom a restriction is imposed and (ii) the restrictions set forth in this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not apply to any Registrable Securities that are included in such Underwritten Offering by such Holder.</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4"/>
        <w:spacing w:after="0" w:line="253" w:lineRule="auto"/>
        <w:tabs>
          <w:tab w:leader="none" w:pos="916"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All Registration Expenses, other than Shared Registration Expenses, shall be paid soley by the Company. All Shared Registration Expenses, regardless of whether any sale is made in the Underwritten Offering or Alternative Transaction, shall be borne one-half by the Company and one-half by the Selling Holders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upon each Selling Holder’s respective portion of Registrable Securities offered). Each Selling Holder shall pay its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all Selling Expenses in connection with any sale of its Registrable Securities hereunder. Each Selling Holder’s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allocation of Shared Registration Expenses or Selling Expenses shall be the percentage derived by dividing (i) the number of Registrable Securities sold by such Selling Holder in connection with such sale by (ii) the aggregate number of Registrable Securities sold by all Selling Holders in connection with such sale. In addition, the Company shall not be responsible for the legal fees incurred by Holders in connection with the exercise of such Holders’ right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3" w:lineRule="exact"/>
        <w:rPr>
          <w:sz w:val="20"/>
          <w:szCs w:val="20"/>
          <w:color w:val="auto"/>
        </w:rPr>
      </w:pPr>
    </w:p>
    <w:p>
      <w:pPr>
        <w:jc w:val="both"/>
        <w:ind w:firstLine="624"/>
        <w:spacing w:after="0" w:line="252" w:lineRule="auto"/>
        <w:tabs>
          <w:tab w:leader="none" w:pos="888"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Registration Expenses</w:t>
      </w:r>
      <w:r>
        <w:rPr>
          <w:rFonts w:ascii="Times New Roman" w:cs="Times New Roman" w:eastAsia="Times New Roman" w:hAnsi="Times New Roman"/>
          <w:sz w:val="19"/>
          <w:szCs w:val="19"/>
          <w:color w:val="auto"/>
        </w:rPr>
        <w:t xml:space="preserve">” means all expenses incident to the Company’s performance under or compliance with this Agreement to effect the registration of Registrable Securities on a Registration Statement pursuant to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and the disposition of such Registrable Securities, including, without limitation, all registration, filing, NYSE fees, all registration, filing, qualification and other fees and expenses of complying with securities or blue sky laws, fees of the Financial Industry Regulatory Authority, Inc., fees of transfer agents and registrars, all word processing, duplicating and printing expenses, any transfer taxes, the fees and disbursements of counsel for the Company and independent public accountants for the Company,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such Registration Expenses shall exclude (i) Selling Expenses and (ii) the Registration Expenses of an Underwritten Offering (or Alternative Transaction). “</w:t>
      </w:r>
      <w:r>
        <w:rPr>
          <w:rFonts w:ascii="Times New Roman" w:cs="Times New Roman" w:eastAsia="Times New Roman" w:hAnsi="Times New Roman"/>
          <w:sz w:val="19"/>
          <w:szCs w:val="19"/>
          <w:u w:val="single" w:color="auto"/>
          <w:color w:val="auto"/>
        </w:rPr>
        <w:t>Shared Registration Expenses</w:t>
      </w:r>
      <w:r>
        <w:rPr>
          <w:rFonts w:ascii="Times New Roman" w:cs="Times New Roman" w:eastAsia="Times New Roman" w:hAnsi="Times New Roman"/>
          <w:sz w:val="19"/>
          <w:szCs w:val="19"/>
          <w:color w:val="auto"/>
        </w:rPr>
        <w:t>” means the Registration Expenses of an Underwritten Offering or Alternative Transaction, plus the expenses of any special audits or “comfort” letters required by or incident to such Underwritten Offering or Alternative Transaction, and the fees and disbursements of counsel for the Selling Holders. “</w:t>
      </w:r>
      <w:r>
        <w:rPr>
          <w:rFonts w:ascii="Times New Roman" w:cs="Times New Roman" w:eastAsia="Times New Roman" w:hAnsi="Times New Roman"/>
          <w:sz w:val="19"/>
          <w:szCs w:val="19"/>
          <w:u w:val="single" w:color="auto"/>
          <w:color w:val="auto"/>
        </w:rPr>
        <w:t>Selling Expenses</w:t>
      </w:r>
      <w:r>
        <w:rPr>
          <w:rFonts w:ascii="Times New Roman" w:cs="Times New Roman" w:eastAsia="Times New Roman" w:hAnsi="Times New Roman"/>
          <w:sz w:val="19"/>
          <w:szCs w:val="19"/>
          <w:color w:val="auto"/>
        </w:rPr>
        <w:t>” means all underwriting discounts and selling commissions or similar fees or arrangements allocable to the sale of the Registrable Securities and fees and disbursements of counsel to the Selling Holders.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4"/>
        <w:spacing w:after="0" w:line="251" w:lineRule="auto"/>
        <w:tabs>
          <w:tab w:leader="none" w:pos="10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By the Company</w:t>
      </w:r>
      <w:r>
        <w:rPr>
          <w:rFonts w:ascii="Times New Roman" w:cs="Times New Roman" w:eastAsia="Times New Roman" w:hAnsi="Times New Roman"/>
          <w:sz w:val="19"/>
          <w:szCs w:val="19"/>
          <w:color w:val="auto"/>
        </w:rPr>
        <w:t>. In the event of a registration of any Registrable Securities under the Securities Act pursuant to this Agreement, the Company shall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Times New Roman" w:cs="Times New Roman" w:eastAsia="Times New Roman" w:hAnsi="Times New Roman"/>
          <w:sz w:val="19"/>
          <w:szCs w:val="19"/>
          <w:u w:val="single" w:color="auto"/>
          <w:color w:val="auto"/>
        </w:rPr>
        <w:t>Selling Holder Indemnified Persons</w:t>
      </w:r>
      <w:r>
        <w:rPr>
          <w:rFonts w:ascii="Times New Roman" w:cs="Times New Roman" w:eastAsia="Times New Roman" w:hAnsi="Times New Roman"/>
          <w:sz w:val="19"/>
          <w:szCs w:val="19"/>
          <w:color w:val="auto"/>
        </w:rPr>
        <w:t>”), against any losses, claims, damages, expenses or liabilities (including reasonable attorneys’ fees and expenses) (collectively, “</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includes documents incorporated by reference in) such Registration Statement or any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shall reimburse each such Selling Holder Indemnified Person for any legal or other expenses reasonably incurred by them in connection with investigating, defending or resolving any such Loss or actions or proceedings;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shall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such Registration Statement or such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77" w:lineRule="exact"/>
        <w:rPr>
          <w:rFonts w:ascii="Times New Roman" w:cs="Times New Roman" w:eastAsia="Times New Roman" w:hAnsi="Times New Roman"/>
          <w:sz w:val="19"/>
          <w:szCs w:val="19"/>
          <w:color w:val="auto"/>
        </w:rPr>
      </w:pPr>
    </w:p>
    <w:p>
      <w:pPr>
        <w:jc w:val="both"/>
        <w:ind w:firstLine="624"/>
        <w:spacing w:after="0" w:line="260" w:lineRule="auto"/>
        <w:tabs>
          <w:tab w:leader="none" w:pos="118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By Each Selling Holder</w:t>
      </w:r>
      <w:r>
        <w:rPr>
          <w:rFonts w:ascii="Times New Roman" w:cs="Times New Roman" w:eastAsia="Times New Roman" w:hAnsi="Times New Roman"/>
          <w:sz w:val="19"/>
          <w:szCs w:val="19"/>
          <w:color w:val="auto"/>
        </w:rPr>
        <w:t>. Each Selling Holder agrees severally and not jointly to indemnify and hold harmless the Company, its directors, officers, employees and agents and each Person, if any, who controls the Company within the meaning of the Securities Act or of the Exchange Act, and its directors, officers, employees and agents, to the same extent as the foregoing indemnity from the Company to the Selling Holders, but only with respect to information regarding such Selling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furnished in writing by or on behalf of such Selling Holder expressly for inclusion in such Registration Statement or any other registration statement contemplated by this Agreement, any preliminary prospectus, prospectus supplement or final prospectus contained therein, or any amendment or supplement thereof, or any free writing prospectus relating thereto;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80" w:lineRule="exact"/>
        <w:rPr>
          <w:sz w:val="20"/>
          <w:szCs w:val="20"/>
          <w:color w:val="auto"/>
        </w:rPr>
      </w:pPr>
    </w:p>
    <w:p>
      <w:pPr>
        <w:jc w:val="both"/>
        <w:ind w:firstLine="624"/>
        <w:spacing w:after="0" w:line="251" w:lineRule="auto"/>
        <w:tabs>
          <w:tab w:leader="none" w:pos="1144"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for any legal expenses subsequently incurred by such indemnified party in connection with the defense thereof other than reasonable costs of investigation and of liaison with counsel so selected;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if the indemnifying party and the indemnified party shall have mutually agreed in writing to the contrary, (ii) if the indemnifying party has failed to assume the defense or employ counsel reasonably acceptable to the indemnified party or (iii) if the defendants in any such action include both the indemnified party and the indemnifying party and counsel to the indemnified party shall have concluded that there may be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is entitled to indemnification hereunder without the consent of the indemnified party, unless the settlement thereof imposes no liability or obligation on, and includes a complete and unconditional release from all liability of, and does not contain any admission of wrongdoing by, the indemnified party.</w:t>
      </w:r>
    </w:p>
    <w:p>
      <w:pPr>
        <w:spacing w:after="0" w:line="77" w:lineRule="exact"/>
        <w:rPr>
          <w:rFonts w:ascii="Times New Roman" w:cs="Times New Roman" w:eastAsia="Times New Roman" w:hAnsi="Times New Roman"/>
          <w:sz w:val="19"/>
          <w:szCs w:val="19"/>
          <w:color w:val="auto"/>
        </w:rPr>
      </w:pPr>
    </w:p>
    <w:p>
      <w:pPr>
        <w:jc w:val="both"/>
        <w:ind w:firstLine="624"/>
        <w:spacing w:after="0" w:line="252" w:lineRule="auto"/>
        <w:tabs>
          <w:tab w:leader="none" w:pos="1246"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 xml:space="preserve">. If the indemnification provided for in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is held by a court or government agency of competent jurisdiction to 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 in such proportion as is appropriate to reflect the relative fault of the indemnifying party on the one hand and of such indemnified party, on the other hand, in connection with the statements or omissions that resulted in such Losses, as well as any other relevant equitable considerations;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no event shall such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80" w:lineRule="exact"/>
        <w:rPr>
          <w:sz w:val="20"/>
          <w:szCs w:val="20"/>
          <w:color w:val="auto"/>
        </w:rPr>
      </w:pPr>
    </w:p>
    <w:p>
      <w:pPr>
        <w:ind w:firstLine="624"/>
        <w:spacing w:after="0" w:line="270" w:lineRule="auto"/>
        <w:tabs>
          <w:tab w:leader="none" w:pos="1106"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Indemnification</w:t>
      </w:r>
      <w:r>
        <w:rPr>
          <w:rFonts w:ascii="Times New Roman" w:cs="Times New Roman" w:eastAsia="Times New Roman" w:hAnsi="Times New Roman"/>
          <w:sz w:val="19"/>
          <w:szCs w:val="19"/>
          <w:color w:val="auto"/>
        </w:rPr>
        <w:t xml:space="preserve">. The provisions of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shall be in addition to any other rights to indemnification or contribution that an indemnified party may have pursuant to law, equity, contract or otherwise.</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Rule 144 Reporting</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With a view to making available the benefits of certain rules and regulations of the SEC that may permit the sale of the Registrable Securities to the public without registration, the Company agrees to use its reasonable best efforts to:</w:t>
      </w:r>
    </w:p>
    <w:p>
      <w:pPr>
        <w:spacing w:after="0" w:line="51" w:lineRule="exact"/>
        <w:rPr>
          <w:sz w:val="20"/>
          <w:szCs w:val="20"/>
          <w:color w:val="auto"/>
        </w:rPr>
      </w:pPr>
    </w:p>
    <w:p>
      <w:pPr>
        <w:ind w:firstLine="624"/>
        <w:spacing w:after="0" w:line="270" w:lineRule="auto"/>
        <w:tabs>
          <w:tab w:leader="none" w:pos="1075"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and keep public information regarding the Company available, as those terms are understood and defined in Rule 144 under the Securities Act (or any successor or similar provision adopted by the SEC then in effect), at all times from and after the date hereof;</w:t>
      </w:r>
    </w:p>
    <w:p>
      <w:pPr>
        <w:spacing w:after="0" w:line="64" w:lineRule="exact"/>
        <w:rPr>
          <w:rFonts w:ascii="Times New Roman" w:cs="Times New Roman" w:eastAsia="Times New Roman" w:hAnsi="Times New Roman"/>
          <w:sz w:val="19"/>
          <w:szCs w:val="19"/>
          <w:color w:val="auto"/>
        </w:rPr>
      </w:pPr>
    </w:p>
    <w:p>
      <w:pPr>
        <w:ind w:firstLine="624"/>
        <w:spacing w:after="0" w:line="270" w:lineRule="auto"/>
        <w:tabs>
          <w:tab w:leader="none" w:pos="1173"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with the SEC in a timely manner all reports and other documents required of the Company under the Securities Act and the Exchange Act at all times from and after the date hereof; and</w:t>
      </w:r>
    </w:p>
    <w:p>
      <w:pPr>
        <w:spacing w:after="0" w:line="64" w:lineRule="exact"/>
        <w:rPr>
          <w:rFonts w:ascii="Times New Roman" w:cs="Times New Roman" w:eastAsia="Times New Roman" w:hAnsi="Times New Roman"/>
          <w:sz w:val="19"/>
          <w:szCs w:val="19"/>
          <w:color w:val="auto"/>
        </w:rPr>
      </w:pPr>
    </w:p>
    <w:p>
      <w:pPr>
        <w:jc w:val="both"/>
        <w:ind w:firstLine="624"/>
        <w:spacing w:after="0" w:line="255" w:lineRule="auto"/>
        <w:tabs>
          <w:tab w:leader="none" w:pos="1087"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a Holder owns any Registrable Securities, furnish,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(it being understood that the availability of such report on the SEC’s EDGAR system shall satisfy this requirement) and (z) such other information as may be necessary to permit any Holder to sell such securities pursuant to Rule 144 without registration.</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Transfer or Assignment of Registration Rights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 xml:space="preserve">The rights to cause the Company to register Registrable Securities granted to the Holders by the Company under this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may be transferred or assigned by such Holders to one or more Affiliates as transferees or assignees of Registrable Securities, subject to the transfer restrictions provided in the Purchase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 the Company is given written notice prior to any said transfer or assignment, stating the name and address of each of the transferee or assignee and identifying the Registrable Securities with respect to which such registration rights are being transferred or assigned and (b) each such transferee or assignee assumes in writing responsibility for its portion of the obligations of the Holder under this Agreement.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3.01 </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All notices and other communications provided for or permitted hereunder shall be made in writing by facsimile, electronic mail, courier service or personal delivery:</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 if to the Waterfall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Waterfall Eden Master Fund, Ltd.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Waterfall Sandston Fund, L.P.</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Waterfall Rock Island, LLC</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Waterfall Victoria Master Fund, Ltd.</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c/o Waterfall Asset Management, LLC</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1251 Avenue of the Americas, 50th Floor</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New York, NY 10020</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Attention: Jason M. Ebert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Email: notices@waterfallam.com</w:t>
      </w: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Alston &amp; Bird LLP</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90 Park Avenue</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New York, NY 10016</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Attn: Michael Kessler, David E. Brown, Jr.</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E-Mail Address: michael.kessler@alston.com; david.brown@alston.com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 if to SHAP:</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SHAP 2018-1, LLC</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c/o Waterfall Asset Management, LLC</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1251 Avenue of the Americas, 50th Floor</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New York, NY 10020</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Attention: Jason M. Ebert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Email: notices@waterfallam.com</w:t>
      </w:r>
    </w:p>
    <w:p>
      <w:pPr>
        <w:spacing w:after="0" w:line="200" w:lineRule="exact"/>
        <w:rPr>
          <w:sz w:val="20"/>
          <w:szCs w:val="20"/>
          <w:color w:val="auto"/>
        </w:rPr>
      </w:pP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Alston &amp; Bird LLP</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90 Park Avenue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New York, NY 10016</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Attn: Michael Kessler, David E. Brown, Jr.</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E-Mail Address: michael.kessler@alston.com; david.brown@alston.com</w:t>
      </w:r>
    </w:p>
    <w:p>
      <w:pPr>
        <w:spacing w:after="0" w:line="200" w:lineRule="exact"/>
        <w:rPr>
          <w:sz w:val="20"/>
          <w:szCs w:val="20"/>
          <w:color w:val="auto"/>
        </w:rPr>
      </w:pPr>
    </w:p>
    <w:p>
      <w:pPr>
        <w:spacing w:after="0" w:line="253" w:lineRule="exact"/>
        <w:rPr>
          <w:sz w:val="20"/>
          <w:szCs w:val="20"/>
          <w:color w:val="auto"/>
        </w:rPr>
      </w:pPr>
    </w:p>
    <w:p>
      <w:pPr>
        <w:ind w:left="260" w:hanging="256"/>
        <w:spacing w:after="0"/>
        <w:tabs>
          <w:tab w:leader="none" w:pos="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 transferee of any Holder, to such Holder at the address provided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above;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1"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w:t>
      </w:r>
    </w:p>
    <w:p>
      <w:pPr>
        <w:sectPr>
          <w:pgSz w:w="11900" w:h="16838" w:orient="portrait"/>
          <w:cols w:equalWidth="0" w:num="1">
            <w:col w:w="9519"/>
          </w:cols>
          <w:pgMar w:left="940" w:top="1440" w:right="1440" w:bottom="1440" w:gutter="0" w:footer="0" w:header="0"/>
        </w:sectPr>
      </w:pPr>
    </w:p>
    <w:bookmarkStart w:id="213" w:name="page214"/>
    <w:bookmarkEnd w:id="213"/>
    <w:p>
      <w:pPr>
        <w:spacing w:after="0" w:line="23" w:lineRule="exact"/>
        <w:rPr>
          <w:sz w:val="20"/>
          <w:szCs w:val="20"/>
          <w:color w:val="auto"/>
        </w:rPr>
      </w:pPr>
    </w:p>
    <w:p>
      <w:pPr>
        <w:ind w:left="1240" w:right="8700" w:hanging="616"/>
        <w:spacing w:after="0" w:line="382" w:lineRule="auto"/>
        <w:tabs>
          <w:tab w:leader="none" w:pos="88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Onity Group Inc.</w:t>
      </w:r>
    </w:p>
    <w:p>
      <w:pPr>
        <w:ind w:left="1240" w:right="7360"/>
        <w:spacing w:after="0" w:line="3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1661 Worthington Road, Suite 100 West Palm Beach, FL 33409</w:t>
      </w:r>
    </w:p>
    <w:p>
      <w:pPr>
        <w:spacing w:after="0" w:line="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Attn: Joseph Samarias, Leah E. Hutton</w:t>
      </w:r>
    </w:p>
    <w:p>
      <w:pPr>
        <w:spacing w:after="0" w:line="200" w:lineRule="exact"/>
        <w:rPr>
          <w:sz w:val="20"/>
          <w:szCs w:val="20"/>
          <w:color w:val="auto"/>
        </w:rPr>
      </w:pPr>
    </w:p>
    <w:p>
      <w:pPr>
        <w:spacing w:after="0" w:line="2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Mayer Brown LLP</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1221 Avenue of the Americas</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New York, NY 10020</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Attention: John Berkery</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Telephone: (212) 506-2552</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Facsimile: (212) 849-5552</w:t>
      </w:r>
    </w:p>
    <w:p>
      <w:pPr>
        <w:spacing w:after="0" w:line="1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Email: jberkery@mayerbrown.com</w:t>
      </w:r>
    </w:p>
    <w:p>
      <w:pPr>
        <w:spacing w:after="0" w:line="11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All such notices and communications shall be deemed to have been received at the time delivered by hand, if personally delivered; when receipt acknowledged, if sent via facsimile or sent via Internet electronic mail; and when actually received, if sent by courier service or any other means.</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Successor and Assigns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This Agreement shall inure to the benefit of and be binding upon the successors and permitted assigns of each of the parties, including subsequent Holders of Registrable Securities to the extent permitted herein.</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Assignment of Rights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 xml:space="preserve">All or any portion of the rights and obligations of any Holder under this Agreement may be transferred or assigned by such Holder only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hereof.</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Recapitalization, Exchanges, Etc. Affecting the Registrable Securities.</w:t>
      </w:r>
    </w:p>
    <w:p>
      <w:pPr>
        <w:spacing w:after="0" w:line="117"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The provisions of this Agreement shall apply to the full extent set forth herein with respect to any and all securities of the Company or any successor or assign of the Company (whether by merger, acquisition, consolidation, reorganization, sale of assets or otherwise) that may be issued in respect of, in exchange for or in substitution of, the Registrable Securities, and shall be appropriately adjusted for combinations, share splits, recapitalizations, pro rata distributions of shares and the like occurring after the date of this Agreement.</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Aggregation of Registrable Securities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All Registrable Securities held or acquired by Persons who are Affiliates of one another shall be aggregated together for the purpose of determining the availability of any rights and applicability of any obligations under this Agreement.</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Specific Performance</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Damages in the event of breach of this Agreement by a party hereto may be difficult, if not impossible, to ascertain, and it is therefore agreed that each such Person, in addition to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limiting any other remedy or right it may have, shall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shall not preclude any such Person from pursuing any other rights and remedies at law or in equity that such Person may have.</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This Agreement may be executed in any number of counterparts and by different parties hereto in separate counterparts, including facsimile or .pdf counterparts, each of which counterparts, when so executed and delivered, shall be deemed to be an original and all of which counterparts, taken together, shall constitute but one and the same Agreement.</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headings in this Agreement are for convenience of reference only and shall not limit or otherwise affect the meaning hereof.</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This Agreement, including all issues and questions concerning its application, construction, validity, interpretation and enforcement, shall be construed in accordance with, and governed by, the laws of the State of New York.</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Severability of Provisions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Any provision of this Agreement that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9"/>
          <w:szCs w:val="19"/>
          <w:color w:val="auto"/>
        </w:rPr>
        <w:t>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and the Purchase Agreement supersede all prior agreements and understandings between the parties with respect to such subject matter.</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 xml:space="preserve">This Agreement may be amended only by means of a written amendment signed by the Company and the Holders who have become parties to this Agreement that hold a majority of the then outstanding Registrable Securities;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amendment shall materially and adversely affect the rights of any Holder hereunder without the consent of such Holder.</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3.13 </w:t>
      </w:r>
      <w:r>
        <w:rPr>
          <w:rFonts w:ascii="Times New Roman" w:cs="Times New Roman" w:eastAsia="Times New Roman" w:hAnsi="Times New Roman"/>
          <w:sz w:val="19"/>
          <w:szCs w:val="19"/>
          <w:u w:val="single" w:color="auto"/>
          <w:color w:val="auto"/>
        </w:rPr>
        <w:t>No Presumption</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If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Article and Section references are to this Agreement, unless otherwise specified. All references to instruments, documents, contracts and agreements are references to such instruments,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contracts and agreements as the same may be amended, supplemented and otherwise modified from time to time, unless otherwise specified. The words “include,” “includes” and “including” or words of similar import shall be deemed to be followed by the words “without limitation.” Whenever any determination, consent or approval is to be made or given by any Holder under this Agreement, such action shall be in such Holder’s sole discretion unless otherwise specified. Unless expressly set forth or qualified otherwise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by “</w:t>
      </w:r>
      <w:r>
        <w:rPr>
          <w:rFonts w:ascii="Times New Roman" w:cs="Times New Roman" w:eastAsia="Times New Roman" w:hAnsi="Times New Roman"/>
          <w:sz w:val="19"/>
          <w:szCs w:val="19"/>
          <w:u w:val="single" w:color="auto"/>
          <w:color w:val="auto"/>
        </w:rPr>
        <w:t>Business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trading</w:t>
      </w:r>
      <w:r>
        <w:rPr>
          <w:rFonts w:ascii="Times New Roman" w:cs="Times New Roman" w:eastAsia="Times New Roman" w:hAnsi="Times New Roman"/>
          <w:sz w:val="19"/>
          <w:szCs w:val="19"/>
          <w:color w:val="auto"/>
        </w:rPr>
        <w:t>”), all references herein to a “day” are deemed to be a reference to a calendar day.</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 xml:space="preserve">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www.docusign.com) or other transmission method and any counterpart so delivered shall be deemed to have been duly and validly delivered and be valid and effective for all purposes.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pages follow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execute this Agreement, effective as of the date first above written.</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ONITY GROUP INC.</w:t>
      </w:r>
    </w:p>
    <w:p>
      <w:pPr>
        <w:spacing w:after="0" w:line="31" w:lineRule="exact"/>
        <w:rPr>
          <w:sz w:val="20"/>
          <w:szCs w:val="20"/>
          <w:color w:val="auto"/>
        </w:rPr>
      </w:pPr>
    </w:p>
    <w:tbl>
      <w:tblPr>
        <w:tblLayout w:type="fixed"/>
        <w:tblInd w:w="456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Aaron Wade</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Aaron Wade</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EVP and Chief Investment Officer</w:t>
            </w:r>
          </w:p>
        </w:tc>
      </w:tr>
      <w:tr>
        <w:trPr>
          <w:trHeight w:val="788"/>
        </w:trPr>
        <w:tc>
          <w:tcPr>
            <w:tcW w:w="6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SHAP 2018-1, LLC.</w:t>
            </w: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Nick</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Kenneth Nick</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Vice President</w:t>
            </w:r>
          </w:p>
        </w:tc>
      </w:tr>
      <w:tr>
        <w:trPr>
          <w:trHeight w:val="491"/>
        </w:trPr>
        <w:tc>
          <w:tcPr>
            <w:tcW w:w="6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WATERFALL EDEN MASTER FUND, LTD.</w:t>
            </w:r>
          </w:p>
        </w:tc>
      </w:tr>
      <w:tr>
        <w:trPr>
          <w:trHeight w:val="27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Nick</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Kenneth Nick</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801"/>
        </w:trPr>
        <w:tc>
          <w:tcPr>
            <w:tcW w:w="6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WATERFALL ROCK ISLAND, LLC</w:t>
            </w: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Nick</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Kenneth Nick</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Authorized Person</w:t>
            </w:r>
          </w:p>
        </w:tc>
      </w:tr>
      <w:tr>
        <w:trPr>
          <w:trHeight w:val="801"/>
        </w:trPr>
        <w:tc>
          <w:tcPr>
            <w:tcW w:w="6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WATERFALL SANDSTONE FUND, L.P.</w:t>
            </w: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Nick</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Kenneth Nick</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Attorney-in-Fact</w:t>
            </w:r>
          </w:p>
        </w:tc>
      </w:tr>
      <w:tr>
        <w:trPr>
          <w:trHeight w:val="788"/>
        </w:trPr>
        <w:tc>
          <w:tcPr>
            <w:tcW w:w="6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WATERFALL VICTORIA MASTER FUND, LTD.</w:t>
            </w: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Kenneth Nick</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5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Kenneth Nick</w:t>
            </w: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Registration Rights Agreement</w:t>
      </w:r>
      <w:r>
        <w:rPr>
          <w:rFonts w:ascii="Times New Roman" w:cs="Times New Roman" w:eastAsia="Times New Roman" w:hAnsi="Times New Roman"/>
          <w:sz w:val="19"/>
          <w:szCs w:val="19"/>
          <w:color w:val="auto"/>
        </w:rPr>
        <w:t>]</w:t>
      </w:r>
    </w:p>
    <w:p>
      <w:pPr>
        <w:sectPr>
          <w:pgSz w:w="11900" w:h="16838" w:orient="portrait"/>
          <w:cols w:equalWidth="0" w:num="1">
            <w:col w:w="10620"/>
          </w:cols>
          <w:pgMar w:left="940" w:top="1440"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573405</wp:posOffset>
            </wp:positionV>
            <wp:extent cx="712152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573405</wp:posOffset>
            </wp:positionV>
            <wp:extent cx="712152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November 7, 2024</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Sean O'Neil, Executive Vice President and Chief Financial Officer</w:t>
      </w:r>
    </w:p>
    <w:p>
      <w:pPr>
        <w:sectPr>
          <w:pgSz w:w="11900" w:h="16838" w:orient="portrait"/>
          <w:cols w:equalWidth="0" w:num="1">
            <w:col w:w="11240"/>
          </w:cols>
          <w:pgMar w:left="320" w:top="103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 w:hanging="316"/>
        <w:spacing w:after="0" w:line="288" w:lineRule="auto"/>
        <w:tabs>
          <w:tab w:leader="none" w:pos="936"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September 30,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7, 2024</w:t>
            </w:r>
          </w:p>
        </w:tc>
      </w:tr>
    </w:tbl>
    <w:p>
      <w:pPr>
        <w:sectPr>
          <w:pgSz w:w="11900" w:h="16838" w:orient="portrait"/>
          <w:cols w:equalWidth="0" w:num="1">
            <w:col w:w="11240"/>
          </w:cols>
          <w:pgMar w:left="320" w:top="103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573405</wp:posOffset>
            </wp:positionV>
            <wp:extent cx="712152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 w:hanging="316"/>
        <w:spacing w:after="0" w:line="288" w:lineRule="auto"/>
        <w:tabs>
          <w:tab w:leader="none" w:pos="936"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September 30,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B. O'Neil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7, 2024</w:t>
            </w:r>
          </w:p>
        </w:tc>
      </w:tr>
    </w:tbl>
    <w:p>
      <w:pPr>
        <w:spacing w:after="0" w:line="1" w:lineRule="exact"/>
        <w:rPr>
          <w:sz w:val="20"/>
          <w:szCs w:val="20"/>
          <w:color w:val="auto"/>
        </w:rPr>
      </w:pPr>
    </w:p>
    <w:sectPr>
      <w:pgSz w:w="11900" w:h="16838" w:orient="portrait"/>
      <w:cols w:equalWidth="0" w:num="1">
        <w:col w:w="11240"/>
      </w:cols>
      <w:pgMar w:left="320" w:top="10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1)"/>
      <w:numFmt w:val="decimal"/>
      <w:start w:val="1"/>
    </w:lvl>
  </w:abstractNum>
  <w:abstractNum w:abstractNumId="5">
    <w:nsid w:val="3C5991AA"/>
    <w:multiLevelType w:val="hybridMultilevel"/>
    <w:lvl w:ilvl="0">
      <w:lvlJc w:val="left"/>
      <w:lvlText w:val="(%1)"/>
      <w:numFmt w:val="decimal"/>
      <w:start w:val="1"/>
    </w:lvl>
  </w:abstractNum>
  <w:abstractNum w:abstractNumId="6">
    <w:nsid w:val="4BD8591A"/>
    <w:multiLevelType w:val="hybridMultilevel"/>
    <w:lvl w:ilvl="0">
      <w:lvlJc w:val="left"/>
      <w:lvlText w:val="(%1)"/>
      <w:numFmt w:val="lowerLetter"/>
      <w:start w:val="1"/>
    </w:lvl>
  </w:abstractNum>
  <w:abstractNum w:abstractNumId="7">
    <w:nsid w:val="78DF6A55"/>
    <w:multiLevelType w:val="hybridMultilevel"/>
    <w:lvl w:ilvl="0">
      <w:lvlJc w:val="left"/>
      <w:lvlText w:val="(%1)"/>
      <w:numFmt w:val="decimal"/>
      <w:start w:val="1"/>
    </w:lvl>
  </w:abstractNum>
  <w:abstractNum w:abstractNumId="8">
    <w:nsid w:val="39B7AAA2"/>
    <w:multiLevelType w:val="hybridMultilevel"/>
    <w:lvl w:ilvl="0">
      <w:lvlJc w:val="left"/>
      <w:lvlText w:val="(%1)"/>
      <w:numFmt w:val="decimal"/>
      <w:start w:val="2"/>
    </w:lvl>
  </w:abstractNum>
  <w:abstractNum w:abstractNumId="9">
    <w:nsid w:val="2B0D8DBE"/>
    <w:multiLevelType w:val="hybridMultilevel"/>
    <w:lvl w:ilvl="0">
      <w:lvlJc w:val="left"/>
      <w:lvlText w:val="(%1)"/>
      <w:numFmt w:val="decimal"/>
      <w:start w:val="1"/>
    </w:lvl>
  </w:abstractNum>
  <w:abstractNum w:abstractNumId="10">
    <w:nsid w:val="6C80EC70"/>
    <w:multiLevelType w:val="hybridMultilevel"/>
    <w:lvl w:ilvl="0">
      <w:lvlJc w:val="left"/>
      <w:lvlText w:val="(%1)"/>
      <w:numFmt w:val="decimal"/>
      <w:start w:val="1"/>
    </w:lvl>
  </w:abstractNum>
  <w:abstractNum w:abstractNumId="11">
    <w:nsid w:val="379E21B5"/>
    <w:multiLevelType w:val="hybridMultilevel"/>
    <w:lvl w:ilvl="0">
      <w:lvlJc w:val="left"/>
      <w:lvlText w:val="(%1)"/>
      <w:numFmt w:val="decimal"/>
      <w:start w:val="1"/>
    </w:lvl>
  </w:abstractNum>
  <w:abstractNum w:abstractNumId="12">
    <w:nsid w:val="69E373"/>
    <w:multiLevelType w:val="hybridMultilevel"/>
    <w:lvl w:ilvl="0">
      <w:lvlJc w:val="left"/>
      <w:lvlText w:val="(%1)"/>
      <w:numFmt w:val="decimal"/>
      <w:start w:val="1"/>
    </w:lvl>
  </w:abstractNum>
  <w:abstractNum w:abstractNumId="13">
    <w:nsid w:val="2C27173B"/>
    <w:multiLevelType w:val="hybridMultilevel"/>
    <w:lvl w:ilvl="0">
      <w:lvlJc w:val="left"/>
      <w:lvlText w:val="(%1)"/>
      <w:numFmt w:val="decimal"/>
      <w:start w:val="1"/>
    </w:lvl>
  </w:abstractNum>
  <w:abstractNum w:abstractNumId="14">
    <w:nsid w:val="4C9B0904"/>
    <w:multiLevelType w:val="hybridMultilevel"/>
    <w:lvl w:ilvl="0">
      <w:lvlJc w:val="left"/>
      <w:lvlText w:val="(%1)"/>
      <w:numFmt w:val="decimal"/>
      <w:start w:val="1"/>
    </w:lvl>
  </w:abstractNum>
  <w:abstractNum w:abstractNumId="15">
    <w:nsid w:val="6AA7B75C"/>
    <w:multiLevelType w:val="hybridMultilevel"/>
    <w:lvl w:ilvl="0">
      <w:lvlJc w:val="left"/>
      <w:lvlText w:val="(%1)"/>
      <w:numFmt w:val="decimal"/>
      <w:start w:val="1"/>
    </w:lvl>
  </w:abstractNum>
  <w:abstractNum w:abstractNumId="16">
    <w:nsid w:val="1DF029D3"/>
    <w:multiLevelType w:val="hybridMultilevel"/>
    <w:lvl w:ilvl="0">
      <w:lvlJc w:val="left"/>
      <w:lvlText w:val="(%1)"/>
      <w:numFmt w:val="decimal"/>
      <w:start w:val="1"/>
    </w:lvl>
  </w:abstractNum>
  <w:abstractNum w:abstractNumId="17">
    <w:nsid w:val="5675FF36"/>
    <w:multiLevelType w:val="hybridMultilevel"/>
    <w:lvl w:ilvl="0">
      <w:lvlJc w:val="left"/>
      <w:lvlText w:val="(%1)"/>
      <w:numFmt w:val="decimal"/>
      <w:start w:val="1"/>
    </w:lvl>
  </w:abstractNum>
  <w:abstractNum w:abstractNumId="18">
    <w:nsid w:val="3DD15094"/>
    <w:multiLevelType w:val="hybridMultilevel"/>
    <w:lvl w:ilvl="0">
      <w:lvlJc w:val="left"/>
      <w:lvlText w:val="(%1)"/>
      <w:numFmt w:val="decimal"/>
      <w:start w:val="1"/>
    </w:lvl>
  </w:abstractNum>
  <w:abstractNum w:abstractNumId="19">
    <w:nsid w:val="3DB012B3"/>
    <w:multiLevelType w:val="hybridMultilevel"/>
    <w:lvl w:ilvl="0">
      <w:lvlJc w:val="left"/>
      <w:lvlText w:val="(%1)"/>
      <w:numFmt w:val="decimal"/>
      <w:start w:val="1"/>
    </w:lvl>
  </w:abstractNum>
  <w:abstractNum w:abstractNumId="20">
    <w:nsid w:val="2708C9AF"/>
    <w:multiLevelType w:val="hybridMultilevel"/>
    <w:lvl w:ilvl="0">
      <w:lvlJc w:val="left"/>
      <w:lvlText w:val="(%1)"/>
      <w:numFmt w:val="decimal"/>
      <w:start w:val="1"/>
    </w:lvl>
  </w:abstractNum>
  <w:abstractNum w:abstractNumId="21">
    <w:nsid w:val="5B25ACE2"/>
    <w:multiLevelType w:val="hybridMultilevel"/>
    <w:lvl w:ilvl="0">
      <w:lvlJc w:val="left"/>
      <w:lvlText w:val="(%1)"/>
      <w:numFmt w:val="lowerRoman"/>
      <w:start w:val="1"/>
    </w:lvl>
  </w:abstractNum>
  <w:abstractNum w:abstractNumId="22">
    <w:nsid w:val="175DFCF0"/>
    <w:multiLevelType w:val="hybridMultilevel"/>
    <w:lvl w:ilvl="0">
      <w:lvlJc w:val="left"/>
      <w:lvlText w:val="(%1)"/>
      <w:numFmt w:val="decimal"/>
      <w:start w:val="1"/>
    </w:lvl>
  </w:abstractNum>
  <w:abstractNum w:abstractNumId="23">
    <w:nsid w:val="4F97E3E4"/>
    <w:multiLevelType w:val="hybridMultilevel"/>
    <w:lvl w:ilvl="0">
      <w:lvlJc w:val="left"/>
      <w:lvlText w:val="(%1)"/>
      <w:numFmt w:val="decimal"/>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lvl w:ilvl="1">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1)"/>
      <w:numFmt w:val="decimal"/>
      <w:start w:val="1"/>
    </w:lvl>
  </w:abstractNum>
  <w:abstractNum w:abstractNumId="28">
    <w:nsid w:val="519E3149"/>
    <w:multiLevelType w:val="hybridMultilevel"/>
    <w:lvl w:ilvl="0">
      <w:lvlJc w:val="left"/>
      <w:lvlText w:val="(%1)"/>
      <w:numFmt w:val="decimal"/>
      <w:start w:val="1"/>
    </w:lvl>
  </w:abstractNum>
  <w:abstractNum w:abstractNumId="29">
    <w:nsid w:val="2C6E4AFD"/>
    <w:multiLevelType w:val="hybridMultilevel"/>
    <w:lvl w:ilvl="0">
      <w:lvlJc w:val="left"/>
      <w:lvlText w:val="(%1)"/>
      <w:numFmt w:val="decimal"/>
      <w:start w:val="16"/>
    </w:lvl>
  </w:abstractNum>
  <w:abstractNum w:abstractNumId="30">
    <w:nsid w:val="17A1B582"/>
    <w:multiLevelType w:val="hybridMultilevel"/>
    <w:lvl w:ilvl="0">
      <w:lvlJc w:val="left"/>
      <w:lvlText w:val="(%1)"/>
      <w:numFmt w:val="decimal"/>
      <w:start w:val="1"/>
    </w:lvl>
  </w:abstractNum>
  <w:abstractNum w:abstractNumId="31">
    <w:nsid w:val="4DF72E4E"/>
    <w:multiLevelType w:val="hybridMultilevel"/>
    <w:lvl w:ilvl="0">
      <w:lvlJc w:val="left"/>
      <w:lvlText w:val="(%1)"/>
      <w:numFmt w:val="decimal"/>
      <w:start w:val="1"/>
    </w:lvl>
  </w:abstractNum>
  <w:abstractNum w:abstractNumId="32">
    <w:nsid w:val="5046B5A9"/>
    <w:multiLevelType w:val="hybridMultilevel"/>
    <w:lvl w:ilvl="0">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1)"/>
      <w:numFmt w:val="decimal"/>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1)"/>
      <w:numFmt w:val="lowerRoman"/>
      <w:start w:val="1"/>
    </w:lvl>
  </w:abstractNum>
  <w:abstractNum w:abstractNumId="37">
    <w:nsid w:val="75E0858A"/>
    <w:multiLevelType w:val="hybridMultilevel"/>
    <w:lvl w:ilvl="0">
      <w:lvlJc w:val="left"/>
      <w:lvlText w:val="(%1)"/>
      <w:numFmt w:val="decimal"/>
      <w:start w:val="1"/>
    </w:lvl>
  </w:abstractNum>
  <w:abstractNum w:abstractNumId="38">
    <w:nsid w:val="57A61A29"/>
    <w:multiLevelType w:val="hybridMultilevel"/>
    <w:lvl w:ilvl="0">
      <w:lvlJc w:val="left"/>
      <w:lvlText w:val="(%1)"/>
      <w:numFmt w:val="decimal"/>
      <w:start w:val="1"/>
    </w:lvl>
  </w:abstractNum>
  <w:abstractNum w:abstractNumId="39">
    <w:nsid w:val="5399C654"/>
    <w:multiLevelType w:val="hybridMultilevel"/>
    <w:lvl w:ilvl="0">
      <w:lvlJc w:val="left"/>
      <w:lvlText w:val="(%1)"/>
      <w:numFmt w:val="decimal"/>
      <w:start w:val="1"/>
    </w:lvl>
  </w:abstractNum>
  <w:abstractNum w:abstractNumId="40">
    <w:nsid w:val="20EE1348"/>
    <w:multiLevelType w:val="hybridMultilevel"/>
    <w:lvl w:ilvl="0">
      <w:lvlJc w:val="left"/>
      <w:lvlText w:val="(%1)"/>
      <w:numFmt w:val="decimal"/>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
      <w:numFmt w:val="bullet"/>
      <w:start w:val="1"/>
    </w:lvl>
  </w:abstractNum>
  <w:abstractNum w:abstractNumId="46">
    <w:nsid w:val="BFFAE18"/>
    <w:multiLevelType w:val="hybridMultilevel"/>
    <w:lvl w:ilvl="0">
      <w:lvlJc w:val="left"/>
      <w:lvlText w:val="(%1)"/>
      <w:numFmt w:val="decimal"/>
      <w:start w:val="1"/>
    </w:lvl>
  </w:abstractNum>
  <w:abstractNum w:abstractNumId="47">
    <w:nsid w:val="E3E47A8"/>
    <w:multiLevelType w:val="hybridMultilevel"/>
    <w:lvl w:ilvl="0">
      <w:lvlJc w:val="left"/>
      <w:lvlText w:val="•"/>
      <w:numFmt w:val="bullet"/>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1."/>
      <w:numFmt w:val="lowerLetter"/>
      <w:start w:val="2"/>
    </w:lvl>
  </w:abstractNum>
  <w:abstractNum w:abstractNumId="50">
    <w:nsid w:val="4BEE5A5B"/>
    <w:multiLevelType w:val="hybridMultilevel"/>
    <w:lvl w:ilvl="0">
      <w:lvlJc w:val="left"/>
      <w:lvlText w:val="•"/>
      <w:numFmt w:val="bullet"/>
      <w:start w:val="1"/>
    </w:lvl>
  </w:abstractNum>
  <w:abstractNum w:abstractNumId="51">
    <w:nsid w:val="5551B9F3"/>
    <w:multiLevelType w:val="hybridMultilevel"/>
    <w:lvl w:ilvl="0">
      <w:lvlJc w:val="left"/>
      <w:lvlText w:val="(%1)"/>
      <w:numFmt w:val="decimal"/>
      <w:start w:val="1"/>
    </w:lvl>
  </w:abstractNum>
  <w:abstractNum w:abstractNumId="52">
    <w:nsid w:val="24F6AB8E"/>
    <w:multiLevelType w:val="hybridMultilevel"/>
    <w:lvl w:ilvl="0">
      <w:lvlJc w:val="left"/>
      <w:lvlText w:val="(%1)"/>
      <w:numFmt w:val="decimal"/>
      <w:start w:val="5"/>
    </w:lvl>
  </w:abstractNum>
  <w:abstractNum w:abstractNumId="53">
    <w:nsid w:val="634C574C"/>
    <w:multiLevelType w:val="hybridMultilevel"/>
    <w:lvl w:ilvl="0">
      <w:lvlJc w:val="left"/>
      <w:lvlText w:val="(%1)"/>
      <w:numFmt w:val="decimal"/>
      <w:start w:val="1"/>
    </w:lvl>
  </w:abstractNum>
  <w:abstractNum w:abstractNumId="54">
    <w:nsid w:val="24E99DD7"/>
    <w:multiLevelType w:val="hybridMultilevel"/>
    <w:lvl w:ilvl="0">
      <w:lvlJc w:val="left"/>
      <w:lvlText w:val="(%1)"/>
      <w:numFmt w:val="decimal"/>
      <w:start w:val="1"/>
    </w:lvl>
  </w:abstractNum>
  <w:abstractNum w:abstractNumId="55">
    <w:nsid w:val="2A31B62D"/>
    <w:multiLevelType w:val="hybridMultilevel"/>
    <w:lvl w:ilvl="0">
      <w:lvlJc w:val="left"/>
      <w:lvlText w:val="(%1)"/>
      <w:numFmt w:val="decimal"/>
      <w:start w:val="6"/>
    </w:lvl>
  </w:abstractNum>
  <w:abstractNum w:abstractNumId="56">
    <w:nsid w:val="1849C29B"/>
    <w:multiLevelType w:val="hybridMultilevel"/>
    <w:lvl w:ilvl="0">
      <w:lvlJc w:val="left"/>
      <w:lvlText w:val="(%1)"/>
      <w:numFmt w:val="decimal"/>
      <w:start w:val="1"/>
    </w:lvl>
  </w:abstractNum>
  <w:abstractNum w:abstractNumId="57">
    <w:nsid w:val="7DFF9D09"/>
    <w:multiLevelType w:val="hybridMultilevel"/>
    <w:lvl w:ilvl="0">
      <w:lvlJc w:val="left"/>
      <w:lvlText w:val="(%1)"/>
      <w:numFmt w:val="decimal"/>
      <w:start w:val="1"/>
    </w:lvl>
  </w:abstractNum>
  <w:abstractNum w:abstractNumId="58">
    <w:nsid w:val="754342"/>
    <w:multiLevelType w:val="hybridMultilevel"/>
    <w:lvl w:ilvl="0">
      <w:lvlJc w:val="left"/>
      <w:lvlText w:val="(%1)"/>
      <w:numFmt w:val="decimal"/>
      <w:start w:val="1"/>
    </w:lvl>
  </w:abstractNum>
  <w:abstractNum w:abstractNumId="59">
    <w:nsid w:val="69E7F3E5"/>
    <w:multiLevelType w:val="hybridMultilevel"/>
    <w:lvl w:ilvl="0">
      <w:lvlJc w:val="left"/>
      <w:lvlText w:val="(%1)"/>
      <w:numFmt w:val="decimal"/>
      <w:start w:val="1"/>
    </w:lvl>
  </w:abstractNum>
  <w:abstractNum w:abstractNumId="60">
    <w:nsid w:val="2A6DE806"/>
    <w:multiLevelType w:val="hybridMultilevel"/>
    <w:lvl w:ilvl="0">
      <w:lvlJc w:val="left"/>
      <w:lvlText w:val="(%1)"/>
      <w:numFmt w:val="decimal"/>
      <w:start w:val="1"/>
    </w:lvl>
  </w:abstractNum>
  <w:abstractNum w:abstractNumId="61">
    <w:nsid w:val="1816F8C4"/>
    <w:multiLevelType w:val="hybridMultilevel"/>
    <w:lvl w:ilvl="0">
      <w:lvlJc w:val="left"/>
      <w:lvlText w:val="•"/>
      <w:numFmt w:val="bullet"/>
      <w:start w:val="1"/>
    </w:lvl>
  </w:abstractNum>
  <w:abstractNum w:abstractNumId="62">
    <w:nsid w:val="37DF2233"/>
    <w:multiLevelType w:val="hybridMultilevel"/>
    <w:lvl w:ilvl="0">
      <w:lvlJc w:val="left"/>
      <w:lvlText w:val="•"/>
      <w:numFmt w:val="bullet"/>
      <w:start w:val="1"/>
    </w:lvl>
  </w:abstractNum>
  <w:abstractNum w:abstractNumId="63">
    <w:nsid w:val="7AB49DAF"/>
    <w:multiLevelType w:val="hybridMultilevel"/>
    <w:lvl w:ilvl="0">
      <w:lvlJc w:val="left"/>
      <w:lvlText w:val="(%1)"/>
      <w:numFmt w:val="decimal"/>
      <w:start w:val="1"/>
    </w:lvl>
  </w:abstractNum>
  <w:abstractNum w:abstractNumId="64">
    <w:nsid w:val="759F82CD"/>
    <w:multiLevelType w:val="hybridMultilevel"/>
    <w:lvl w:ilvl="0">
      <w:lvlJc w:val="left"/>
      <w:lvlText w:val="•"/>
      <w:numFmt w:val="bullet"/>
      <w:start w:val="1"/>
    </w:lvl>
  </w:abstractNum>
  <w:abstractNum w:abstractNumId="65">
    <w:nsid w:val="61E74EA3"/>
    <w:multiLevelType w:val="hybridMultilevel"/>
    <w:lvl w:ilvl="0">
      <w:lvlJc w:val="left"/>
      <w:lvlText w:val="•"/>
      <w:numFmt w:val="bullet"/>
      <w:start w:val="1"/>
    </w:lvl>
  </w:abstractNum>
  <w:abstractNum w:abstractNumId="66">
    <w:nsid w:val="597B4D84"/>
    <w:multiLevelType w:val="hybridMultilevel"/>
    <w:lvl w:ilvl="0">
      <w:lvlJc w:val="left"/>
      <w:lvlText w:val="•"/>
      <w:numFmt w:val="bullet"/>
      <w:start w:val="1"/>
    </w:lvl>
  </w:abstractNum>
  <w:abstractNum w:abstractNumId="67">
    <w:nsid w:val="F819E7F"/>
    <w:multiLevelType w:val="hybridMultilevel"/>
    <w:lvl w:ilvl="0">
      <w:lvlJc w:val="left"/>
      <w:lvlText w:val="•"/>
      <w:numFmt w:val="bullet"/>
      <w:start w:val="1"/>
    </w:lvl>
  </w:abstractNum>
  <w:abstractNum w:abstractNumId="68">
    <w:nsid w:val="57C7D42D"/>
    <w:multiLevelType w:val="hybridMultilevel"/>
    <w:lvl w:ilvl="0">
      <w:lvlJc w:val="left"/>
      <w:lvlText w:val="(%1)"/>
      <w:numFmt w:val="lowerRoman"/>
      <w:start w:val="1"/>
    </w:lvl>
  </w:abstractNum>
  <w:abstractNum w:abstractNumId="69">
    <w:nsid w:val="312167AD"/>
    <w:multiLevelType w:val="hybridMultilevel"/>
    <w:lvl w:ilvl="0">
      <w:lvlJc w:val="left"/>
      <w:lvlText w:val="(%1)"/>
      <w:numFmt w:val="decimal"/>
      <w:start w:val="1"/>
    </w:lvl>
  </w:abstractNum>
  <w:abstractNum w:abstractNumId="70">
    <w:nsid w:val="631B64D4"/>
    <w:multiLevelType w:val="hybridMultilevel"/>
    <w:lvl w:ilvl="0">
      <w:lvlJc w:val="left"/>
      <w:lvlText w:val="%1"/>
      <w:numFmt w:val="decimal"/>
      <w:start w:val="101"/>
    </w:lvl>
  </w:abstractNum>
  <w:abstractNum w:abstractNumId="71">
    <w:nsid w:val="78B5E776"/>
    <w:multiLevelType w:val="hybridMultilevel"/>
    <w:lvl w:ilvl="0">
      <w:lvlJc w:val="left"/>
      <w:lvlText w:val="†"/>
      <w:numFmt w:val="bullet"/>
      <w:start w:val="1"/>
    </w:lvl>
    <w:lvl w:ilvl="1">
      <w:lvlJc w:val="left"/>
      <w:lvlText w:val="%2"/>
      <w:numFmt w:val="decimal"/>
      <w:start w:val="104"/>
    </w:lvl>
  </w:abstractNum>
  <w:abstractNum w:abstractNumId="72">
    <w:nsid w:val="75486E47"/>
    <w:multiLevelType w:val="hybridMultilevel"/>
    <w:lvl w:ilvl="0">
      <w:lvlJc w:val="left"/>
      <w:lvlText w:val="(%1)"/>
      <w:numFmt w:val="upperLetter"/>
      <w:start w:val="1"/>
    </w:lvl>
  </w:abstractNum>
  <w:abstractNum w:abstractNumId="73">
    <w:nsid w:val="6E534CDE"/>
    <w:multiLevelType w:val="hybridMultilevel"/>
    <w:lvl w:ilvl="0">
      <w:lvlJc w:val="left"/>
      <w:lvlText w:val="(%1)"/>
      <w:numFmt w:val="decimal"/>
      <w:start w:val="1"/>
    </w:lvl>
  </w:abstractNum>
  <w:abstractNum w:abstractNumId="74">
    <w:nsid w:val="1A0DDE32"/>
    <w:multiLevelType w:val="hybridMultilevel"/>
    <w:lvl w:ilvl="0">
      <w:lvlJc w:val="left"/>
      <w:lvlText w:val="(%1)"/>
      <w:numFmt w:val="upperLetter"/>
      <w:start w:val="2"/>
    </w:lvl>
  </w:abstractNum>
  <w:abstractNum w:abstractNumId="75">
    <w:nsid w:val="65968C1C"/>
    <w:multiLevelType w:val="hybridMultilevel"/>
    <w:lvl w:ilvl="0">
      <w:lvlJc w:val="left"/>
      <w:lvlText w:val="%1."/>
      <w:numFmt w:val="upperLetter"/>
      <w:start w:val="1"/>
    </w:lvl>
  </w:abstractNum>
  <w:abstractNum w:abstractNumId="76">
    <w:nsid w:val="46263DEC"/>
    <w:multiLevelType w:val="hybridMultilevel"/>
    <w:lvl w:ilvl="0">
      <w:lvlJc w:val="left"/>
      <w:lvlText w:val="%1."/>
      <w:numFmt w:val="upperLetter"/>
      <w:start w:val="2"/>
    </w:lvl>
  </w:abstractNum>
  <w:abstractNum w:abstractNumId="77">
    <w:nsid w:val="260D8C4A"/>
    <w:multiLevelType w:val="hybridMultilevel"/>
    <w:lvl w:ilvl="0">
      <w:lvlJc w:val="left"/>
      <w:lvlText w:val="%1."/>
      <w:numFmt w:val="decimal"/>
      <w:start w:val="1"/>
    </w:lvl>
  </w:abstractNum>
  <w:abstractNum w:abstractNumId="78">
    <w:nsid w:val="73D4D3C4"/>
    <w:multiLevelType w:val="hybridMultilevel"/>
    <w:lvl w:ilvl="0">
      <w:lvlJc w:val="left"/>
      <w:lvlText w:val="%1."/>
      <w:numFmt w:val="decimal"/>
      <w:start w:val="3"/>
    </w:lvl>
  </w:abstractNum>
  <w:abstractNum w:abstractNumId="79">
    <w:nsid w:val="746F2E30"/>
    <w:multiLevelType w:val="hybridMultilevel"/>
    <w:lvl w:ilvl="0">
      <w:lvlJc w:val="left"/>
      <w:lvlText w:val="%1"/>
      <w:numFmt w:val="decimal"/>
      <w:start w:val="1"/>
    </w:lvl>
    <w:lvl w:ilvl="1">
      <w:lvlJc w:val="left"/>
      <w:lvlText w:val="(%2)"/>
      <w:numFmt w:val="lowerLetter"/>
      <w:start w:val="2"/>
    </w:lvl>
  </w:abstractNum>
  <w:abstractNum w:abstractNumId="80">
    <w:nsid w:val="6FDE8AF6"/>
    <w:multiLevelType w:val="hybridMultilevel"/>
    <w:lvl w:ilvl="0">
      <w:lvlJc w:val="left"/>
      <w:lvlText w:val="(%1)"/>
      <w:numFmt w:val="decimal"/>
      <w:start w:val="5"/>
    </w:lvl>
    <w:lvl w:ilvl="1">
      <w:lvlJc w:val="left"/>
      <w:lvlText w:val="(%2)"/>
      <w:numFmt w:val="lowerLetter"/>
      <w:start w:val="4"/>
    </w:lvl>
  </w:abstractNum>
  <w:abstractNum w:abstractNumId="81">
    <w:nsid w:val="3FC32E20"/>
    <w:multiLevelType w:val="hybridMultilevel"/>
    <w:lvl w:ilvl="0">
      <w:lvlJc w:val="left"/>
      <w:lvlText w:val="(%1)"/>
      <w:numFmt w:val="decimal"/>
      <w:start w:val="30"/>
    </w:lvl>
    <w:lvl w:ilvl="1">
      <w:lvlJc w:val="left"/>
      <w:lvlText w:val="%2"/>
      <w:numFmt w:val="lowerLetter"/>
      <w:start w:val="1"/>
    </w:lvl>
  </w:abstractNum>
  <w:abstractNum w:abstractNumId="82">
    <w:nsid w:val="49C0E823"/>
    <w:multiLevelType w:val="hybridMultilevel"/>
    <w:lvl w:ilvl="0">
      <w:lvlJc w:val="left"/>
      <w:lvlText w:val="%1"/>
      <w:numFmt w:val="lowerLetter"/>
      <w:start w:val="1"/>
    </w:lvl>
    <w:lvl w:ilvl="1">
      <w:lvlJc w:val="left"/>
      <w:lvlText w:val="(%2)"/>
      <w:numFmt w:val="lowerLetter"/>
      <w:start w:val="5"/>
    </w:lvl>
  </w:abstractNum>
  <w:abstractNum w:abstractNumId="83">
    <w:nsid w:val="14D53685"/>
    <w:multiLevelType w:val="hybridMultilevel"/>
    <w:lvl w:ilvl="0">
      <w:lvlJc w:val="left"/>
      <w:lvlText w:val="(%1)"/>
      <w:numFmt w:val="lowerLetter"/>
      <w:start w:val="2"/>
    </w:lvl>
    <w:lvl w:ilvl="1">
      <w:lvlJc w:val="left"/>
      <w:lvlText w:val="%2"/>
      <w:numFmt w:val="lowerLetter"/>
      <w:start w:val="1"/>
    </w:lvl>
  </w:abstractNum>
  <w:abstractNum w:abstractNumId="84">
    <w:nsid w:val="230F856C"/>
    <w:multiLevelType w:val="hybridMultilevel"/>
    <w:lvl w:ilvl="0">
      <w:lvlJc w:val="left"/>
      <w:lvlText w:val="%1."/>
      <w:numFmt w:val="decimal"/>
      <w:start w:val="4"/>
    </w:lvl>
  </w:abstractNum>
  <w:abstractNum w:abstractNumId="85">
    <w:nsid w:val="6EAA85FB"/>
    <w:multiLevelType w:val="hybridMultilevel"/>
    <w:lvl w:ilvl="0">
      <w:lvlJc w:val="left"/>
      <w:lvlText w:val="(%1)"/>
      <w:numFmt w:val="lowerLetter"/>
      <w:start w:val="1"/>
    </w:lvl>
  </w:abstractNum>
  <w:abstractNum w:abstractNumId="86">
    <w:nsid w:val="3F06ECB2"/>
    <w:multiLevelType w:val="hybridMultilevel"/>
    <w:lvl w:ilvl="0">
      <w:lvlJc w:val="left"/>
      <w:lvlText w:val="%1"/>
      <w:numFmt w:val="upperLetter"/>
      <w:start w:val="1"/>
    </w:lvl>
    <w:lvl w:ilvl="1">
      <w:lvlJc w:val="left"/>
      <w:lvlText w:val="(%2)"/>
      <w:numFmt w:val="lowerLetter"/>
      <w:start w:val="3"/>
    </w:lvl>
  </w:abstractNum>
  <w:abstractNum w:abstractNumId="87">
    <w:nsid w:val="3B594807"/>
    <w:multiLevelType w:val="hybridMultilevel"/>
    <w:lvl w:ilvl="0">
      <w:lvlJc w:val="left"/>
      <w:lvlText w:val="(%1)"/>
      <w:numFmt w:val="upperLetter"/>
      <w:start w:val="9"/>
    </w:lvl>
    <w:lvl w:ilvl="1">
      <w:lvlJc w:val="left"/>
      <w:lvlText w:val="%2"/>
      <w:numFmt w:val="lowerLetter"/>
      <w:start w:val="1"/>
    </w:lvl>
  </w:abstractNum>
  <w:abstractNum w:abstractNumId="88">
    <w:nsid w:val="6CAA2304"/>
    <w:multiLevelType w:val="hybridMultilevel"/>
    <w:lvl w:ilvl="0">
      <w:lvlJc w:val="left"/>
      <w:lvlText w:val="(%1)"/>
      <w:numFmt w:val="upperLetter"/>
      <w:start w:val="35"/>
    </w:lvl>
    <w:lvl w:ilvl="1">
      <w:lvlJc w:val="left"/>
      <w:lvlText w:val="%2"/>
      <w:numFmt w:val="lowerLetter"/>
      <w:start w:val="1"/>
    </w:lvl>
  </w:abstractNum>
  <w:abstractNum w:abstractNumId="89">
    <w:nsid w:val="3F7C2FF4"/>
    <w:multiLevelType w:val="hybridMultilevel"/>
    <w:lvl w:ilvl="0">
      <w:lvlJc w:val="left"/>
      <w:lvlText w:val="(%1)"/>
      <w:numFmt w:val="lowerLetter"/>
      <w:start w:val="8"/>
    </w:lvl>
  </w:abstractNum>
  <w:abstractNum w:abstractNumId="90">
    <w:nsid w:val="25413BEC"/>
    <w:multiLevelType w:val="hybridMultilevel"/>
    <w:lvl w:ilvl="0">
      <w:lvlJc w:val="left"/>
      <w:lvlText w:val="%1"/>
      <w:numFmt w:val="lowerLetter"/>
      <w:start w:val="1"/>
    </w:lvl>
    <w:lvl w:ilvl="1">
      <w:lvlJc w:val="left"/>
      <w:lvlText w:val="(%2)"/>
      <w:numFmt w:val="lowerLetter"/>
      <w:start w:val="10"/>
    </w:lvl>
  </w:abstractNum>
  <w:abstractNum w:abstractNumId="91">
    <w:nsid w:val="17180B0B"/>
    <w:multiLevelType w:val="hybridMultilevel"/>
    <w:lvl w:ilvl="0">
      <w:lvlJc w:val="left"/>
      <w:lvlText w:val="(%1)"/>
      <w:numFmt w:val="lowerLetter"/>
      <w:start w:val="2"/>
    </w:lvl>
    <w:lvl w:ilvl="1">
      <w:lvlJc w:val="left"/>
      <w:lvlText w:val="(%2)"/>
      <w:numFmt w:val="lowerLetter"/>
      <w:start w:val="11"/>
    </w:lvl>
  </w:abstractNum>
  <w:abstractNum w:abstractNumId="92">
    <w:nsid w:val="579328B9"/>
    <w:multiLevelType w:val="hybridMultilevel"/>
    <w:lvl w:ilvl="0">
      <w:lvlJc w:val="left"/>
      <w:lvlText w:val="(%1)"/>
      <w:numFmt w:val="lowerLetter"/>
      <w:start w:val="16"/>
    </w:lvl>
  </w:abstractNum>
  <w:abstractNum w:abstractNumId="93">
    <w:nsid w:val="5D205E20"/>
    <w:multiLevelType w:val="hybridMultilevel"/>
    <w:lvl w:ilvl="0">
      <w:lvlJc w:val="left"/>
      <w:lvlText w:val="%1."/>
      <w:numFmt w:val="decimal"/>
      <w:start w:val="6"/>
    </w:lvl>
  </w:abstractNum>
  <w:abstractNum w:abstractNumId="94">
    <w:nsid w:val="11CCA8BA"/>
    <w:multiLevelType w:val="hybridMultilevel"/>
    <w:lvl w:ilvl="0">
      <w:lvlJc w:val="left"/>
      <w:lvlText w:val="(%1)"/>
      <w:numFmt w:val="lowerLetter"/>
      <w:start w:val="1"/>
    </w:lvl>
  </w:abstractNum>
  <w:abstractNum w:abstractNumId="95">
    <w:nsid w:val="4D32AB86"/>
    <w:multiLevelType w:val="hybridMultilevel"/>
    <w:lvl w:ilvl="0">
      <w:lvlJc w:val="left"/>
      <w:lvlText w:val="%1."/>
      <w:numFmt w:val="decimal"/>
      <w:start w:val="7"/>
    </w:lvl>
  </w:abstractNum>
  <w:abstractNum w:abstractNumId="96">
    <w:nsid w:val="3F07ACC3"/>
    <w:multiLevelType w:val="hybridMultilevel"/>
    <w:lvl w:ilvl="0">
      <w:lvlJc w:val="left"/>
      <w:lvlText w:val="(%1)"/>
      <w:numFmt w:val="lowerLetter"/>
      <w:start w:val="1"/>
    </w:lvl>
    <w:lvl w:ilvl="1">
      <w:lvlJc w:val="left"/>
      <w:lvlText w:val="(%2)"/>
      <w:numFmt w:val="lowerRoman"/>
      <w:start w:val="1"/>
    </w:lvl>
  </w:abstractNum>
  <w:abstractNum w:abstractNumId="97">
    <w:nsid w:val="6B47F63E"/>
    <w:multiLevelType w:val="hybridMultilevel"/>
    <w:lvl w:ilvl="0">
      <w:lvlJc w:val="left"/>
      <w:lvlText w:val="%1"/>
      <w:numFmt w:val="lowerLetter"/>
      <w:start w:val="1"/>
    </w:lvl>
    <w:lvl w:ilvl="1">
      <w:lvlJc w:val="left"/>
      <w:lvlText w:val="(%2)"/>
      <w:numFmt w:val="lowerLetter"/>
      <w:start w:val="61"/>
    </w:lvl>
  </w:abstractNum>
  <w:abstractNum w:abstractNumId="98">
    <w:nsid w:val="5CB44A05"/>
    <w:multiLevelType w:val="hybridMultilevel"/>
    <w:lvl w:ilvl="0">
      <w:lvlJc w:val="left"/>
      <w:lvlText w:val="(%1)"/>
      <w:numFmt w:val="lowerLetter"/>
      <w:start w:val="3"/>
    </w:lvl>
    <w:lvl w:ilvl="1">
      <w:lvlJc w:val="left"/>
      <w:lvlText w:val="%2"/>
      <w:numFmt w:val="lowerLetter"/>
      <w:start w:val="1"/>
    </w:lvl>
  </w:abstractNum>
  <w:abstractNum w:abstractNumId="99">
    <w:nsid w:val="16CF80F1"/>
    <w:multiLevelType w:val="hybridMultilevel"/>
    <w:lvl w:ilvl="0">
      <w:lvlJc w:val="left"/>
      <w:lvlText w:val="(%1)"/>
      <w:numFmt w:val="lowerLetter"/>
      <w:start w:val="5"/>
    </w:lvl>
  </w:abstractNum>
  <w:abstractNum w:abstractNumId="100">
    <w:nsid w:val="1C695DEC"/>
    <w:multiLevelType w:val="hybridMultilevel"/>
    <w:lvl w:ilvl="0">
      <w:lvlJc w:val="left"/>
      <w:lvlText w:val="%1."/>
      <w:numFmt w:val="decimal"/>
      <w:start w:val="8"/>
    </w:lvl>
  </w:abstractNum>
  <w:abstractNum w:abstractNumId="101">
    <w:nsid w:val="3FCFAED9"/>
    <w:multiLevelType w:val="hybridMultilevel"/>
    <w:lvl w:ilvl="0">
      <w:lvlJc w:val="left"/>
      <w:lvlText w:val="(%1)"/>
      <w:numFmt w:val="lowerLetter"/>
      <w:start w:val="1"/>
    </w:lvl>
    <w:lvl w:ilvl="1">
      <w:lvlJc w:val="left"/>
      <w:lvlText w:val="(%2)"/>
      <w:numFmt w:val="lowerLetter"/>
      <w:start w:val="9"/>
    </w:lvl>
  </w:abstractNum>
  <w:abstractNum w:abstractNumId="102">
    <w:nsid w:val="F856867"/>
    <w:multiLevelType w:val="hybridMultilevel"/>
    <w:lvl w:ilvl="0">
      <w:lvlJc w:val="left"/>
      <w:lvlText w:val="%1"/>
      <w:numFmt w:val="lowerLetter"/>
      <w:start w:val="1"/>
    </w:lvl>
    <w:lvl w:ilvl="1">
      <w:lvlJc w:val="left"/>
      <w:lvlText w:val="(%2)"/>
      <w:numFmt w:val="lowerRoman"/>
      <w:start w:val="2"/>
    </w:lvl>
  </w:abstractNum>
  <w:abstractNum w:abstractNumId="103">
    <w:nsid w:val="11B1CC33"/>
    <w:multiLevelType w:val="hybridMultilevel"/>
    <w:lvl w:ilvl="0">
      <w:lvlJc w:val="left"/>
      <w:lvlText w:val="(%1)"/>
      <w:numFmt w:val="lowerLetter"/>
      <w:start w:val="3"/>
    </w:lvl>
    <w:lvl w:ilvl="1">
      <w:lvlJc w:val="left"/>
      <w:lvlText w:val="(%2)"/>
      <w:numFmt w:val="lowerRoman"/>
      <w:start w:val="1"/>
    </w:lvl>
  </w:abstractNum>
  <w:abstractNum w:abstractNumId="104">
    <w:nsid w:val="2E22FBB7"/>
    <w:multiLevelType w:val="hybridMultilevel"/>
    <w:lvl w:ilvl="0">
      <w:lvlJc w:val="left"/>
      <w:lvlText w:val="%1."/>
      <w:numFmt w:val="decimal"/>
      <w:start w:val="9"/>
    </w:lvl>
  </w:abstractNum>
  <w:abstractNum w:abstractNumId="105">
    <w:nsid w:val="29934699"/>
    <w:multiLevelType w:val="hybridMultilevel"/>
    <w:lvl w:ilvl="0">
      <w:lvlJc w:val="left"/>
      <w:lvlText w:val="(%1)"/>
      <w:numFmt w:val="lowerLetter"/>
      <w:start w:val="1"/>
    </w:lvl>
  </w:abstractNum>
  <w:abstractNum w:abstractNumId="106">
    <w:nsid w:val="77485850"/>
    <w:multiLevelType w:val="hybridMultilevel"/>
    <w:lvl w:ilvl="0">
      <w:lvlJc w:val="left"/>
      <w:lvlText w:val="(%1)"/>
      <w:numFmt w:val="lowerRoman"/>
      <w:start w:val="1"/>
    </w:lvl>
    <w:lvl w:ilvl="1">
      <w:lvlJc w:val="left"/>
      <w:lvlText w:val="(%2)"/>
      <w:numFmt w:val="decimal"/>
      <w:start w:val="1"/>
    </w:lvl>
  </w:abstractNum>
  <w:abstractNum w:abstractNumId="107">
    <w:nsid w:val="744939A3"/>
    <w:multiLevelType w:val="hybridMultilevel"/>
    <w:lvl w:ilvl="0">
      <w:lvlJc w:val="left"/>
      <w:lvlText w:val="(%1)"/>
      <w:numFmt w:val="lowerLetter"/>
      <w:start w:val="2"/>
    </w:lvl>
  </w:abstractNum>
  <w:abstractNum w:abstractNumId="108">
    <w:nsid w:val="4FA0D2E3"/>
    <w:multiLevelType w:val="hybridMultilevel"/>
    <w:lvl w:ilvl="0">
      <w:lvlJc w:val="left"/>
      <w:lvlText w:val="%1."/>
      <w:numFmt w:val="decimal"/>
      <w:start w:val="10"/>
    </w:lvl>
  </w:abstractNum>
  <w:abstractNum w:abstractNumId="109">
    <w:nsid w:val="6B1D2C14"/>
    <w:multiLevelType w:val="hybridMultilevel"/>
    <w:lvl w:ilvl="0">
      <w:lvlJc w:val="left"/>
      <w:lvlText w:val="%1."/>
      <w:numFmt w:val="decimal"/>
      <w:start w:val="14"/>
    </w:lvl>
  </w:abstractNum>
  <w:abstractNum w:abstractNumId="110">
    <w:nsid w:val="68B867D3"/>
    <w:multiLevelType w:val="hybridMultilevel"/>
    <w:lvl w:ilvl="0">
      <w:lvlJc w:val="left"/>
      <w:lvlText w:val="(%1)"/>
      <w:numFmt w:val="decimal"/>
      <w:start w:val="20"/>
    </w:lvl>
  </w:abstractNum>
  <w:abstractNum w:abstractNumId="111">
    <w:nsid w:val="3F7F5DD9"/>
    <w:multiLevelType w:val="hybridMultilevel"/>
    <w:lvl w:ilvl="0">
      <w:lvlJc w:val="left"/>
      <w:lvlText w:val="%1."/>
      <w:numFmt w:val="decimal"/>
      <w:start w:val="1"/>
    </w:lvl>
    <w:lvl w:ilvl="1">
      <w:lvlJc w:val="left"/>
      <w:lvlText w:val="(%2)"/>
      <w:numFmt w:val="lowerLetter"/>
      <w:start w:val="1"/>
    </w:lvl>
  </w:abstractNum>
  <w:abstractNum w:abstractNumId="112">
    <w:nsid w:val="2AE05A34"/>
    <w:multiLevelType w:val="hybridMultilevel"/>
    <w:lvl w:ilvl="0">
      <w:lvlJc w:val="left"/>
      <w:lvlText w:val="%1."/>
      <w:numFmt w:val="decimal"/>
      <w:start w:val="2"/>
    </w:lvl>
  </w:abstractNum>
  <w:abstractNum w:abstractNumId="113">
    <w:nsid w:val="32794FF7"/>
    <w:multiLevelType w:val="hybridMultilevel"/>
    <w:lvl w:ilvl="0">
      <w:lvlJc w:val="left"/>
      <w:lvlText w:val="%1."/>
      <w:numFmt w:val="decimal"/>
      <w:start w:val="4"/>
    </w:lvl>
    <w:lvl w:ilvl="1">
      <w:lvlJc w:val="left"/>
      <w:lvlText w:val="(%2)"/>
      <w:numFmt w:val="lowerLetter"/>
      <w:start w:val="1"/>
    </w:lvl>
  </w:abstractNum>
  <w:abstractNum w:abstractNumId="114">
    <w:nsid w:val="5454945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5">
    <w:nsid w:val="4DEFDFA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16">
    <w:nsid w:val="2123D5F2"/>
    <w:multiLevelType w:val="hybridMultilevel"/>
    <w:lvl w:ilvl="0">
      <w:lvlJc w:val="left"/>
      <w:lvlText w:val="(%1)"/>
      <w:numFmt w:val="lowerRoman"/>
      <w:start w:val="2"/>
    </w:lvl>
  </w:abstractNum>
  <w:abstractNum w:abstractNumId="117">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18">
    <w:nsid w:val="94927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9">
    <w:nsid w:val="DCDF8F6"/>
    <w:multiLevelType w:val="hybridMultilevel"/>
    <w:lvl w:ilvl="0">
      <w:lvlJc w:val="left"/>
      <w:lvlText w:val="(%1)"/>
      <w:numFmt w:val="decimal"/>
      <w:start w:val="1"/>
    </w:lvl>
  </w:abstractNum>
  <w:abstractNum w:abstractNumId="120">
    <w:nsid w:val="52D7B1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21">
    <w:nsid w:val="2E8A639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22">
    <w:nsid w:val="24E60401"/>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23">
    <w:nsid w:val="2A6AD9BE"/>
    <w:multiLevelType w:val="hybridMultilevel"/>
    <w:lvl w:ilvl="0">
      <w:lvlJc w:val="left"/>
      <w:lvlText w:val="(%1)"/>
      <w:numFmt w:val="lowerRoman"/>
      <w:start w:val="1"/>
    </w:lvl>
  </w:abstractNum>
  <w:abstractNum w:abstractNumId="124">
    <w:nsid w:val="BAAC1B4"/>
    <w:multiLevelType w:val="hybridMultilevel"/>
    <w:lvl w:ilvl="0">
      <w:lvlJc w:val="left"/>
      <w:lvlText w:val="(%1)"/>
      <w:numFmt w:val="lowerLetter"/>
      <w:start w:val="3"/>
    </w:lvl>
  </w:abstractNum>
  <w:abstractNum w:abstractNumId="125">
    <w:nsid w:val="36B2AC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779D854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7">
    <w:nsid w:val="4AB26E7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8">
    <w:nsid w:val="21FAA2FA"/>
    <w:multiLevelType w:val="hybridMultilevel"/>
    <w:lvl w:ilvl="0">
      <w:lvlJc w:val="left"/>
      <w:lvlText w:val="%1"/>
      <w:numFmt w:val="lowerRoman"/>
      <w:start w:val="1"/>
    </w:lvl>
    <w:lvl w:ilvl="1">
      <w:lvlJc w:val="left"/>
      <w:lvlText w:val="%2."/>
      <w:numFmt w:val="decimal"/>
      <w:start w:val="9"/>
    </w:lvl>
  </w:abstractNum>
  <w:abstractNum w:abstractNumId="129">
    <w:nsid w:val="5451CF49"/>
    <w:multiLevelType w:val="hybridMultilevel"/>
    <w:lvl w:ilvl="0">
      <w:lvlJc w:val="left"/>
      <w:lvlText w:val="(%1)"/>
      <w:numFmt w:val="lowerRoman"/>
      <w:start w:val="2"/>
    </w:lvl>
    <w:lvl w:ilvl="1">
      <w:lvlJc w:val="left"/>
      <w:lvlText w:val="%2."/>
      <w:numFmt w:val="decimal"/>
      <w:start w:val="10"/>
    </w:lvl>
  </w:abstractNum>
  <w:abstractNum w:abstractNumId="130">
    <w:nsid w:val="6181EF69"/>
    <w:multiLevelType w:val="hybridMultilevel"/>
    <w:lvl w:ilvl="0">
      <w:lvlJc w:val="left"/>
      <w:lvlText w:val="%1."/>
      <w:numFmt w:val="decimal"/>
      <w:start w:val="16"/>
    </w:lvl>
  </w:abstractNum>
  <w:abstractNum w:abstractNumId="131">
    <w:nsid w:val="3E6400E6"/>
    <w:multiLevelType w:val="hybridMultilevel"/>
    <w:lvl w:ilvl="0">
      <w:lvlJc w:val="left"/>
      <w:lvlText w:val="1"/>
      <w:numFmt w:val="bullet"/>
      <w:start w:val="1"/>
    </w:lvl>
  </w:abstractNum>
  <w:abstractNum w:abstractNumId="132">
    <w:nsid w:val="14217E23"/>
    <w:multiLevelType w:val="hybridMultilevel"/>
    <w:lvl w:ilvl="0">
      <w:lvlJc w:val="left"/>
      <w:lvlText w:val="%1."/>
      <w:numFmt w:val="decimal"/>
      <w:start w:val="1"/>
    </w:lvl>
  </w:abstractNum>
  <w:abstractNum w:abstractNumId="133">
    <w:nsid w:val="710757D0"/>
    <w:multiLevelType w:val="hybridMultilevel"/>
    <w:lvl w:ilvl="0">
      <w:lvlJc w:val="left"/>
      <w:lvlText w:val="(%1)"/>
      <w:numFmt w:val="lowerLetter"/>
      <w:start w:val="1"/>
    </w:lvl>
  </w:abstractNum>
  <w:abstractNum w:abstractNumId="134">
    <w:nsid w:val="5015CD1A"/>
    <w:multiLevelType w:val="hybridMultilevel"/>
    <w:lvl w:ilvl="0">
      <w:lvlJc w:val="left"/>
      <w:lvlText w:val="(%1)"/>
      <w:numFmt w:val="lowerLetter"/>
      <w:start w:val="2"/>
    </w:lvl>
  </w:abstractNum>
  <w:abstractNum w:abstractNumId="135">
    <w:nsid w:val="424479DA"/>
    <w:multiLevelType w:val="hybridMultilevel"/>
    <w:lvl w:ilvl="0">
      <w:lvlJc w:val="left"/>
      <w:lvlText w:val="%1"/>
      <w:numFmt w:val="lowerLetter"/>
      <w:start w:val="1"/>
    </w:lvl>
    <w:lvl w:ilvl="1">
      <w:lvlJc w:val="left"/>
      <w:lvlText w:val="(%2)"/>
      <w:numFmt w:val="lowerRoman"/>
      <w:start w:val="4"/>
    </w:lvl>
  </w:abstractNum>
  <w:abstractNum w:abstractNumId="136">
    <w:nsid w:val="1A9A9E69"/>
    <w:multiLevelType w:val="hybridMultilevel"/>
    <w:lvl w:ilvl="0">
      <w:lvlJc w:val="left"/>
      <w:lvlText w:val="(%1)"/>
      <w:numFmt w:val="lowerLetter"/>
      <w:start w:val="11"/>
    </w:lvl>
    <w:lvl w:ilvl="1">
      <w:lvlJc w:val="left"/>
      <w:lvlText w:val="%2"/>
      <w:numFmt w:val="lowerRoman"/>
      <w:start w:val="1"/>
    </w:lvl>
  </w:abstractNum>
  <w:abstractNum w:abstractNumId="137">
    <w:nsid w:val="475E256A"/>
    <w:multiLevelType w:val="hybridMultilevel"/>
    <w:lvl w:ilvl="0">
      <w:lvlJc w:val="left"/>
      <w:lvlText w:val="(%1)"/>
      <w:numFmt w:val="lowerLetter"/>
      <w:start w:val="18"/>
    </w:lvl>
  </w:abstractNum>
  <w:abstractNum w:abstractNumId="138">
    <w:nsid w:val="368DB37E"/>
    <w:multiLevelType w:val="hybridMultilevel"/>
    <w:lvl w:ilvl="0">
      <w:lvlJc w:val="left"/>
      <w:lvlText w:val="(%1)"/>
      <w:numFmt w:val="lowerLetter"/>
      <w:start w:val="25"/>
    </w:lvl>
  </w:abstractNum>
  <w:abstractNum w:abstractNumId="139">
    <w:nsid w:val="6A3B714C"/>
    <w:multiLevelType w:val="hybridMultilevel"/>
    <w:lvl w:ilvl="0">
      <w:lvlJc w:val="left"/>
      <w:lvlText w:val="%1."/>
      <w:numFmt w:val="decimal"/>
      <w:start w:val="2"/>
    </w:lvl>
  </w:abstractNum>
  <w:abstractNum w:abstractNumId="140">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1F461B5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42">
    <w:nsid w:val="29BACF2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3">
    <w:nsid w:val="5D5BAB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44">
    <w:nsid w:val="51BF6B4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5">
    <w:nsid w:val="7E0F638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6">
    <w:nsid w:val="2B4B8B53"/>
    <w:multiLevelType w:val="hybridMultilevel"/>
    <w:lvl w:ilvl="0">
      <w:lvlJc w:val="left"/>
      <w:lvlText w:val="(%1)"/>
      <w:numFmt w:val="lowerRoman"/>
      <w:start w:val="2"/>
    </w:lvl>
  </w:abstractNum>
  <w:abstractNum w:abstractNumId="147">
    <w:nsid w:val="72E3413A"/>
    <w:multiLevelType w:val="hybridMultilevel"/>
    <w:lvl w:ilvl="0">
      <w:lvlJc w:val="left"/>
      <w:lvlText w:val="%1."/>
      <w:numFmt w:val="decimal"/>
      <w:start w:val="3"/>
    </w:lvl>
  </w:abstractNum>
  <w:abstractNum w:abstractNumId="148">
    <w:nsid w:val="116AE494"/>
    <w:multiLevelType w:val="hybridMultilevel"/>
    <w:lvl w:ilvl="0">
      <w:lvlJc w:val="left"/>
      <w:lvlText w:val="(%1)"/>
      <w:numFmt w:val="lowerLetter"/>
      <w:start w:val="1"/>
    </w:lvl>
    <w:lvl w:ilvl="1">
      <w:lvlJc w:val="left"/>
      <w:lvlText w:val="(%2)"/>
      <w:numFmt w:val="lowerRoman"/>
      <w:start w:val="1"/>
    </w:lvl>
  </w:abstractNum>
  <w:abstractNum w:abstractNumId="149">
    <w:nsid w:val="3494B2FB"/>
    <w:multiLevelType w:val="hybridMultilevel"/>
    <w:lvl w:ilvl="0">
      <w:lvlJc w:val="left"/>
      <w:lvlText w:val="(%1)"/>
      <w:numFmt w:val="lowerRoman"/>
      <w:start w:val="3"/>
    </w:lvl>
  </w:abstractNum>
  <w:abstractNum w:abstractNumId="150">
    <w:nsid w:val="B13A31"/>
    <w:multiLevelType w:val="hybridMultilevel"/>
    <w:lvl w:ilvl="0">
      <w:lvlJc w:val="left"/>
      <w:lvlText w:val="%1"/>
      <w:numFmt w:val="lowerLetter"/>
      <w:start w:val="1"/>
    </w:lvl>
    <w:lvl w:ilvl="1">
      <w:lvlJc w:val="left"/>
      <w:lvlText w:val="(%2)"/>
      <w:numFmt w:val="lowerRoman"/>
      <w:start w:val="4"/>
    </w:lvl>
  </w:abstractNum>
  <w:abstractNum w:abstractNumId="151">
    <w:nsid w:val="64429599"/>
    <w:multiLevelType w:val="hybridMultilevel"/>
    <w:lvl w:ilvl="0">
      <w:lvlJc w:val="left"/>
      <w:lvlText w:val="(%1)"/>
      <w:numFmt w:val="lowerLetter"/>
      <w:start w:val="3"/>
    </w:lvl>
    <w:lvl w:ilvl="1">
      <w:lvlJc w:val="left"/>
      <w:lvlText w:val="%2"/>
      <w:numFmt w:val="lowerRoman"/>
      <w:start w:val="1"/>
    </w:lvl>
  </w:abstractNum>
  <w:abstractNum w:abstractNumId="152">
    <w:nsid w:val="631F1690"/>
    <w:multiLevelType w:val="hybridMultilevel"/>
    <w:lvl w:ilvl="0">
      <w:lvlJc w:val="left"/>
      <w:lvlText w:val="(%1)"/>
      <w:numFmt w:val="lowerLetter"/>
      <w:start w:val="5"/>
    </w:lvl>
    <w:lvl w:ilvl="1">
      <w:lvlJc w:val="left"/>
      <w:lvlText w:val="(%2)"/>
      <w:numFmt w:val="lowerRoman"/>
      <w:start w:val="1"/>
    </w:lvl>
  </w:abstractNum>
  <w:abstractNum w:abstractNumId="153">
    <w:nsid w:val="25973E32"/>
    <w:multiLevelType w:val="hybridMultilevel"/>
    <w:lvl w:ilvl="0">
      <w:lvlJc w:val="left"/>
      <w:lvlText w:val="(%1)"/>
      <w:numFmt w:val="lowerLetter"/>
      <w:start w:val="1"/>
    </w:lvl>
  </w:abstractNum>
  <w:abstractNum w:abstractNumId="154">
    <w:nsid w:val="EAD6F57"/>
    <w:multiLevelType w:val="hybridMultilevel"/>
    <w:lvl w:ilvl="0">
      <w:lvlJc w:val="left"/>
      <w:lvlText w:val="%1."/>
      <w:numFmt w:val="decimal"/>
      <w:start w:val="4"/>
    </w:lvl>
  </w:abstractNum>
  <w:abstractNum w:abstractNumId="155">
    <w:nsid w:val="6EC9D844"/>
    <w:multiLevelType w:val="hybridMultilevel"/>
    <w:lvl w:ilvl="0">
      <w:lvlJc w:val="left"/>
      <w:lvlText w:val="(%1)"/>
      <w:numFmt w:val="lowerLetter"/>
      <w:start w:val="1"/>
    </w:lvl>
    <w:lvl w:ilvl="1">
      <w:lvlJc w:val="left"/>
      <w:lvlText w:val="(%2)"/>
      <w:numFmt w:val="lowerLetter"/>
      <w:start w:val="9"/>
    </w:lvl>
  </w:abstractNum>
  <w:abstractNum w:abstractNumId="156">
    <w:nsid w:val="5C49EAEE"/>
    <w:multiLevelType w:val="hybridMultilevel"/>
    <w:lvl w:ilvl="0">
      <w:lvlJc w:val="left"/>
      <w:lvlText w:val="%1"/>
      <w:numFmt w:val="lowerLetter"/>
      <w:start w:val="1"/>
    </w:lvl>
    <w:lvl w:ilvl="1">
      <w:lvlJc w:val="left"/>
      <w:lvlText w:val="(%2)"/>
      <w:numFmt w:val="lowerRoman"/>
      <w:start w:val="2"/>
    </w:lvl>
  </w:abstractNum>
  <w:abstractNum w:abstractNumId="157">
    <w:nsid w:val="64AF49B"/>
    <w:multiLevelType w:val="hybridMultilevel"/>
    <w:lvl w:ilvl="0">
      <w:lvlJc w:val="left"/>
      <w:lvlText w:val="(%1)"/>
      <w:numFmt w:val="lowerLetter"/>
      <w:start w:val="2"/>
    </w:lvl>
    <w:lvl w:ilvl="1">
      <w:lvlJc w:val="left"/>
      <w:lvlText w:val="(%2)"/>
      <w:numFmt w:val="lowerRoman"/>
      <w:start w:val="1"/>
    </w:lvl>
  </w:abstractNum>
  <w:abstractNum w:abstractNumId="158">
    <w:nsid w:val="397C46BC"/>
    <w:multiLevelType w:val="hybridMultilevel"/>
    <w:lvl w:ilvl="0">
      <w:lvlJc w:val="left"/>
      <w:lvlText w:val="(%1)"/>
      <w:numFmt w:val="lowerRoman"/>
      <w:start w:val="2"/>
    </w:lvl>
  </w:abstractNum>
  <w:abstractNum w:abstractNumId="159">
    <w:nsid w:val="7E448DE9"/>
    <w:multiLevelType w:val="hybridMultilevel"/>
    <w:lvl w:ilvl="0">
      <w:lvlJc w:val="left"/>
      <w:lvlText w:val="%1"/>
      <w:numFmt w:val="lowerLetter"/>
      <w:start w:val="1"/>
    </w:lvl>
    <w:lvl w:ilvl="1">
      <w:lvlJc w:val="left"/>
      <w:lvlText w:val="(%2)"/>
      <w:numFmt w:val="lowerRoman"/>
      <w:start w:val="4"/>
    </w:lvl>
  </w:abstractNum>
  <w:abstractNum w:abstractNumId="160">
    <w:nsid w:val="5A9CC3E5"/>
    <w:multiLevelType w:val="hybridMultilevel"/>
    <w:lvl w:ilvl="0">
      <w:lvlJc w:val="left"/>
      <w:lvlText w:val="(%1)"/>
      <w:numFmt w:val="lowerLetter"/>
      <w:start w:val="3"/>
    </w:lvl>
    <w:lvl w:ilvl="1">
      <w:lvlJc w:val="left"/>
      <w:lvlText w:val="(%2)"/>
      <w:numFmt w:val="lowerRoman"/>
      <w:start w:val="1"/>
    </w:lvl>
  </w:abstractNum>
  <w:abstractNum w:abstractNumId="161">
    <w:nsid w:val="1AFE3625"/>
    <w:multiLevelType w:val="hybridMultilevel"/>
    <w:lvl w:ilvl="0">
      <w:lvlJc w:val="left"/>
      <w:lvlText w:val="(%1)"/>
      <w:numFmt w:val="lowerRoman"/>
      <w:start w:val="2"/>
    </w:lvl>
  </w:abstractNum>
  <w:abstractNum w:abstractNumId="162">
    <w:nsid w:val="3CA88ECF"/>
    <w:multiLevelType w:val="hybridMultilevel"/>
    <w:lvl w:ilvl="0">
      <w:lvlJc w:val="left"/>
      <w:lvlText w:val="%1."/>
      <w:numFmt w:val="decimal"/>
      <w:start w:val="5"/>
    </w:lvl>
  </w:abstractNum>
  <w:abstractNum w:abstractNumId="163">
    <w:nsid w:val="6EBE4208"/>
    <w:multiLevelType w:val="hybridMultilevel"/>
    <w:lvl w:ilvl="0">
      <w:lvlJc w:val="left"/>
      <w:lvlText w:val="(%1)"/>
      <w:numFmt w:val="lowerLetter"/>
      <w:start w:val="1"/>
    </w:lvl>
  </w:abstractNum>
  <w:abstractNum w:abstractNumId="164">
    <w:nsid w:val="C058DF5"/>
    <w:multiLevelType w:val="hybridMultilevel"/>
    <w:lvl w:ilvl="0">
      <w:lvlJc w:val="left"/>
      <w:lvlText w:val="%1"/>
      <w:numFmt w:val="lowerLetter"/>
      <w:start w:val="1"/>
    </w:lvl>
    <w:lvl w:ilvl="1">
      <w:lvlJc w:val="left"/>
      <w:lvlText w:val="(%2)"/>
      <w:numFmt w:val="lowerRoman"/>
      <w:start w:val="1"/>
    </w:lvl>
  </w:abstractNum>
  <w:abstractNum w:abstractNumId="165">
    <w:nsid w:val="CBE5BE9"/>
    <w:multiLevelType w:val="hybridMultilevel"/>
    <w:lvl w:ilvl="0">
      <w:lvlJc w:val="left"/>
      <w:lvlText w:val="(%1)"/>
      <w:numFmt w:val="lowerLetter"/>
      <w:start w:val="2"/>
    </w:lvl>
    <w:lvl w:ilvl="1">
      <w:lvlJc w:val="left"/>
      <w:lvlText w:val="%2"/>
      <w:numFmt w:val="lowerRoman"/>
      <w:start w:val="1"/>
    </w:lvl>
  </w:abstractNum>
  <w:abstractNum w:abstractNumId="166">
    <w:nsid w:val="3102BBE2"/>
    <w:multiLevelType w:val="hybridMultilevel"/>
    <w:lvl w:ilvl="0">
      <w:lvlJc w:val="left"/>
      <w:lvlText w:val="%1."/>
      <w:numFmt w:val="decimal"/>
      <w:start w:val="6"/>
    </w:lvl>
  </w:abstractNum>
  <w:abstractNum w:abstractNumId="167">
    <w:nsid w:val="26A02C5E"/>
    <w:multiLevelType w:val="hybridMultilevel"/>
    <w:lvl w:ilvl="0">
      <w:lvlJc w:val="left"/>
      <w:lvlText w:val="(%1)"/>
      <w:numFmt w:val="lowerLetter"/>
      <w:start w:val="1"/>
    </w:lvl>
    <w:lvl w:ilvl="1">
      <w:lvlJc w:val="left"/>
      <w:lvlText w:val="(%2)"/>
      <w:numFmt w:val="lowerRoman"/>
      <w:start w:val="1"/>
    </w:lvl>
  </w:abstractNum>
  <w:abstractNum w:abstractNumId="168">
    <w:nsid w:val="541C8153"/>
    <w:multiLevelType w:val="hybridMultilevel"/>
    <w:lvl w:ilvl="0">
      <w:lvlJc w:val="left"/>
      <w:lvlText w:val="(%1)"/>
      <w:numFmt w:val="lowerRoman"/>
      <w:start w:val="3"/>
    </w:lvl>
  </w:abstractNum>
  <w:abstractNum w:abstractNumId="169">
    <w:nsid w:val="67906F60"/>
    <w:multiLevelType w:val="hybridMultilevel"/>
    <w:lvl w:ilvl="0">
      <w:lvlJc w:val="left"/>
      <w:lvlText w:val="(%1)"/>
      <w:numFmt w:val="lowerLetter"/>
      <w:start w:val="2"/>
    </w:lvl>
  </w:abstractNum>
  <w:abstractNum w:abstractNumId="170">
    <w:nsid w:val="10DB9DAA"/>
    <w:multiLevelType w:val="hybridMultilevel"/>
    <w:lvl w:ilvl="0">
      <w:lvlJc w:val="left"/>
      <w:lvlText w:val="%1."/>
      <w:numFmt w:val="decimal"/>
      <w:start w:val="7"/>
    </w:lvl>
  </w:abstractNum>
  <w:abstractNum w:abstractNumId="171">
    <w:nsid w:val="697D2D2"/>
    <w:multiLevelType w:val="hybridMultilevel"/>
    <w:lvl w:ilvl="0">
      <w:lvlJc w:val="left"/>
      <w:lvlText w:val="(%1)"/>
      <w:numFmt w:val="lowerLetter"/>
      <w:start w:val="1"/>
    </w:lvl>
  </w:abstractNum>
  <w:abstractNum w:abstractNumId="172">
    <w:nsid w:val="6D68AB2"/>
    <w:multiLevelType w:val="hybridMultilevel"/>
    <w:lvl w:ilvl="0">
      <w:lvlJc w:val="left"/>
      <w:lvlText w:val="(%1)"/>
      <w:numFmt w:val="lowerLetter"/>
      <w:start w:val="2"/>
    </w:lvl>
  </w:abstractNum>
  <w:abstractNum w:abstractNumId="173">
    <w:nsid w:val="3A966CD0"/>
    <w:multiLevelType w:val="hybridMultilevel"/>
    <w:lvl w:ilvl="0">
      <w:lvlJc w:val="left"/>
      <w:lvlText w:val="%1."/>
      <w:numFmt w:val="decimal"/>
      <w:start w:val="9"/>
    </w:lvl>
  </w:abstractNum>
  <w:abstractNum w:abstractNumId="174">
    <w:nsid w:val="63F37E85"/>
    <w:multiLevelType w:val="hybridMultilevel"/>
    <w:lvl w:ilvl="0">
      <w:lvlJc w:val="left"/>
      <w:lvlText w:val="%1."/>
      <w:numFmt w:val="decimal"/>
      <w:start w:val="11"/>
    </w:lvl>
  </w:abstractNum>
  <w:abstractNum w:abstractNumId="175">
    <w:nsid w:val="5895F5FA"/>
    <w:multiLevelType w:val="hybridMultilevel"/>
    <w:lvl w:ilvl="0">
      <w:lvlJc w:val="left"/>
      <w:lvlText w:val="%1."/>
      <w:numFmt w:val="decimal"/>
      <w:start w:val="12"/>
    </w:lvl>
  </w:abstractNum>
  <w:abstractNum w:abstractNumId="176">
    <w:nsid w:val="38A5D054"/>
    <w:multiLevelType w:val="hybridMultilevel"/>
    <w:lvl w:ilvl="0">
      <w:lvlJc w:val="left"/>
      <w:lvlText w:val="%1."/>
      <w:numFmt w:val="decimal"/>
      <w:start w:val="16"/>
    </w:lvl>
  </w:abstractNum>
  <w:abstractNum w:abstractNumId="177">
    <w:nsid w:val="F3F09D8"/>
    <w:multiLevelType w:val="hybridMultilevel"/>
    <w:lvl w:ilvl="0">
      <w:lvlJc w:val="left"/>
      <w:lvlText w:val="1"/>
      <w:numFmt w:val="bullet"/>
      <w:start w:val="1"/>
    </w:lvl>
  </w:abstractNum>
  <w:abstractNum w:abstractNumId="178">
    <w:nsid w:val="4B793735"/>
    <w:multiLevelType w:val="hybridMultilevel"/>
    <w:lvl w:ilvl="0">
      <w:lvlJc w:val="left"/>
      <w:lvlText w:val="(%1)"/>
      <w:numFmt w:val="lowerLetter"/>
      <w:start w:val="1"/>
    </w:lvl>
  </w:abstractNum>
  <w:abstractNum w:abstractNumId="179">
    <w:nsid w:val="4A10B4E8"/>
    <w:multiLevelType w:val="hybridMultilevel"/>
    <w:lvl w:ilvl="0">
      <w:lvlJc w:val="left"/>
      <w:lvlText w:val="(%1)"/>
      <w:numFmt w:val="lowerLetter"/>
      <w:start w:val="1"/>
    </w:lvl>
  </w:abstractNum>
  <w:abstractNum w:abstractNumId="180">
    <w:nsid w:val="43D3BCD4"/>
    <w:multiLevelType w:val="hybridMultilevel"/>
    <w:lvl w:ilvl="0">
      <w:lvlJc w:val="left"/>
      <w:lvlText w:val="(%1)"/>
      <w:numFmt w:val="lowerLetter"/>
      <w:start w:val="2"/>
    </w:lvl>
    <w:lvl w:ilvl="1">
      <w:lvlJc w:val="left"/>
      <w:lvlText w:val="(%2)"/>
      <w:numFmt w:val="lowerLetter"/>
      <w:start w:val="9"/>
    </w:lvl>
  </w:abstractNum>
  <w:abstractNum w:abstractNumId="181">
    <w:nsid w:val="4C2A7166"/>
    <w:multiLevelType w:val="hybridMultilevel"/>
    <w:lvl w:ilvl="0">
      <w:lvlJc w:val="left"/>
      <w:lvlText w:val="(%1)"/>
      <w:numFmt w:val="lowerRoman"/>
      <w:start w:val="2"/>
    </w:lvl>
  </w:abstractNum>
  <w:abstractNum w:abstractNumId="182">
    <w:nsid w:val="2E534A82"/>
    <w:multiLevelType w:val="hybridMultilevel"/>
    <w:lvl w:ilvl="0">
      <w:lvlJc w:val="left"/>
      <w:lvlText w:val="(%1)"/>
      <w:numFmt w:val="lowerLetter"/>
      <w:start w:val="1"/>
    </w:lvl>
  </w:abstractNum>
  <w:abstractNum w:abstractNumId="183">
    <w:nsid w:val="26F2D364"/>
    <w:multiLevelType w:val="hybridMultilevel"/>
    <w:lvl w:ilvl="0">
      <w:lvlJc w:val="left"/>
      <w:lvlText w:val="%1"/>
      <w:numFmt w:val="lowerLetter"/>
      <w:start w:val="1"/>
    </w:lvl>
    <w:lvl w:ilvl="1">
      <w:lvlJc w:val="left"/>
      <w:lvlText w:val="(%2)"/>
      <w:numFmt w:val="lowerLetter"/>
      <w:start w:val="3"/>
    </w:lvl>
  </w:abstractNum>
  <w:abstractNum w:abstractNumId="184">
    <w:nsid w:val="71C1AF98"/>
    <w:multiLevelType w:val="hybridMultilevel"/>
    <w:lvl w:ilvl="0">
      <w:lvlJc w:val="left"/>
      <w:lvlText w:val="(%1)"/>
      <w:numFmt w:val="lowerLetter"/>
      <w:start w:val="25"/>
    </w:lvl>
    <w:lvl w:ilvl="1">
      <w:lvlJc w:val="left"/>
      <w:lvlText w:val="%2"/>
      <w:numFmt w:val="lowerLetter"/>
      <w:start w:val="1"/>
    </w:lvl>
  </w:abstractNum>
  <w:abstractNum w:abstractNumId="185">
    <w:nsid w:val="3D00B9D9"/>
    <w:multiLevelType w:val="hybridMultilevel"/>
    <w:lvl w:ilvl="0">
      <w:lvlJc w:val="left"/>
      <w:lvlText w:val="(%1)"/>
      <w:numFmt w:val="lowerRoman"/>
      <w:start w:val="3"/>
    </w:lvl>
    <w:lvl w:ilvl="1">
      <w:lvlJc w:val="left"/>
      <w:lvlText w:val="(%2)"/>
      <w:numFmt w:val="decimal"/>
      <w:start w:val="1"/>
    </w:lvl>
  </w:abstractNum>
  <w:abstractNum w:abstractNumId="186">
    <w:nsid w:val="15BCABA8"/>
    <w:multiLevelType w:val="hybridMultilevel"/>
    <w:lvl w:ilvl="0">
      <w:lvlJc w:val="left"/>
      <w:lvlText w:val="(%1)"/>
      <w:numFmt w:val="lowerRoman"/>
      <w:start w:val="5"/>
    </w:lvl>
  </w:abstractNum>
  <w:abstractNum w:abstractNumId="187">
    <w:nsid w:val="4E0B9A87"/>
    <w:multiLevelType w:val="hybridMultilevel"/>
    <w:lvl w:ilvl="0">
      <w:lvlJc w:val="left"/>
      <w:lvlText w:val="(%1)"/>
      <w:numFmt w:val="lowerRoman"/>
      <w:start w:val="6"/>
    </w:lvl>
  </w:abstractNum>
  <w:abstractNum w:abstractNumId="188">
    <w:nsid w:val="434BAE75"/>
    <w:multiLevelType w:val="hybridMultilevel"/>
    <w:lvl w:ilvl="0">
      <w:lvlJc w:val="left"/>
      <w:lvlText w:val="(%1)"/>
      <w:numFmt w:val="lowerRoman"/>
      <w:start w:val="1"/>
    </w:lvl>
  </w:abstractNum>
  <w:abstractNum w:abstractNumId="189">
    <w:nsid w:val="4F38F265"/>
    <w:multiLevelType w:val="hybridMultilevel"/>
    <w:lvl w:ilvl="0">
      <w:lvlJc w:val="left"/>
      <w:lvlText w:val="(%1)"/>
      <w:numFmt w:val="lowerRoman"/>
      <w:start w:val="3"/>
    </w:lvl>
  </w:abstractNum>
  <w:abstractNum w:abstractNumId="190">
    <w:nsid w:val="4C502870"/>
    <w:multiLevelType w:val="hybridMultilevel"/>
    <w:lvl w:ilvl="0">
      <w:lvlJc w:val="left"/>
      <w:lvlText w:val="%1."/>
      <w:numFmt w:val="upperLetter"/>
      <w:start w:val="1"/>
    </w:lvl>
  </w:abstractNum>
  <w:abstractNum w:abstractNumId="191">
    <w:nsid w:val="1DE8725A"/>
    <w:multiLevelType w:val="hybridMultilevel"/>
    <w:lvl w:ilvl="0">
      <w:lvlJc w:val="left"/>
      <w:lvlText w:val="%1."/>
      <w:numFmt w:val="decimal"/>
      <w:start w:val="1"/>
    </w:lvl>
  </w:abstractNum>
  <w:abstractNum w:abstractNumId="192">
    <w:nsid w:val="6A37288A"/>
    <w:multiLevelType w:val="hybridMultilevel"/>
    <w:lvl w:ilvl="0">
      <w:lvlJc w:val="left"/>
      <w:lvlText w:val="%1."/>
      <w:numFmt w:val="decimal"/>
      <w:start w:val="2"/>
    </w:lvl>
    <w:lvl w:ilvl="1">
      <w:lvlJc w:val="left"/>
      <w:lvlText w:val="(%2)"/>
      <w:numFmt w:val="lowerLetter"/>
      <w:start w:val="1"/>
    </w:lvl>
  </w:abstractNum>
  <w:abstractNum w:abstractNumId="193">
    <w:nsid w:val="8F8B73F"/>
    <w:multiLevelType w:val="hybridMultilevel"/>
    <w:lvl w:ilvl="0">
      <w:lvlJc w:val="left"/>
      <w:lvlText w:val="%1."/>
      <w:numFmt w:val="decimal"/>
      <w:start w:val="5"/>
    </w:lvl>
    <w:lvl w:ilvl="1">
      <w:lvlJc w:val="left"/>
      <w:lvlText w:val="(%2)"/>
      <w:numFmt w:val="lowerLetter"/>
      <w:start w:val="1"/>
    </w:lvl>
  </w:abstractNum>
  <w:abstractNum w:abstractNumId="194">
    <w:nsid w:val="CA6B462"/>
    <w:multiLevelType w:val="hybridMultilevel"/>
    <w:lvl w:ilvl="0">
      <w:lvlJc w:val="left"/>
      <w:lvlText w:val="%1"/>
      <w:numFmt w:val="decimal"/>
      <w:start w:val="1"/>
    </w:lvl>
    <w:lvl w:ilvl="1">
      <w:lvlJc w:val="left"/>
      <w:lvlText w:val="(%2)"/>
      <w:numFmt w:val="lowerLetter"/>
      <w:start w:val="5"/>
    </w:lvl>
  </w:abstractNum>
  <w:abstractNum w:abstractNumId="195">
    <w:nsid w:val="763CB680"/>
    <w:multiLevelType w:val="hybridMultilevel"/>
    <w:lvl w:ilvl="0">
      <w:lvlJc w:val="left"/>
      <w:lvlText w:val="%1."/>
      <w:numFmt w:val="decimal"/>
      <w:start w:val="6"/>
    </w:lvl>
    <w:lvl w:ilvl="1">
      <w:lvlJc w:val="left"/>
      <w:lvlText w:val="%2"/>
      <w:numFmt w:val="lowerLetter"/>
      <w:start w:val="1"/>
    </w:lvl>
  </w:abstractNum>
  <w:abstractNum w:abstractNumId="196">
    <w:nsid w:val="15B71329"/>
    <w:multiLevelType w:val="hybridMultilevel"/>
    <w:lvl w:ilvl="0">
      <w:lvlJc w:val="left"/>
      <w:lvlText w:val="%1."/>
      <w:numFmt w:val="decimal"/>
      <w:start w:val="7"/>
    </w:lvl>
    <w:lvl w:ilvl="1">
      <w:lvlJc w:val="left"/>
      <w:lvlText w:val="(%2)"/>
      <w:numFmt w:val="lowerLetter"/>
      <w:start w:val="1"/>
    </w:lvl>
  </w:abstractNum>
  <w:abstractNum w:abstractNumId="197">
    <w:nsid w:val="3DA97044"/>
    <w:multiLevelType w:val="hybridMultilevel"/>
    <w:lvl w:ilvl="0">
      <w:lvlJc w:val="left"/>
      <w:lvlText w:val="%1"/>
      <w:numFmt w:val="decimal"/>
      <w:start w:val="1"/>
    </w:lvl>
    <w:lvl w:ilvl="1">
      <w:lvlJc w:val="left"/>
      <w:lvlText w:val="(%2)"/>
      <w:numFmt w:val="lowerLetter"/>
      <w:start w:val="10"/>
    </w:lvl>
  </w:abstractNum>
  <w:abstractNum w:abstractNumId="198">
    <w:nsid w:val="1CDCE2DE"/>
    <w:multiLevelType w:val="hybridMultilevel"/>
    <w:lvl w:ilvl="0">
      <w:lvlJc w:val="left"/>
      <w:lvlText w:val="%1."/>
      <w:numFmt w:val="decimal"/>
      <w:start w:val="8"/>
    </w:lvl>
    <w:lvl w:ilvl="1">
      <w:lvlJc w:val="left"/>
      <w:lvlText w:val="(%2)"/>
      <w:numFmt w:val="lowerLetter"/>
      <w:start w:val="1"/>
    </w:lvl>
  </w:abstractNum>
  <w:abstractNum w:abstractNumId="199">
    <w:nsid w:val="69D3947C"/>
    <w:multiLevelType w:val="hybridMultilevel"/>
    <w:lvl w:ilvl="0">
      <w:lvlJc w:val="left"/>
      <w:lvlText w:val="%1"/>
      <w:numFmt w:val="decimal"/>
      <w:start w:val="1"/>
    </w:lvl>
    <w:lvl w:ilvl="1">
      <w:lvlJc w:val="left"/>
      <w:lvlText w:val="(%2)"/>
      <w:numFmt w:val="lowerLetter"/>
      <w:start w:val="5"/>
    </w:lvl>
  </w:abstractNum>
  <w:abstractNum w:abstractNumId="200">
    <w:nsid w:val="2539DFA5"/>
    <w:multiLevelType w:val="hybridMultilevel"/>
    <w:lvl w:ilvl="0">
      <w:lvlJc w:val="left"/>
      <w:lvlText w:val="%1."/>
      <w:numFmt w:val="decimal"/>
      <w:start w:val="9"/>
    </w:lvl>
    <w:lvl w:ilvl="1">
      <w:lvlJc w:val="left"/>
      <w:lvlText w:val="(%2)"/>
      <w:numFmt w:val="lowerLetter"/>
      <w:start w:val="1"/>
    </w:lvl>
  </w:abstractNum>
  <w:abstractNum w:abstractNumId="201">
    <w:nsid w:val="2DB88089"/>
    <w:multiLevelType w:val="hybridMultilevel"/>
    <w:lvl w:ilvl="0">
      <w:lvlJc w:val="left"/>
      <w:lvlText w:val="%1."/>
      <w:numFmt w:val="decimal"/>
      <w:start w:val="12"/>
    </w:lvl>
  </w:abstractNum>
  <w:abstractNum w:abstractNumId="202">
    <w:nsid w:val="706B674E"/>
    <w:multiLevelType w:val="hybridMultilevel"/>
    <w:lvl w:ilvl="0">
      <w:lvlJc w:val="left"/>
      <w:lvlText w:val="%1."/>
      <w:numFmt w:val="upperLetter"/>
      <w:start w:val="9"/>
    </w:lvl>
  </w:abstractNum>
  <w:abstractNum w:abstractNumId="203">
    <w:nsid w:val="2C106A57"/>
    <w:multiLevelType w:val="hybridMultilevel"/>
    <w:lvl w:ilvl="0">
      <w:lvlJc w:val="left"/>
      <w:lvlText w:val="(%1)"/>
      <w:numFmt w:val="lowerLetter"/>
      <w:start w:val="1"/>
    </w:lvl>
  </w:abstractNum>
  <w:abstractNum w:abstractNumId="204">
    <w:nsid w:val="684EED59"/>
    <w:multiLevelType w:val="hybridMultilevel"/>
    <w:lvl w:ilvl="0">
      <w:lvlJc w:val="left"/>
      <w:lvlText w:val="(%1)"/>
      <w:numFmt w:val="lowerLetter"/>
      <w:start w:val="2"/>
    </w:lvl>
  </w:abstractNum>
  <w:abstractNum w:abstractNumId="205">
    <w:nsid w:val="545EE5D3"/>
    <w:multiLevelType w:val="hybridMultilevel"/>
    <w:lvl w:ilvl="0">
      <w:lvlJc w:val="left"/>
      <w:lvlText w:val="%1"/>
      <w:numFmt w:val="lowerLetter"/>
      <w:start w:val="1"/>
    </w:lvl>
    <w:lvl w:ilvl="1">
      <w:lvlJc w:val="left"/>
      <w:lvlText w:val="(%2)"/>
      <w:numFmt w:val="lowerLetter"/>
      <w:start w:val="1"/>
    </w:lvl>
  </w:abstractNum>
  <w:abstractNum w:abstractNumId="206">
    <w:nsid w:val="4A66051"/>
    <w:multiLevelType w:val="hybridMultilevel"/>
    <w:lvl w:ilvl="0">
      <w:lvlJc w:val="left"/>
      <w:lvlText w:val="(%1)"/>
      <w:numFmt w:val="lowerLetter"/>
      <w:start w:val="35"/>
    </w:lvl>
    <w:lvl w:ilvl="1">
      <w:lvlJc w:val="left"/>
      <w:lvlText w:val="%2"/>
      <w:numFmt w:val="lowerLetter"/>
      <w:start w:val="1"/>
    </w:lvl>
  </w:abstractNum>
  <w:abstractNum w:abstractNumId="207">
    <w:nsid w:val="20F4BDAD"/>
    <w:multiLevelType w:val="hybridMultilevel"/>
    <w:lvl w:ilvl="0">
      <w:lvlJc w:val="left"/>
      <w:lvlText w:val="(%1)"/>
      <w:numFmt w:val="lowerLetter"/>
      <w:start w:val="4"/>
    </w:lvl>
  </w:abstractNum>
  <w:abstractNum w:abstractNumId="208">
    <w:nsid w:val="639DEFAC"/>
    <w:multiLevelType w:val="hybridMultilevel"/>
    <w:lvl w:ilvl="0">
      <w:lvlJc w:val="left"/>
      <w:lvlText w:val="(%1)"/>
      <w:numFmt w:val="lowerLetter"/>
      <w:start w:val="5"/>
    </w:lvl>
  </w:abstractNum>
  <w:abstractNum w:abstractNumId="209">
    <w:nsid w:val="501F9786"/>
    <w:multiLevelType w:val="hybridMultilevel"/>
    <w:lvl w:ilvl="0">
      <w:lvlJc w:val="left"/>
      <w:lvlText w:val="(%1)"/>
      <w:numFmt w:val="lowerLetter"/>
      <w:start w:val="10"/>
    </w:lvl>
  </w:abstractNum>
  <w:abstractNum w:abstractNumId="210">
    <w:nsid w:val="6B057295"/>
    <w:multiLevelType w:val="hybridMultilevel"/>
    <w:lvl w:ilvl="0">
      <w:lvlJc w:val="left"/>
      <w:lvlText w:val="(%1)"/>
      <w:numFmt w:val="lowerRoman"/>
      <w:start w:val="1"/>
    </w:lvl>
  </w:abstractNum>
  <w:abstractNum w:abstractNumId="211">
    <w:nsid w:val="2771AC80"/>
    <w:multiLevelType w:val="hybridMultilevel"/>
    <w:lvl w:ilvl="0">
      <w:lvlJc w:val="left"/>
      <w:lvlText w:val="(%1)"/>
      <w:numFmt w:val="lowerLetter"/>
      <w:start w:val="1"/>
    </w:lvl>
  </w:abstractNum>
  <w:abstractNum w:abstractNumId="212">
    <w:nsid w:val="1C4A08EC"/>
    <w:multiLevelType w:val="hybridMultilevel"/>
    <w:lvl w:ilvl="0">
      <w:lvlJc w:val="left"/>
      <w:lvlText w:val="(%1)"/>
      <w:numFmt w:val="lowerLetter"/>
      <w:start w:val="2"/>
    </w:lvl>
  </w:abstractNum>
  <w:abstractNum w:abstractNumId="213">
    <w:nsid w:val="1958BD17"/>
    <w:multiLevelType w:val="hybridMultilevel"/>
    <w:lvl w:ilvl="0">
      <w:lvlJc w:val="left"/>
      <w:lvlText w:val="(%1)"/>
      <w:numFmt w:val="lowerLetter"/>
      <w:start w:val="1"/>
    </w:lvl>
  </w:abstractNum>
  <w:abstractNum w:abstractNumId="214">
    <w:nsid w:val="4E647FE4"/>
    <w:multiLevelType w:val="hybridMultilevel"/>
    <w:lvl w:ilvl="0">
      <w:lvlJc w:val="left"/>
      <w:lvlText w:val="(%1)"/>
      <w:numFmt w:val="lowerLetter"/>
      <w:start w:val="3"/>
    </w:lvl>
  </w:abstractNum>
  <w:abstractNum w:abstractNumId="215">
    <w:nsid w:val="E0BB885"/>
    <w:multiLevelType w:val="hybridMultilevel"/>
    <w:lvl w:ilvl="0">
      <w:lvlJc w:val="left"/>
      <w:lvlText w:val="(%1)"/>
      <w:numFmt w:val="lowerLetter"/>
      <w:start w:val="5"/>
    </w:lvl>
  </w:abstractNum>
  <w:abstractNum w:abstractNumId="216">
    <w:nsid w:val="565976F1"/>
    <w:multiLevelType w:val="hybridMultilevel"/>
    <w:lvl w:ilvl="0">
      <w:lvlJc w:val="left"/>
      <w:lvlText w:val="(%1)"/>
      <w:numFmt w:val="lowerLetter"/>
      <w:start w:val="1"/>
    </w:lvl>
  </w:abstractNum>
  <w:abstractNum w:abstractNumId="217">
    <w:nsid w:val="64212B8C"/>
    <w:multiLevelType w:val="hybridMultilevel"/>
    <w:lvl w:ilvl="0">
      <w:lvlJc w:val="left"/>
      <w:lvlText w:val="(%1)"/>
      <w:numFmt w:val="lowerLetter"/>
      <w:start w:val="3"/>
    </w:lvl>
  </w:abstractNum>
  <w:abstractNum w:abstractNumId="218">
    <w:nsid w:val="5C17530C"/>
    <w:multiLevelType w:val="hybridMultilevel"/>
    <w:lvl w:ilvl="0">
      <w:lvlJc w:val="left"/>
      <w:lvlText w:val="(%1)"/>
      <w:numFmt w:val="lowerLetter"/>
      <w:start w:val="4"/>
    </w:lvl>
  </w:abstractNum>
  <w:abstractNum w:abstractNumId="219">
    <w:nsid w:val="19A52566"/>
    <w:multiLevelType w:val="hybridMultilevel"/>
    <w:lvl w:ilvl="0">
      <w:lvlJc w:val="left"/>
      <w:lvlText w:val="(%1)"/>
      <w:numFmt w:val="decimal"/>
      <w:start w:val="1"/>
    </w:lvl>
    <w:lvl w:ilvl="1">
      <w:lvlJc w:val="left"/>
      <w:lvlText w:val="%2."/>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lvl w:ilvl="1">
      <w:lvlJc w:val="left"/>
      <w:lvlText w:val="•"/>
      <w:numFmt w:val="bullet"/>
      <w:start w:val="1"/>
    </w:lvl>
  </w:abstractNum>
  <w:abstractNum w:abstractNumId="222">
    <w:nsid w:val="378D97C0"/>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142" Type="http://schemas.openxmlformats.org/officeDocument/2006/relationships/hyperlink" Target="https://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2024-11-07T07:51:10Z</dcterms:created>
  <dcterms:modified xsi:type="dcterms:W3CDTF">2024-11-07T07:51:10Z</dcterms:modified>
</cp:coreProperties>
</file>