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March 31, 2020</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jc w:val="center"/>
              <w:ind w:left="370"/>
              <w:spacing w:after="0"/>
              <w:rPr>
                <w:sz w:val="20"/>
                <w:szCs w:val="20"/>
                <w:color w:val="auto"/>
              </w:rPr>
            </w:pPr>
            <w:r>
              <w:rPr>
                <w:rFonts w:ascii="Arial" w:cs="Arial" w:eastAsia="Arial" w:hAnsi="Arial"/>
                <w:sz w:val="18"/>
                <w:szCs w:val="18"/>
                <w:b w:val="1"/>
                <w:bCs w:val="1"/>
                <w:color w:val="auto"/>
                <w:w w:val="96"/>
              </w:rPr>
              <w:t>Florida</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tcPr>
          <w:p>
            <w:pPr>
              <w:jc w:val="right"/>
              <w:ind w:right="205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jc w:val="center"/>
              <w:ind w:left="3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tcPr>
          <w:p>
            <w:pPr>
              <w:jc w:val="center"/>
              <w:ind w:right="65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48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20" w:type="dxa"/>
            <w:vAlign w:val="bottom"/>
          </w:tcPr>
          <w:p>
            <w:pPr>
              <w:spacing w:after="0"/>
              <w:rPr>
                <w:sz w:val="21"/>
                <w:szCs w:val="21"/>
                <w:color w:val="auto"/>
              </w:rPr>
            </w:pPr>
          </w:p>
        </w:tc>
      </w:tr>
      <w:tr>
        <w:trPr>
          <w:trHeight w:val="234"/>
        </w:trPr>
        <w:tc>
          <w:tcPr>
            <w:tcW w:w="48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West Palm Beach, Florida</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tcPr>
          <w:p>
            <w:pPr>
              <w:jc w:val="right"/>
              <w:ind w:right="2270"/>
              <w:spacing w:after="0"/>
              <w:rPr>
                <w:sz w:val="20"/>
                <w:szCs w:val="20"/>
                <w:color w:val="auto"/>
              </w:rPr>
            </w:pPr>
            <w:r>
              <w:rPr>
                <w:rFonts w:ascii="Arial" w:cs="Arial" w:eastAsia="Arial" w:hAnsi="Arial"/>
                <w:sz w:val="18"/>
                <w:szCs w:val="18"/>
                <w:b w:val="1"/>
                <w:bCs w:val="1"/>
                <w:color w:val="auto"/>
              </w:rPr>
              <w:t>33409</w:t>
            </w:r>
          </w:p>
        </w:tc>
      </w:tr>
      <w:tr>
        <w:trPr>
          <w:trHeight w:val="27"/>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jc w:val="center"/>
              <w:ind w:left="37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tcPr>
          <w:p>
            <w:pPr>
              <w:jc w:val="center"/>
              <w:ind w:right="650"/>
              <w:spacing w:after="0"/>
              <w:rPr>
                <w:sz w:val="20"/>
                <w:szCs w:val="20"/>
                <w:color w:val="auto"/>
              </w:rPr>
            </w:pPr>
            <w:r>
              <w:rPr>
                <w:rFonts w:ascii="Arial" w:cs="Arial" w:eastAsia="Arial" w:hAnsi="Arial"/>
                <w:sz w:val="18"/>
                <w:szCs w:val="18"/>
                <w:color w:val="auto"/>
                <w:w w:val="94"/>
              </w:rPr>
              <w:t>(Zip Code)</w:t>
            </w:r>
          </w:p>
        </w:tc>
      </w:tr>
      <w:tr>
        <w:trPr>
          <w:trHeight w:val="256"/>
        </w:trPr>
        <w:tc>
          <w:tcPr>
            <w:tcW w:w="4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640" w:type="dxa"/>
            <w:vAlign w:val="bottom"/>
          </w:tcPr>
          <w:p>
            <w:pPr>
              <w:spacing w:after="0"/>
              <w:rPr>
                <w:sz w:val="22"/>
                <w:szCs w:val="22"/>
                <w:color w:val="auto"/>
              </w:rPr>
            </w:pPr>
          </w:p>
        </w:tc>
        <w:tc>
          <w:tcPr>
            <w:tcW w:w="4420" w:type="dxa"/>
            <w:vAlign w:val="bottom"/>
          </w:tcPr>
          <w:p>
            <w:pPr>
              <w:spacing w:after="0"/>
              <w:rPr>
                <w:sz w:val="22"/>
                <w:szCs w:val="22"/>
                <w:color w:val="auto"/>
              </w:rPr>
            </w:pPr>
          </w:p>
        </w:tc>
      </w:tr>
      <w:tr>
        <w:trPr>
          <w:trHeight w:val="237"/>
        </w:trPr>
        <w:tc>
          <w:tcPr>
            <w:tcW w:w="11240" w:type="dxa"/>
            <w:vAlign w:val="bottom"/>
            <w:gridSpan w:val="7"/>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86"/>
        </w:trPr>
        <w:tc>
          <w:tcPr>
            <w:tcW w:w="484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32"/>
        </w:trPr>
        <w:tc>
          <w:tcPr>
            <w:tcW w:w="4840" w:type="dxa"/>
            <w:vAlign w:val="bottom"/>
          </w:tcPr>
          <w:p>
            <w:pPr>
              <w:jc w:val="center"/>
              <w:ind w:right="450"/>
              <w:spacing w:after="0"/>
              <w:rPr>
                <w:sz w:val="20"/>
                <w:szCs w:val="20"/>
                <w:color w:val="auto"/>
              </w:rPr>
            </w:pPr>
            <w:r>
              <w:rPr>
                <w:rFonts w:ascii="Arial" w:cs="Arial" w:eastAsia="Arial" w:hAnsi="Arial"/>
                <w:sz w:val="18"/>
                <w:szCs w:val="18"/>
                <w:b w:val="1"/>
                <w:bCs w:val="1"/>
                <w:color w:val="auto"/>
                <w:w w:val="86"/>
              </w:rPr>
              <w:t>Title of each class</w:t>
            </w:r>
          </w:p>
        </w:tc>
        <w:tc>
          <w:tcPr>
            <w:tcW w:w="19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Trading Symbol(s)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0"/>
        </w:trPr>
        <w:tc>
          <w:tcPr>
            <w:tcW w:w="4840" w:type="dxa"/>
            <w:vAlign w:val="bottom"/>
          </w:tcPr>
          <w:p>
            <w:pPr>
              <w:jc w:val="center"/>
              <w:ind w:right="470"/>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3"/>
          </w:tcPr>
          <w:p>
            <w:pPr>
              <w:jc w:val="center"/>
              <w:ind w:right="980"/>
              <w:spacing w:after="0"/>
              <w:rPr>
                <w:sz w:val="20"/>
                <w:szCs w:val="20"/>
                <w:color w:val="auto"/>
              </w:rPr>
            </w:pPr>
            <w:r>
              <w:rPr>
                <w:rFonts w:ascii="Arial" w:cs="Arial" w:eastAsia="Arial" w:hAnsi="Arial"/>
                <w:sz w:val="18"/>
                <w:szCs w:val="18"/>
                <w:color w:val="auto"/>
                <w:w w:val="94"/>
              </w:rPr>
              <w:t>OCN</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New York Stock Exchange (NYSE)</w:t>
            </w:r>
          </w:p>
        </w:tc>
      </w:tr>
    </w:tbl>
    <w:p>
      <w:pPr>
        <w:spacing w:after="0" w:line="229"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4"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1600"/>
              <w:spacing w:after="0"/>
              <w:rPr>
                <w:sz w:val="20"/>
                <w:szCs w:val="20"/>
                <w:color w:val="auto"/>
              </w:rPr>
            </w:pPr>
            <w:r>
              <w:rPr>
                <w:rFonts w:ascii="Arial" w:cs="Arial" w:eastAsia="Arial" w:hAnsi="Arial"/>
                <w:sz w:val="18"/>
                <w:szCs w:val="18"/>
                <w:color w:val="auto"/>
              </w:rPr>
              <w:t>o</w:t>
            </w:r>
          </w:p>
        </w:tc>
        <w:tc>
          <w:tcPr>
            <w:tcW w:w="396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480"/>
              <w:spacing w:after="0"/>
              <w:rPr>
                <w:sz w:val="20"/>
                <w:szCs w:val="20"/>
                <w:color w:val="auto"/>
              </w:rPr>
            </w:pPr>
            <w:r>
              <w:rPr>
                <w:rFonts w:ascii="Arial" w:cs="Arial" w:eastAsia="Arial" w:hAnsi="Arial"/>
                <w:sz w:val="17"/>
                <w:szCs w:val="17"/>
                <w:color w:val="auto"/>
                <w:w w:val="70"/>
              </w:rPr>
              <w:t>x</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1600"/>
              <w:spacing w:after="0"/>
              <w:rPr>
                <w:sz w:val="20"/>
                <w:szCs w:val="20"/>
                <w:color w:val="auto"/>
              </w:rPr>
            </w:pPr>
            <w:r>
              <w:rPr>
                <w:rFonts w:ascii="Arial" w:cs="Arial" w:eastAsia="Arial" w:hAnsi="Arial"/>
                <w:sz w:val="18"/>
                <w:szCs w:val="18"/>
                <w:color w:val="auto"/>
              </w:rPr>
              <w:t>o</w:t>
            </w:r>
          </w:p>
        </w:tc>
        <w:tc>
          <w:tcPr>
            <w:tcW w:w="396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560" w:type="dxa"/>
            <w:vAlign w:val="bottom"/>
          </w:tcPr>
          <w:p>
            <w:pPr>
              <w:ind w:left="1480"/>
              <w:spacing w:after="0"/>
              <w:rPr>
                <w:sz w:val="20"/>
                <w:szCs w:val="20"/>
                <w:color w:val="auto"/>
              </w:rPr>
            </w:pPr>
            <w:r>
              <w:rPr>
                <w:rFonts w:ascii="Arial" w:cs="Arial" w:eastAsia="Arial" w:hAnsi="Arial"/>
                <w:sz w:val="15"/>
                <w:szCs w:val="15"/>
                <w:color w:val="auto"/>
                <w:w w:val="71"/>
              </w:rPr>
              <w:t>o</w:t>
            </w:r>
          </w:p>
        </w:tc>
      </w:tr>
      <w:tr>
        <w:trPr>
          <w:trHeight w:val="270"/>
        </w:trPr>
        <w:tc>
          <w:tcPr>
            <w:tcW w:w="32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96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1560" w:type="dxa"/>
            <w:vAlign w:val="bottom"/>
          </w:tcPr>
          <w:p>
            <w:pPr>
              <w:ind w:left="1480"/>
              <w:spacing w:after="0"/>
              <w:rPr>
                <w:sz w:val="20"/>
                <w:szCs w:val="20"/>
                <w:color w:val="auto"/>
              </w:rPr>
            </w:pPr>
            <w:r>
              <w:rPr>
                <w:rFonts w:ascii="Arial" w:cs="Arial" w:eastAsia="Arial" w:hAnsi="Arial"/>
                <w:sz w:val="15"/>
                <w:szCs w:val="15"/>
                <w:color w:val="auto"/>
                <w:w w:val="71"/>
              </w:rPr>
              <w:t>o</w:t>
            </w:r>
          </w:p>
        </w:tc>
      </w:tr>
    </w:tbl>
    <w:p>
      <w:pPr>
        <w:spacing w:after="0" w:line="12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May 3, 2020: 129,683,377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54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420" w:type="dxa"/>
            <w:vAlign w:val="bottom"/>
            <w:gridSpan w:val="2"/>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42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8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54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Unaudited Consolidated Financial Statements</w:t>
              </w:r>
            </w:hyperlink>
          </w:p>
        </w:tc>
        <w:tc>
          <w:tcPr>
            <w:tcW w:w="7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40"/>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at March 31, 2020 and December 31, 2019</w:t>
              </w:r>
            </w:hyperlink>
          </w:p>
        </w:tc>
        <w:tc>
          <w:tcPr>
            <w:tcW w:w="7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 for the Three Months Ended March 31, 2020 and 2019</w:t>
              </w:r>
            </w:hyperlink>
          </w:p>
        </w:tc>
        <w:tc>
          <w:tcPr>
            <w:tcW w:w="7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Consolidated Statements of Comprehensive Loss for the Three Months Ended March 31, 2020 and 2019</w:t>
              </w:r>
            </w:hyperlink>
          </w:p>
        </w:tc>
        <w:tc>
          <w:tcPr>
            <w:tcW w:w="7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 for the Three Months Ended March 31, 2020 and 2019</w:t>
              </w:r>
            </w:hyperlink>
          </w:p>
        </w:tc>
        <w:tc>
          <w:tcPr>
            <w:tcW w:w="7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9">
              <w:r>
                <w:rPr>
                  <w:rFonts w:ascii="Arial" w:cs="Arial" w:eastAsia="Arial" w:hAnsi="Arial"/>
                  <w:sz w:val="18"/>
                  <w:szCs w:val="18"/>
                  <w:color w:val="auto"/>
                </w:rPr>
                <w:t>Consolidated Statements of Cash Flows for the Three Months Ended March 31, 2020 and 2019</w:t>
              </w:r>
            </w:hyperlink>
          </w:p>
        </w:tc>
        <w:tc>
          <w:tcPr>
            <w:tcW w:w="7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11">
              <w:r>
                <w:rPr>
                  <w:rFonts w:ascii="Arial" w:cs="Arial" w:eastAsia="Arial" w:hAnsi="Arial"/>
                  <w:sz w:val="18"/>
                  <w:szCs w:val="18"/>
                  <w:color w:val="auto"/>
                </w:rPr>
                <w:t>Notes to Unaudited Consolidated Financial Statements</w:t>
              </w:r>
            </w:hyperlink>
          </w:p>
        </w:tc>
        <w:tc>
          <w:tcPr>
            <w:tcW w:w="7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2.</w:t>
              </w:r>
            </w:hyperlink>
          </w:p>
        </w:tc>
        <w:tc>
          <w:tcPr>
            <w:tcW w:w="9540" w:type="dxa"/>
            <w:vAlign w:val="bottom"/>
          </w:tcPr>
          <w:p>
            <w:pPr>
              <w:ind w:left="140"/>
              <w:spacing w:after="0"/>
              <w:rPr>
                <w:rFonts w:ascii="Arial" w:cs="Arial" w:eastAsia="Arial" w:hAnsi="Arial"/>
                <w:sz w:val="18"/>
                <w:szCs w:val="18"/>
                <w:color w:val="auto"/>
              </w:rPr>
            </w:pPr>
            <w:hyperlink w:anchor="page63">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540"/>
        </w:trPr>
        <w:tc>
          <w:tcPr>
            <w:tcW w:w="880" w:type="dxa"/>
            <w:vAlign w:val="bottom"/>
          </w:tcPr>
          <w:p>
            <w:pPr>
              <w:spacing w:after="0"/>
              <w:rPr>
                <w:rFonts w:ascii="Arial" w:cs="Arial" w:eastAsia="Arial" w:hAnsi="Arial"/>
                <w:sz w:val="18"/>
                <w:szCs w:val="18"/>
                <w:color w:val="auto"/>
              </w:rPr>
            </w:pPr>
            <w:hyperlink w:anchor="page102">
              <w:r>
                <w:rPr>
                  <w:rFonts w:ascii="Arial" w:cs="Arial" w:eastAsia="Arial" w:hAnsi="Arial"/>
                  <w:sz w:val="18"/>
                  <w:szCs w:val="18"/>
                  <w:color w:val="auto"/>
                </w:rPr>
                <w:t>Item 3.</w:t>
              </w:r>
            </w:hyperlink>
          </w:p>
        </w:tc>
        <w:tc>
          <w:tcPr>
            <w:tcW w:w="9540" w:type="dxa"/>
            <w:vAlign w:val="bottom"/>
          </w:tcPr>
          <w:p>
            <w:pPr>
              <w:ind w:left="140"/>
              <w:spacing w:after="0"/>
              <w:rPr>
                <w:rFonts w:ascii="Arial" w:cs="Arial" w:eastAsia="Arial" w:hAnsi="Arial"/>
                <w:sz w:val="18"/>
                <w:szCs w:val="18"/>
                <w:color w:val="auto"/>
              </w:rPr>
            </w:pPr>
            <w:hyperlink w:anchor="page102">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540"/>
        </w:trPr>
        <w:tc>
          <w:tcPr>
            <w:tcW w:w="880" w:type="dxa"/>
            <w:vAlign w:val="bottom"/>
          </w:tcPr>
          <w:p>
            <w:pPr>
              <w:spacing w:after="0"/>
              <w:rPr>
                <w:rFonts w:ascii="Arial" w:cs="Arial" w:eastAsia="Arial" w:hAnsi="Arial"/>
                <w:sz w:val="18"/>
                <w:szCs w:val="18"/>
                <w:color w:val="auto"/>
              </w:rPr>
            </w:pPr>
            <w:hyperlink w:anchor="page106">
              <w:r>
                <w:rPr>
                  <w:rFonts w:ascii="Arial" w:cs="Arial" w:eastAsia="Arial" w:hAnsi="Arial"/>
                  <w:sz w:val="18"/>
                  <w:szCs w:val="18"/>
                  <w:color w:val="auto"/>
                </w:rPr>
                <w:t>Item 4.</w:t>
              </w:r>
            </w:hyperlink>
          </w:p>
        </w:tc>
        <w:tc>
          <w:tcPr>
            <w:tcW w:w="9540" w:type="dxa"/>
            <w:vAlign w:val="bottom"/>
          </w:tcPr>
          <w:p>
            <w:pPr>
              <w:ind w:left="140"/>
              <w:spacing w:after="0"/>
              <w:rPr>
                <w:rFonts w:ascii="Arial" w:cs="Arial" w:eastAsia="Arial" w:hAnsi="Arial"/>
                <w:sz w:val="18"/>
                <w:szCs w:val="18"/>
                <w:color w:val="auto"/>
              </w:rPr>
            </w:pPr>
            <w:hyperlink w:anchor="page106">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104</w:t>
              </w:r>
            </w:hyperlink>
          </w:p>
        </w:tc>
        <w:tc>
          <w:tcPr>
            <w:tcW w:w="0" w:type="dxa"/>
            <w:vAlign w:val="bottom"/>
          </w:tcPr>
          <w:p>
            <w:pPr>
              <w:spacing w:after="0"/>
              <w:rPr>
                <w:sz w:val="1"/>
                <w:szCs w:val="1"/>
                <w:color w:val="auto"/>
              </w:rPr>
            </w:pPr>
          </w:p>
        </w:tc>
      </w:tr>
      <w:tr>
        <w:trPr>
          <w:trHeight w:val="540"/>
        </w:trPr>
        <w:tc>
          <w:tcPr>
            <w:tcW w:w="10420" w:type="dxa"/>
            <w:vAlign w:val="bottom"/>
            <w:gridSpan w:val="2"/>
          </w:tcPr>
          <w:p>
            <w:pPr>
              <w:spacing w:after="0"/>
              <w:rPr>
                <w:rFonts w:ascii="Arial" w:cs="Arial" w:eastAsia="Arial" w:hAnsi="Arial"/>
                <w:sz w:val="18"/>
                <w:szCs w:val="18"/>
                <w:b w:val="1"/>
                <w:bCs w:val="1"/>
                <w:color w:val="auto"/>
              </w:rPr>
            </w:pPr>
            <w:hyperlink w:anchor="page107">
              <w:r>
                <w:rPr>
                  <w:rFonts w:ascii="Arial" w:cs="Arial" w:eastAsia="Arial" w:hAnsi="Arial"/>
                  <w:sz w:val="18"/>
                  <w:szCs w:val="18"/>
                  <w:b w:val="1"/>
                  <w:bCs w:val="1"/>
                  <w:color w:val="auto"/>
                </w:rPr>
                <w:t>PART II -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80" w:type="dxa"/>
            <w:vAlign w:val="bottom"/>
          </w:tcPr>
          <w:p>
            <w:pPr>
              <w:spacing w:after="0"/>
              <w:rPr>
                <w:rFonts w:ascii="Arial" w:cs="Arial" w:eastAsia="Arial" w:hAnsi="Arial"/>
                <w:sz w:val="18"/>
                <w:szCs w:val="18"/>
                <w:color w:val="auto"/>
              </w:rPr>
            </w:pPr>
            <w:hyperlink w:anchor="page107">
              <w:r>
                <w:rPr>
                  <w:rFonts w:ascii="Arial" w:cs="Arial" w:eastAsia="Arial" w:hAnsi="Arial"/>
                  <w:sz w:val="18"/>
                  <w:szCs w:val="18"/>
                  <w:color w:val="auto"/>
                </w:rPr>
                <w:t>Item 1.</w:t>
              </w:r>
            </w:hyperlink>
          </w:p>
        </w:tc>
        <w:tc>
          <w:tcPr>
            <w:tcW w:w="9540" w:type="dxa"/>
            <w:vAlign w:val="bottom"/>
          </w:tcPr>
          <w:p>
            <w:pPr>
              <w:ind w:left="140"/>
              <w:spacing w:after="0"/>
              <w:rPr>
                <w:rFonts w:ascii="Arial" w:cs="Arial" w:eastAsia="Arial" w:hAnsi="Arial"/>
                <w:sz w:val="18"/>
                <w:szCs w:val="18"/>
                <w:color w:val="auto"/>
              </w:rPr>
            </w:pPr>
            <w:hyperlink w:anchor="page107">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540"/>
        </w:trPr>
        <w:tc>
          <w:tcPr>
            <w:tcW w:w="880" w:type="dxa"/>
            <w:vAlign w:val="bottom"/>
          </w:tcPr>
          <w:p>
            <w:pPr>
              <w:spacing w:after="0"/>
              <w:rPr>
                <w:rFonts w:ascii="Arial" w:cs="Arial" w:eastAsia="Arial" w:hAnsi="Arial"/>
                <w:sz w:val="18"/>
                <w:szCs w:val="18"/>
                <w:color w:val="auto"/>
              </w:rPr>
            </w:pPr>
            <w:hyperlink w:anchor="page107">
              <w:r>
                <w:rPr>
                  <w:rFonts w:ascii="Arial" w:cs="Arial" w:eastAsia="Arial" w:hAnsi="Arial"/>
                  <w:sz w:val="18"/>
                  <w:szCs w:val="18"/>
                  <w:color w:val="auto"/>
                </w:rPr>
                <w:t>Item 1A.</w:t>
              </w:r>
            </w:hyperlink>
          </w:p>
        </w:tc>
        <w:tc>
          <w:tcPr>
            <w:tcW w:w="9540" w:type="dxa"/>
            <w:vAlign w:val="bottom"/>
          </w:tcPr>
          <w:p>
            <w:pPr>
              <w:ind w:left="140"/>
              <w:spacing w:after="0"/>
              <w:rPr>
                <w:rFonts w:ascii="Arial" w:cs="Arial" w:eastAsia="Arial" w:hAnsi="Arial"/>
                <w:sz w:val="18"/>
                <w:szCs w:val="18"/>
                <w:color w:val="auto"/>
              </w:rPr>
            </w:pPr>
            <w:hyperlink w:anchor="page107">
              <w:r>
                <w:rPr>
                  <w:rFonts w:ascii="Arial" w:cs="Arial" w:eastAsia="Arial" w:hAnsi="Arial"/>
                  <w:sz w:val="18"/>
                  <w:szCs w:val="18"/>
                  <w:color w:val="auto"/>
                </w:rPr>
                <w:t>Risk Factors</w:t>
              </w:r>
            </w:hyperlink>
          </w:p>
        </w:tc>
        <w:tc>
          <w:tcPr>
            <w:tcW w:w="78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540"/>
        </w:trPr>
        <w:tc>
          <w:tcPr>
            <w:tcW w:w="880" w:type="dxa"/>
            <w:vAlign w:val="bottom"/>
          </w:tcPr>
          <w:p>
            <w:pPr>
              <w:spacing w:after="0"/>
              <w:rPr>
                <w:rFonts w:ascii="Arial" w:cs="Arial" w:eastAsia="Arial" w:hAnsi="Arial"/>
                <w:sz w:val="18"/>
                <w:szCs w:val="18"/>
                <w:color w:val="auto"/>
              </w:rPr>
            </w:pPr>
            <w:hyperlink w:anchor="page110">
              <w:r>
                <w:rPr>
                  <w:rFonts w:ascii="Arial" w:cs="Arial" w:eastAsia="Arial" w:hAnsi="Arial"/>
                  <w:sz w:val="18"/>
                  <w:szCs w:val="18"/>
                  <w:color w:val="auto"/>
                </w:rPr>
                <w:t>Item 2.</w:t>
              </w:r>
            </w:hyperlink>
          </w:p>
        </w:tc>
        <w:tc>
          <w:tcPr>
            <w:tcW w:w="9540" w:type="dxa"/>
            <w:vAlign w:val="bottom"/>
          </w:tcPr>
          <w:p>
            <w:pPr>
              <w:ind w:left="140"/>
              <w:spacing w:after="0"/>
              <w:rPr>
                <w:rFonts w:ascii="Arial" w:cs="Arial" w:eastAsia="Arial" w:hAnsi="Arial"/>
                <w:sz w:val="18"/>
                <w:szCs w:val="18"/>
                <w:color w:val="auto"/>
              </w:rPr>
            </w:pPr>
            <w:hyperlink w:anchor="page110">
              <w:r>
                <w:rPr>
                  <w:rFonts w:ascii="Arial" w:cs="Arial" w:eastAsia="Arial" w:hAnsi="Arial"/>
                  <w:sz w:val="18"/>
                  <w:szCs w:val="18"/>
                  <w:color w:val="auto"/>
                </w:rPr>
                <w:t>Unregistered Sales of Equity Securities and Use of Proceeds</w:t>
              </w:r>
            </w:hyperlink>
          </w:p>
        </w:tc>
        <w:tc>
          <w:tcPr>
            <w:tcW w:w="78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rFonts w:ascii="Arial" w:cs="Arial" w:eastAsia="Arial" w:hAnsi="Arial"/>
                <w:sz w:val="18"/>
                <w:szCs w:val="18"/>
                <w:color w:val="auto"/>
              </w:rPr>
            </w:pPr>
            <w:hyperlink w:anchor="page110">
              <w:r>
                <w:rPr>
                  <w:rFonts w:ascii="Arial" w:cs="Arial" w:eastAsia="Arial" w:hAnsi="Arial"/>
                  <w:sz w:val="18"/>
                  <w:szCs w:val="18"/>
                  <w:color w:val="auto"/>
                </w:rPr>
                <w:t>Item 6.</w:t>
              </w:r>
            </w:hyperlink>
          </w:p>
        </w:tc>
        <w:tc>
          <w:tcPr>
            <w:tcW w:w="9540" w:type="dxa"/>
            <w:vAlign w:val="bottom"/>
          </w:tcPr>
          <w:p>
            <w:pPr>
              <w:ind w:left="140"/>
              <w:spacing w:after="0"/>
              <w:rPr>
                <w:rFonts w:ascii="Arial" w:cs="Arial" w:eastAsia="Arial" w:hAnsi="Arial"/>
                <w:sz w:val="18"/>
                <w:szCs w:val="18"/>
                <w:color w:val="auto"/>
              </w:rPr>
            </w:pPr>
            <w:hyperlink w:anchor="page110">
              <w:r>
                <w:rPr>
                  <w:rFonts w:ascii="Arial" w:cs="Arial" w:eastAsia="Arial" w:hAnsi="Arial"/>
                  <w:sz w:val="18"/>
                  <w:szCs w:val="18"/>
                  <w:color w:val="auto"/>
                </w:rPr>
                <w:t>Exhibits</w:t>
              </w:r>
            </w:hyperlink>
          </w:p>
        </w:tc>
        <w:tc>
          <w:tcPr>
            <w:tcW w:w="78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540"/>
        </w:trPr>
        <w:tc>
          <w:tcPr>
            <w:tcW w:w="880" w:type="dxa"/>
            <w:vAlign w:val="bottom"/>
          </w:tcPr>
          <w:p>
            <w:pPr>
              <w:spacing w:after="0"/>
              <w:rPr>
                <w:rFonts w:ascii="Arial" w:cs="Arial" w:eastAsia="Arial" w:hAnsi="Arial"/>
                <w:sz w:val="18"/>
                <w:szCs w:val="18"/>
                <w:color w:val="auto"/>
                <w:w w:val="99"/>
              </w:rPr>
            </w:pPr>
            <w:hyperlink w:anchor="page112">
              <w:r>
                <w:rPr>
                  <w:rFonts w:ascii="Arial" w:cs="Arial" w:eastAsia="Arial" w:hAnsi="Arial"/>
                  <w:sz w:val="18"/>
                  <w:szCs w:val="18"/>
                  <w:color w:val="auto"/>
                  <w:w w:val="99"/>
                </w:rPr>
                <w:t>Signatures</w:t>
              </w:r>
            </w:hyperlink>
          </w:p>
        </w:tc>
        <w:tc>
          <w:tcPr>
            <w:tcW w:w="954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110</w:t>
              </w:r>
            </w:hyperlink>
          </w:p>
        </w:tc>
        <w:tc>
          <w:tcPr>
            <w:tcW w:w="0" w:type="dxa"/>
            <w:vAlign w:val="bottom"/>
          </w:tcPr>
          <w:p>
            <w:pPr>
              <w:spacing w:after="0"/>
              <w:rPr>
                <w:sz w:val="1"/>
                <w:szCs w:val="1"/>
                <w:color w:val="auto"/>
              </w:rPr>
            </w:pPr>
          </w:p>
        </w:tc>
      </w:tr>
      <w:tr>
        <w:trPr>
          <w:trHeight w:val="675"/>
        </w:trPr>
        <w:tc>
          <w:tcPr>
            <w:tcW w:w="880" w:type="dxa"/>
            <w:vAlign w:val="bottom"/>
          </w:tcPr>
          <w:p>
            <w:pPr>
              <w:spacing w:after="0"/>
              <w:rPr>
                <w:sz w:val="24"/>
                <w:szCs w:val="24"/>
                <w:color w:val="auto"/>
              </w:rPr>
            </w:pPr>
          </w:p>
        </w:tc>
        <w:tc>
          <w:tcPr>
            <w:tcW w:w="9540" w:type="dxa"/>
            <w:vAlign w:val="bottom"/>
          </w:tcPr>
          <w:p>
            <w:pPr>
              <w:ind w:left="466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and Section</w:t>
      </w:r>
    </w:p>
    <w:p>
      <w:pPr>
        <w:spacing w:after="0" w:line="46"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3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Our business has been undergoing substantial change and as a result of the global Coronavirus Disease 2019 (COVID-19) pandemic we are in the midst of a period of significant capital markets volatility and rapidly evolving mortgage lending and servicing ecosystem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60" w:lineRule="exact"/>
        <w:rPr>
          <w:sz w:val="20"/>
          <w:szCs w:val="20"/>
          <w:color w:val="auto"/>
        </w:rPr>
      </w:pPr>
    </w:p>
    <w:p>
      <w:pPr>
        <w:ind w:left="660" w:right="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impacts of the COVID-19 pandemic, including with respect to the response of the U.S. government, state governments, Fannie Mae, Freddie Mac, Ginnie Mae and regulators;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ongoing COVID-19 related disruption in the financial markets and in commercial activity generally, increased unemployment, and other financial difficulties facing our borrowers;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proportion of borrowers who enter into forbearance plans, the financial ability of borrowers to resume repayment and their timing for doing so;</w:t>
      </w:r>
    </w:p>
    <w:p>
      <w:pPr>
        <w:spacing w:after="0" w:line="32" w:lineRule="exact"/>
        <w:rPr>
          <w:rFonts w:ascii="Arial" w:cs="Arial" w:eastAsia="Arial" w:hAnsi="Arial"/>
          <w:sz w:val="16"/>
          <w:szCs w:val="16"/>
          <w:color w:val="auto"/>
        </w:rPr>
      </w:pPr>
    </w:p>
    <w:p>
      <w:pPr>
        <w:ind w:left="660" w:right="7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on our operations resulting from employee illness, social distancing measures and our shift to greater utilization of remote work arrangements;</w:t>
      </w: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servicing advances, forward and reverse whole loans, and HECM and forward loan buyouts and put 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servicing costs based on rising borrower delinquency levels or other factors;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collection of servicing fees and ancillary income and delayed collection of servicing revenue a result of forbearance plans and moratoria on evictions and foreclosure proceedings;</w:t>
      </w:r>
    </w:p>
    <w:p>
      <w:pPr>
        <w:ind w:left="660" w:right="2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timing of a potential reverse split of our common stock, and the impact of such a split on our stock price, market capitalization, and the trading market for our common stock;</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regain compliance with the continued listing standards of the New York Stock Exchange;</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execute on our cost re-engineering initiatives and take the other actions we believe are necessary for us to improve our financial performance;</w:t>
      </w: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acquire mortgage servicing rights (MSRs) or other assets or businesses at adequate risk-adjusted returns, including our ability to allocate adequate capital for such investments, negotiate and execute purchase documentation and satisfy closing conditions so as to consummate such acquisitions;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grow our lending business and increase our lending volumes in a competitive market and uncertain interest rate environment;</w:t>
      </w: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long-term relationship and remaining agreements with New Residential Investment Corp. (NRZ), our largest servicing client;</w:t>
      </w:r>
    </w:p>
    <w:p>
      <w:pPr>
        <w:ind w:left="660" w:right="2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an orderly and timely transfer of responsibilities in connection with the termination by NRZ of our legacy PHH Mortgage Corporation (PMC) subservicing agreement;</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reactions of regulators, lenders and other contractual counterparties, rating agencies, stockholders and other stakeholders to the announcement of the termination of the PMC subservicing agreement;</w:t>
      </w:r>
    </w:p>
    <w:p>
      <w:pPr>
        <w:ind w:left="660" w:right="200" w:hanging="328"/>
        <w:spacing w:after="0" w:line="29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regarding incentive and other payments made by governmental entities;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661" w:right="35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litigation, cease and desist orders or settlements;</w:t>
      </w:r>
    </w:p>
    <w:p>
      <w:pPr>
        <w:spacing w:after="0" w:line="23"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litigation, cease and desist orders or settlements by key counterparties, including lenders, the Federal National Mortgage Association (Fannie Mae), the Federal Home Loan Mortgage Corporation (Freddie Mac) and the Government National Mortgage Association (Ginnie Mae);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the terms of our settlements with regulatory agencies and the costs of doing 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interpret correctly and comply with liquidity, net worth and other financial and other requirements of regulators, Fannie Mae, Freddie Mac and Ginnie Mae, as well as those set forth in our debt and other agreements;</w:t>
      </w: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or other security systems or breach of our privacy protections, including any failure to protect customers’ data;</w:t>
      </w:r>
    </w:p>
    <w:p>
      <w:pPr>
        <w:ind w:left="660" w:right="1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right="2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identify and address any issues arising in connection with the transfer of loans to the Black Knight Financial Services, Inc. (Black Knight) LoanSphere MSP® servicing system (Black Knight MSP) without incurring significant cost or disruption to our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 and key employees;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Federal National Mortgage Association (Fannie Mae) and Federal Home Loan Mortgage Corporation (Freddie Mac) (collectively, the GSEs), Government National Mortgage Association (Ginnie Mae) and trustees regarding loan put-backs, penalties and legal actions;</w:t>
      </w:r>
    </w:p>
    <w:p>
      <w:pPr>
        <w:spacing w:after="0" w:line="1" w:lineRule="exact"/>
        <w:rPr>
          <w:rFonts w:ascii="Arial" w:cs="Arial" w:eastAsia="Arial" w:hAnsi="Arial"/>
          <w:sz w:val="18"/>
          <w:szCs w:val="18"/>
          <w:color w:val="auto"/>
        </w:rPr>
      </w:pPr>
    </w:p>
    <w:p>
      <w:pPr>
        <w:ind w:left="660" w:right="8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adequately manage and maintain real estate owned (REO) properties and vacant properties collateralizing loans that we service;</w:t>
      </w:r>
    </w:p>
    <w:p>
      <w:pPr>
        <w:spacing w:after="0" w:line="32" w:lineRule="exact"/>
        <w:rPr>
          <w:rFonts w:ascii="Arial" w:cs="Arial" w:eastAsia="Arial" w:hAnsi="Arial"/>
          <w:sz w:val="16"/>
          <w:szCs w:val="16"/>
          <w:color w:val="auto"/>
        </w:rPr>
      </w:pPr>
    </w:p>
    <w:p>
      <w:pPr>
        <w:ind w:left="660" w:right="3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transform our operations in response to changing business needs, including our ability to do so without unanticipated adverse tax consequences;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political or economic stability of the United States and of the foreign countries in which we have operations; and</w:t>
      </w:r>
    </w:p>
    <w:p>
      <w:pPr>
        <w:spacing w:after="0" w:line="20" w:lineRule="exact"/>
        <w:rPr>
          <w:rFonts w:ascii="Arial" w:cs="Arial" w:eastAsia="Arial" w:hAnsi="Arial"/>
          <w:sz w:val="17"/>
          <w:szCs w:val="17"/>
          <w:color w:val="auto"/>
        </w:rPr>
      </w:pPr>
    </w:p>
    <w:p>
      <w:pPr>
        <w:ind w:left="660" w:right="10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positive relationships with our large shareholders and obtain their support for management proposals requiring shareholder approval.</w:t>
      </w:r>
    </w:p>
    <w:p>
      <w:pPr>
        <w:spacing w:after="0" w:line="1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2019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263,555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428,339</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(amounts related to variable interest entities (VIEs) of $13,881 and $20,434)</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64,001</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Mortgage servicing rights (MSRs), at fair value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1,050,228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1,486,395</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net (amounts related to VIEs of $751,020 and $801,990)</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1,024,807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1,056,523</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Loans held for sale ($203,592 and $208,752 carried at fair value)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246,015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275,269</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investment, at fair value (amounts related to VIEs of $22,561 and $23,342)</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6,591,382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6,292,938</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235,305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201,220</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Premises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38,274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w w:val="94"/>
              </w:rPr>
              <w:t>Other assets ($17,711 and $8,524 carried at fair value) (amounts related to VIEs of $2,290 and $4,078)</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484,125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563,240</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9,986,024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10,406,199</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7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Home Equity Conversion Mortgage-Backed Securities (HMBS) related borrowings, at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6,063,435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Advance match funded liabilities (related to VIEs)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625,951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679,109</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liabilities, at fair value (amounts related to VIEs of $21,365 and $22,002)</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972,595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Other secured borrowings, net (amounts related to VIEs $200,006 and $240,893)</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797,615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1,025,791</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311,085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w w:val="99"/>
              </w:rPr>
              <w:t>Other liabilities ($2,589 and $100 carried at fair value) (amounts related to VIEs of $88 and $144)</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875,171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942,173</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9,556,167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9,994,188</w:t>
            </w:r>
          </w:p>
        </w:tc>
      </w:tr>
      <w:tr>
        <w:trPr>
          <w:trHeight w:val="264"/>
        </w:trPr>
        <w:tc>
          <w:tcPr>
            <w:tcW w:w="79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 and Contingencies (Notes 20 and 21)</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280"/>
              <w:spacing w:after="0"/>
              <w:rPr>
                <w:sz w:val="20"/>
                <w:szCs w:val="20"/>
                <w:color w:val="auto"/>
              </w:rPr>
            </w:pPr>
            <w:r>
              <w:rPr>
                <w:rFonts w:ascii="Arial" w:cs="Arial" w:eastAsia="Arial" w:hAnsi="Arial"/>
                <w:sz w:val="18"/>
                <w:szCs w:val="18"/>
                <w:color w:val="auto"/>
                <w:w w:val="94"/>
              </w:rPr>
              <w:t>Common stock, $.01 par value; 200,000,000 shares authorized; 129,582,259 and 134,862,232 shares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980" w:type="dxa"/>
            <w:vAlign w:val="bottom"/>
          </w:tcPr>
          <w:p>
            <w:pPr>
              <w:ind w:left="440"/>
              <w:spacing w:after="0"/>
              <w:rPr>
                <w:sz w:val="20"/>
                <w:szCs w:val="20"/>
                <w:color w:val="auto"/>
              </w:rPr>
            </w:pPr>
            <w:r>
              <w:rPr>
                <w:rFonts w:ascii="Arial" w:cs="Arial" w:eastAsia="Arial" w:hAnsi="Arial"/>
                <w:sz w:val="18"/>
                <w:szCs w:val="18"/>
                <w:color w:val="auto"/>
              </w:rPr>
              <w:t>issued and outstanding at March 31, 2020 and December 31, 2019 respectively</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1,349</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553,066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556,798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(116,993)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(138,542)</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r>
      <w:tr>
        <w:trPr>
          <w:trHeight w:val="237"/>
        </w:trPr>
        <w:tc>
          <w:tcPr>
            <w:tcW w:w="79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429,857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412,011</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9,986,024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10,406,199</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For the Three Months Ended March 31,</w:t>
            </w: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211,483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256,616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Reverse mortgage revenue,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32,123</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8,982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253,842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303,888</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MSR valuation adjustments,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(174,120)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(108,998)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94,696</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28,698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24,435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3,248</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171,107</w:t>
            </w:r>
          </w:p>
        </w:tc>
      </w:tr>
      <w:tr>
        <w:trPr>
          <w:trHeight w:val="264"/>
        </w:trPr>
        <w:tc>
          <w:tcPr>
            <w:tcW w:w="79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Pledged MSR liability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(43,956)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(64,867)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(87,345)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(41,084)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w:t>
            </w:r>
          </w:p>
        </w:tc>
      </w:tr>
      <w:tr>
        <w:trPr>
          <w:trHeight w:val="297"/>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(44,494)</w:t>
            </w:r>
          </w:p>
        </w:tc>
      </w:tr>
      <w:tr>
        <w:trPr>
          <w:trHeight w:val="257"/>
        </w:trPr>
        <w:tc>
          <w:tcPr>
            <w:tcW w:w="7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Ocwen stockholders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70"/>
        </w:trPr>
        <w:tc>
          <w:tcPr>
            <w:tcW w:w="7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134,858,837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133,918,986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LOSS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For the Three Months Ended March 31,</w:t>
            </w: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(44,494)</w:t>
            </w:r>
          </w:p>
        </w:tc>
      </w:tr>
      <w:tr>
        <w:trPr>
          <w:trHeight w:val="229"/>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Reclassification adjustment for losses on cash flow hedges included in net income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unfunded pension plan obligation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7" w:right="339" w:bottom="1440" w:gutter="0" w:footer="0" w:header="0"/>
        </w:sectPr>
      </w:pPr>
    </w:p>
    <w:bookmarkStart w:id="7" w:name="page8"/>
    <w:bookmarkEnd w:id="7"/>
    <w:p>
      <w:pPr>
        <w:jc w:val="center"/>
        <w:ind w:left="1500" w:right="1420"/>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THREE MONTHS ENDED MARCH 31, 2020 AND 2019 (Dollars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(Accumulated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4"/>
                <w:szCs w:val="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Comprehensive</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Paid-in</w:t>
            </w:r>
          </w:p>
        </w:tc>
        <w:tc>
          <w:tcPr>
            <w:tcW w:w="1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Retained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Loss, Net of</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Earnings</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Income Taxes</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134,862,232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556,798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412,011</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(25,489)</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effect of adoption of</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Financial Accounting Standards Board</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4"/>
              </w:rPr>
              <w:t>(FASB) Accounting Standards Update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(ASU) No. 2016-13</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47,038</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(5,662,257)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(4,605)</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Equity-based compensation and other</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20"/>
        </w:trPr>
        <w:tc>
          <w:tcPr>
            <w:tcW w:w="2900" w:type="dxa"/>
            <w:vAlign w:val="bottom"/>
          </w:tcPr>
          <w:p>
            <w:pPr>
              <w:ind w:left="180"/>
              <w:spacing w:after="0"/>
              <w:rPr>
                <w:sz w:val="20"/>
                <w:szCs w:val="20"/>
                <w:color w:val="auto"/>
              </w:rPr>
            </w:pPr>
            <w:r>
              <w:rPr>
                <w:rFonts w:ascii="Arial" w:cs="Arial" w:eastAsia="Arial" w:hAnsi="Arial"/>
                <w:sz w:val="16"/>
                <w:szCs w:val="16"/>
                <w:color w:val="auto"/>
              </w:rPr>
              <w:t>Other comprehensive income, net of</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129,582,259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553,066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429,857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133,912,425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554,705</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(44,494)</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Cumulative effect of adoption of FASB</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ASU No. 2016-02</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6"/>
                <w:szCs w:val="16"/>
                <w:color w:val="auto"/>
              </w:rPr>
              <w:t>Equity-based compensation and other</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33,630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44"/>
        </w:trPr>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133,946,055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555,046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(40,911)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511,594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553"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For the Three Months Ended March 31,</w:t>
            </w: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(25,489)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(44,494)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MSR valuation adjustments, net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174,120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108,998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MSRs,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9,170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Gain on valuation of financing liability</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on valuation of mortgage loans held for investment and HMBS-related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(23,487)</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(304,182)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843,178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305,322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Decrease in advances, net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91,114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23,627</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Increase (decrease) in other liabilities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(36,755)</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170,977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100,664</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Origination of loans held for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(209,264)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Principal payments received on loans held for investment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175,095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104,630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MSRs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(48,641)</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Proceeds from sale of MSRs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advances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(151,343)</w:t>
            </w:r>
          </w:p>
        </w:tc>
      </w:tr>
      <w:tr>
        <w:trPr>
          <w:trHeight w:val="264"/>
        </w:trPr>
        <w:tc>
          <w:tcPr>
            <w:tcW w:w="79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Repayment of advance match funded liabilities,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(128,900)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1,330,667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616,891</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Repayment of mortgage loan warehouse facilities and other secured borrowings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(1,478,616)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(727,711)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additional senior secured term loan (SSTL)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119,100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Repayment of SSTL borrowings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(126,066)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 related to SSTL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Proceeds from sale of MSRs accounted for as a financing</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Proceeds from sale of Home Equity Conversion Mortgages (HECM, or reverse mortgages) accounted for as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 financing (HMBS-related borrowings)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210,563</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Repayment of HMBS-related borrowings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(172,429)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(102,389)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(19,764)</w:t>
            </w:r>
          </w:p>
        </w:tc>
      </w:tr>
      <w:tr>
        <w:trPr>
          <w:trHeight w:val="263"/>
        </w:trPr>
        <w:tc>
          <w:tcPr>
            <w:tcW w:w="79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(70,443)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492,340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397,010</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316,732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326,567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Derecognition of MSRs and financing liabilities:</w:t>
      </w:r>
    </w:p>
    <w:p>
      <w:pPr>
        <w:sectPr>
          <w:pgSz w:w="11900" w:h="16838" w:orient="portrait"/>
          <w:cols w:equalWidth="0" w:num="1">
            <w:col w:w="11240"/>
          </w:cols>
          <w:pgMar w:left="320" w:top="337" w:right="3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MSRs</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(263,344)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liability - MSRs pledged (Rights to MSRs)</w:t>
            </w: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(263,344)</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40"/>
              <w:spacing w:after="0"/>
              <w:rPr>
                <w:sz w:val="20"/>
                <w:szCs w:val="20"/>
                <w:color w:val="auto"/>
              </w:rPr>
            </w:pPr>
            <w:r>
              <w:rPr>
                <w:rFonts w:ascii="Arial" w:cs="Arial" w:eastAsia="Arial" w:hAnsi="Arial"/>
                <w:sz w:val="18"/>
                <w:szCs w:val="18"/>
                <w:color w:val="auto"/>
                <w:w w:val="94"/>
              </w:rPr>
              <w:t>Recognition of future draw commitments for HECM loans at fair value upon adoption of FASB ASU No.</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820" w:type="dxa"/>
            <w:vAlign w:val="bottom"/>
          </w:tcPr>
          <w:p>
            <w:pPr>
              <w:ind w:left="200"/>
              <w:spacing w:after="0"/>
              <w:rPr>
                <w:sz w:val="20"/>
                <w:szCs w:val="20"/>
                <w:color w:val="auto"/>
              </w:rPr>
            </w:pPr>
            <w:r>
              <w:rPr>
                <w:rFonts w:ascii="Arial" w:cs="Arial" w:eastAsia="Arial" w:hAnsi="Arial"/>
                <w:sz w:val="18"/>
                <w:szCs w:val="18"/>
                <w:color w:val="auto"/>
              </w:rPr>
              <w:t>2016-13</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47,038</w:t>
            </w:r>
          </w:p>
        </w:tc>
        <w:tc>
          <w:tcPr>
            <w:tcW w:w="6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Recognition of gross right-of-use asset and lease liability:</w:t>
            </w: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Right-of-use asset</w:t>
            </w:r>
          </w:p>
        </w:tc>
        <w:tc>
          <w:tcPr>
            <w:tcW w:w="6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2,695</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66,231</w:t>
            </w:r>
          </w:p>
        </w:tc>
      </w:tr>
      <w:tr>
        <w:trPr>
          <w:trHeight w:val="27"/>
        </w:trPr>
        <w:tc>
          <w:tcPr>
            <w:tcW w:w="7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2,695</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66,247</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Transfers of loans held for sale to real estate owned (REO)</w:t>
            </w:r>
          </w:p>
        </w:tc>
        <w:tc>
          <w:tcPr>
            <w:tcW w:w="6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768</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1,791</w:t>
            </w:r>
          </w:p>
        </w:tc>
      </w:tr>
    </w:tbl>
    <w:p>
      <w:pPr>
        <w:spacing w:after="0" w:line="63" w:lineRule="exact"/>
        <w:rPr>
          <w:sz w:val="20"/>
          <w:szCs w:val="20"/>
          <w:color w:val="auto"/>
        </w:rPr>
      </w:pPr>
    </w:p>
    <w:p>
      <w:pPr>
        <w:ind w:right="400"/>
        <w:spacing w:after="0" w:line="312" w:lineRule="auto"/>
        <w:rPr>
          <w:sz w:val="20"/>
          <w:szCs w:val="20"/>
          <w:color w:val="auto"/>
        </w:rPr>
      </w:pPr>
      <w:r>
        <w:rPr>
          <w:rFonts w:ascii="Arial" w:cs="Arial" w:eastAsia="Arial" w:hAnsi="Arial"/>
          <w:sz w:val="17"/>
          <w:szCs w:val="17"/>
          <w:b w:val="1"/>
          <w:bCs w:val="1"/>
          <w:color w:val="auto"/>
        </w:rPr>
        <w:t>The following table provides a reconciliation of cash, cash equivalents and restricted cash reported within the unaudited consolidated balance sheets that sums to the total of the same such amounts reported in the unaudited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March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263,188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service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restricted cash</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41,292</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reported in the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316,732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326,567</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Ocwen Financial Corporation (NYSE: OCN) (Ocwen, we, us and our) is a non-bank mortgage servicer and originator providing solutions through its primary operating subsidiaries, PHH Mortgage Corporation (PMC) and Liberty Home Equity Solutions, Inc. (Liberty). We are headquartered in West Palm Beach, Florida with offices in the United States (U.S.) and the United States Virgin Islands (USVI) and operations in India and the Philippines. Ocwen is a Florida corporation organized in February 1988.</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Ocwen directly or indirectly owns all of the outstanding common stock of its operating subsidiaries, including PMC since its acquisition on October 4, 2018, Liberty, Ocwen Financial Solutions Private Limited (OFSPL) and Ocwen USVI Services, LLC (OVIS). On March 13, 2020, as part of Ocwen's legal entity restructuring, Liberty and PMC entered into an amended asset purchase agreement pursuant to which Liberty transferred substantially all of its assets, liabilities, contracts and employees to PMC effective March 15, 2020. We continue to originate and service reverse mortgage loans under the brand name Liberty Reverse Mortgage.</w:t>
      </w:r>
    </w:p>
    <w:p>
      <w:pPr>
        <w:spacing w:after="0" w:line="8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7"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mortgages, generally servicing retained. The GSEs or Ginnie Mae guarantee these mortgage securitizations. We originate HECM loans, or reverse mortgages, that are mostly insured by the FHA and are an approved issuer of HMBS that are guaranteed by Ginnie Mae. In addition to our originated MSRs, we acquire MSRs through multiple channels, including flow purchase agreements, the GSE Cash Window program and bulk MSR purchases.</w:t>
      </w:r>
    </w:p>
    <w:p>
      <w:pPr>
        <w:spacing w:after="0" w:line="53"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We had a total of approximately 5,400 employees at March 31, 2020 of which approximately 3,400 were located in India and approximately 500 were based in the Philippines. Our operations in India and the Philippines primarily provide internal support services, principally to our loan servicing business and our corporate functions. Of our foreign-based employees, nearly 80% were engaged in supporting our loan servicing operations as of March 31,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and these challenges and uncertainties have been amplified by the emergence of the Coronavirus Disease 2019 (COVID-19) pandemic. Losses have significantly eroded stockholders’ equity and weakened our financial condition. Our near-term priority is to return to sustainable profitability in the shortest timeframe possible within an appropriate risk and compliance environment. If we execute on our key business initiatives, we believe we will drive stronger financial performance. The ability of management to appropriately address these challenges and uncertainties in a timely manner is critical to our ability to operate our business successfully.</w:t>
      </w:r>
    </w:p>
    <w:p>
      <w:pPr>
        <w:spacing w:after="0" w:line="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First, we must expand our lending business and acquisitions of MSRs that are prudent and well-executed with appropriate financial return targets to replenish and grow our servicing portfolio, and within the constraints of our liquidity. Our efforts to grow and diversify our sources of servicing volumes also mitigate our client concentration risk. We have exposure to client concentration and retention risk as a result of our relationship with NRZ, which accounted for 55% of the UPB in our servicing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661" w:right="359" w:bottom="1440" w:gutter="0" w:footer="0" w:header="0"/>
        </w:sectPr>
      </w:pPr>
    </w:p>
    <w:bookmarkStart w:id="11" w:name="page12"/>
    <w:bookmarkEnd w:id="11"/>
    <w:p>
      <w:pPr>
        <w:ind w:right="60"/>
        <w:spacing w:after="0" w:line="296" w:lineRule="auto"/>
        <w:rPr>
          <w:sz w:val="20"/>
          <w:szCs w:val="20"/>
          <w:color w:val="auto"/>
        </w:rPr>
      </w:pPr>
      <w:r>
        <w:rPr>
          <w:rFonts w:ascii="Arial" w:cs="Arial" w:eastAsia="Arial" w:hAnsi="Arial"/>
          <w:sz w:val="16"/>
          <w:szCs w:val="16"/>
          <w:color w:val="auto"/>
        </w:rPr>
        <w:t>portfolio as of March 31, 2020. Currently, subject to proper notice (generally 180 days’ notice), the payment of termination and loan deboarding fees and certain other provisions, NRZ has rights to terminate these agreements for convenience. Because of the large percentage of our servicing business that is represented by agreements with NRZ, if NRZ exercised all or a significant portion of these termination rights, we might need to right-size or restructure certain aspects of our servicing business as well as the related corporate support functions. On February 20, 2020, we received a notice of termination from NRZ with respect to the subservicing agreement between NRZ and PMC, which accounted for 19% of our servicing portfolio UPB at March 31, 2020.</w:t>
      </w:r>
    </w:p>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Second, we must re-engineer our cost structure to go beyond eliminating redundant costs through the integration process and establish continuous cost improvement as a core strength. Our continuous cost improvement efforts are focused on leveraging our single servicing platform and technology, optimizing strategic sourcing and off-shore utilization, lean process design, automation and other technology-enabled productivity enhancements. Our initiatives are targeted at delivering superior accuracy, cost, speed and customer satisfaction. We believe these steps are necessary to simplify our operations and drive stronger financial performance.</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Third, we must manage our balance sheet to ensure adequate liquidity, finance our ongoing business needs and provide a solid platform for executing on our other key business initiatives. Regarding the current maturities of our borrowings, as of March 31, 2020 we had approximately $789.0 million of debt outstanding under facilities coming due in the next 12 months. Portions of our match funded advance facilities and all of our mortgage loan warehouse facilities have 364-day terms consistent with market practice. We have historically renewed these facilities on or before their expiration in the ordinary course of financing our business. We have assessed the potential impact of the COVID-19 pandemic on our financial projections and projected liquidity. We have an agreement in place to upsize and extend through June 2021 our OMART and OFAF advance financing facilities. The OMART VFN capacity will increase from $200.0 million to $500.0 million to accommodate forecasted advancing requirements and the amortization of $185.0 million in term notes in August 2020. The OFAF facility will increase to a total capacity of $70.0 million. In addition, we have executed an agreement to extend our MSR repurchase agreement and warehouse facilities with Barclays. We expect to renew, replace or extend our borrowings to the extent necessary to finance our business on or prior to their respective maturities consistent with our historical experience.</w:t>
      </w:r>
    </w:p>
    <w:p>
      <w:pPr>
        <w:spacing w:after="0" w:line="168"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of such alleged default, we could be subject to adverse actions by our lenders that could have a material adverse impact on us. In addition, PMC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11 – Borrowings, Note 19 – Regulatory Requirements and Note 21 – Contingencies for further information.</w:t>
      </w:r>
    </w:p>
    <w:p>
      <w:pPr>
        <w:spacing w:after="0" w:line="18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Finally, we must fulfill our regulatory commitments and resolve our remaining legal and regulatory matters on satisfactory terms. See Note 19 – Regulatory Requirements and Note 21 – Contingencies for further information.</w:t>
      </w:r>
    </w:p>
    <w:p>
      <w:pPr>
        <w:spacing w:after="0" w:line="6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March 2020, the World Health Organization (WHO) categorized COVID-19 as a pandemic and the COVID-19 outbreak was declared a national emergency in the U.S. The COVID-19 pandemic is adversely affecting economic conditions, including an increase in unemployment, and is creating significant uncertainty about the duration and magnitude of the downturn in the economy. We expect delinquencies and forbearance loans to rise in the near term. Delinquent loans and forbearance loans reduce our servicing fee revenue and are more costly to service. In addition, as servicer, we are required to advance unpaid principal and interest to investors for delinquent and forbearance loans and to make certain advances for unpaid taxes and insurance and other costs to the extent that we determine that such amounts are recoverable. An increase in loans in forbearance or an increase in delinquencies would increase our servicing advances and may increase the related interest expense. Such an increase could also adversely affect our liquidity and our ability to fund servicing advances or finance our business. We are currently negotiating extensions and increases to advance facility commitments with our lenders. There is no assurance that our lenders will agree to extend, renew or increase our financing facilities. We have experienced in the first quarter of 2020, and may continue to experience losses in the valuation of our MSRs, loans or other instruments. Further, our operations may be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665" w:right="339" w:bottom="1440" w:gutter="0" w:footer="0" w:header="0"/>
        </w:sectPr>
      </w:pPr>
    </w:p>
    <w:bookmarkStart w:id="12" w:name="page13"/>
    <w:bookmarkEnd w:id="12"/>
    <w:p>
      <w:pPr>
        <w:ind w:right="20"/>
        <w:spacing w:after="0" w:line="275" w:lineRule="auto"/>
        <w:rPr>
          <w:sz w:val="20"/>
          <w:szCs w:val="20"/>
          <w:color w:val="auto"/>
        </w:rPr>
      </w:pPr>
      <w:r>
        <w:rPr>
          <w:rFonts w:ascii="Arial" w:cs="Arial" w:eastAsia="Arial" w:hAnsi="Arial"/>
          <w:sz w:val="17"/>
          <w:szCs w:val="17"/>
          <w:color w:val="auto"/>
        </w:rPr>
        <w:t>impacted by reduced employee availability due to illness, voluntary or government mandated social distancing and travel restrictions, as well as our shift to greater utilization of remote work arrangements. These factors may also reduce the capacity of vendors, government agencies, and other third parties on whom we are dependent to conduct our operations. We cannot estimate the duration or the impact of the outbreak on our company due to the recent and rapid developments and varied regulatory and agency responses at this time. Accordingly, the business disruption triggered by COVID-19 could materially and adversely affect our business, financial condition, liquidity or results of operations.</w:t>
      </w:r>
    </w:p>
    <w:p>
      <w:pPr>
        <w:spacing w:after="0" w:line="6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ability to execute on our key business initiatives is not certain and is dependent on the successful execution of several complex actions, including our ability to grow our origination business and acquire MSRs with appropriate financial return targets, our ability to acquire, maintain and grow profitable client relationships, our ability to maintain relationships with the GSEs, Ginnie Mae, FHFA, lenders and regulators, our ability to implement further organizational redesign and cost reduction, as well as the absence of significant unforeseen costs, including regulatory or legal costs, that could negatively impact our return to sustainable profitability, and our ability to extend, renew or replace our debt agreements in the ordinary course of business. Our ability to execute on our key initiatives has been hindered by the recent COVID-19 environment and the impact on our organization depends on the duration of the lockdown and the magnitude of the economic downturn. There can be no assurances that the desired strategic and financial benefits of these actions will be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2020 are not necessarily indicative of the results that may be expected for any other interim period or for the year ending December 31, 2020. The unaudited consolidated financial statements presented herein should be read in conjunction with the audited consolidated financial statements and related notes thereto included in our Annual Report on Form 10-K for the year ended December 31, 2019.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the provision for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5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considered the impact of COVID-19 on the assumptions and estimates used in the unaudited consolidated financial statements for the three months ended March 31, 2020, as described in the relevant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Certain amounts in the unaudited consolidated balance sheet at December 31, 2019 and the unaudited consolidated statement of operations and consolidated statement of cash flows for the three months ended March 31, 2019 have been reclassified to conform to the current period presentation. The reclassifications had no impact on total assets or total liabilities in our unaudited consolidated balance sheets, no impact on net income (loss) or total revenue in our unaudited consolidated statements of operations and no impact on operating, investing and financing cash flows in our unaudited consolidated statements of cash flows.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57" w:right="359" w:bottom="1440" w:gutter="0" w:footer="0" w:header="0"/>
        </w:sectPr>
      </w:pPr>
    </w:p>
    <w:bookmarkStart w:id="13" w:name="page14"/>
    <w:bookmarkEnd w:id="13"/>
    <w:p>
      <w:pPr>
        <w:ind w:right="120" w:firstLine="324"/>
        <w:spacing w:after="0" w:line="263" w:lineRule="auto"/>
        <w:rPr>
          <w:sz w:val="20"/>
          <w:szCs w:val="20"/>
          <w:color w:val="auto"/>
        </w:rPr>
      </w:pPr>
      <w:r>
        <w:rPr>
          <w:rFonts w:ascii="Arial" w:cs="Arial" w:eastAsia="Arial" w:hAnsi="Arial"/>
          <w:sz w:val="18"/>
          <w:szCs w:val="18"/>
          <w:color w:val="auto"/>
        </w:rPr>
        <w:t>We now present Reverse mortgage revenue, net as a separate revenue line item on the face of the unaudited consolidated statements of operations to provide a further breakdown of Other revenue, net and provide greater transparency on the performance associated with our portfolio of HECM loans, net of the HMBS-related borrowings that are both measured at fair value, as follows: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 within the Statement of Operations -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34290</wp:posOffset>
            </wp:positionV>
            <wp:extent cx="70123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Revenue</w:t>
      </w:r>
    </w:p>
    <w:p>
      <w:pPr>
        <w:spacing w:after="0" w:line="6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00" w:type="dxa"/>
            <w:vAlign w:val="bottom"/>
          </w:tcPr>
          <w:p>
            <w:pPr>
              <w:ind w:left="280"/>
              <w:spacing w:after="0"/>
              <w:rPr>
                <w:sz w:val="20"/>
                <w:szCs w:val="20"/>
                <w:color w:val="auto"/>
              </w:rPr>
            </w:pPr>
            <w:r>
              <w:rPr>
                <w:rFonts w:ascii="Arial" w:cs="Arial" w:eastAsia="Arial" w:hAnsi="Arial"/>
                <w:sz w:val="18"/>
                <w:szCs w:val="18"/>
                <w:color w:val="auto"/>
              </w:rPr>
              <w:t>From</w:t>
            </w:r>
          </w:p>
        </w:tc>
        <w:tc>
          <w:tcPr>
            <w:tcW w:w="6120" w:type="dxa"/>
            <w:vAlign w:val="bottom"/>
          </w:tcPr>
          <w:p>
            <w:pPr>
              <w:ind w:left="120"/>
              <w:spacing w:after="0"/>
              <w:rPr>
                <w:sz w:val="20"/>
                <w:szCs w:val="20"/>
                <w:color w:val="auto"/>
              </w:rPr>
            </w:pPr>
            <w:r>
              <w:rPr>
                <w:rFonts w:ascii="Arial" w:cs="Arial" w:eastAsia="Arial" w:hAnsi="Arial"/>
                <w:sz w:val="18"/>
                <w:szCs w:val="18"/>
                <w:color w:val="auto"/>
              </w:rPr>
              <w:t>Gain on loans held for sale, net</w:t>
            </w:r>
          </w:p>
        </w:tc>
        <w:tc>
          <w:tcPr>
            <w:tcW w:w="3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8,613</w:t>
            </w:r>
          </w:p>
        </w:tc>
      </w:tr>
      <w:tr>
        <w:trPr>
          <w:trHeight w:val="27"/>
        </w:trPr>
        <w:tc>
          <w:tcPr>
            <w:tcW w:w="8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From</w:t>
            </w:r>
          </w:p>
        </w:tc>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revenue, net</w:t>
            </w:r>
          </w:p>
        </w:tc>
        <w:tc>
          <w:tcPr>
            <w:tcW w:w="3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24,263</w:t>
            </w:r>
          </w:p>
        </w:tc>
      </w:tr>
      <w:tr>
        <w:trPr>
          <w:trHeight w:val="243"/>
        </w:trPr>
        <w:tc>
          <w:tcPr>
            <w:tcW w:w="800" w:type="dxa"/>
            <w:vAlign w:val="bottom"/>
          </w:tcPr>
          <w:p>
            <w:pPr>
              <w:ind w:left="280"/>
              <w:spacing w:after="0"/>
              <w:rPr>
                <w:sz w:val="20"/>
                <w:szCs w:val="20"/>
                <w:color w:val="auto"/>
              </w:rPr>
            </w:pPr>
            <w:r>
              <w:rPr>
                <w:rFonts w:ascii="Arial" w:cs="Arial" w:eastAsia="Arial" w:hAnsi="Arial"/>
                <w:sz w:val="18"/>
                <w:szCs w:val="18"/>
                <w:color w:val="auto"/>
              </w:rPr>
              <w:t>From</w:t>
            </w:r>
          </w:p>
        </w:tc>
        <w:tc>
          <w:tcPr>
            <w:tcW w:w="6120" w:type="dxa"/>
            <w:vAlign w:val="bottom"/>
          </w:tcPr>
          <w:p>
            <w:pPr>
              <w:ind w:left="120"/>
              <w:spacing w:after="0"/>
              <w:rPr>
                <w:sz w:val="20"/>
                <w:szCs w:val="20"/>
                <w:color w:val="auto"/>
              </w:rPr>
            </w:pPr>
            <w:r>
              <w:rPr>
                <w:rFonts w:ascii="Arial" w:cs="Arial" w:eastAsia="Arial" w:hAnsi="Arial"/>
                <w:sz w:val="18"/>
                <w:szCs w:val="18"/>
                <w:color w:val="auto"/>
              </w:rPr>
              <w:t>Servicing and subservicing fees</w:t>
            </w:r>
          </w:p>
        </w:tc>
        <w:tc>
          <w:tcPr>
            <w:tcW w:w="3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7"/>
        </w:trPr>
        <w:tc>
          <w:tcPr>
            <w:tcW w:w="8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t>
            </w:r>
          </w:p>
        </w:tc>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Reverse mortgage revenue, net (New line item)</w:t>
            </w:r>
          </w:p>
        </w:tc>
        <w:tc>
          <w:tcPr>
            <w:tcW w:w="3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32,123</w:t>
            </w:r>
          </w:p>
        </w:tc>
      </w:tr>
      <w:tr>
        <w:trPr>
          <w:trHeight w:val="351"/>
        </w:trPr>
        <w:tc>
          <w:tcPr>
            <w:tcW w:w="692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31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reclassifications, we have made the following presentation changes:</w:t>
      </w:r>
    </w:p>
    <w:p>
      <w:pPr>
        <w:spacing w:after="0" w:line="225" w:lineRule="exact"/>
        <w:rPr>
          <w:sz w:val="20"/>
          <w:szCs w:val="20"/>
          <w:color w:val="auto"/>
        </w:rPr>
      </w:pPr>
    </w:p>
    <w:p>
      <w:pPr>
        <w:ind w:left="660" w:right="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unaudited consolidated statements of operations, we now separately present MSR valuation adjustments, net from Total expenses, renamed “Operating expenses”. The purpose of this reclassification is to separately present fair value changes from operating expenses and provide additional insights on the nature of our performance.</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Other income (expense), net on the unaudited consolidated statements of operations, we now present the expense related to the pledged MSR liability recorded at fair value separately from Interest expense. The purpose of this reclassification is to improve transparency between the interest expense associated with interest-bearing liabilities recorded on an accrual basis and expenses that are attributable to the pledged MSR liability recorded at fair value. The pledged MSR liability is the obligation to deliver to NRZ all contractual cash flows associated with the underlying MSR that did not meet the requirements for sale accounting treatment. The Pledged MSR liability expense reflects net servicing fee remittance and fair value changes.</w:t>
      </w:r>
    </w:p>
    <w:p>
      <w:pPr>
        <w:spacing w:after="0" w:line="2"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Total assets section of our consolidated balance sheet at December 31, 2019, we reclassified Match funded advances to Advances to present all servicing-related advances as a single line item.</w:t>
      </w: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Cash flows from operating activities section, we reclassified Amortization of debt issuance costs of $0.7 million from Other, net to a new separate line item.</w:t>
      </w:r>
    </w:p>
    <w:p>
      <w:pPr>
        <w:ind w:left="660" w:right="12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Cash flows from investing activities section, we reclassified Proceeds from sale of real estate of $1.7 million from Other, net to a new separate line.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Financial Instruments - Credit Losses: Measurement of Credit Losses on Financial Instruments (ASU 2016-13 and ASU 2019-04)</w:t>
      </w:r>
    </w:p>
    <w:p>
      <w:pPr>
        <w:spacing w:after="0" w:line="13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This ASU requires the 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w:t>
      </w:r>
    </w:p>
    <w:p>
      <w:pPr>
        <w:spacing w:after="0" w:line="5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adopted this standard on January 1, 2020 by applying the guidance at the adoption date with a cumulative-effect adjustment to the opening balance of retained earnings. We used the modified retrospective method for all financial assets in scope of the standard. Our statements of operations for reporting periods beginning after January 1, 2020 are presented under the new guidance, while prior period amounts continue to be reported in accordance with previously applicable GAAP. As permitted by this standard, we made an irrevocable fair value election for certain financial instruments within the scope of the standard. We elected the fair value option for future draw commitments for HECM loans purchased or originated before January 1, 2019. For the HECM loan future draw commitments, we recorded a $47.0 million cumulative-effect transition gain adjustment (before income taxes) to retained earnings as of January 1, 2020 to recognize the fair value as of that date. We did not record any significant net tax effect related to this adjustment as the increase in the deferred tax liability was offset by a corresponding decrease to the valuation allowance. The transition adjustment related to financial instruments for which we are not electing the fair value option did not result in any significant adjustment to the opening balance of retained earnings. Our measurement of lifetime expected credit losses is based on relevant qualitative and quantitative information about past events, including historical loss experience, current conditions, and reasonable and supportable forecasts that affect collectability.</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665" w:right="379" w:bottom="1440" w:gutter="0" w:footer="0" w:header="0"/>
        </w:sectPr>
      </w:pPr>
    </w:p>
    <w:bookmarkStart w:id="14" w:name="page15"/>
    <w:bookmarkEnd w:id="14"/>
    <w:p>
      <w:pPr>
        <w:ind w:left="340"/>
        <w:spacing w:after="0"/>
        <w:rPr>
          <w:sz w:val="20"/>
          <w:szCs w:val="20"/>
          <w:color w:val="auto"/>
        </w:rPr>
      </w:pPr>
      <w:r>
        <w:rPr>
          <w:rFonts w:ascii="Arial" w:cs="Arial" w:eastAsia="Arial" w:hAnsi="Arial"/>
          <w:sz w:val="17"/>
          <w:szCs w:val="17"/>
          <w:b w:val="1"/>
          <w:bCs w:val="1"/>
          <w:color w:val="auto"/>
        </w:rPr>
        <w:t>Fair Value Measurement: Disclosure Framework - Changes to the Disclosure Requirements for Fair Value Measurement (ASU 2018-13)</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This ASU modifies the disclosure requirements for fair value measurements in FASB ASC Topic 820, Fair Value Measurement. The main provisions in this ASU include removal of the following disclosure requirements: 1) the amount of and reasons for transfers between Level 1 and Level 2 of the fair value hierarchy, 2) the policy for timing of transfers between levels and 3) the valuation processes for Level 3 fair value measurements. This standard adds disclosure requirements to report the changes in unrealized gains and losses for the period included in other comprehensive income for recurring Level 3 fair value measurements held at the end of the reporting period, and for certain unobservable inputs an entity may disclose other quantitative information in lieu of the weighted average if the entity determines that other quantitative information would be a more reasonable and rational method to reflect the distribution of unobservable inputs used to develop Level 3 fair value measurements.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adoption of this standard on January 1, 2020 did not have a material impact on our unaudited consolidated financial statements.</w:t>
      </w:r>
    </w:p>
    <w:p>
      <w:pPr>
        <w:spacing w:after="0" w:line="113" w:lineRule="exact"/>
        <w:rPr>
          <w:sz w:val="20"/>
          <w:szCs w:val="20"/>
          <w:color w:val="auto"/>
        </w:rPr>
      </w:pPr>
    </w:p>
    <w:p>
      <w:pPr>
        <w:ind w:left="340" w:right="60"/>
        <w:spacing w:after="0" w:line="282" w:lineRule="auto"/>
        <w:rPr>
          <w:sz w:val="20"/>
          <w:szCs w:val="20"/>
          <w:color w:val="auto"/>
        </w:rPr>
      </w:pPr>
      <w:r>
        <w:rPr>
          <w:rFonts w:ascii="Arial" w:cs="Arial" w:eastAsia="Arial" w:hAnsi="Arial"/>
          <w:sz w:val="18"/>
          <w:szCs w:val="18"/>
          <w:b w:val="1"/>
          <w:bCs w:val="1"/>
          <w:color w:val="auto"/>
        </w:rPr>
        <w:t>Intangibles - Goodwill and Other - Internal-Use Software: Customer’s Accounting for Implementation Costs Incurred in a Cloud Computing Arrangement That Is a Service Contract (ASU 2018-15)</w:t>
      </w:r>
    </w:p>
    <w:p>
      <w:pPr>
        <w:spacing w:after="0" w:line="58"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require an entity (customer) in a hosting arrangement that is a service contract to follow the guidance to determine which implementation costs to capitalize as an asset related to the service contract and which costs to expense. The amendments in this ASU require the entity (customer) to expense the capitalized implementation costs of a hosting arrangement that is a service contract over the term of the hosting arrangement. The amendments in this ASU also require the entity to present the expense related to the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w:t>
      </w:r>
    </w:p>
    <w:p>
      <w:pPr>
        <w:spacing w:after="0" w:line="11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Upon adoption of this standard on January 1, 2020, we elected to apply the amendments in this ASU prospectively to all implementation costs incurred subsequent to that date. Our adoption of this standard did not have a material impact on our unaudited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Simplifying the Accounting for Income Taxes (ASU 2019-12)</w:t>
      </w:r>
    </w:p>
    <w:p>
      <w:pPr>
        <w:spacing w:after="0" w:line="12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On December 18, 2019, the FASB issued this ASU to ASC Topic 740, Income Taxes, as part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5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This standard will be effective for us on January 1, 2021. Early adoption is permitted in any interim or annual period, with any adjustments reflected as of the beginning of the fiscal year of adoption. If an entity chooses to early adopt, it must adopt all changes as a result of the ASU. We are currently evaluating the effect of this standard.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Cost Re-Engineering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February 2019, we announced our intention to execute cost re-engineering opportunities in order to drive stronger financial performance and, in the longer term, simplify our operations. Our cost re-engineering plan extended beyond eliminating redundant costs through the integration process and addressed organizational, process and control redesign and automation, human capital planning, off-shore utilization, strategic sourcing and facilities rationalization. Costs for this plan included severance, retention and other incentive awards, facilities-related costs and other costs to execute the reorganization. While we continue to pursue additional cost re-engineering initiatives, this $65.0 million cost re-engineering plan announced in February 2019 was completed by December 31, 2019. Our remaining liability at March 31, 2020 is $5.9 million and is included in Other accrued expenses, a component of Other liabilities.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661" w:right="35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color w:val="auto"/>
        </w:rPr>
        <w:t>The following table provides a summary of plan costs incurred during the three months ended March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Employee-related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incurred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19,163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2,973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22,136</w:t>
            </w:r>
          </w:p>
        </w:tc>
      </w:tr>
      <w:tr>
        <w:trPr>
          <w:trHeight w:val="27"/>
        </w:trPr>
        <w:tc>
          <w:tcPr>
            <w:tcW w:w="6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above expenses were all incurred within the Corporate Items and Other segment. Employee-related costs are reported in Compensation and benefits expense in the unaudited consolidated statements of operations. Other costs are primarily reported in Professional services expense and Other expenses.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using special purpose entities (SPEs) or VIEs into three groups: (1) securitizations of residential mortgage loans, (2) financings of advances and (3) MSR financings. Financing transactions that do not use SPEs or VIEs are disclosed in Note 11 – Borrowings.</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have determined that the SPEs created in connection with our match funded advance financing facilities are VIEs for which we are the primary beneficiary.</w:t>
      </w:r>
    </w:p>
    <w:p>
      <w:pPr>
        <w:spacing w:after="0" w:line="6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5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of loans accounted for as sales that were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from securitizations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242,960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Servicing fees collected (1)</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15,918</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7"/>
        </w:trPr>
        <w:tc>
          <w:tcPr>
            <w:tcW w:w="79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829,646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257,974</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58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168"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In connection with these transfers, we retained MSRs of $6.6 million and $0.8 million during the three months ended March 31, 2020 and 2019, respectively. We securitize forward and reverse residential mortgage loans involving the GSEs and loans insured by the FHA or VA through Ginnie Mae.</w:t>
      </w:r>
    </w:p>
    <w:p>
      <w:pPr>
        <w:spacing w:after="0" w:line="16"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665" w:right="339" w:bottom="1440" w:gutter="0" w:footer="0" w:header="0"/>
        </w:sectPr>
      </w:pPr>
    </w:p>
    <w:bookmarkStart w:id="16" w:name="page17"/>
    <w:bookmarkEnd w:id="16"/>
    <w:p>
      <w:pPr>
        <w:ind w:right="18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8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7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MSRs,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83,582</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109,581</w:t>
            </w:r>
          </w:p>
        </w:tc>
      </w:tr>
      <w:tr>
        <w:trPr>
          <w:trHeight w:val="27"/>
        </w:trPr>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141,829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UPB of loans transferred</w:t>
            </w: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15,831,062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14,490,984</w:t>
            </w:r>
          </w:p>
        </w:tc>
      </w:tr>
      <w:tr>
        <w:trPr>
          <w:trHeight w:val="27"/>
        </w:trPr>
        <w:tc>
          <w:tcPr>
            <w:tcW w:w="7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exposure to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16,041,758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14,742,394</w:t>
            </w: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2020 and December 31, 2019, 7.2% and 7.7%, respectively, of the transferred residential loans that we service were 60 days or more past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 The changes in fair value of the HECM loans and HMBS-related borrowings are included in Reverse mortgage revenue, net in our unaudited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w:t>
      </w:r>
    </w:p>
    <w:p>
      <w:pPr>
        <w:spacing w:after="0" w:line="12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Match funded advances, i.e., advances that are pledged as collateral to our advance facilities, result from our transfers of residential loan servicing advances to SPEs in exchange for cash. We consolidate these SPEs because we have determined that Ocwen is the primary beneficiary of the SPEs. These SPEs issue debt supported by collections on the transferred advances, and we refer to this debt as Advance match funded liabilities.</w:t>
      </w:r>
    </w:p>
    <w:p>
      <w:pPr>
        <w:spacing w:after="0" w:line="4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Advance match funded debt until the payment dates specified in the indenture are classified as debt service accounts within Restricted cash in our unaudited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advance facilities are held in the name of the SPE created in connection with the facility.</w:t>
      </w:r>
    </w:p>
    <w:p>
      <w:pPr>
        <w:spacing w:after="0" w:line="6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classify the transferred advances on our unaudited consolidated balance sheets as a component of Advances, net and the related liabilities as Advance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Advances, Restricted cash (Debt service accounts), Advance match funded liabilities and amounts due to affiliates. Amounts due to affiliates are eliminated in consolidation in our unaudited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Financings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On July 1, 2019, we entered into a $300.0 million financing facility with a third-party secured by certain Fannie Mae and Freddie Mac MSRs (Agency MSRs). Two trusts were established in connection with this facility. On July 1, 2019 we entered into an MSR Excess Spread Participation Agreement under which we created a 100% participation interest in the portfolio excess servicing fees, pursuant to which the holder of the participation interest is entitled to receive certain funds collected on the related portfolio of mortgage loans (other than ancillary income and advance reimbursement amounts) with respect to such Portfolio Excess Servicing Fees. This participation interest has been contributed to the trusts.</w:t>
      </w:r>
    </w:p>
    <w:p>
      <w:pPr>
        <w:spacing w:after="0" w:line="6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connection with this facility, we entered into repurchase agreements with a third-party pursuant to which we sold trust certificates of the trusts representing certain indirect economic interests in the Agency MSRs and agreed to repurchase such certificates at a future date at the repurchase price set forth in the repurchase agreements. Our obligations under the facility 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665" w:right="339" w:bottom="1440" w:gutter="0" w:footer="0" w:header="0"/>
        </w:sectPr>
      </w:pPr>
    </w:p>
    <w:bookmarkStart w:id="17" w:name="page18"/>
    <w:bookmarkEnd w:id="17"/>
    <w:p>
      <w:pPr>
        <w:ind w:right="260"/>
        <w:spacing w:after="0" w:line="277" w:lineRule="auto"/>
        <w:rPr>
          <w:sz w:val="20"/>
          <w:szCs w:val="20"/>
          <w:color w:val="auto"/>
        </w:rPr>
      </w:pPr>
      <w:r>
        <w:rPr>
          <w:rFonts w:ascii="Arial" w:cs="Arial" w:eastAsia="Arial" w:hAnsi="Arial"/>
          <w:sz w:val="18"/>
          <w:szCs w:val="18"/>
          <w:color w:val="auto"/>
        </w:rPr>
        <w:t>secured by a lien on the related Agency MSRs. In addition, Ocwen guarantees the obligations under the facility. This facility will terminate in June 2020 unless the parties mutually agree to renew or extend.</w:t>
      </w:r>
    </w:p>
    <w:p>
      <w:pPr>
        <w:spacing w:after="0" w:line="62"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We determined that the trusts are VIEs for which we are the primary beneficiary. Therefore, we have included the trusts in our consolidated financial statements effective July 1, 2019.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Agency MSR financing facility: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pledged (MSRs, at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245,533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Unamortized debt issuance costs (Other assets)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946</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service account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Outstanding borrowings (Other secured borrowings, net)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114,290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147,706</w:t>
            </w:r>
          </w:p>
        </w:tc>
      </w:tr>
    </w:tbl>
    <w:p>
      <w:pPr>
        <w:spacing w:after="0" w:line="13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7"/>
          <w:szCs w:val="17"/>
          <w:color w:val="auto"/>
        </w:rPr>
        <w:t>On November 26, 2019, we issued $100.0 million Ocwen Excess Spread-Collateralized Notes, Series 2019-PLS1 Class A (PLS Notes) secured by certain of PMC’s private label MSRs (PLS MSRs). PMC PLS ESR Issuer LLC (PLS Issuer) was established in this connection as a wholly owned subsidiary of PMC. PMC entered into an MSR Excess Spread Participation Agreement with PLS Issuer. PMC created a participation interest in the excess servicing fees, related float and REO fees pursuant to which the holder of the participation interest will be entitled to receive such Excess Servicing Fees, related float and REO fees. PMC holds the MSRs and services the loans which create the related excess cash flows pledged under the MSR Excess Spread Participation Agreement. PLS Issuer’s obligations under the facility are secured by a lien on the related PLS MSRs. PMC sold a participation certificate representing certain economic interests in the PLS MSRs and in order to secure its obligations under the participation certificate, it granted a security interest to PLS Issuer in the PLS MSRs. The PLS Issuer assigned the security interest in the PLS MSRs to the collateral agent for the noteholders. Ocwen guarantees the obligations of PLS Issuer under the facility.</w:t>
      </w:r>
    </w:p>
    <w:p>
      <w:pPr>
        <w:spacing w:after="0" w:line="5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determined that PLS Issuer is a VIE for which we are the primary beneficiary. Therefore, we have included PLS Issuer in our consolidated financial statements effective November 26, 2019.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PLS Notes facility: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pledged (MSRs, at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146,215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Debt service account (Restricted cash)</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3,002</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borrowings (Other secured borrowings,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94,395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Unamortized debt issuance costs (Other secured borrowings, net)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Securitizations</w:t>
      </w:r>
    </w:p>
    <w:p>
      <w:pPr>
        <w:spacing w:after="0" w:line="12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The table below presents the carrying value and classification of the assets and liabilities of two consolidated mortgage-backed securitization trusts included in our unaudited consolidated balance sheets as a result of residual securities we acquired which were issued by the trusts.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investment, at fair value - Restricted for securitization investors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Financing liability - Owed to securitization investors, at fair value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21,365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22,002</w:t>
            </w:r>
          </w:p>
        </w:tc>
      </w:tr>
      <w:tr>
        <w:trPr>
          <w:trHeight w:val="459"/>
        </w:trPr>
        <w:tc>
          <w:tcPr>
            <w:tcW w:w="7980" w:type="dxa"/>
            <w:vAlign w:val="bottom"/>
          </w:tcPr>
          <w:p>
            <w:pPr>
              <w:jc w:val="right"/>
              <w:ind w:right="217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8" w:name="page19"/>
    <w:bookmarkEnd w:id="18"/>
    <w:p>
      <w:pPr>
        <w:ind w:right="20" w:firstLine="324"/>
        <w:spacing w:after="0" w:line="263" w:lineRule="auto"/>
        <w:rPr>
          <w:sz w:val="20"/>
          <w:szCs w:val="20"/>
          <w:color w:val="auto"/>
        </w:rPr>
      </w:pPr>
      <w:r>
        <w:rPr>
          <w:rFonts w:ascii="Arial" w:cs="Arial" w:eastAsia="Arial" w:hAnsi="Arial"/>
          <w:sz w:val="18"/>
          <w:szCs w:val="18"/>
          <w:color w:val="auto"/>
        </w:rPr>
        <w:t>We have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Upon consolidation of the securitization trusts, we elected to apply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collateralized financing entities. The measurement alternative requires a reporting entity to use the more observable of the fair value of the financial assets or the financial liabilities to measure both the financial assets and the financial liabilities of the entity. We determined that the fair value of the loans held by the trusts is more observable than the fair value of the debt certificates issued by the trusts. Through the application of the measurement alternative, the fair value of the financial liabilities of the trusts are measured as the difference between the fair value of the financial assets and the fair value of our investment in the residual securities of the trusts.</w:t>
      </w:r>
    </w:p>
    <w:p>
      <w:pPr>
        <w:spacing w:after="0" w:line="19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Holders of the debt issued by the two securitization trust entities have recourse only to the assets of the SPE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securities of the trusts, our MSRs and related advances.</w:t>
      </w: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84"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23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sale, at fair value (a) (f)</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3, 2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208,752</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66,517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66,517</w:t>
            </w:r>
          </w:p>
        </w:tc>
      </w:tr>
      <w:tr>
        <w:trPr>
          <w:trHeight w:val="27"/>
        </w:trPr>
        <w:tc>
          <w:tcPr>
            <w:tcW w:w="50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Loans held for sale</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246,015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246,015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275,269</w:t>
            </w:r>
          </w:p>
        </w:tc>
      </w:tr>
      <w:tr>
        <w:trPr>
          <w:trHeight w:val="20"/>
        </w:trPr>
        <w:tc>
          <w:tcPr>
            <w:tcW w:w="5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6"/>
        </w:trPr>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investment</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Loans held for investment - Reverse mortgages (a)</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6,568,821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6,568,821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6,269,596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6,269,596</w:t>
            </w: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Loans held for investment - Restricted for securitization investors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23,342</w:t>
            </w:r>
          </w:p>
        </w:tc>
      </w:tr>
      <w:tr>
        <w:trPr>
          <w:trHeight w:val="297"/>
        </w:trPr>
        <w:tc>
          <w:tcPr>
            <w:tcW w:w="5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loans held for investment</w:t>
            </w: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6,591,382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6,591,382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6,292,938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6,292,938</w:t>
            </w:r>
          </w:p>
        </w:tc>
      </w:tr>
      <w:tr>
        <w:trPr>
          <w:trHeight w:val="216"/>
        </w:trPr>
        <w:tc>
          <w:tcPr>
            <w:tcW w:w="5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432"/>
        </w:trPr>
        <w:tc>
          <w:tcPr>
            <w:tcW w:w="508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23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Advances, net (c)</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1,024,807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1,024,807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1,056,523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1,056,523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 (c)</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201,220</w:t>
            </w: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Mortgage-backed securities (a)</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 (a)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Advance match funded liabilities (c)</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625,951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631,247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679,109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679,507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HMBS-related borrowings (a)</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6,323,091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6,323,091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6,063,435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liability - MSRs pledged (Rights to MSRs) (a) (e)</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950,593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Financing liability - Owed to securitization investors (a)</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Financing liabilities</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6,946,140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6,946,140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7,036,030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7,036,030</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secured term loan (c) (d)</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324,643</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Other (c)</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605,805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580,569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703,033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686,146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secured borrowings</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797,615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758,115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1,025,791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1,010,789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Senior unsecured notes (c) (d)</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secured notes (c) (d)</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256,201</w:t>
            </w:r>
          </w:p>
        </w:tc>
        <w:tc>
          <w:tcPr>
            <w:tcW w:w="0" w:type="dxa"/>
            <w:vAlign w:val="bottom"/>
          </w:tcPr>
          <w:p>
            <w:pPr>
              <w:spacing w:after="0"/>
              <w:rPr>
                <w:sz w:val="1"/>
                <w:szCs w:val="1"/>
                <w:color w:val="auto"/>
              </w:rPr>
            </w:pPr>
          </w:p>
        </w:tc>
      </w:tr>
      <w:tr>
        <w:trPr>
          <w:trHeight w:val="297"/>
        </w:trPr>
        <w:tc>
          <w:tcPr>
            <w:tcW w:w="5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Senior notes</w:t>
            </w: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311,290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253,281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311,085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270,022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Derivative financial instrument assets (liabilities)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 (a) (f)</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3, 2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Forward trades - Loans held for sale (a)</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TBA / Forward mortgage-backed securities (MBS) trades and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futures - MSR hedging (a)</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MSRs (a) (e)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1,050,228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1,050,228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1,486,395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1,486,395</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11 – Borrowings for additional information</w:t>
      </w:r>
      <w:r>
        <w:rPr>
          <w:rFonts w:ascii="Arial" w:cs="Arial" w:eastAsia="Arial" w:hAnsi="Arial"/>
          <w:sz w:val="16"/>
          <w:szCs w:val="16"/>
          <w:b w:val="1"/>
          <w:bCs w:val="1"/>
          <w:color w:val="auto"/>
        </w:rPr>
        <w:t>.</w:t>
      </w:r>
    </w:p>
    <w:p>
      <w:pPr>
        <w:spacing w:after="0" w:line="5"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rollforward of the beginning and ending balances of MSRs and Financing liability - MSRs pledged that we measure at fair value on a recurring basis is provided in Note 7 – Mortgage Servicing and Note 8 — Rights to MSRs, respectively.</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at March 31, 2020 and Level 2 at December 31, 2019.</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15" w:right="339" w:bottom="1440" w:gutter="0" w:footer="0" w:header="0"/>
        </w:sectPr>
      </w:pPr>
    </w:p>
    <w:bookmarkStart w:id="20" w:name="page21"/>
    <w:bookmarkEnd w:id="20"/>
    <w:p>
      <w:pPr>
        <w:ind w:right="340" w:firstLine="324"/>
        <w:spacing w:after="0" w:line="277" w:lineRule="auto"/>
        <w:rPr>
          <w:sz w:val="20"/>
          <w:szCs w:val="20"/>
          <w:color w:val="auto"/>
        </w:rPr>
      </w:pPr>
      <w:r>
        <w:rPr>
          <w:rFonts w:ascii="Arial" w:cs="Arial" w:eastAsia="Arial" w:hAnsi="Arial"/>
          <w:sz w:val="18"/>
          <w:szCs w:val="18"/>
          <w:color w:val="auto"/>
        </w:rPr>
        <w:t>The following tables present a rollforward of the beginning and ending balances of Level 3 assets and liabilities that we measure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Liability -</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Owed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Investment -</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 - Restricted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Securit -</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Loans Held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Reverse</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HMBS-Related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Securitiza-</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ization</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Sale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Backed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Borrowings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tion Investors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Investors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20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IRLCs</w:t>
            </w:r>
          </w:p>
        </w:tc>
      </w:tr>
      <w:tr>
        <w:trPr>
          <w:trHeight w:val="27"/>
        </w:trPr>
        <w:tc>
          <w:tcPr>
            <w:tcW w:w="40" w:type="dxa"/>
            <w:vAlign w:val="bottom"/>
          </w:tcPr>
          <w:p>
            <w:pPr>
              <w:spacing w:after="0"/>
              <w:rPr>
                <w:sz w:val="2"/>
                <w:szCs w:val="2"/>
                <w:color w:val="auto"/>
              </w:rPr>
            </w:pPr>
          </w:p>
        </w:tc>
        <w:tc>
          <w:tcPr>
            <w:tcW w:w="2800" w:type="dxa"/>
            <w:vAlign w:val="bottom"/>
            <w:gridSpan w:val="3"/>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21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Three months ended March</w:t>
            </w:r>
          </w:p>
        </w:tc>
        <w:tc>
          <w:tcPr>
            <w:tcW w:w="70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w w:val="96"/>
              </w:rPr>
              <w:t>31, 2020</w:t>
            </w: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6,269,596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(6,063,434)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Cumulative effect of fair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value election</w:t>
            </w:r>
          </w:p>
        </w:tc>
        <w:tc>
          <w:tcPr>
            <w:tcW w:w="1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47,038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Purchases, issuances, sales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settlements</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Issuances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294,932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Transfers (to) from:</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Loans held for sale, at fair</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165,903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(139,820)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and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unrealized gains (losses)</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Included in earnings: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Calls and other</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133,322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98"/>
              </w:rPr>
              <w:t>Transfers in and / or out of</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25,582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10,478</w:t>
            </w:r>
          </w:p>
        </w:tc>
      </w:tr>
      <w:tr>
        <w:trPr>
          <w:trHeight w:val="27"/>
        </w:trPr>
        <w:tc>
          <w:tcPr>
            <w:tcW w:w="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6,568,821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(6,323,091)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10,478</w:t>
            </w:r>
          </w:p>
        </w:tc>
      </w:tr>
      <w:tr>
        <w:trPr>
          <w:trHeight w:val="20"/>
        </w:trPr>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80"/>
          </w:cols>
          <w:pgMar w:left="320" w:top="665" w:right="39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Loans Held for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Loans Held for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 - Restricted</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Liability - Owed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Derivatives -</w:t>
            </w:r>
          </w:p>
        </w:tc>
      </w:tr>
      <w:tr>
        <w:trPr>
          <w:trHeight w:val="216"/>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Investment -</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HMBS-Related</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Securitiza-</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to Securit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Backed</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Reverse Mortgages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Borrowings</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tion Investors</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ization Investors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Caps</w:t>
            </w:r>
          </w:p>
        </w:tc>
      </w:tr>
      <w:tr>
        <w:trPr>
          <w:trHeight w:val="27"/>
        </w:trPr>
        <w:tc>
          <w:tcPr>
            <w:tcW w:w="40" w:type="dxa"/>
            <w:vAlign w:val="bottom"/>
          </w:tcPr>
          <w:p>
            <w:pPr>
              <w:spacing w:after="0"/>
              <w:rPr>
                <w:sz w:val="2"/>
                <w:szCs w:val="2"/>
                <w:color w:val="auto"/>
              </w:rPr>
            </w:pPr>
          </w:p>
        </w:tc>
        <w:tc>
          <w:tcPr>
            <w:tcW w:w="2800" w:type="dxa"/>
            <w:vAlign w:val="bottom"/>
            <w:gridSpan w:val="3"/>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24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92"/>
              </w:rPr>
              <w:t>Three months ended March 31,</w:t>
            </w:r>
          </w:p>
        </w:tc>
        <w:tc>
          <w:tcPr>
            <w:tcW w:w="34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79"/>
              </w:rPr>
              <w:t>2019</w:t>
            </w: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5,472,199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r>
      <w:tr>
        <w:trPr>
          <w:trHeight w:val="229"/>
        </w:trPr>
        <w:tc>
          <w:tcPr>
            <w:tcW w:w="4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3"/>
              </w:rPr>
              <w:t>Purchases, issuances, sales and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21"/>
                <w:szCs w:val="21"/>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209,264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(104,630)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102,389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(to) from:</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Arial" w:cs="Arial" w:eastAsia="Arial" w:hAnsi="Arial"/>
                <w:sz w:val="18"/>
                <w:szCs w:val="18"/>
                <w:color w:val="auto"/>
              </w:rPr>
              <w:t>Loans held for sale, at fair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60" w:type="dxa"/>
            <w:vAlign w:val="bottom"/>
          </w:tcPr>
          <w:p>
            <w:pPr>
              <w:ind w:left="30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104,051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Total realized and unrealized</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gains (losses)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46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1"/>
                <w:szCs w:val="21"/>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150,667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Calls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150,667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4"/>
              </w:rPr>
              <w:t>Transfers in and / or out of Level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5,726,917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(5,614,688)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generally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purchase certain loans from Ginnie Mae guaranteed securitizations in connection with loan modifications, strategic early buyouts (EBO) and loan resolution activity as part of our contractual obligations as the servicer of the loans. On January 1, 2020, we elected to classify any repurchased loans after January 1, 2020 as loans held for sale at fair value. Modified and EBO loans purchased before January 1, 2020 are classified as loans held for sale at the lower of cost or fair value. We expect to redeliver (sell) the loans into new Ginnie Mae guaranteed securitizations (in the case of modified loans) or sell the loans to a private investor (in the case of EBO loans). The fair value of these loans was estimated using published forward Ginnie Mae prices or existing sale contracts at December 31, 2019. At March 31, 2020, as a result of the volatility of capital markets due to the COVID-19 pandemic, loans with a fair value of $25.6 million required the use of significant unobservable inputs, including the assumptions of the embedded MSR, margin and yield, and was classified as Level 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15" w:right="339" w:bottom="1440" w:gutter="0" w:footer="0" w:header="0"/>
        </w:sectPr>
      </w:pPr>
    </w:p>
    <w:bookmarkStart w:id="22" w:name="page23"/>
    <w:bookmarkEnd w:id="22"/>
    <w:p>
      <w:pPr>
        <w:jc w:val="both"/>
        <w:ind w:right="20" w:firstLine="324"/>
        <w:spacing w:after="0" w:line="308" w:lineRule="auto"/>
        <w:rPr>
          <w:sz w:val="20"/>
          <w:szCs w:val="20"/>
          <w:color w:val="auto"/>
        </w:rPr>
      </w:pPr>
      <w:r>
        <w:rPr>
          <w:rFonts w:ascii="Arial" w:cs="Arial" w:eastAsia="Arial" w:hAnsi="Arial"/>
          <w:sz w:val="17"/>
          <w:szCs w:val="17"/>
          <w:color w:val="auto"/>
        </w:rPr>
        <w:t>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determine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measure these loans at fair value based on the expected future cash flows discounted over the expected life of the loans at a rate commensurate with the risk of the estimated cash flows, including all future draw commitments for HECM loans. On January 1, 2019, we made an irrevocable fair value election on all future draw commitments for HECM loans that were purchased or originated on or after January 1, 2019. In connection with our adoption of ASU 2016-13 on January 1, 2020, we made an irrevocable fair value election on all future draw commitments for HECM loans that were purchased or originated before January 1, 2019. Significant assumptions include expected future draws and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760" w:type="dxa"/>
            <w:vAlign w:val="bottom"/>
            <w:gridSpan w:val="2"/>
          </w:tcPr>
          <w:p>
            <w:pPr>
              <w:ind w:left="400"/>
              <w:spacing w:after="0"/>
              <w:rPr>
                <w:sz w:val="20"/>
                <w:szCs w:val="20"/>
                <w:color w:val="auto"/>
              </w:rPr>
            </w:pPr>
            <w:r>
              <w:rPr>
                <w:rFonts w:ascii="Arial" w:cs="Arial" w:eastAsia="Arial" w:hAnsi="Arial"/>
                <w:sz w:val="18"/>
                <w:szCs w:val="18"/>
                <w:b w:val="1"/>
                <w:bCs w:val="1"/>
                <w:color w:val="auto"/>
              </w:rPr>
              <w:t>March 31,</w:t>
            </w:r>
          </w:p>
        </w:tc>
        <w:tc>
          <w:tcPr>
            <w:tcW w:w="16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Life in years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1.2 to 8.4</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2.4 to 7.8</w:t>
            </w: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Range</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 to 24.3%</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 to 28.3%</w:t>
            </w: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8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 The effects of changes in the assumptions used to value the loans held for investment, excluding future draw commitments, are largely offset by the effects of changes in the assumptions used to value the HMBS-related borrowings that are associated with these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from a third-party broker/dealer and a third-party valuation expert. Significant assumptions used in the valuation include projected monthly payments, projected prepayments and defaults, property liquidation values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18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665"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rPr>
              <w:t>Mortgage prepayment speeds</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Delinquency rates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200"/>
              <w:spacing w:after="0"/>
              <w:rPr>
                <w:sz w:val="20"/>
                <w:szCs w:val="20"/>
                <w:color w:val="auto"/>
              </w:rPr>
            </w:pPr>
            <w:r>
              <w:rPr>
                <w:rFonts w:ascii="Arial" w:cs="Arial" w:eastAsia="Arial" w:hAnsi="Arial"/>
                <w:sz w:val="18"/>
                <w:szCs w:val="18"/>
                <w:color w:val="auto"/>
                <w:w w:val="95"/>
              </w:rPr>
              <w:t>Interest rate used for computing the cost of financing servicing</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24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advances</w:t>
            </w: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40" w:lineRule="exact"/>
        <w:rPr>
          <w:sz w:val="20"/>
          <w:szCs w:val="20"/>
          <w:color w:val="auto"/>
        </w:rPr>
      </w:pPr>
    </w:p>
    <w:p>
      <w:pPr>
        <w:ind w:left="480" w:hanging="445"/>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Curtailment on advances</w:t>
      </w:r>
    </w:p>
    <w:p>
      <w:pPr>
        <w:spacing w:after="0" w:line="32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MSRs are carried at fair value and classified within Level 3 of the valuation hierarchy. The fair value is determined using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22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 change in the valuation inputs or assumptions might result in a significantly higher or lower fair value measurement. Changes in market interest rates predominantly impact the fair value for Agency MSRs via prepayment speeds by altering the borrower refinance incentive and the non-Agency MSRs due to the impact on advance costs. Other key assumptions used in the valuation of these MSRs include delinquency rates and discount rates.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780"/>
              <w:spacing w:after="0"/>
              <w:rPr>
                <w:sz w:val="20"/>
                <w:szCs w:val="20"/>
                <w:color w:val="auto"/>
              </w:rPr>
            </w:pPr>
            <w:r>
              <w:rPr>
                <w:rFonts w:ascii="Arial" w:cs="Arial" w:eastAsia="Arial" w:hAnsi="Arial"/>
                <w:sz w:val="18"/>
                <w:szCs w:val="18"/>
                <w:b w:val="1"/>
                <w:bCs w:val="1"/>
                <w:color w:val="auto"/>
              </w:rPr>
              <w:t>March 31, 2020</w:t>
            </w:r>
          </w:p>
        </w:tc>
        <w:tc>
          <w:tcPr>
            <w:tcW w:w="320" w:type="dxa"/>
            <w:vAlign w:val="bottom"/>
          </w:tcPr>
          <w:p>
            <w:pPr>
              <w:spacing w:after="0"/>
              <w:rPr>
                <w:sz w:val="20"/>
                <w:szCs w:val="20"/>
                <w:color w:val="auto"/>
              </w:rPr>
            </w:pPr>
          </w:p>
        </w:tc>
        <w:tc>
          <w:tcPr>
            <w:tcW w:w="30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Non-Agency</w:t>
            </w: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4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prepayment speed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5-yr swap plus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5-yr swap plus</w:t>
            </w:r>
          </w:p>
        </w:tc>
      </w:tr>
      <w:tr>
        <w:trPr>
          <w:trHeight w:val="237"/>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financing cost</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5-yr swap minus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w w:val="94"/>
              </w:rPr>
              <w:t>5-yr swap minus</w:t>
            </w: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2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277</w:t>
            </w:r>
          </w:p>
        </w:tc>
      </w:tr>
    </w:tbl>
    <w:p>
      <w:pPr>
        <w:spacing w:after="0" w:line="12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a result of the market volatility and uncertainties due to the COVID-19 outbreak, management exercised significant judgment in determining and updating the key assumptions that market participants would use when pricing the MSR based on the known or knowable information as of March 31, 2020.</w:t>
      </w:r>
    </w:p>
    <w:p>
      <w:pPr>
        <w:spacing w:after="0" w:line="18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March 31, 2020 given hypothetical shifts in lifetime prepayments and yield assumptions: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Adverse change in fair value</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prepayment speeds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(100,320)</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(27,843)</w:t>
            </w:r>
          </w:p>
        </w:tc>
      </w:tr>
    </w:tbl>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March 31, 2020 are increased prepayment speeds and an increase in the yield assumption.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value advances at their net realizable value, which generally approximates fair value. Servicing advances have no stated maturity and do not bear interest. Principal and interest advances are generally realized within a relatively short period of time. The timing of recovery of taxes, insurance and other corporate advances depends on the underlying loan attributes, performance, and in many cases, foreclosure or liquidation timeline. The fair value adjustment to servicing advances associated with the estimated time to recover such advances is separately measured and reported as a component of the fair value of the</w:t>
      </w:r>
    </w:p>
    <w:p>
      <w:pPr>
        <w:sectPr>
          <w:pgSz w:w="11900" w:h="16838" w:orient="portrait"/>
          <w:cols w:equalWidth="0" w:num="1">
            <w:col w:w="11240"/>
          </w:cols>
          <w:pgMar w:left="320" w:top="66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665" w:right="339" w:bottom="1440" w:gutter="0" w:footer="0" w:header="0"/>
          <w:type w:val="continuous"/>
        </w:sectPr>
      </w:pPr>
    </w:p>
    <w:bookmarkStart w:id="24" w:name="page25"/>
    <w:bookmarkEnd w:id="24"/>
    <w:p>
      <w:pPr>
        <w:ind w:right="160"/>
        <w:spacing w:after="0" w:line="277" w:lineRule="auto"/>
        <w:rPr>
          <w:sz w:val="20"/>
          <w:szCs w:val="20"/>
          <w:color w:val="auto"/>
        </w:rPr>
      </w:pPr>
      <w:r>
        <w:rPr>
          <w:rFonts w:ascii="Arial" w:cs="Arial" w:eastAsia="Arial" w:hAnsi="Arial"/>
          <w:sz w:val="18"/>
          <w:szCs w:val="18"/>
          <w:color w:val="auto"/>
        </w:rPr>
        <w:t>associated MSR, consistent with actual market transactions. Refer to MSRs above for a description of the valuation methodology and assumptions related to the cost of financing servicing advances and discount rate, among other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unaudited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Match Funded Liabilities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advance match funded liabilities that bear interest at a rate that is adjusted regularly based on a market index, the carrying value approximates fair value. For advance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760" w:type="dxa"/>
            <w:vAlign w:val="bottom"/>
            <w:gridSpan w:val="2"/>
          </w:tcPr>
          <w:p>
            <w:pPr>
              <w:ind w:left="400"/>
              <w:spacing w:after="0"/>
              <w:rPr>
                <w:sz w:val="20"/>
                <w:szCs w:val="20"/>
                <w:color w:val="auto"/>
              </w:rPr>
            </w:pPr>
            <w:r>
              <w:rPr>
                <w:rFonts w:ascii="Arial" w:cs="Arial" w:eastAsia="Arial" w:hAnsi="Arial"/>
                <w:sz w:val="18"/>
                <w:szCs w:val="18"/>
                <w:b w:val="1"/>
                <w:bCs w:val="1"/>
                <w:color w:val="auto"/>
              </w:rPr>
              <w:t>March 31,</w:t>
            </w:r>
          </w:p>
        </w:tc>
        <w:tc>
          <w:tcPr>
            <w:tcW w:w="16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Life in years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1.2 to 8.4</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2.4 to 7.8</w:t>
            </w: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Range</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 to 24.3%</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 to 28.3%</w:t>
            </w: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8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92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have resulted in a significantly higher or lower fair value. </w:t>
      </w:r>
      <w:r>
        <w:rPr>
          <w:rFonts w:ascii="Arial" w:cs="Arial" w:eastAsia="Arial" w:hAnsi="Arial"/>
          <w:sz w:val="18"/>
          <w:szCs w:val="18"/>
          <w:i w:val="1"/>
          <w:iCs w:val="1"/>
          <w:color w:val="auto"/>
        </w:rPr>
        <w:t>MSRs Pledged (Rights to MSRs)</w:t>
      </w:r>
    </w:p>
    <w:p>
      <w:pPr>
        <w:spacing w:after="0" w:line="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have elected to measure and record these borrowings at fair value. We recognize the proceeds received in connection with Rights to MSRs transactions as a secured borrowing that we account for at fair value. We determine the fair value of the pledged MSR liability following a similar approach as for the associated pledged MSRs.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prepayment speed</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5-year swap plus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2"/>
              </w:rPr>
              <w:t>5-year swap plus</w:t>
            </w:r>
          </w:p>
        </w:tc>
      </w:tr>
      <w:tr>
        <w:trPr>
          <w:trHeight w:val="237"/>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financing cost</w:t>
            </w: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 to 2.00%</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 to 2.00%</w:t>
            </w:r>
          </w:p>
        </w:tc>
      </w:tr>
      <w:tr>
        <w:trPr>
          <w:trHeight w:val="229"/>
        </w:trPr>
        <w:tc>
          <w:tcPr>
            <w:tcW w:w="784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5-year swap minus</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5-year swap minus</w:t>
            </w: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18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0% to 0.50%</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 to 0.50%</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223</w:t>
            </w:r>
          </w:p>
        </w:tc>
      </w:tr>
    </w:tbl>
    <w:p>
      <w:pPr>
        <w:spacing w:after="0" w:line="121" w:lineRule="exact"/>
        <w:rPr>
          <w:sz w:val="20"/>
          <w:szCs w:val="20"/>
          <w:color w:val="auto"/>
        </w:rPr>
      </w:pPr>
    </w:p>
    <w:p>
      <w:pPr>
        <w:ind w:right="142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have resulted in a significantly higher or lower fair value. </w:t>
      </w:r>
      <w:r>
        <w:rPr>
          <w:rFonts w:ascii="Arial" w:cs="Arial" w:eastAsia="Arial" w:hAnsi="Arial"/>
          <w:sz w:val="18"/>
          <w:szCs w:val="18"/>
          <w:i w:val="1"/>
          <w:iCs w:val="1"/>
          <w:color w:val="auto"/>
        </w:rPr>
        <w:t>Financing Liability – Owed to Securitization Investors</w:t>
      </w:r>
    </w:p>
    <w:p>
      <w:pPr>
        <w:spacing w:after="0" w:line="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 disclosed in Note 3 – Securitizations and Variable Interest Entities. In accordance with the measurement alternative,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securitization debt certificates is measured as the fair value of the loans held by the trust less the fair value of the beneficial interests held by us in the form of residual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 the fair value on valuation data obtained from a pricing service.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In 2014, we issued Ocwen Asset Servicing Income Series (OASIS), Series 2014-1 Notes secured by Ocwen-owned MSRs relating to Freddie Mac mortgages. In 2019, we issued Ocwen Excess Spread-Collateralized Notes, Series 2019-PLS1 notes secured by certain of PMC’s private label MSRs. We determine the fair value of these notes based on bid prices provided by third parties involved in the issuance and placement of the notes.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base the fair value on quoted prices in a market with limited trading activity, or on valuation data obtained from a pricing service in the absence of trading data.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Interest rate lock commitments (IRLCs) represent an agreement to purchase loans from a third-party originator or an agreement to extend credit to a mortgage applicant (locked pipeline), whereby the interest rate is set prior to funding. As of December 31, 2019, IRLCs were classified within Level 2 of the valuation hierarchy as the primary component of the price was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 As of March 31, 2020, IRLCs were transferred to Level 3 assets as historical fallout rates required significant unobservable adjustments to account for the COVID-19 uncertainties.</w:t>
      </w:r>
    </w:p>
    <w:p>
      <w:pPr>
        <w:spacing w:after="0" w:line="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entered into forward MBS trades to provide an economic hedge against changes in the fair value of residential forward and reverse mortgage loans held for sale that we carry at fair value until August 2019 and, beginning in September 2019, to hedge of our net MSR portfolio. TBAs and interest rate swap futures are actively traded in the market and we obtain unadjusted market quotes for these derivatives; thus, they are classified within Level 1 of the valuation hierarchy.</w:t>
      </w:r>
    </w:p>
    <w:p>
      <w:pPr>
        <w:spacing w:after="0" w:line="187"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3ML, respectively) interest rates. The fair value for interest rate caps is based on counterparty market prices and adjusted for counterparty credit risk.</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823" w:right="339" w:bottom="1440" w:gutter="0" w:footer="0" w:header="0"/>
        </w:sectPr>
      </w:pPr>
    </w:p>
    <w:bookmarkStart w:id="26" w:name="page27"/>
    <w:bookmarkEnd w:id="26"/>
    <w:p>
      <w:pPr>
        <w:ind w:left="1340"/>
        <w:spacing w:after="0"/>
        <w:rPr>
          <w:sz w:val="20"/>
          <w:szCs w:val="20"/>
          <w:color w:val="auto"/>
        </w:rPr>
      </w:pPr>
      <w:r>
        <w:rPr>
          <w:rFonts w:ascii="Arial" w:cs="Arial" w:eastAsia="Arial" w:hAnsi="Arial"/>
          <w:sz w:val="18"/>
          <w:szCs w:val="18"/>
          <w:b w:val="1"/>
          <w:bCs w:val="1"/>
          <w:color w:val="auto"/>
        </w:rPr>
        <w:t>Note 5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102870</wp:posOffset>
            </wp:positionV>
            <wp:extent cx="6309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Fair Value</w:t>
            </w: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Originations and purchases (2)</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831,474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219,867</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(235,895)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(5,516)</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(to):</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Loans held for investment, at fair value</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REO (Other assets)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8,191</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Decrease in fair value of loans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Ending balance (1) (2) (3)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203,592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153,140</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March 31, 2020 and 2019, the balances include $(9.4) million and $(7.8) million, respectively, of fair value adjustments.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elected the fair value option for all newly repurchased loans after December 31, 2019, consistent with our fair value election of originated loans.</w:t>
      </w:r>
    </w:p>
    <w:p>
      <w:pPr>
        <w:spacing w:after="0" w:line="8" w:lineRule="exact"/>
        <w:rPr>
          <w:rFonts w:ascii="Arial" w:cs="Arial" w:eastAsia="Arial" w:hAnsi="Arial"/>
          <w:sz w:val="16"/>
          <w:szCs w:val="16"/>
          <w:color w:val="auto"/>
        </w:rPr>
      </w:pPr>
    </w:p>
    <w:p>
      <w:pPr>
        <w:ind w:left="340" w:right="140" w:hanging="332"/>
        <w:spacing w:after="0" w:line="27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6"/>
          <w:szCs w:val="16"/>
          <w:color w:val="auto"/>
        </w:rPr>
        <w:t>At March 31, 2020 and 2019, the balances include $25.6 million and nil,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66,097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Purchases (1)</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84,315</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(62,135)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(to):</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(27,411)</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REO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10,295</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69,547</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300" w:hanging="332"/>
        <w:spacing w:after="0" w:line="26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March 31, 2020 and 2019, the balances include $29.3 million and $42.7 million, respectively, of loans that we repurchased from Ginnie Mae guaranteed securitizations pursuant to Ginnie Mae servicing guidelines. Loans repurchased after December 31, 2019 are classified as Loans Held for Sale - Fair Value since we elected the fair value option, consistent with our fair value election for originated or purchased loans.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Valuation Allowance - Loans Held for Sale at Lower of Cost or Fair Value</w:t>
            </w: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 from Liability for indemnification obligations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10,863</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093"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on Loans Held for Sale, Net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sales of loans, net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MSRs retained on transfers of forward mortgage loans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Gain on sale of repurchased Ginnie Mae loans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Gain on sale of forward mortgage loans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IRLCs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loans held for sale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Loss on economic hedge instruments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Note 6 – Advances</w:t>
            </w: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8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 and interest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426,308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Taxes and insurance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383,829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422,383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Foreclosures, bankruptcy, REO and other</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222,043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1,032,180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losses</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color w:val="auto"/>
              </w:rPr>
              <w:t>Advances, net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1,024,807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1,056,523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2"/>
            <w:vMerge w:val="restart"/>
          </w:tcPr>
          <w:p>
            <w:pPr>
              <w:ind w:left="320"/>
              <w:spacing w:after="0"/>
              <w:rPr>
                <w:sz w:val="20"/>
                <w:szCs w:val="20"/>
                <w:color w:val="auto"/>
              </w:rPr>
            </w:pPr>
            <w:r>
              <w:rPr>
                <w:rFonts w:ascii="Arial" w:cs="Arial" w:eastAsia="Arial" w:hAnsi="Arial"/>
                <w:sz w:val="18"/>
                <w:szCs w:val="18"/>
                <w:color w:val="auto"/>
              </w:rPr>
              <w:t>The following table summarizes the activity in net advances:</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1,056,523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1,186,676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New advances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243,545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105,995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of advances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gridSpan w:val="2"/>
          </w:tcPr>
          <w:p>
            <w:pPr>
              <w:ind w:left="160"/>
              <w:spacing w:after="0"/>
              <w:rPr>
                <w:sz w:val="20"/>
                <w:szCs w:val="20"/>
                <w:color w:val="auto"/>
              </w:rPr>
            </w:pPr>
            <w:r>
              <w:rPr>
                <w:rFonts w:ascii="Arial" w:cs="Arial" w:eastAsia="Arial" w:hAnsi="Arial"/>
                <w:sz w:val="18"/>
                <w:szCs w:val="18"/>
                <w:color w:val="auto"/>
              </w:rPr>
              <w:t>Collections of advances and other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(277,585)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decrease in allowance for losses (1)</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gridSpan w:val="2"/>
          </w:tcPr>
          <w:p>
            <w:pPr>
              <w:ind w:left="20"/>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1,024,807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1,094,080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right="60" w:hanging="332"/>
        <w:spacing w:after="0" w:line="25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disclosed in Note 1, there was no significant adjustment as of January 1, 2020 as a result of the adoption of ASU 2016-13. Servicing advances are generally expected to be fully reimbursed under the terms of the servicing agreements. The estimate for the allowance for losses is based on relevant qualitative and quantitative information about past events, including historical collection and loss experience, current conditions, and reasonable and supportable forecasts that affect collectability. The allowance for losses includes an estimate for claimable (with investors) but nonrecoverable expenses, for example due to servicer error, such as lack of reasonable documentation as to the type and amount of advances.</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Allowance for Losses</w:t>
            </w:r>
          </w:p>
        </w:tc>
        <w:tc>
          <w:tcPr>
            <w:tcW w:w="240" w:type="dxa"/>
            <w:vAlign w:val="bottom"/>
          </w:tcPr>
          <w:p>
            <w:pPr>
              <w:spacing w:after="0"/>
              <w:rPr>
                <w:sz w:val="20"/>
                <w:szCs w:val="20"/>
                <w:color w:val="auto"/>
              </w:rPr>
            </w:pPr>
          </w:p>
        </w:tc>
        <w:tc>
          <w:tcPr>
            <w:tcW w:w="29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23,259</w:t>
            </w:r>
          </w:p>
        </w:tc>
      </w:tr>
      <w:tr>
        <w:trPr>
          <w:trHeight w:val="243"/>
        </w:trPr>
        <w:tc>
          <w:tcPr>
            <w:tcW w:w="7660" w:type="dxa"/>
            <w:vAlign w:val="bottom"/>
          </w:tcPr>
          <w:p>
            <w:pPr>
              <w:ind w:left="160"/>
              <w:spacing w:after="0"/>
              <w:rPr>
                <w:sz w:val="20"/>
                <w:szCs w:val="20"/>
                <w:color w:val="auto"/>
              </w:rPr>
            </w:pPr>
            <w:r>
              <w:rPr>
                <w:rFonts w:ascii="Arial" w:cs="Arial" w:eastAsia="Arial" w:hAnsi="Arial"/>
                <w:sz w:val="18"/>
                <w:szCs w:val="18"/>
                <w:color w:val="auto"/>
              </w:rPr>
              <w:t>Provision (reversal)</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1,762</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charge-offs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57"/>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23,135</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039" w:right="339" w:bottom="1440" w:gutter="0" w:footer="0" w:header="0"/>
          <w:type w:val="continuous"/>
        </w:sectPr>
      </w:pPr>
    </w:p>
    <w:bookmarkStart w:id="28" w:name="page29"/>
    <w:bookmarkEnd w:id="28"/>
    <w:p>
      <w:pPr>
        <w:ind w:left="340" w:right="780" w:hanging="332"/>
        <w:spacing w:after="0" w:line="27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$18.0 million allowance related to sold advances was reclassified in the third quarter of 2019 and presented as Other liabilities (Liability for indemnification obligations).</w:t>
      </w:r>
    </w:p>
    <w:p>
      <w:pPr>
        <w:spacing w:after="0" w:line="200" w:lineRule="exact"/>
        <w:rPr>
          <w:sz w:val="20"/>
          <w:szCs w:val="20"/>
          <w:color w:val="auto"/>
        </w:rPr>
      </w:pPr>
    </w:p>
    <w:p>
      <w:pPr>
        <w:spacing w:after="0" w:line="39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102870</wp:posOffset>
            </wp:positionV>
            <wp:extent cx="6309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35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During each period, we remeasure our MSR at fair value, which contemplates the receipt or nonreceipt of the servicing income for that period. The servicing income, including expectations of future servicing cash flows, are inputs for the measurement of the MSR fair value. The net result on the statement of operations is that we record the contractual cash received in each period as revenue within Servicing and subservicing fees, offset by the remeasurement of the MSR fair value within MSR valuation adjustments, net.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MSRs – Fair Value</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Measurement Method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Non-Agency</w:t>
            </w:r>
          </w:p>
        </w:tc>
        <w:tc>
          <w:tcPr>
            <w:tcW w:w="140" w:type="dxa"/>
            <w:vAlign w:val="bottom"/>
          </w:tcPr>
          <w:p>
            <w:pPr>
              <w:spacing w:after="0"/>
              <w:rPr>
                <w:sz w:val="20"/>
                <w:szCs w:val="20"/>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1,457,149</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Sales and other transfers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180"/>
              <w:spacing w:after="0"/>
              <w:rPr>
                <w:sz w:val="20"/>
                <w:szCs w:val="20"/>
                <w:color w:val="auto"/>
              </w:rPr>
            </w:pPr>
            <w:r>
              <w:rPr>
                <w:rFonts w:ascii="Arial" w:cs="Arial" w:eastAsia="Arial" w:hAnsi="Arial"/>
                <w:sz w:val="18"/>
                <w:szCs w:val="18"/>
                <w:color w:val="auto"/>
              </w:rPr>
              <w:t>Recognized on the sale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residential mortgage loans</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MSRs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54,513</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Servicing transfers and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adjustments (1)</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(264,523)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180"/>
              <w:spacing w:after="0"/>
              <w:rPr>
                <w:sz w:val="20"/>
                <w:szCs w:val="20"/>
                <w:color w:val="auto"/>
              </w:rPr>
            </w:pPr>
            <w:r>
              <w:rPr>
                <w:rFonts w:ascii="Arial" w:cs="Arial" w:eastAsia="Arial" w:hAnsi="Arial"/>
                <w:sz w:val="18"/>
                <w:szCs w:val="18"/>
                <w:color w:val="auto"/>
                <w:w w:val="99"/>
              </w:rPr>
              <w:t>Changes in valuation inputs or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other assumptions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(64,273)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expected future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cash flows and other changes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(44,725)</w:t>
            </w:r>
          </w:p>
        </w:tc>
        <w:tc>
          <w:tcPr>
            <w:tcW w:w="0" w:type="dxa"/>
            <w:vAlign w:val="bottom"/>
          </w:tcPr>
          <w:p>
            <w:pPr>
              <w:spacing w:after="0"/>
              <w:rPr>
                <w:sz w:val="1"/>
                <w:szCs w:val="1"/>
                <w:color w:val="auto"/>
              </w:rPr>
            </w:pPr>
          </w:p>
        </w:tc>
      </w:tr>
      <w:tr>
        <w:trPr>
          <w:trHeight w:val="25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294,227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756,001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1,050,228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825,692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574,499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1,400,191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740" w:hanging="332"/>
        <w:spacing w:after="0" w:line="25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Servicing transfers and adjustments include a $263.7 million derecognition of MSRs/Rights to MSRs effective with the February 20, 2020 termination of the subservicing agreement between NRZ and PMC. See Note 8 — Rights to MSRs for further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fair value are recognized in MSR valuation adjustments, net in the unaudited consolidated statements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following table presents the composition of our primary servicing and subservicing portfolios as measured by UPB. The UPB amounts in the table below are not included on our unaudited consolidated balance sheets, with the exception of the Reverse mortgage loans.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UPB at</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2019</w:t>
            </w: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March 31, 2019</w:t>
            </w:r>
          </w:p>
        </w:tc>
      </w:tr>
      <w:tr>
        <w:trPr>
          <w:trHeight w:val="27"/>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70,718,538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70,428,208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69,616,987</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Reverse mortgage loan servicing (1)</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6,432,003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6,229,724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5,671,103</w:t>
            </w:r>
          </w:p>
        </w:tc>
      </w:tr>
      <w:tr>
        <w:trPr>
          <w:trHeight w:val="27"/>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Subservicing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17,676,677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49,805,407</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NRZ (2) (3)</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113,934,122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118,587,594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125,987,243</w:t>
            </w:r>
          </w:p>
        </w:tc>
      </w:tr>
      <w:tr>
        <w:trPr>
          <w:trHeight w:val="27"/>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208,761,340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212,366,431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251,080,740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80" w:hanging="332"/>
        <w:spacing w:after="0" w:line="25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Reverse mortgage loans are reported on our unaudited consolidated balance sheets and are classified as loans held for investment. No separate MSRs are recognized in our unaudited consolidated balance sheets.</w:t>
      </w:r>
    </w:p>
    <w:p>
      <w:pPr>
        <w:spacing w:after="0" w:line="1"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UPB of loans for which the Rights to MSRs have been sold to NRZ, including $55.6 billion for which third-party consents have been received and the MSRs have been transferred to NRZ (the MSRs remain on balance sheet as the transactions do not achieve sale accounting treatment).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16" w:right="339" w:bottom="1440" w:gutter="0" w:footer="0" w:header="0"/>
        </w:sectPr>
      </w:pPr>
    </w:p>
    <w:bookmarkStart w:id="29" w:name="page30"/>
    <w:bookmarkEnd w:id="29"/>
    <w:p>
      <w:pPr>
        <w:ind w:left="660" w:right="380" w:hanging="652"/>
        <w:spacing w:after="0" w:line="26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$40.0 billion of servicing UPB at March 31, 2020 pursuant to the subservicing agreement between NRZ and PMC for which we received a notice of termination from NRZ on February 20, 2020. While the MSRs and the Rights to MSRs associated with these loans are derecognized from our consolidated balance sheet, we continue to service these loans until deboarding. See Note 8 — Rights to MSRs.</w:t>
      </w:r>
    </w:p>
    <w:p>
      <w:pPr>
        <w:spacing w:after="0" w:line="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acquired MSRs on portfolios with a UPB of $2.9 billion and $4.9 billion during the three months ended March 31, 2020 and 2019, respectively. We sold MSRs on portfolios with a UPB of $17.6 million and $99.4 million during the three months ended March 31, 2020 and 2019, respectively.</w:t>
      </w:r>
    </w:p>
    <w:p>
      <w:pPr>
        <w:spacing w:after="0" w:line="12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To date, terminations as servicer as a result of a breach of any of these provisions have been minimal.</w:t>
      </w:r>
    </w:p>
    <w:p>
      <w:pPr>
        <w:spacing w:after="0" w:line="7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At March 31, 2020, the S&amp;P Global Ratings, Inc.’s (S&amp;P’s) servicer ratings outlook for PMC is stable. On March 24, 2020, Fitch Ratings, Inc. (Fitch) placed all U.S Residential Mortgage Backed Securities (RMBS) servicer ratings on Outlook Negative, resulting from a rapidly evolving economic and operating environment due to the sudden impact of the COVID-19 virus. 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9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Certain of our servicing agreements require that we maintain specified servicer ratings from rating agencies such as Moody’s and S&amp;P. As a result of our current servicer ratings, termination rights have been triggered in some non-Agency servicing agreements. To date, terminations as servicer as a result of a breach of any of these provisions have been minimal.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Servicing Revenue</w:t>
            </w: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servicing and subservicing fees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55,408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53,345</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Subservicing</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NRZ</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119,669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155,847</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15,439</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Custodial accounts (float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4,349</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Affordable Modification Program (HAMP) fees (1)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7,881</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256,779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280" w:hanging="332"/>
        <w:spacing w:after="0" w:line="26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17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unaffiliated banks and are excluded from our unaudited consolidated balance sheets. Float balances amounted to $1.9 billion, $1.7 billion and $1.8 billion at March 31, 2020, December 31, 2019 and March 31, 2019,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8 — Rights to MSRs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102870</wp:posOffset>
            </wp:positionV>
            <wp:extent cx="63093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Ocwen and PMC have entered into agreements to sell MSRs or Rights to MSRs and the related servicing advances to NRZ, and in all cases have been retained by NRZ as subservicer. In the case of Ocwen Rights to MSRs transactions, while the majority of the risks and rewards of ownership were transferred in 2012 and 2013, legal title was retained by Ocwen, causing the Rights to MSRs transactions to be accounted for as secured financings. In the case of the PMC transactions, and for those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6" w:right="339" w:bottom="1440" w:gutter="0" w:footer="0" w:header="0"/>
        </w:sectPr>
      </w:pPr>
    </w:p>
    <w:bookmarkStart w:id="30" w:name="page31"/>
    <w:bookmarkEnd w:id="30"/>
    <w:p>
      <w:pPr>
        <w:ind w:right="60"/>
        <w:spacing w:after="0" w:line="255" w:lineRule="auto"/>
        <w:rPr>
          <w:sz w:val="20"/>
          <w:szCs w:val="20"/>
          <w:color w:val="auto"/>
        </w:rPr>
      </w:pPr>
      <w:r>
        <w:rPr>
          <w:rFonts w:ascii="Arial" w:cs="Arial" w:eastAsia="Arial" w:hAnsi="Arial"/>
          <w:sz w:val="18"/>
          <w:szCs w:val="18"/>
          <w:color w:val="auto"/>
        </w:rPr>
        <w:t>Ocwen MSRs where consents were subsequently received and legal title was transferred to NRZ, due to the length of the non-cancellable term of the subservicing agreements, the transactions do not qualify as a sale and are accounted for as secured financings. As a result, we continue to recognize the MSRs and related financing liability on our consolidated balance sheets, as well as the full amount of servicing revenue and changes in the fair value of the MSRs and related financing liability in our unaudited consolidated statements of operations. Changes in fair value of the Rights to MSRs are recognized in MSR valuation adjustments, net in the unaudited consolidated statements of operations. Changes in fair value of the MSR related financing liability are reported in Pledged MSR liability expense.</w:t>
      </w:r>
    </w:p>
    <w:p>
      <w:pPr>
        <w:spacing w:after="0" w:line="192"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tables present selected assets and liabilities recorded on our unaudited consolidated balance sheets as well as the impacts to our unaudited consolidated statements of operations in connection with our NRZ agreements.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Balance Sheets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at fair value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591,705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915,148</w:t>
            </w:r>
          </w:p>
        </w:tc>
      </w:tr>
      <w:tr>
        <w:trPr>
          <w:trHeight w:val="230"/>
        </w:trPr>
        <w:tc>
          <w:tcPr>
            <w:tcW w:w="7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NRZ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Sales and transfers of MSRs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22,631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24,167</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Subservicing fees and reimbursable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9,197</w:t>
            </w:r>
          </w:p>
        </w:tc>
      </w:tr>
      <w:tr>
        <w:trPr>
          <w:trHeight w:val="237"/>
        </w:trPr>
        <w:tc>
          <w:tcPr>
            <w:tcW w:w="79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24,232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33,364</w:t>
            </w:r>
          </w:p>
        </w:tc>
      </w:tr>
      <w:tr>
        <w:trPr>
          <w:trHeight w:val="67"/>
        </w:trPr>
        <w:tc>
          <w:tcPr>
            <w:tcW w:w="79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10"/>
        </w:trPr>
        <w:tc>
          <w:tcPr>
            <w:tcW w:w="7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Due to NRZ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98,555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63,596</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7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Financing liability - MSRs pledged, at fair value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Original Rights to MSRs Agreements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591,705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603,046</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2017 Agreements and New RMSR Agreements (3)</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9,979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35,445</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PMC MSR Agreements (1)</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312,102</w:t>
            </w:r>
          </w:p>
        </w:tc>
      </w:tr>
      <w:tr>
        <w:trPr>
          <w:trHeight w:val="237"/>
        </w:trPr>
        <w:tc>
          <w:tcPr>
            <w:tcW w:w="79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601,684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950,593</w:t>
            </w: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100" w:hanging="332"/>
        <w:spacing w:after="0" w:line="25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February 20, 2020, we received a notice of termination from NRZ with respect to the PMC MSR Agreements. While the MSRs and the Rights to MSRs associated with these loans are derecognized from our balance sheet at March 31, 2020, we continue to service these loans until deboarding, and account for them as a subservicing relationship.</w:t>
      </w:r>
    </w:p>
    <w:p>
      <w:pPr>
        <w:spacing w:after="0" w:line="1" w:lineRule="exact"/>
        <w:rPr>
          <w:rFonts w:ascii="Arial" w:cs="Arial" w:eastAsia="Arial" w:hAnsi="Arial"/>
          <w:sz w:val="16"/>
          <w:szCs w:val="16"/>
          <w:color w:val="auto"/>
        </w:rPr>
      </w:pPr>
    </w:p>
    <w:p>
      <w:pPr>
        <w:ind w:left="340" w:right="2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Balance represents the holdback of proceeds from PMC MSR sales and transfers to address indemnification claims and mortgage loan document deficiencies. These sales were executed by PMC prior to the acquisition date.</w:t>
      </w:r>
    </w:p>
    <w:p>
      <w:pPr>
        <w:ind w:left="340" w:right="280" w:hanging="332"/>
        <w:spacing w:after="0" w:line="25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$10.0 million of income is expected to be recognized for the quarter ended June 30, 2020 as a reduction in the financing liability based on the remaining term of the original agreements.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66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Servicing fees collected on behalf of NRZ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119,669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155,847</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Subservicing fee retained by Ocwen (1)</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37,407</w:t>
            </w:r>
          </w:p>
        </w:tc>
      </w:tr>
      <w:tr>
        <w:trPr>
          <w:trHeight w:val="237"/>
        </w:trPr>
        <w:tc>
          <w:tcPr>
            <w:tcW w:w="7980" w:type="dxa"/>
            <w:vAlign w:val="bottom"/>
          </w:tcPr>
          <w:p>
            <w:pPr>
              <w:ind w:left="180"/>
              <w:spacing w:after="0"/>
              <w:rPr>
                <w:sz w:val="20"/>
                <w:szCs w:val="20"/>
                <w:color w:val="auto"/>
              </w:rPr>
            </w:pPr>
            <w:r>
              <w:rPr>
                <w:rFonts w:ascii="Arial" w:cs="Arial" w:eastAsia="Arial" w:hAnsi="Arial"/>
                <w:sz w:val="18"/>
                <w:szCs w:val="18"/>
                <w:color w:val="auto"/>
              </w:rPr>
              <w:t>Net servicing fees remitted to NRZ</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90,338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118,440</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7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Reduction (increase) in financing liability</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PMC MSR Agreements (1)</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40,720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33,096</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Runoff and settlement:</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23,320</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PMC MSR Agreements (1)</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17,774</w:t>
            </w:r>
          </w:p>
        </w:tc>
      </w:tr>
      <w:tr>
        <w:trPr>
          <w:trHeight w:val="237"/>
        </w:trPr>
        <w:tc>
          <w:tcPr>
            <w:tcW w:w="7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50,129</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7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7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Pledged MSR liability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43,956</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220" w:hanging="332"/>
        <w:spacing w:after="0" w:line="286"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On February 20, 2020, we received a notice of termination from NRZ with respect to the PMC MSR Agreements. As the MSRs and the Rights to MSRs associated with these loans were derecognized from our consolidated balance sheet on February 20, 2020, we did not report the associated servicing fees collected on behalf of, and remitted to NRZ, or the change in fair value, runoff and settlement of the financing liability subsequent to February 20, 2020.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1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2017 Agreements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Original Rights to</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and New RMSR</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PMC MSR</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Financing Liability - MSRs Pledged</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rPr>
              <w:t>MSRs Agreements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Agreements</w:t>
            </w: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Agreements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950,593</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Receipt of lump-sum cash payments</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Sales</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9,120</w:t>
            </w: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PMC MSR Agreements</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(40,720)</w:t>
            </w: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Runoff and settlement: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(17,793)</w:t>
            </w: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(25,142)</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PMC MSR Agreements</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(7,492)</w:t>
            </w: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Derecognition of Pledged MSR financing liability due to</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termination of PMC MSR Agreements</w:t>
            </w: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(263,664)</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Calls (1):</w:t>
            </w: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7"/>
        </w:trPr>
        <w:tc>
          <w:tcPr>
            <w:tcW w:w="4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591,705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601,684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2017 Agreements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Original Rights to</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 New RMSR</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PMC MSR</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Financing Liability - MSRs Pledged</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MSRs Agreements</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Agreements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Agreements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1,032,856</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5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577</w:t>
            </w: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fair value: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PHH MSR Agreements</w:t>
            </w:r>
          </w:p>
        </w:tc>
        <w:tc>
          <w:tcPr>
            <w:tcW w:w="5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(33,096)</w:t>
            </w: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Runoff and settlement: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(9,035)</w:t>
            </w: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PHH MSR Agreements</w:t>
            </w:r>
          </w:p>
        </w:tc>
        <w:tc>
          <w:tcPr>
            <w:tcW w:w="5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(17,774)</w:t>
            </w: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Calls (1):</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(3,269)</w:t>
            </w: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424,086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119,932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407,198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951,216</w:t>
            </w:r>
          </w:p>
        </w:tc>
      </w:tr>
      <w:tr>
        <w:trPr>
          <w:trHeight w:val="20"/>
        </w:trPr>
        <w:tc>
          <w:tcPr>
            <w:tcW w:w="4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right="20" w:hanging="332"/>
        <w:spacing w:after="0" w:line="26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Transactions</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w:t>
      </w:r>
    </w:p>
    <w:p>
      <w:pPr>
        <w:sectPr>
          <w:pgSz w:w="11900" w:h="16838" w:orient="portrait"/>
          <w:cols w:equalWidth="0" w:num="1">
            <w:col w:w="11240"/>
          </w:cols>
          <w:pgMar w:left="320" w:top="823"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823" w:right="339" w:bottom="1440" w:gutter="0" w:footer="0" w:header="0"/>
          <w:type w:val="continuous"/>
        </w:sectPr>
      </w:pPr>
    </w:p>
    <w:bookmarkStart w:id="33" w:name="page34"/>
    <w:bookmarkEnd w:id="33"/>
    <w:p>
      <w:pPr>
        <w:ind w:right="200"/>
        <w:spacing w:after="0" w:line="277" w:lineRule="auto"/>
        <w:rPr>
          <w:sz w:val="20"/>
          <w:szCs w:val="20"/>
          <w:color w:val="auto"/>
        </w:rPr>
      </w:pPr>
      <w:r>
        <w:rPr>
          <w:rFonts w:ascii="Arial" w:cs="Arial" w:eastAsia="Arial" w:hAnsi="Arial"/>
          <w:sz w:val="18"/>
          <w:szCs w:val="18"/>
          <w:color w:val="auto"/>
        </w:rPr>
        <w:t>After the transfer of legal title as contemplated under the Original Rights to MSRs Agreements, Ocwen was to service the mortgage loans underlying the MSRs as subservicer on substantially the same economic terms.</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July 2022 (the Initial Term).</w:t>
      </w:r>
    </w:p>
    <w:p>
      <w:pPr>
        <w:spacing w:after="0" w:line="19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84"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Ocwen received lump-sum cash payments of $54.6 million and $279.6 million in September 2017 and January 2018 in accordance with the terms of the 2017 Agreements and New RMSR Agreements, respectively. These upfront payments generally represent the net present value of the difference between the future revenue stream Ocwen would have received under the Original Rights to MSRs Agreements and the future revenue stream Ocwen expects to receive under the 2017 Agreements and the New RMSR Agreements. We recognized the cash received as a financing liability that we are accounting for at fair value through the remaining term of the original agreements (April 2020). Changes in fair value are recognized in Pledged MSR liability expense in the unaudited consolidated statements of operations.</w:t>
      </w:r>
    </w:p>
    <w:p>
      <w:pPr>
        <w:spacing w:after="0" w:line="7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16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 that would be owed to Ocwen over the remaining contract term based on certain portfolio run-off assumptions.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Initial Term, NRZ may extend the term of the Subservicing Agreements and Servicing Addendum for additional three-month periods by providing proper notice. Following the Initial Term, the Subservicing Agreements and Servicing Addendum can be cancelled by Ocwen on an annual basis.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178" w:lineRule="exact"/>
        <w:rPr>
          <w:sz w:val="20"/>
          <w:szCs w:val="20"/>
          <w:color w:val="auto"/>
        </w:rPr>
      </w:pPr>
    </w:p>
    <w:p>
      <w:pPr>
        <w:ind w:right="160" w:firstLine="324"/>
        <w:spacing w:after="0" w:line="232" w:lineRule="auto"/>
        <w:rPr>
          <w:sz w:val="20"/>
          <w:szCs w:val="20"/>
          <w:color w:val="auto"/>
        </w:rPr>
      </w:pPr>
      <w:r>
        <w:rPr>
          <w:rFonts w:ascii="Arial" w:cs="Arial" w:eastAsia="Arial" w:hAnsi="Arial"/>
          <w:sz w:val="18"/>
          <w:szCs w:val="18"/>
          <w:color w:val="auto"/>
        </w:rPr>
        <w:t>Under the terms of the Subservicing Agreements and Servicing Addendum, in addition to a base servicing fee, Ocwen receives certain ancillary fees, primarily late fees, loan modification fees and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20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of March 31, 2020, the UPB of MSRs subject to the Servicing Agreements and the New RMSR Agreements is $73.6 billion, including $17.9 billion for which title has not transferred to NRZ. We and NRZ are currently discussing various alternative arrangements for the servicing of these MSRs. As the third-party consents required for title to the MSRs to transfer were not obtained by May 31, 2019, the New RMSR Agreements set forth a process under which NRZ’s $17.9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665" w:right="359" w:bottom="1440" w:gutter="0" w:footer="0" w:header="0"/>
        </w:sectPr>
      </w:pPr>
    </w:p>
    <w:bookmarkStart w:id="34" w:name="page35"/>
    <w:bookmarkEnd w:id="34"/>
    <w:p>
      <w:pPr>
        <w:jc w:val="center"/>
        <w:ind w:right="100"/>
        <w:spacing w:after="0"/>
        <w:rPr>
          <w:sz w:val="20"/>
          <w:szCs w:val="20"/>
          <w:color w:val="auto"/>
        </w:rPr>
      </w:pPr>
      <w:r>
        <w:rPr>
          <w:rFonts w:ascii="Arial" w:cs="Arial" w:eastAsia="Arial" w:hAnsi="Arial"/>
          <w:sz w:val="17"/>
          <w:szCs w:val="17"/>
          <w:color w:val="auto"/>
        </w:rPr>
        <w:t>In addition, as noted above, during the Initial Term, NRZ has the right to terminate the $17.9 billion New RMSR Agreements for convenience, in</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whole but not in part, subject to payment of a termination fee and 180 days’ notice. If NRZ exercises this termination right, NRZ has the option of seeking</w:t>
      </w:r>
    </w:p>
    <w:p>
      <w:pPr>
        <w:spacing w:after="0" w:line="32" w:lineRule="exact"/>
        <w:rPr>
          <w:sz w:val="20"/>
          <w:szCs w:val="20"/>
          <w:color w:val="auto"/>
        </w:rPr>
      </w:pPr>
    </w:p>
    <w:p>
      <w:pPr>
        <w:ind w:firstLine="8"/>
        <w:spacing w:after="0" w:line="268" w:lineRule="auto"/>
        <w:tabs>
          <w:tab w:leader="none" w:pos="2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PMC Transactions</w:t>
      </w:r>
    </w:p>
    <w:p>
      <w:pPr>
        <w:spacing w:after="0" w:line="12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has an initial term of three years from the initial transaction date of June 16, 2017, subject to certain transfer and termination provisions.</w:t>
      </w:r>
    </w:p>
    <w:p>
      <w:pPr>
        <w:spacing w:after="0" w:line="8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PMC subservicing agreement generates revenue based on a schedule of fees per loan per month that includes revenue adjustments for delinquent loans to cover the incremental cost associated with servicing such loans. As of March 31, 2020, Ocwen serviced 269,403 loans (with a UPB of $33.8 billion) under this arrangement, excluding loans added by NRZ in 2019, and recorded servicing fee revenues for the three months ended March 31, 2020 of $3.9 million. In addition to the $33.8 billion in UPB of loans in the PMC subservicing agreement for which the MSR sale transaction did not achieve sale accounting treatment, PMC is also subservicing loans with approximately $6.2 billion in UPB at March 31, 2020 that NRZ added to the PMC subservicing agreement after NRZ acquired the MSRs from an unrelated party during 2019. Consistent with a subservicing relationship, no MSR or pledged MSR liability is recorded on our consolidated balance sheets for the $6.2 billion loan UPB.</w:t>
      </w:r>
    </w:p>
    <w:p>
      <w:pPr>
        <w:spacing w:after="0" w:line="6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Subject to the payment of the applicable deboarding fee and proper notice, NRZ has the right to terminate an amount not to exceed 25% of the underlying mortgage loans (not including loans added by NRZ in 2019) being subserviced during the period from June 2019 through the end of the initial term in June 2020. The PMC subservicing agreement automatically renews for successive one-year terms unless either party provides notice of renewal in accordance with the PMC subservicing agreement, which is 180 days’ notice in the case of NRZ and nine months’ notice in the case of PMC. NRZ and PMC each also has the right to terminate the PMC subservicing agreement after the initial term without cause subject to 180 days’ notice in the case of NRZ and nine months’ notice in the case of PMC and, if NRZ elects to terminate, NRZ’s payment of deboarding fees. NRZ and PMC each has the ability to terminate the subservicing agreement for cause if certain specified conditions occur.</w:t>
      </w:r>
    </w:p>
    <w:p>
      <w:pPr>
        <w:spacing w:after="0" w:line="23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February 20, 2020, we received a notice of termination from NRZ with respect to the PMC MSR Agreements, which accounted for $40.0 billion loan UPB. The notice states that the effective date of termination is June 19, 2020 with respect to 25% of the Initial Mortgage Loans under the agreement and August 18, 2020 for the remainder of the loans under the agreement. The loans that were added by NRZ under the PMC subservicing agreement in 2019 and amounted to approximately $6.6 billion in UPB are subject to the termination with the stated effective date of August 18, 2020. In connection with the termination, we are entitled to loan deboarding fees from NRZ. This termination is for convenience and not for cause. As the sale accounting criteria were met upon the notice of termination, the MSRs and the Rights to MSRs associated with the $40.0 billion loan UPB were derecognized from our balance sheet on February 20, 2020 without any gain or loss on derecognition. We continue to service these loans until deboarding, and account for them as a subservicing relationship. Accordingly, we recognized subservicing fees associated with the subservicing agreement subsequent to February 20, 2020 and did not report any servicing fees collected on behalf of, and remitted to NRZ, any change in fair value, runoff and settlement in financing liability thereafter.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665" w:right="359"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Servicing-related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Government-insured loan claims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120,410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122,557</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from NRZ:</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Sales and transfers of MSRs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22,631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24,167</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 fees and reimbursable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9,325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13,052</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from custodial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4,970</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201,118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taxes receivable (1)</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102,566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37,888</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20,086</w:t>
            </w:r>
          </w:p>
        </w:tc>
      </w:tr>
      <w:tr>
        <w:trPr>
          <w:trHeight w:val="237"/>
        </w:trPr>
        <w:tc>
          <w:tcPr>
            <w:tcW w:w="79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294,568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259,092</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losses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(57,872)</w:t>
            </w:r>
          </w:p>
        </w:tc>
      </w:tr>
      <w:tr>
        <w:trPr>
          <w:trHeight w:val="237"/>
        </w:trPr>
        <w:tc>
          <w:tcPr>
            <w:tcW w:w="79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235,305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201,220</w:t>
            </w: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See Note 16 – Income Taxes</w:t>
      </w:r>
    </w:p>
    <w:p>
      <w:pPr>
        <w:spacing w:after="0" w:line="109" w:lineRule="exact"/>
        <w:rPr>
          <w:sz w:val="20"/>
          <w:szCs w:val="20"/>
          <w:color w:val="auto"/>
        </w:rPr>
      </w:pPr>
    </w:p>
    <w:p>
      <w:pPr>
        <w:ind w:left="60" w:right="140" w:firstLine="324"/>
        <w:spacing w:after="0" w:line="259" w:lineRule="auto"/>
        <w:rPr>
          <w:sz w:val="20"/>
          <w:szCs w:val="20"/>
          <w:color w:val="auto"/>
        </w:rPr>
      </w:pPr>
      <w:r>
        <w:rPr>
          <w:rFonts w:ascii="Arial" w:cs="Arial" w:eastAsia="Arial" w:hAnsi="Arial"/>
          <w:sz w:val="18"/>
          <w:szCs w:val="18"/>
          <w:color w:val="auto"/>
        </w:rPr>
        <w:t>At March 31, 2020 and December 31, 2019, the allowance for losses related to receivables of our Servicing business. Allowance for losses related to defaulted FHA- or VA-insured loans repurchased from Ginnie Mae guaranteed securitizations and not subsequently sold to third-party investors (government-insured loan claims) was $58.1 million and $56.9 million at March 31, 2020 and December 31, 2019, respectively. The government-insured loan claims are guaranteed by the U.S. government.</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Allowance for Losses - Government-Insured Loan Claims</w:t>
            </w: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52,497</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7,247</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 and other, net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(8,464)</w:t>
            </w:r>
          </w:p>
        </w:tc>
      </w:tr>
      <w:tr>
        <w:trPr>
          <w:trHeight w:val="257"/>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58,103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51,280</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adoption of ASU 2016-13 did not result in any significant change to the allowance for losses related to receivables as of January 1, 2020.</w:t>
      </w:r>
    </w:p>
    <w:p>
      <w:pPr>
        <w:spacing w:after="0" w:line="32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34</w:t>
      </w:r>
    </w:p>
    <w:p>
      <w:pPr>
        <w:sectPr>
          <w:pgSz w:w="11900" w:h="16838" w:orient="portrait"/>
          <w:cols w:equalWidth="0" w:num="1">
            <w:col w:w="11240"/>
          </w:cols>
          <w:pgMar w:left="320" w:top="1093" w:right="339" w:bottom="1440" w:gutter="0" w:footer="0" w:header="0"/>
        </w:sectPr>
      </w:pPr>
    </w:p>
    <w:bookmarkStart w:id="36" w:name="page37"/>
    <w:bookmarkEnd w:id="36"/>
    <w:p>
      <w:pPr>
        <w:ind w:left="1340"/>
        <w:spacing w:after="0"/>
        <w:rPr>
          <w:sz w:val="20"/>
          <w:szCs w:val="20"/>
          <w:color w:val="auto"/>
        </w:rPr>
      </w:pPr>
      <w:r>
        <w:rPr>
          <w:rFonts w:ascii="Arial" w:cs="Arial" w:eastAsia="Arial" w:hAnsi="Arial"/>
          <w:sz w:val="18"/>
          <w:szCs w:val="18"/>
          <w:b w:val="1"/>
          <w:bCs w:val="1"/>
          <w:color w:val="auto"/>
        </w:rPr>
        <w:t>Note 10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102870</wp:posOffset>
            </wp:positionV>
            <wp:extent cx="6309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loan repurchase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492,900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35,514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21,996</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15,830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6,007</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Prepaid lender fees, net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8,647</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2,075</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Interest-earning time deposits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w:t>
            </w:r>
          </w:p>
        </w:tc>
      </w:tr>
      <w:tr>
        <w:trPr>
          <w:trHeight w:val="237"/>
        </w:trPr>
        <w:tc>
          <w:tcPr>
            <w:tcW w:w="79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484,125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563,240</w:t>
            </w: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Note 11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102870</wp:posOffset>
            </wp:positionV>
            <wp:extent cx="6300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Advance Match Funded Liabilities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0"/>
                <w:szCs w:val="20"/>
                <w:color w:val="auto"/>
              </w:rPr>
            </w:pPr>
          </w:p>
        </w:tc>
        <w:tc>
          <w:tcPr>
            <w:tcW w:w="2300" w:type="dxa"/>
            <w:vAlign w:val="bottom"/>
            <w:gridSpan w:val="4"/>
            <w:vMerge w:val="restart"/>
          </w:tcPr>
          <w:p>
            <w:pPr>
              <w:jc w:val="right"/>
              <w:ind w:right="31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Amorti-</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Available</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zation Date</w:t>
            </w: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Borrowing</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Maturity (1)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Capacity (2)</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Balance</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Advance Financing Facilities: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Advance Receivables Backed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Notes - Series 2015-VF5 (4)</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2050</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59,021</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w w:val="93"/>
              </w:rPr>
              <w:t>3.05%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140,979</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w w:val="93"/>
              </w:rPr>
              <w:t>3.36%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190,555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Advance Receivables Backed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Notes, Series 2019-T1 (5)</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2050</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2020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185,000</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29"/>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Advance Receivables Backed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Notes, Series 2019-T2 (5)</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2051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2021</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285,000</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40" w:type="dxa"/>
            <w:vAlign w:val="bottom"/>
            <w:gridSpan w:val="2"/>
            <w:shd w:val="clear" w:color="auto" w:fill="CCEEFF"/>
          </w:tcPr>
          <w:p>
            <w:pPr>
              <w:ind w:left="280"/>
              <w:spacing w:after="0" w:line="205" w:lineRule="exact"/>
              <w:rPr>
                <w:sz w:val="20"/>
                <w:szCs w:val="20"/>
                <w:color w:val="auto"/>
              </w:rPr>
            </w:pPr>
            <w:r>
              <w:rPr>
                <w:rFonts w:ascii="Arial" w:cs="Arial" w:eastAsia="Arial" w:hAnsi="Arial"/>
                <w:sz w:val="18"/>
                <w:szCs w:val="18"/>
                <w:b w:val="1"/>
                <w:bCs w:val="1"/>
                <w:color w:val="auto"/>
              </w:rPr>
              <w:t>Total Ocwen Master Advance</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Receivables Trust (OMART)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59,021</w:t>
            </w: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610,979</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660,555</w:t>
            </w:r>
          </w:p>
        </w:tc>
        <w:tc>
          <w:tcPr>
            <w:tcW w:w="0" w:type="dxa"/>
            <w:vAlign w:val="bottom"/>
          </w:tcPr>
          <w:p>
            <w:pPr>
              <w:spacing w:after="0"/>
              <w:rPr>
                <w:sz w:val="1"/>
                <w:szCs w:val="1"/>
                <w:color w:val="auto"/>
              </w:rPr>
            </w:pPr>
          </w:p>
        </w:tc>
      </w:tr>
      <w:tr>
        <w:trPr>
          <w:trHeight w:val="225"/>
        </w:trPr>
        <w:tc>
          <w:tcPr>
            <w:tcW w:w="2840" w:type="dxa"/>
            <w:vAlign w:val="bottom"/>
            <w:gridSpan w:val="2"/>
          </w:tcPr>
          <w:p>
            <w:pPr>
              <w:ind w:left="180"/>
              <w:spacing w:after="0"/>
              <w:rPr>
                <w:sz w:val="20"/>
                <w:szCs w:val="20"/>
                <w:color w:val="auto"/>
              </w:rPr>
            </w:pPr>
            <w:r>
              <w:rPr>
                <w:rFonts w:ascii="Arial" w:cs="Arial" w:eastAsia="Arial" w:hAnsi="Arial"/>
                <w:sz w:val="18"/>
                <w:szCs w:val="18"/>
                <w:b w:val="1"/>
                <w:bCs w:val="1"/>
                <w:color w:val="auto"/>
              </w:rPr>
              <w:t>Ocwen Freddie Advance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ind w:left="340"/>
              <w:spacing w:after="0"/>
              <w:rPr>
                <w:sz w:val="20"/>
                <w:szCs w:val="20"/>
                <w:color w:val="auto"/>
              </w:rPr>
            </w:pPr>
            <w:r>
              <w:rPr>
                <w:rFonts w:ascii="Arial" w:cs="Arial" w:eastAsia="Arial" w:hAnsi="Arial"/>
                <w:sz w:val="18"/>
                <w:szCs w:val="18"/>
                <w:b w:val="1"/>
                <w:bCs w:val="1"/>
                <w:color w:val="auto"/>
              </w:rPr>
              <w:t xml:space="preserve">Funding (OFAF) - </w:t>
            </w:r>
            <w:r>
              <w:rPr>
                <w:rFonts w:ascii="Arial" w:cs="Arial" w:eastAsia="Arial" w:hAnsi="Arial"/>
                <w:sz w:val="18"/>
                <w:szCs w:val="18"/>
                <w:color w:val="auto"/>
              </w:rPr>
              <w:t>Advance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Receivables Backed Notes,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340"/>
              <w:spacing w:after="0"/>
              <w:rPr>
                <w:sz w:val="20"/>
                <w:szCs w:val="20"/>
                <w:color w:val="auto"/>
              </w:rPr>
            </w:pPr>
            <w:r>
              <w:rPr>
                <w:rFonts w:ascii="Arial" w:cs="Arial" w:eastAsia="Arial" w:hAnsi="Arial"/>
                <w:sz w:val="18"/>
                <w:szCs w:val="18"/>
                <w:color w:val="auto"/>
              </w:rPr>
              <w:t>Series 2015-VF1 (6)</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2050</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2020</w:t>
            </w: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45,028</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14,972</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18,554</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104,049</w:t>
            </w: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w w:val="93"/>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625,951</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3"/>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679,109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right="160" w:hanging="332"/>
        <w:spacing w:after="0" w:line="25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ind w:left="340" w:right="10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Borrowing capacity under the OMART and OFAF facilities is available to us provided that we have sufficient eligible collateral to pledge. At March 31, 2020, none of the available borrowing capacity of our advance financing notes could be used based on the amount of eligible collateral.</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1ML was 0.99% and 1.76% at March 31, 2020 and December 31, 2019, respectively.</w:t>
      </w:r>
    </w:p>
    <w:p>
      <w:pPr>
        <w:spacing w:after="0" w:line="5" w:lineRule="exact"/>
        <w:rPr>
          <w:rFonts w:ascii="Arial" w:cs="Arial" w:eastAsia="Arial" w:hAnsi="Arial"/>
          <w:sz w:val="16"/>
          <w:szCs w:val="16"/>
          <w:color w:val="auto"/>
        </w:rPr>
      </w:pPr>
    </w:p>
    <w:p>
      <w:pPr>
        <w:ind w:left="340" w:right="38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total borrowing capacity of the Series 2015-VF5 variable notes is $200.0 million, with interest computed based on the lender’s cost of funds plus a margin. At March 31, 2020, the weighted average interest margin was 136 bps.</w:t>
      </w:r>
    </w:p>
    <w:p>
      <w:pPr>
        <w:jc w:val="both"/>
        <w:ind w:left="340" w:right="16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August 14, 2019, we issued two fixed-rate term notes of $185.0 million (Series 2019 T-1) and $285.0 million (Series 2019-T2) with amortization dates of August 17, 2020 and August 16, 2021, respectively, for a total combined borrowing capacity of $470.0 million. The weighted average rate of the notes is 2.57% with rates on the individual classes of notes ranging from 2.42% to 4.44%.</w:t>
      </w:r>
    </w:p>
    <w:p>
      <w:pPr>
        <w:spacing w:after="0" w:line="1" w:lineRule="exact"/>
        <w:rPr>
          <w:rFonts w:ascii="Arial" w:cs="Arial" w:eastAsia="Arial" w:hAnsi="Arial"/>
          <w:sz w:val="16"/>
          <w:szCs w:val="16"/>
          <w:color w:val="auto"/>
        </w:rPr>
      </w:pPr>
    </w:p>
    <w:p>
      <w:pPr>
        <w:ind w:left="340" w:right="40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borrowing capacity of this facility is $60.0 million with interest computed based on the lender’s cost of funds plus a margin. At March 31, 2020, the weighted average interest margin was 157 bps.</w:t>
      </w:r>
    </w:p>
    <w:p>
      <w:pPr>
        <w:sectPr>
          <w:pgSz w:w="11900" w:h="16838" w:orient="portrait"/>
          <w:cols w:equalWidth="0" w:num="1">
            <w:col w:w="11240"/>
          </w:cols>
          <w:pgMar w:left="320" w:top="1093"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093" w:right="339" w:bottom="1440" w:gutter="0" w:footer="0" w:header="0"/>
          <w:type w:val="continuous"/>
        </w:sectPr>
      </w:pPr>
    </w:p>
    <w:bookmarkStart w:id="37" w:name="page38"/>
    <w:bookmarkEnd w:id="37"/>
    <w:p>
      <w:pPr>
        <w:ind w:right="20" w:firstLine="324"/>
        <w:spacing w:after="0" w:line="269" w:lineRule="auto"/>
        <w:rPr>
          <w:sz w:val="20"/>
          <w:szCs w:val="20"/>
          <w:color w:val="auto"/>
        </w:rPr>
      </w:pPr>
      <w:r>
        <w:rPr>
          <w:rFonts w:ascii="Arial" w:cs="Arial" w:eastAsia="Arial" w:hAnsi="Arial"/>
          <w:sz w:val="17"/>
          <w:szCs w:val="17"/>
          <w:color w:val="auto"/>
        </w:rPr>
        <w:t>Pursuant to the 2017 Agreements and New RMSR Agreements, NRZ is obligated to fund new servicing advances with respect to the MSRs underlying the Rights to MSRs. As of March 31, 2020, we were the servicer of Rights to MSRs sold to NRZ pertaining to $17.9 billion in UPB, which excludes those Rights to MSRs where legal title has transferred to NRZ. NRZ’s associated outstanding servicing advances were approximately $668.5 million and $704.2 million as of March 31, 2020 and December 31, 2019, respectively. 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If NRZ were unable to meet its advance funding obligations, we would remain obligated to meet any future advance financing obligations with respect to the loans underlying these Rights to MSRs for which legal title has not transferred, which could materially and adversely affect our liquidity, financial condition, results of operations and servicing business. See Note 8 — Rights to MSRs for additional information.</w:t>
      </w:r>
    </w:p>
    <w:p>
      <w:pPr>
        <w:spacing w:after="0" w:line="7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Liabilities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Outstanding Balance</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1440"/>
              <w:spacing w:after="0"/>
              <w:rPr>
                <w:sz w:val="20"/>
                <w:szCs w:val="20"/>
                <w:color w:val="auto"/>
              </w:rPr>
            </w:pPr>
            <w:r>
              <w:rPr>
                <w:rFonts w:ascii="Arial" w:cs="Arial" w:eastAsia="Arial" w:hAnsi="Arial"/>
                <w:sz w:val="18"/>
                <w:szCs w:val="18"/>
                <w:b w:val="1"/>
                <w:bCs w:val="1"/>
                <w:color w:val="auto"/>
              </w:rPr>
              <w:t>Borrowing Type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HMBS-Related Borrowings, at fair value (1)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1ML + 260</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gridSpan w:val="2"/>
            <w:vMerge w:val="continue"/>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bps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6,323,091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Financing Liabilities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MSRs pledged (Rights to MSRs), at fair value: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Original Rights to MSRs Agreements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591,705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603,046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PMC MSR Agreements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312,102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601,684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Financing liability - Owed to securitization investors,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at fair value:</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IndyMac Mortgage Loan Trust (INDX 2004-AR11)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4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9,544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Residential Asset Securitization Trust 2003-A11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(RAST 2003-A11) (5)</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investment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12,208</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21,365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Other Financing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623,049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972,595</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6,946,140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7,036,030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right="60" w:hanging="332"/>
        <w:spacing w:after="0" w:line="267" w:lineRule="auto"/>
        <w:tabs>
          <w:tab w:leader="none" w:pos="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Represents amounts due to the holders of beneficial interests in Ginnie Mae guaranteed HMBS which did not qualify for sale accounting treatment of HECM loans. Under this accounting treatment, the HECM loans securitized with Ginnie Mae remain on our consolidated balance sheet and the proceeds from the sale are recognized as a secured liability. The beneficial interests have no maturity dates, and the borrowings mature as the related loans are repaid. We elected to record the HMBS-related borrowings at fair value consistent with the related HECM loans. Changes in fair value are reported within Reverse mortgage revenue, net.</w:t>
      </w:r>
    </w:p>
    <w:p>
      <w:pPr>
        <w:spacing w:after="0" w:line="2" w:lineRule="exact"/>
        <w:rPr>
          <w:rFonts w:ascii="Arial" w:cs="Arial" w:eastAsia="Arial" w:hAnsi="Arial"/>
          <w:sz w:val="15"/>
          <w:szCs w:val="15"/>
          <w:color w:val="auto"/>
        </w:rPr>
      </w:pPr>
    </w:p>
    <w:p>
      <w:pPr>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pledged MSR liability is recognized due to the accounting treatment of MSR sale transactions with NRZ which did not qualify as sales for accounting purposes. Under this accounting treatment, the MSRs transferred to NRZ remain on the consolidated balance sheet and the proceeds from the sale are recognized as a secured liability. This financing liability has no contractual maturity or repayment schedule. We elected to record the liability at fair value consistent with the related MSRs. The balance of the liability is adjusted each reporting period to its fair value based on the present value of the estimated future cash flows underlying the related MSRs. Changes in fair value are reported within Pledged MSR liability expense, and are offset by corresponding changes in fair value of the MSR pledged to NRZ within MSR valuation adjustments, net.</w:t>
      </w:r>
    </w:p>
    <w:p>
      <w:pPr>
        <w:spacing w:after="0" w:line="2" w:lineRule="exact"/>
        <w:rPr>
          <w:rFonts w:ascii="Arial" w:cs="Arial" w:eastAsia="Arial" w:hAnsi="Arial"/>
          <w:sz w:val="16"/>
          <w:szCs w:val="16"/>
          <w:color w:val="auto"/>
        </w:rPr>
      </w:pPr>
    </w:p>
    <w:p>
      <w:pPr>
        <w:ind w:left="340" w:right="60" w:hanging="332"/>
        <w:spacing w:after="0" w:line="25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financing liability arose in connection with lump sum payments of $54.6 million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We recognized the cash received as a financing liability that we are accounting for at fair value through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665" w:right="339" w:bottom="1440" w:gutter="0" w:footer="0" w:header="0"/>
        </w:sectPr>
      </w:pPr>
    </w:p>
    <w:bookmarkStart w:id="38" w:name="page39"/>
    <w:bookmarkEnd w:id="38"/>
    <w:p>
      <w:pPr>
        <w:ind w:left="340" w:right="140"/>
        <w:spacing w:after="0" w:line="293" w:lineRule="auto"/>
        <w:rPr>
          <w:sz w:val="20"/>
          <w:szCs w:val="20"/>
          <w:color w:val="auto"/>
        </w:rPr>
      </w:pPr>
      <w:r>
        <w:rPr>
          <w:rFonts w:ascii="Arial" w:cs="Arial" w:eastAsia="Arial" w:hAnsi="Arial"/>
          <w:sz w:val="15"/>
          <w:szCs w:val="15"/>
          <w:color w:val="auto"/>
        </w:rPr>
        <w:t>remaining term of the original agreements (April 2020). The balance of the liability is adjusted each reporting period to its fair value based on the present value of the estimated future cash flows, with changes in fair value recognized in Pledged MSR liability expense in the unaudited consolidated statements of operations.</w:t>
      </w:r>
    </w:p>
    <w:p>
      <w:pPr>
        <w:spacing w:after="0" w:line="1" w:lineRule="exact"/>
        <w:rPr>
          <w:sz w:val="20"/>
          <w:szCs w:val="20"/>
          <w:color w:val="auto"/>
        </w:rPr>
      </w:pPr>
    </w:p>
    <w:p>
      <w:pPr>
        <w:ind w:left="340" w:right="20" w:hanging="332"/>
        <w:spacing w:after="0" w:line="266"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Represented a liability for sales of MSRs to NRZ which did not qualify for sale accounting treatment and were accounted for as a secured borrowing which we assumed in connection with the acquisition of PHH. Under this accounting treatment, the MSRs transferred to NRZ remained on the consolidated balance sheet and the proceeds from the sale were recognized as a secured liability. We elected to record the liability at fair value consistent with the related MSRs. As disclosed in Note 8 — Rights to MSRs, the liability was derecognized upon termination of the agreement by NRZ on February 20, 2020.</w:t>
      </w:r>
    </w:p>
    <w:p>
      <w:pPr>
        <w:spacing w:after="0" w:line="1" w:lineRule="exact"/>
        <w:rPr>
          <w:rFonts w:ascii="Arial" w:cs="Arial" w:eastAsia="Arial" w:hAnsi="Arial"/>
          <w:sz w:val="15"/>
          <w:szCs w:val="15"/>
          <w:color w:val="auto"/>
        </w:rPr>
      </w:pPr>
    </w:p>
    <w:p>
      <w:pPr>
        <w:ind w:left="340" w:right="100" w:hanging="332"/>
        <w:spacing w:after="0" w:line="268"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Consists of securitization debt certificates due to third parties that represent beneficial interests in trusts that we include in our unaudited consolidated financial statements, as more fully described in Note 3 – Securitizations and Variable Interest Entities. The holders of these certificates have no recourse against the assets of Ocwen. The certificates in the INDX 2004-AR11 Trust pay interest based on variable rates which are generally based on weighted average net mortgage rates and which range between 3.38% and 3.85% at March 31, 2020. The certificates in the RAST 2003-A11 Trust pay interest based on fixed rates ranging between 4.25% and 5.75% and a variable rate based on 1ML plus 0.45%. The maturity of the certificates occurs upon maturity of the loans held by the trust. The remaining loans in the INDX 2004-AR11 Trust and RAST 2003-A11 Trust have maturity dates extending through November 2034 and October 2033, respectively.</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Outstanding Balance</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Termination /</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600" w:type="dxa"/>
            <w:vAlign w:val="bottom"/>
            <w:gridSpan w:val="2"/>
          </w:tcPr>
          <w:p>
            <w:pPr>
              <w:ind w:left="620"/>
              <w:spacing w:after="0"/>
              <w:rPr>
                <w:sz w:val="20"/>
                <w:szCs w:val="20"/>
                <w:color w:val="auto"/>
              </w:rPr>
            </w:pPr>
            <w:r>
              <w:rPr>
                <w:rFonts w:ascii="Arial" w:cs="Arial" w:eastAsia="Arial" w:hAnsi="Arial"/>
                <w:sz w:val="18"/>
                <w:szCs w:val="18"/>
                <w:b w:val="1"/>
                <w:bCs w:val="1"/>
                <w:color w:val="auto"/>
              </w:rPr>
              <w:t>Borrowing Type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Capacity (1)</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1-Month Euro-dollar</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rate + 600 bps with</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SSTL (2)</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 Eurodollar floor of</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gridSpan w:val="2"/>
            <w:vMerge w:val="continue"/>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bps (2)</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326,066</w:t>
            </w:r>
          </w:p>
        </w:tc>
        <w:tc>
          <w:tcPr>
            <w:tcW w:w="0" w:type="dxa"/>
            <w:vAlign w:val="bottom"/>
          </w:tcPr>
          <w:p>
            <w:pPr>
              <w:spacing w:after="0"/>
              <w:rPr>
                <w:sz w:val="1"/>
                <w:szCs w:val="1"/>
                <w:color w:val="auto"/>
              </w:rPr>
            </w:pPr>
          </w:p>
        </w:tc>
      </w:tr>
      <w:tr>
        <w:trPr>
          <w:trHeight w:val="426"/>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1050"/>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575" w:right="35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Outstanding Balance</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1"/>
              </w:rPr>
              <w:t>Available</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Termination /</w:t>
            </w:r>
          </w:p>
        </w:tc>
        <w:tc>
          <w:tcPr>
            <w:tcW w:w="140" w:type="dxa"/>
            <w:vAlign w:val="bottom"/>
          </w:tcPr>
          <w:p>
            <w:pPr>
              <w:spacing w:after="0"/>
              <w:rPr>
                <w:sz w:val="18"/>
                <w:szCs w:val="18"/>
                <w:color w:val="auto"/>
              </w:rPr>
            </w:pPr>
          </w:p>
        </w:tc>
        <w:tc>
          <w:tcPr>
            <w:tcW w:w="12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1"/>
              </w:rPr>
              <w:t>Borrowing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580"/>
              <w:spacing w:after="0"/>
              <w:rPr>
                <w:sz w:val="20"/>
                <w:szCs w:val="20"/>
                <w:color w:val="auto"/>
              </w:rPr>
            </w:pPr>
            <w:r>
              <w:rPr>
                <w:rFonts w:ascii="Arial" w:cs="Arial" w:eastAsia="Arial" w:hAnsi="Arial"/>
                <w:sz w:val="18"/>
                <w:szCs w:val="18"/>
                <w:b w:val="1"/>
                <w:bCs w:val="1"/>
                <w:color w:val="auto"/>
              </w:rPr>
              <w:t>Borrowing Type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Collateral</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3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Capacity (1)</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Mortgage loan warehouse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facilities</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5"/>
              </w:rPr>
              <w:t>Master repurchase agreement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Loans held for</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1ML + 195 - 300</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sale (LHFS)</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2020</w:t>
            </w:r>
          </w:p>
        </w:tc>
        <w:tc>
          <w:tcPr>
            <w:tcW w:w="140" w:type="dxa"/>
            <w:vAlign w:val="bottom"/>
          </w:tcPr>
          <w:p>
            <w:pPr>
              <w:spacing w:after="0"/>
              <w:rPr>
                <w:sz w:val="20"/>
                <w:szCs w:val="20"/>
                <w:color w:val="auto"/>
              </w:rPr>
            </w:pPr>
          </w:p>
        </w:tc>
        <w:tc>
          <w:tcPr>
            <w:tcW w:w="12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110,607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91,573</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Greater of 1ML +</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 warehouse</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LHFS (reverse</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250 bps or 350 bps;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agreement (4)</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mortgages)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Floor 0%</w:t>
            </w:r>
          </w:p>
        </w:tc>
        <w:tc>
          <w:tcPr>
            <w:tcW w:w="1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 2020</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(forward and</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+ 225 bps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5"/>
              </w:rPr>
              <w:t>Master repurchase agreement</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reverse</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forward; 1ML +</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mortgages)</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275 bps reverse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2020</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119,637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80,363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139,227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Master repurchase agreement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LHFS (reverse</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Prime + 0.0% (4.0%</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floor)</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 2020</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5"/>
              </w:rPr>
              <w:t>Master repurchase agreement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+ 170 bps;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3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Floor 35 bps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0"/>
                <w:szCs w:val="20"/>
                <w:color w:val="auto"/>
              </w:rPr>
            </w:pPr>
          </w:p>
        </w:tc>
        <w:tc>
          <w:tcPr>
            <w:tcW w:w="12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Participation agreement (8)</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LHFS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2020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Mortgage warehouse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+ 350 bps;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340"/>
              <w:spacing w:after="0"/>
              <w:rPr>
                <w:sz w:val="20"/>
                <w:szCs w:val="20"/>
                <w:color w:val="auto"/>
              </w:rPr>
            </w:pPr>
            <w:r>
              <w:rPr>
                <w:rFonts w:ascii="Arial" w:cs="Arial" w:eastAsia="Arial" w:hAnsi="Arial"/>
                <w:sz w:val="18"/>
                <w:szCs w:val="18"/>
                <w:color w:val="auto"/>
              </w:rPr>
              <w:t>agreement (9)</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Libor Floor 175 bps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2020</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13,417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1ML + 250 bps;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 warehouse</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LHFS (reverse</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1ML floor of 350</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agreement (10)</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mortgages)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bps</w:t>
            </w:r>
          </w:p>
        </w:tc>
        <w:tc>
          <w:tcPr>
            <w:tcW w:w="1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 2020</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55,633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156,220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289,122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332,225</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Agency MSR financing facility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MSRs</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1ML + 300bps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2020</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185,710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114,290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147,706</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Ginnie Mae MSR financing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facility (12)</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MSRs</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1ML + 395 bps</w:t>
            </w: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 2021</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61,082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72,320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Ocwen Excess Spread-</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200"/>
              <w:spacing w:after="0"/>
              <w:rPr>
                <w:sz w:val="20"/>
                <w:szCs w:val="20"/>
                <w:color w:val="auto"/>
              </w:rPr>
            </w:pPr>
            <w:r>
              <w:rPr>
                <w:rFonts w:ascii="Arial" w:cs="Arial" w:eastAsia="Arial" w:hAnsi="Arial"/>
                <w:sz w:val="18"/>
                <w:szCs w:val="18"/>
                <w:color w:val="auto"/>
              </w:rPr>
              <w:t>Collateralized Notes, Series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0"/>
              <w:spacing w:after="0"/>
              <w:rPr>
                <w:sz w:val="20"/>
                <w:szCs w:val="20"/>
                <w:color w:val="auto"/>
              </w:rPr>
            </w:pPr>
            <w:r>
              <w:rPr>
                <w:rFonts w:ascii="Arial" w:cs="Arial" w:eastAsia="Arial" w:hAnsi="Arial"/>
                <w:sz w:val="18"/>
                <w:szCs w:val="18"/>
                <w:color w:val="auto"/>
              </w:rPr>
              <w:t>2019-PLS1 (13)</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MSRs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5.07%</w:t>
            </w: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2024</w:t>
            </w:r>
          </w:p>
        </w:tc>
        <w:tc>
          <w:tcPr>
            <w:tcW w:w="140" w:type="dxa"/>
            <w:vAlign w:val="bottom"/>
          </w:tcPr>
          <w:p>
            <w:pPr>
              <w:spacing w:after="0"/>
              <w:rPr>
                <w:sz w:val="20"/>
                <w:szCs w:val="20"/>
                <w:color w:val="auto"/>
              </w:rPr>
            </w:pPr>
          </w:p>
        </w:tc>
        <w:tc>
          <w:tcPr>
            <w:tcW w:w="12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86,911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94,395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Secured Notes, Ocwen Asset</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Servicing Income Series,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Series 2014-1 (14)</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MSRs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 2028</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55,596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57,594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185,710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317,879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372,015</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341,930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807,001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1,030,306</w:t>
            </w:r>
          </w:p>
        </w:tc>
        <w:tc>
          <w:tcPr>
            <w:tcW w:w="0" w:type="dxa"/>
            <w:vAlign w:val="bottom"/>
          </w:tcPr>
          <w:p>
            <w:pPr>
              <w:spacing w:after="0"/>
              <w:rPr>
                <w:sz w:val="1"/>
                <w:szCs w:val="1"/>
                <w:color w:val="auto"/>
              </w:rPr>
            </w:pPr>
          </w:p>
        </w:tc>
      </w:tr>
      <w:tr>
        <w:trPr>
          <w:trHeight w:val="20"/>
        </w:trPr>
        <w:tc>
          <w:tcPr>
            <w:tcW w:w="538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rPr>
              <w:t>Unamortized debt issuance costs - SSTL and PLS Notes</w:t>
            </w: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line="20" w:lineRule="exact"/>
              <w:rPr>
                <w:sz w:val="1"/>
                <w:szCs w:val="1"/>
                <w:color w:val="auto"/>
              </w:rPr>
            </w:pPr>
          </w:p>
        </w:tc>
      </w:tr>
      <w:tr>
        <w:trPr>
          <w:trHeight w:val="230"/>
        </w:trPr>
        <w:tc>
          <w:tcPr>
            <w:tcW w:w="5380" w:type="dxa"/>
            <w:vAlign w:val="bottom"/>
            <w:gridSpan w:val="6"/>
            <w:vMerge w:val="continue"/>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Discount - SSTL</w:t>
            </w: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797,615</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1,025,791</w:t>
            </w:r>
          </w:p>
        </w:tc>
        <w:tc>
          <w:tcPr>
            <w:tcW w:w="0" w:type="dxa"/>
            <w:vAlign w:val="bottom"/>
          </w:tcPr>
          <w:p>
            <w:pPr>
              <w:spacing w:after="0"/>
              <w:rPr>
                <w:sz w:val="1"/>
                <w:szCs w:val="1"/>
                <w:color w:val="auto"/>
              </w:rPr>
            </w:pPr>
          </w:p>
        </w:tc>
      </w:tr>
      <w:tr>
        <w:trPr>
          <w:trHeight w:val="67"/>
        </w:trPr>
        <w:tc>
          <w:tcPr>
            <w:tcW w:w="24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Weighted average interest rate</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right="200" w:hanging="332"/>
        <w:spacing w:after="0" w:line="25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Available borrowing capacity for our mortgage loan warehouse facilities does not consider the amount of the facility that the lender has extended on an uncommitted basis. Of the borrowing capacity extended on a committed basis, none of the available borrowing capacity could be used at March 31, 2020 based on the amount of eligible collateral that could be pledged.</w:t>
      </w:r>
    </w:p>
    <w:p>
      <w:pPr>
        <w:spacing w:after="0" w:line="1" w:lineRule="exact"/>
        <w:rPr>
          <w:rFonts w:ascii="Arial" w:cs="Arial" w:eastAsia="Arial" w:hAnsi="Arial"/>
          <w:sz w:val="16"/>
          <w:szCs w:val="16"/>
          <w:color w:val="auto"/>
        </w:rPr>
      </w:pPr>
    </w:p>
    <w:p>
      <w:pPr>
        <w:ind w:left="340" w:right="460" w:hanging="332"/>
        <w:spacing w:after="0" w:line="25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January 27, 2020, we entered into a Joinder and Second Amendment Agreement (the Amendment) which amends the Amended and Restated SSTL Facility Agreement dated as of December 5, 2016, as amended by a Joinder and Amendment Agreement dated as of March 18, 2019. The Amendment provided for a net prepayment of $126.1 million of the outstanding balance at December 31, 2019</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715" w:right="359" w:bottom="1440" w:gutter="0" w:footer="0" w:header="0"/>
        </w:sectPr>
      </w:pPr>
    </w:p>
    <w:bookmarkStart w:id="40" w:name="page41"/>
    <w:bookmarkEnd w:id="40"/>
    <w:p>
      <w:pPr>
        <w:ind w:left="332" w:right="60"/>
        <w:spacing w:after="0" w:line="289" w:lineRule="auto"/>
        <w:rPr>
          <w:sz w:val="20"/>
          <w:szCs w:val="20"/>
          <w:color w:val="auto"/>
        </w:rPr>
      </w:pPr>
      <w:r>
        <w:rPr>
          <w:rFonts w:ascii="Arial" w:cs="Arial" w:eastAsia="Arial" w:hAnsi="Arial"/>
          <w:sz w:val="16"/>
          <w:szCs w:val="16"/>
          <w:color w:val="auto"/>
        </w:rPr>
        <w:t>such that the facility has a maximum outstanding balance of $200.0 million. The Amendment also (i) extended the maturity of the remaining outstanding loans under the SSTL to May 15, 2022, (ii) provides that the loans under the SSTL bear interest at the one-month Eurodollar Rate or the Base Rate (as defined in the SSTL), at our option, plus a margin of 6.00% per annum for Eurodollar Rate loans or 5.00% per annum for Base Rate loans (increasing to a margin of 6.50% per annum for Eurodollar Rate loans or 5.50% per annum for Base Rate loans on January 27, 2021), (iii) provides for a prepayment premium of 2.00% until January 27, 2022 and (iv) requires quarterly principal payments of $5.0 million.</w:t>
      </w:r>
    </w:p>
    <w:p>
      <w:pPr>
        <w:spacing w:after="0" w:line="13" w:lineRule="exact"/>
        <w:rPr>
          <w:sz w:val="20"/>
          <w:szCs w:val="20"/>
          <w:color w:val="auto"/>
        </w:rPr>
      </w:pPr>
    </w:p>
    <w:p>
      <w:pPr>
        <w:ind w:left="332" w:right="480" w:hanging="332"/>
        <w:spacing w:after="0" w:line="255"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maximum borrowing under this agreement is $175.0 million, of which $100.0 million is available on a committed basis and the remainder is available at the discretion of the lender.</w:t>
      </w:r>
    </w:p>
    <w:p>
      <w:pPr>
        <w:spacing w:after="0" w:line="1" w:lineRule="exact"/>
        <w:rPr>
          <w:rFonts w:ascii="Arial" w:cs="Arial" w:eastAsia="Arial" w:hAnsi="Arial"/>
          <w:sz w:val="16"/>
          <w:szCs w:val="16"/>
          <w:color w:val="auto"/>
        </w:rPr>
      </w:pPr>
    </w:p>
    <w:p>
      <w:pPr>
        <w:ind w:left="332" w:right="40" w:hanging="332"/>
        <w:spacing w:after="0" w:line="246"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$1.0 million on a committed basis. The participation agreement allows the lender to acquire a 100% beneficial interest in the underlying mortgage loans. The transaction does not qualify for sale accounting treatment and is accounted for as a secured borrowing. On March 12, 2020, we voluntarily reduced the maximum borrowing capacity from $100.0 million to $1.0 million in connection with Liberty’s transfer of substantially all of its assets, liabilities, contracts and employees to PMC effective March 15, 2020.</w:t>
      </w:r>
    </w:p>
    <w:p>
      <w:pPr>
        <w:spacing w:after="0" w:line="1" w:lineRule="exact"/>
        <w:rPr>
          <w:rFonts w:ascii="Arial" w:cs="Arial" w:eastAsia="Arial" w:hAnsi="Arial"/>
          <w:sz w:val="16"/>
          <w:szCs w:val="16"/>
          <w:color w:val="auto"/>
        </w:rPr>
      </w:pPr>
    </w:p>
    <w:p>
      <w:pPr>
        <w:ind w:left="332" w:right="200" w:hanging="332"/>
        <w:spacing w:after="0" w:line="246"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6"/>
          <w:szCs w:val="16"/>
          <w:color w:val="auto"/>
        </w:rPr>
      </w:pPr>
    </w:p>
    <w:p>
      <w:pPr>
        <w:ind w:left="332" w:hanging="332"/>
        <w:spacing w:after="0"/>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Under this agreement, the lender provides financing for up to $50.0 million on an uncommitted basis. This facility expired on January 22, 2020 and was not renewed.</w:t>
      </w:r>
    </w:p>
    <w:p>
      <w:pPr>
        <w:spacing w:after="0" w:line="28" w:lineRule="exact"/>
        <w:rPr>
          <w:rFonts w:ascii="Arial" w:cs="Arial" w:eastAsia="Arial" w:hAnsi="Arial"/>
          <w:sz w:val="14"/>
          <w:szCs w:val="14"/>
          <w:color w:val="auto"/>
        </w:rPr>
      </w:pPr>
    </w:p>
    <w:p>
      <w:pPr>
        <w:ind w:left="332" w:right="120" w:hanging="332"/>
        <w:spacing w:after="0" w:line="246"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agreement was originally entered into by PHH and subsequently assumed by Ocwen in connection with its acquisition of PHH. The lender provides financing for up to $200.0 million at the discretion of the lender. The agreement has no stated maturity date.</w:t>
      </w:r>
    </w:p>
    <w:p>
      <w:pPr>
        <w:ind w:left="332" w:right="60" w:hanging="332"/>
        <w:spacing w:after="0" w:line="246"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this master participation agreement, the lender will provide $300.0 million of borrowing capacity to PMC on an uncommitted basis.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March 26, 2020, we renewed this facility through May 3, 2020, and subsequently extended for an additional 30 days until June 3, 2020 for $150.0 million.</w:t>
      </w:r>
    </w:p>
    <w:p>
      <w:pPr>
        <w:spacing w:after="0" w:line="2" w:lineRule="exact"/>
        <w:rPr>
          <w:rFonts w:ascii="Arial" w:cs="Arial" w:eastAsia="Arial" w:hAnsi="Arial"/>
          <w:sz w:val="16"/>
          <w:szCs w:val="16"/>
          <w:color w:val="auto"/>
        </w:rPr>
      </w:pPr>
    </w:p>
    <w:p>
      <w:pPr>
        <w:ind w:left="332" w:right="80" w:hanging="332"/>
        <w:spacing w:after="0" w:line="246"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on a committed basis. The lender earns the stated interest rate of 1ML plus a margin of 350 bps.</w:t>
      </w:r>
    </w:p>
    <w:p>
      <w:pPr>
        <w:ind w:left="332" w:right="120" w:hanging="332"/>
        <w:spacing w:after="0" w:line="246"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March 12, 2020, PMC entered into a mortgage loan warehouse agreement to fund reverse mortgage loan draws by borrowers subsequent to origination. Under this agreement, the lender provides financing for up to $100.0 million on an uncommitted basis and the lender earns the stated interest rate of 1ML plus a margin of 250 bps.</w:t>
      </w:r>
    </w:p>
    <w:p>
      <w:pPr>
        <w:spacing w:after="0" w:line="1" w:lineRule="exact"/>
        <w:rPr>
          <w:rFonts w:ascii="Arial" w:cs="Arial" w:eastAsia="Arial" w:hAnsi="Arial"/>
          <w:sz w:val="16"/>
          <w:szCs w:val="16"/>
          <w:color w:val="auto"/>
        </w:rPr>
      </w:pPr>
    </w:p>
    <w:p>
      <w:pPr>
        <w:ind w:left="332" w:hanging="332"/>
        <w:spacing w:after="0" w:line="262" w:lineRule="auto"/>
        <w:tabs>
          <w:tab w:leader="none" w:pos="332" w:val="left"/>
        </w:tabs>
        <w:numPr>
          <w:ilvl w:val="0"/>
          <w:numId w:val="26"/>
        </w:numPr>
        <w:rPr>
          <w:rFonts w:ascii="Arial" w:cs="Arial" w:eastAsia="Arial" w:hAnsi="Arial"/>
          <w:sz w:val="15"/>
          <w:szCs w:val="15"/>
          <w:color w:val="auto"/>
        </w:rPr>
      </w:pPr>
      <w:r>
        <w:rPr>
          <w:rFonts w:ascii="Arial" w:cs="Arial" w:eastAsia="Arial" w:hAnsi="Arial"/>
          <w:sz w:val="15"/>
          <w:szCs w:val="15"/>
          <w:color w:val="auto"/>
        </w:rPr>
        <w:t>Financing facility entered into by PMC that is secured by certain Fannie Mae and Freddie Mac MSRs. In connection with this facility, PMC entered into repurchase agreements pursuant to which PMC sold trust certificates representing certain indirect economic interests in the MSRs and agreed to repurchase such trust certificates at a future date at the repurchase price set forth in the repurchase agreements. PMC’s obligations under this facility are secured by a lien on the related MSRs. Ocwen guarantees the obligations of PMC under this facility. The maximum amount which we may borrow pursuant to the repurchase agreements is $300.0 million on a committed basis. The lender earns the stated interest rate of 1ML plus a margin of 300 bps. See Note 3 – Securitizations and Variable Interest Entities for additional information. We are subject to daily margining requirements under the terms of our MSR financing facilities. Declines in fair value of our MSRs due to declines in market interest rates, assumption updates or other factors require that we provide additional collateral to our lenders under these facilities.</w:t>
      </w:r>
    </w:p>
    <w:p>
      <w:pPr>
        <w:spacing w:after="0" w:line="4" w:lineRule="exact"/>
        <w:rPr>
          <w:rFonts w:ascii="Arial" w:cs="Arial" w:eastAsia="Arial" w:hAnsi="Arial"/>
          <w:sz w:val="15"/>
          <w:szCs w:val="15"/>
          <w:color w:val="auto"/>
        </w:rPr>
      </w:pPr>
    </w:p>
    <w:p>
      <w:pPr>
        <w:ind w:left="332" w:right="40" w:hanging="332"/>
        <w:spacing w:after="0" w:line="28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Financing facility entered into by PMC that is secured by certain Ginnie Mae MSRs. In connection with the facility, PMC entered into a repurchase agreement pursuant to which PMC has sold a participation certificate representing certain economic interests in the Ginnie Mae MSRs and has agreed to repurchase such participation certificate at a future date at the repurchase price set forth in the repurchase agreement. PMC’s obligations under the facility are secured by a lien on the related Ginnie Mae MSRs. Ocwen guarantees the obligations of PMC under the facility. The maximum amount which we may borrow pursuant to the facility is $100.0 million on an uncommitted basis. The lender earns the stated interest rate of 1ML plus a margin of 395 bps. See (11) above regarding daily margining requirements.</w:t>
      </w:r>
    </w:p>
    <w:p>
      <w:pPr>
        <w:spacing w:after="0" w:line="2" w:lineRule="exact"/>
        <w:rPr>
          <w:rFonts w:ascii="Arial" w:cs="Arial" w:eastAsia="Arial" w:hAnsi="Arial"/>
          <w:sz w:val="14"/>
          <w:szCs w:val="14"/>
          <w:color w:val="auto"/>
        </w:rPr>
      </w:pPr>
    </w:p>
    <w:p>
      <w:pPr>
        <w:ind w:left="332" w:right="40" w:hanging="332"/>
        <w:spacing w:after="0" w:line="246"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PMC issued the PLS Notes secured by certain of PMC’s MSRs (PLS MSRs) pursuant to a credit agreement. PLS Issuer’s obligations under the facility are secured by a lien on the related PLS MSRs. Ocwen guarantees the obligations of PLS Issuer under the facility. The Class A PLS Notes issued pursuant to the credit agreement have an initial principal amount of $100.0 million and amortize in accordance with a pre-determined schedule subject to modification under certain events. The notes have a stated coupon rate of 5.07%. See Note 3 – Securitizations and Variable Interest Entities for additional information. See (11) above regarding daily margining requirements.</w:t>
      </w:r>
    </w:p>
    <w:p>
      <w:pPr>
        <w:spacing w:after="0" w:line="2" w:lineRule="exact"/>
        <w:rPr>
          <w:rFonts w:ascii="Arial" w:cs="Arial" w:eastAsia="Arial" w:hAnsi="Arial"/>
          <w:sz w:val="16"/>
          <w:szCs w:val="16"/>
          <w:color w:val="auto"/>
        </w:rPr>
      </w:pPr>
    </w:p>
    <w:p>
      <w:pPr>
        <w:jc w:val="both"/>
        <w:ind w:left="332" w:right="140" w:hanging="332"/>
        <w:spacing w:after="0" w:line="250"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32"/>
          </w:cols>
          <w:pgMar w:left="328" w:top="57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74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Senior Notes</w:t>
            </w: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Interest Rate</w:t>
            </w:r>
          </w:p>
        </w:tc>
        <w:tc>
          <w:tcPr>
            <w:tcW w:w="1560" w:type="dxa"/>
            <w:vAlign w:val="bottom"/>
          </w:tcPr>
          <w:p>
            <w:pPr>
              <w:ind w:left="500"/>
              <w:spacing w:after="0"/>
              <w:rPr>
                <w:sz w:val="20"/>
                <w:szCs w:val="20"/>
                <w:color w:val="auto"/>
              </w:rPr>
            </w:pPr>
            <w:r>
              <w:rPr>
                <w:rFonts w:ascii="Arial" w:cs="Arial" w:eastAsia="Arial" w:hAnsi="Arial"/>
                <w:sz w:val="18"/>
                <w:szCs w:val="18"/>
                <w:b w:val="1"/>
                <w:bCs w:val="1"/>
                <w:color w:val="auto"/>
              </w:rPr>
              <w:t>Maturity</w:t>
            </w:r>
          </w:p>
        </w:tc>
        <w:tc>
          <w:tcPr>
            <w:tcW w:w="16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4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unsecured notes: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PHH (1)</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1"/>
                <w:szCs w:val="21"/>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Aug. 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21,543</w:t>
            </w:r>
          </w:p>
        </w:tc>
      </w:tr>
      <w:tr>
        <w:trPr>
          <w:trHeight w:val="27"/>
        </w:trPr>
        <w:tc>
          <w:tcPr>
            <w:tcW w:w="47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21,543</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Senior secured notes</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1"/>
                <w:szCs w:val="21"/>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Nov. 2022</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291,509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291,509</w:t>
            </w:r>
          </w:p>
        </w:tc>
      </w:tr>
      <w:tr>
        <w:trPr>
          <w:trHeight w:val="27"/>
        </w:trPr>
        <w:tc>
          <w:tcPr>
            <w:tcW w:w="47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313,052</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Unamortized debt issuance costs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7"/>
        </w:trPr>
        <w:tc>
          <w:tcPr>
            <w:tcW w:w="4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adjustments (1)</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7"/>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311,290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311,085</w:t>
            </w:r>
          </w:p>
        </w:tc>
      </w:tr>
      <w:tr>
        <w:trPr>
          <w:trHeight w:val="27"/>
        </w:trPr>
        <w:tc>
          <w:tcPr>
            <w:tcW w:w="4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60" w:hanging="332"/>
        <w:spacing w:after="0" w:line="25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notes were originally issued by PHH and subsequently assumed by Ocwen in connection with its acquisition of PHH. We recorded the notes at their respective fair values on the date of acquisition, and we are amortizing the resulting fair value purchase accounting adjustments over the remaining term of the notes. We have the option to redeem the notes due in August 2021, in whole or in part, on or after January 1, 2019 at a redemption price equal to 100.0% of the principal amount plus any accrued and unpaid interest.</w:t>
      </w:r>
    </w:p>
    <w:p>
      <w:pPr>
        <w:spacing w:after="0" w:line="74"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At any time, we may redeem all or a part of the 8.375% Senior secured notes, upon not less than 30 nor more than 60 days’ notice at a specified redemption price, plus accrued and unpaid interest to the date of redemption. We may redeem all or a part of these notes at the redemption prices (expressed as percentages of principal amount) specified in the Indenture. The redemption prices during the twelve-month periods beginning on November</w:t>
      </w:r>
    </w:p>
    <w:p>
      <w:pPr>
        <w:spacing w:after="0"/>
        <w:rPr>
          <w:sz w:val="20"/>
          <w:szCs w:val="20"/>
          <w:color w:val="auto"/>
        </w:rPr>
      </w:pPr>
      <w:r>
        <w:rPr>
          <w:rFonts w:ascii="Arial" w:cs="Arial" w:eastAsia="Arial" w:hAnsi="Arial"/>
          <w:sz w:val="18"/>
          <w:szCs w:val="18"/>
          <w:color w:val="auto"/>
        </w:rPr>
        <w:t>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each year are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7"/>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104.188%</w:t>
            </w:r>
          </w:p>
        </w:tc>
      </w:tr>
      <w:tr>
        <w:trPr>
          <w:trHeight w:val="243"/>
        </w:trPr>
        <w:tc>
          <w:tcPr>
            <w:tcW w:w="88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102.094%</w:t>
            </w: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and thereafter</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100.000%</w:t>
            </w:r>
          </w:p>
        </w:tc>
      </w:tr>
      <w:tr>
        <w:trPr>
          <w:trHeight w:val="27"/>
        </w:trPr>
        <w:tc>
          <w:tcPr>
            <w:tcW w:w="8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Upon a change of control (as defined in the Indenture), we are required to make an offer to the holders of the 8.375% Senior secured notes to repurchase all or a portion of each holder’s notes at a purchase price equal to 101.0% of the principal amount of the notes purchased plus accrued and unpaid interest to the date of purchase.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Credit ratings are intended to be an indicator of the creditworthiness of a company’s debt obligation. At March 31, 2020, the S&amp;P issuer credit rating for Ocwen was “B-”. On July 3, 2019, S&amp;P assigned a B- issuer credit rating with Negative outlook to PMC. On April 13, 2020, S&amp;P placed Ocwen’s ratings outlook on CreditWatch with negative implications due to the uncertain economic impact of COVID-19 on liquidity. It is possible that additional actions by credit rating agencies could have a material adverse impact on our liquidity and funding position, including materially changing the terms on which we may be able to borrow money.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forms of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any guarantor, entering into transactions with affiliates;</w:t>
      </w:r>
    </w:p>
    <w:p>
      <w:pPr>
        <w:ind w:left="660" w:right="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180" w:hanging="328"/>
        <w:spacing w:after="0" w:line="2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823" w:right="339" w:bottom="1440" w:gutter="0" w:footer="0" w:header="0"/>
        </w:sectPr>
      </w:pPr>
    </w:p>
    <w:bookmarkStart w:id="42" w:name="page43"/>
    <w:bookmarkEnd w:id="42"/>
    <w:p>
      <w:pPr>
        <w:ind w:right="30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right="1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40% loan to collateral value ratio (i.e., the ratio of total outstanding loans under the SSTL to certain collateral and other assets as defined under the SSTL), as of the last date of any fiscal quarter;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Ocwen level.</w:t>
      </w:r>
    </w:p>
    <w:p>
      <w:pPr>
        <w:spacing w:after="0" w:line="10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Certain new financial covenants were added as part of the amendment and extension of our SSTL which closed on January 27, 2020. These include i) maintain a minimum unencumbered asset coverage ratio (i.e., the ratio of unrestricted cash and certain first priority perfected collateral to total outstanding loans under the SSTL) as of the last day of any fiscal quarter of 200% increasing to 225% after December 31, 2020 and ii) maintain minimum unrestricted cash of $125.0 million as of the last day of each fiscal quarter.</w:t>
      </w:r>
    </w:p>
    <w:p>
      <w:pPr>
        <w:spacing w:after="0" w:line="187"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As of March 31, 2020, the most restrictive consolidated tangible net worth requirements contained in our debt agreements were for a minimum of $200.0 million in consolidated tangible net worth, as defined, under certain of our advance match funded debt, MSR financing facilities and mortgage warehouse agreements. The most restrictive liquidity requirements were for a minimum of $100.0 million in consolidated liquidity, as defined, under certain of our advance match funded debt and mortgage warehouse agreements.</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 covenants to which we are subject, we may be limited in the manner in which we conduct our business and may be limited in our ability to engage in favorable business and investment activities or raise certain types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8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believe we were in compliance with all of the qualitative and quantitative covenants in our debt agreements as of the date of these unaudited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Collateral</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secured liens under the SSTL and Senior Secured Notes are as follows at March 31,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Collateral for Secured Borrowings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Advance Match</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Mortgage Loan</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Funded</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Warehouse /</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Sales and Other</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Liabilities</w:t>
            </w: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MSR Facilities</w:t>
            </w: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Commitments (1)</w:t>
            </w: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Other (2)</w:t>
            </w:r>
          </w:p>
        </w:tc>
      </w:tr>
      <w:tr>
        <w:trPr>
          <w:trHeight w:val="27"/>
        </w:trPr>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263,555</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37,308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MSRs (3)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459,027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1,024,807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751,020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273,787</w:t>
            </w: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40,935</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6,591,382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6,461,371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97,273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32,738</w:t>
            </w: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202,745</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37,430</w:t>
            </w: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410,718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68,203</w:t>
            </w:r>
          </w:p>
        </w:tc>
      </w:tr>
      <w:tr>
        <w:trPr>
          <w:trHeight w:val="257"/>
        </w:trPr>
        <w:tc>
          <w:tcPr>
            <w:tcW w:w="24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9,986,024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761,858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7,053,076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804,175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448,026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919,906</w:t>
            </w:r>
          </w:p>
        </w:tc>
      </w:tr>
      <w:tr>
        <w:trPr>
          <w:trHeight w:val="20"/>
        </w:trPr>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120" w:hanging="332"/>
        <w:spacing w:after="0" w:line="25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Sales and Other Commitments include MSRs and related advances committed under sale agreements, Restricted cash and deposits held as collateral to support certain contractual obligations, and Contingent loan repurchase assets related to the Ginnie Mae EBO program for which a corresponding liability is recognized in Other liabilities.</w:t>
      </w:r>
    </w:p>
    <w:p>
      <w:pPr>
        <w:spacing w:after="0" w:line="1" w:lineRule="exact"/>
        <w:rPr>
          <w:rFonts w:ascii="Arial" w:cs="Arial" w:eastAsia="Arial" w:hAnsi="Arial"/>
          <w:sz w:val="16"/>
          <w:szCs w:val="16"/>
          <w:color w:val="auto"/>
        </w:rPr>
      </w:pPr>
    </w:p>
    <w:p>
      <w:pPr>
        <w:ind w:left="340" w:right="40" w:hanging="332"/>
        <w:spacing w:after="0" w:line="28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Assets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4" w:lineRule="exact"/>
        <w:rPr>
          <w:rFonts w:ascii="Arial" w:cs="Arial" w:eastAsia="Arial" w:hAnsi="Arial"/>
          <w:sz w:val="14"/>
          <w:szCs w:val="14"/>
          <w:color w:val="auto"/>
        </w:rPr>
      </w:pPr>
    </w:p>
    <w:p>
      <w:pPr>
        <w:ind w:left="340" w:right="80" w:hanging="332"/>
        <w:spacing w:after="0" w:line="250"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MSRs pledged as collateral for secured borrowings includes MSRs pledged to NRZ in connection with the Rights to MSRs transactions which are accounted for as secured financings and MSRs securing the financing facilities. Certain MSR cohorts with a negative fair value of $1.0 million that would be presented as Other are excluded from the eligible collateral of the facilities and are comprised of $23.3 million of negative fair value related to RMBS and $22.1 million of positive fair value related to private EBO and PLS MSRs.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661" w:right="359" w:bottom="1440" w:gutter="0" w:footer="0" w:header="0"/>
        </w:sectPr>
      </w:pPr>
    </w:p>
    <w:bookmarkStart w:id="44" w:name="page45"/>
    <w:bookmarkEnd w:id="44"/>
    <w:p>
      <w:pPr>
        <w:ind w:left="1340"/>
        <w:spacing w:after="0"/>
        <w:rPr>
          <w:sz w:val="20"/>
          <w:szCs w:val="20"/>
          <w:color w:val="auto"/>
        </w:rPr>
      </w:pPr>
      <w:r>
        <w:rPr>
          <w:rFonts w:ascii="Arial" w:cs="Arial" w:eastAsia="Arial" w:hAnsi="Arial"/>
          <w:sz w:val="18"/>
          <w:szCs w:val="18"/>
          <w:b w:val="1"/>
          <w:bCs w:val="1"/>
          <w:color w:val="auto"/>
        </w:rPr>
        <w:t>Note 12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102870</wp:posOffset>
            </wp:positionV>
            <wp:extent cx="6309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loan repurchase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492,900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Due to NRZ - Advance collections and servicing fees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98,555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63,596</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Servicing-related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88,167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48,608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52,785</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42,863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44,488</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fees and 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30,663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32,706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31,959</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uncertain tax positions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12,561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5,964</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unfunded pension 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Liability for mortgage insurance contingency</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6,820</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unfunded India gratuity plan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22,788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21,091</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9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875,171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942,173</w:t>
            </w:r>
          </w:p>
        </w:tc>
      </w:tr>
      <w:tr>
        <w:trPr>
          <w:trHeight w:val="135"/>
        </w:trPr>
        <w:tc>
          <w:tcPr>
            <w:tcW w:w="79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960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5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On February 3, 2020, Ocwen’s Board of Directors authorized a share repurchase program for an aggregate amount of up to $5.0 million of Ocwen’s issued and outstanding shares of common stock. During the three months ended March 31, 2020, we completed the repurchase of 5,662,257 shares of common stock in the open market under this program at prevailing market prices for a total purchase price of $4.5 million for an average price paid per share of $0.79. In addition, Ocwen paid $0.1 million in commissions. The repurchased shares were formally retired as of March 31, 2020. Unless we amend the share repurchase program or repurchase the remaining $0.5 million by an earlier date, the share repurchase program will expire on February 3, 2021. No assurances can be given as to the amount of shares, if any, that we may repurchase in any given period.</w:t>
      </w:r>
    </w:p>
    <w:p>
      <w:pPr>
        <w:spacing w:after="0" w:line="164"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On April 8, 2020, Ocwen was notified by the New York Stock Exchange (the NYSE) that the average per share trading price of its common stock was below the NYSE’s continued listing standard rule relating to minimum average share price. The NYSE generally requires that a company’s common stock trade at a minimum average closing price of $1.00 over a consecutive 30 trading-day period. Companies have six months from receipt of the notice to regain compliance with the NYSE’s price condition. Receipt of the NYSE notification does not conflict with nor cause an event of default under any of Ocwen’s debt agreements. Pursuant to the NYSE’s rules, during the cure period, Ocwen’s common stock will continue to be listed and trade on the NYSE. On April 21, 2020, the NYSE announced that, due to market-wide declines brought about by the extraordinary circumstances of the COVID-19 pandemic, it would toll until July 1, 2020 the running of cure periods for companies not in compliance with the minimum share price standard. As a result, the remainder of Ocwen’s cure period will be tolled until July 1, 2020 and Ocwen must regain compliance with the NYSE’s share price standard by December 17, 2020. The likelihood and nature of any further NYSE relief remain uncertain at this time.</w:t>
      </w:r>
    </w:p>
    <w:p>
      <w:pPr>
        <w:spacing w:after="0" w:line="5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On April 15, 2020, the Board of Directors of Ocwen (the Board) approved including a proposal in Ocwen’s proxy statement relating to its Annual Meeting of Shareholders, currently scheduled for May 27, 2020, that would seek advisory approval of an amendment to our Articles of Incorporation to effect a reverse split of all outstanding shares of our common stock at a ratio of any amount between, and including, one-for-five and one-for-25, and reduce the number of authorized shares of our common stock by the same proportion as the ratio of the reverse stock split. The Board intends to take into account the results of the advisory vote as well as changing market conditions and other developments in order to make a determination with respect to the best course of action to pursue in order to regain compliance with the NYSE’s minimum share price requirement.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093" w:right="339" w:bottom="1440" w:gutter="0" w:footer="0" w:header="0"/>
        </w:sectPr>
      </w:pPr>
    </w:p>
    <w:bookmarkStart w:id="45" w:name="page46"/>
    <w:bookmarkEnd w:id="45"/>
    <w:p>
      <w:pPr>
        <w:ind w:left="40"/>
        <w:spacing w:after="0"/>
        <w:rPr>
          <w:sz w:val="20"/>
          <w:szCs w:val="20"/>
          <w:color w:val="auto"/>
        </w:rPr>
      </w:pPr>
      <w:r>
        <w:rPr>
          <w:rFonts w:ascii="Arial" w:cs="Arial" w:eastAsia="Arial" w:hAnsi="Arial"/>
          <w:sz w:val="18"/>
          <w:szCs w:val="18"/>
          <w:b w:val="1"/>
          <w:bCs w:val="1"/>
          <w:color w:val="auto"/>
        </w:rPr>
        <w:t>Note 14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following table summarizes derivative activity, including the derivatives used in each of our identified hedging programs. The notional amount of our contracts does not represent our exposure to credit loss. None of the derivatives were designated as a hedge for accounting purposes as of, or during the three months ended March 31, 2020 and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Interest Rate Risk</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IRLCs and Loans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MSR Hedging</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Held for Sale</w:t>
            </w:r>
          </w:p>
        </w:tc>
        <w:tc>
          <w:tcPr>
            <w:tcW w:w="22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Borrowings</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TBA / Forward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MBS Trades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IRLCs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Futures (1)</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Forward Trades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 Caps</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balance at March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Notional balance at December 31, 2019</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232,566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27,083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April 2020 - June</w:t>
            </w:r>
          </w:p>
        </w:tc>
        <w:tc>
          <w:tcPr>
            <w:tcW w:w="14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May 2020 - June</w:t>
            </w:r>
          </w:p>
        </w:tc>
        <w:tc>
          <w:tcPr>
            <w:tcW w:w="14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April 2020 - May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3"/>
              </w:rPr>
              <w:t>May 2020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March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w w:val="98"/>
              </w:rPr>
              <w:t>Gains (losses) on derivatives during the three months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Gain on loans held</w:t>
            </w:r>
          </w:p>
        </w:tc>
        <w:tc>
          <w:tcPr>
            <w:tcW w:w="14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MSR valuation</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Gain on loans held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ended:</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 sale, net</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adjustments, net</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for sale, net</w:t>
            </w:r>
          </w:p>
        </w:tc>
        <w:tc>
          <w:tcPr>
            <w:tcW w:w="22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Other, net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March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March 31, 2019</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120" w:hanging="332"/>
        <w:spacing w:after="0" w:line="30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March 31, 2020 balances include $500.0 million notional balance and $0.8 million fair value, of interest rate swap futures (nil at December 31, 2019). The related gain on these interest rate futures for the three months ended March 31, 2020 was $0.8 million</w:t>
      </w:r>
      <w:r>
        <w:rPr>
          <w:rFonts w:ascii="Arial" w:cs="Arial" w:eastAsia="Arial" w:hAnsi="Arial"/>
          <w:sz w:val="17"/>
          <w:szCs w:val="17"/>
          <w:color w:val="auto"/>
        </w:rPr>
        <w:t>.</w:t>
      </w:r>
    </w:p>
    <w:p>
      <w:pPr>
        <w:spacing w:after="0" w:line="15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report derivatives at fair value in Other assets or in Other liabilities on our unaudited consolidated balance sheets. Derivative instruments are generally entered into as economic hedges against changes in the fair value of a recognized asset or liability and are not designated as hedges for accounting purposes. We report the changes in fair value of such derivative instruments in the same line item in the unaudited consolidated statement of operations as the changes in fair value of the related asset or liability. For all other derivative instruments not designated as a hedging instrument, we report changes in fair value in Other,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Our operations in India and the Philippines expose us to foreign currency exchange rate risk to the extent that our foreign exchange positions remain unhedged. We have not entered into any forward exchange contracts during the reported periods to hedge against the effect of changes in the value of the India Rupee or Philippine Peso. Foreign currency remeasurement exchange (losses) gains were $(0.9) million and $0.2 million, during the three months ended March 31, 2020 and 2019, respectively, and are reported in Other, net in the unaudited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Hedging</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 among other factors. Beginning in September 2019, management implemented a hedging strategy to partially offset the changes in fair value of our net MSR portfolio to interest rate changes. We define our net MSR portfolio exposure as follows:</w:t>
      </w:r>
    </w:p>
    <w:p>
      <w:pPr>
        <w:spacing w:after="0" w:line="7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8 — Rights to MSRs),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interest rate lock commitments (pipeline).</w:t>
      </w:r>
    </w:p>
    <w:p>
      <w:pPr>
        <w:sectPr>
          <w:pgSz w:w="11900" w:h="16838" w:orient="portrait"/>
          <w:cols w:equalWidth="0" w:num="1">
            <w:col w:w="11240"/>
          </w:cols>
          <w:pgMar w:left="320" w:top="1093"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093" w:right="339" w:bottom="1440" w:gutter="0" w:footer="0" w:header="0"/>
          <w:type w:val="continuous"/>
        </w:sectPr>
      </w:pPr>
    </w:p>
    <w:bookmarkStart w:id="46" w:name="page47"/>
    <w:bookmarkEnd w:id="46"/>
    <w:p>
      <w:pPr>
        <w:ind w:right="240" w:firstLine="324"/>
        <w:spacing w:after="0" w:line="342" w:lineRule="auto"/>
        <w:rPr>
          <w:sz w:val="20"/>
          <w:szCs w:val="20"/>
          <w:color w:val="auto"/>
        </w:rPr>
      </w:pPr>
      <w:r>
        <w:rPr>
          <w:rFonts w:ascii="Arial" w:cs="Arial" w:eastAsia="Arial" w:hAnsi="Arial"/>
          <w:sz w:val="16"/>
          <w:szCs w:val="16"/>
          <w:color w:val="auto"/>
        </w:rPr>
        <w:t>We determine and monitor daily a hedge coverage based on the duration and interest rate sensitivity measures of our net MSR portfolio exposure, considering market and liquidity conditions. At March 31, 2020, our hedging strategy provides for a partial coverage of our net MSR portfolio exposure.</w:t>
      </w:r>
    </w:p>
    <w:p>
      <w:pPr>
        <w:spacing w:after="0" w:line="12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Interest rate swap futures are exchange-traded and centrally cleared. We report changes in fair value of these derivative instruments in MSR valuation adjustments, net in our unaudited consolidated statements of operations.</w:t>
      </w:r>
    </w:p>
    <w:p>
      <w:pPr>
        <w:spacing w:after="0" w:line="15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had previously been economically hedged with freestanding derivatives such as forward contracts.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Beginning in September 2019, this exposure is not individually hedged, but rather used as an offset to our MSR exposure and managed as part of our MSR hedging strategy described above.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had previously entered into forward MBS trades to provide an economic hedge against those changes in fair value on mortgage loans held for sale. Forward MBS trades were primarily used to fix the forward sales price that would be realized upon the sale of mortgage loans into the secondary market. Beginning in September 2019, this exposure is not individually hedged, but rather used as an offset to our MSR exposure and managed as part of our MSR hedging strategy described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Match Funded Liabilities</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When required by our advance financing arrangements, we purchase interest rate caps to minimize future interest rate exposure from increases in the interest on our variable rate debt as a result of increases in the index, such as 1ML, which is used in determining the interest rate on the debt. We currently do not hedge our fixed-rate debt.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Advance match funded liabilities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7,652</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secured borrowings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15,292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29,982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16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102870</wp:posOffset>
            </wp:positionV>
            <wp:extent cx="6960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 refunds of previously generated corporate Alternative Minimum Tax</w:t>
      </w:r>
    </w:p>
    <w:p>
      <w:pPr>
        <w:sectPr>
          <w:pgSz w:w="11900" w:h="16838" w:orient="portrait"/>
          <w:cols w:equalWidth="0" w:num="1">
            <w:col w:w="11240"/>
          </w:cols>
          <w:pgMar w:left="320" w:top="66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665" w:right="339" w:bottom="1440" w:gutter="0" w:footer="0" w:header="0"/>
          <w:type w:val="continuous"/>
        </w:sectPr>
      </w:pPr>
    </w:p>
    <w:bookmarkStart w:id="47" w:name="page48"/>
    <w:bookmarkEnd w:id="47"/>
    <w:p>
      <w:pPr>
        <w:ind w:right="120"/>
        <w:spacing w:after="0" w:line="277" w:lineRule="auto"/>
        <w:rPr>
          <w:sz w:val="20"/>
          <w:szCs w:val="20"/>
          <w:color w:val="auto"/>
        </w:rPr>
      </w:pPr>
      <w:r>
        <w:rPr>
          <w:rFonts w:ascii="Arial" w:cs="Arial" w:eastAsia="Arial" w:hAnsi="Arial"/>
          <w:sz w:val="18"/>
          <w:szCs w:val="18"/>
          <w:color w:val="auto"/>
        </w:rPr>
        <w:t>(AMT) credits, and adjusts the business interest expense limitation under section 163(j) from 30% to 50% of Adjusted Taxable Income (ATI) for 2019 and 2020 tax years.</w:t>
      </w:r>
    </w:p>
    <w:p>
      <w:pPr>
        <w:spacing w:after="0" w:line="170"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Based on information available at this time, we estimate that modifications to the tax rules for the carryback of NOLs and business interest expense limitations will result in U.S. and USVI federal net tax refunds of approximately $62.9 million and $1.9 million, respectively, and as such we have recognized an income tax benefit of $64.8 million in our unaudited consolidated financial statements for the three months ended March 31, 2020.</w:t>
      </w:r>
    </w:p>
    <w:p>
      <w:pPr>
        <w:spacing w:after="0" w:line="149"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The income tax benefit recognized represents the release of valuation allowances against certain NOL and Section 163(j) deferred tax assets that are now more likely than not to be realizable as a result of certain provisions of the CARES Act as well as permanent income tax benefit related to the carryback of NOLs created in a tax year that was subject to a U.S. federal tax at a 21% rate to a tax year subject to tax at a 35% rate.</w:t>
      </w:r>
    </w:p>
    <w:p>
      <w:pPr>
        <w:spacing w:after="0" w:line="14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determination of the refund potential associated with the NOL carryback provision of the CARES Act is subject to change as we continue to wait upon further guidance from the IRS and analyze additional information necessary to finalize the calculations and maximize the long-term value to Ocwen. As we await further guidance and continue to analyze our options, our determination of the impact of the CARES Act on our 2020 financial statements is preliminary at this time.</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recognized income tax expense, exclusive of the impact of the CARES Act, of $2.9 million due to the mix of earnings among different tax jurisdictions with different statutory tax rates. Under our transfer pricing agreements, our operations in India and Philippines are compensated on a cost-plus basis for the services they provide, such that even when we have a consolidated pre-tax loss from continuing operations these foreign operations have taxable income, which is subject to statutory tax rates in these jurisdictions that are significantly higher than the U.S. statutory rate of 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three months ended March 31, 2020 and 2019, we have excluded the effect of all stock options and common stock awards from the computation of diluted loss per share because of the anti-dilutive effect of our reported net loss.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30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(44,494)</w:t>
            </w:r>
          </w:p>
        </w:tc>
      </w:tr>
      <w:tr>
        <w:trPr>
          <w:trHeight w:val="217"/>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30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shares of common stock — Basic and Diluted</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134,858,837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133,918,986</w:t>
            </w:r>
          </w:p>
        </w:tc>
      </w:tr>
      <w:tr>
        <w:trPr>
          <w:trHeight w:val="217"/>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30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17"/>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w w:val="89"/>
              </w:rPr>
              <w:t>Stock options and common stock awards excluded from the computation of diluted earnings per share</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Anti-dilutive (1)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3,737,824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3,226,255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Market-based (2)</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1,880,954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381,877</w:t>
            </w:r>
          </w:p>
        </w:tc>
      </w:tr>
    </w:tbl>
    <w:p>
      <w:pPr>
        <w:spacing w:after="0" w:line="287" w:lineRule="exact"/>
        <w:rPr>
          <w:sz w:val="20"/>
          <w:szCs w:val="20"/>
          <w:color w:val="auto"/>
        </w:rPr>
      </w:pPr>
    </w:p>
    <w:p>
      <w:pPr>
        <w:ind w:left="340" w:right="320" w:hanging="332"/>
        <w:spacing w:after="0" w:line="255"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18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665" w:right="339" w:bottom="1440" w:gutter="0" w:footer="0" w:header="0"/>
        </w:sectPr>
      </w:pPr>
    </w:p>
    <w:bookmarkStart w:id="48" w:name="page49"/>
    <w:bookmarkEnd w:id="48"/>
    <w:p>
      <w:pPr>
        <w:ind w:right="100" w:firstLine="324"/>
        <w:spacing w:after="0" w:line="254"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core residential mortgage servicing business and currently accounts for most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or securitization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The Originations segment (previously labeled as Lending) purchases and originates conventional and government-insured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and reverse mortgage loans. The loans are typically sold shortly after origination into a liquid market on a servicing retained (securitization) or servicing released (sale to a third party) basis. We originate forward mortgage loans directly with customers (recapture channel) as well as through correspondent lending arrangements since the second quarter of 2019. We originate reverse mortgage loans in all three channels, through our correspondent lending arrangements, broker relationships (wholesale) and retail channels. In addition to our originated MSRs, we acquire MSRs through multiple channels, including flow purchase agreements, the GSE Cash Window program and bulk MSR purchases. The pricing and acquisition decisions are made relative to other originated MSR channels. Accordingly, as part of our internal management reporting we renamed the Lending segment as Originations effective in the first quarter 2020, without any other changes to our operating and reporting segments.</w:t>
      </w:r>
    </w:p>
    <w:p>
      <w:pPr>
        <w:spacing w:after="0" w:line="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corporate debt. Corporate Items and Other also includes severance, retention, facility-related and other expenses incurred in 2019 related to cost our re-engineering plan. Our cash balances are included in Corporate Items and Other. CRL provides re-insurance related to coverage on foreclosed real estate properties owned or serviced by us.</w:t>
      </w:r>
    </w:p>
    <w:p>
      <w:pPr>
        <w:spacing w:after="0" w:line="84"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We allocate a portion of interest income to each business segment, including interest earned on cash balances. We also allocate certain expenses incurred by corporate support services that are not directly attributable to a segment to each business segment. Beginning in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2019,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plan, and other costs related to operating as a public company.</w:t>
      </w:r>
    </w:p>
    <w:p>
      <w:pPr>
        <w:spacing w:after="0" w:line="6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Interest expense on direct asset-backed financings are recorded in the respective Servicing and Originations segments, while interest expense on the SSTL and Senior Notes is recorded in Corporate Items and Other and is not allocated.</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Items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Business Segments</w:t>
            </w:r>
          </w:p>
        </w:tc>
      </w:t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20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253,842</w:t>
            </w:r>
          </w:p>
        </w:tc>
      </w:tr>
      <w:tr>
        <w:trPr>
          <w:trHeight w:val="183"/>
        </w:trPr>
        <w:tc>
          <w:tcPr>
            <w:tcW w:w="46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MSR valuation adjustments, net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(174,120)</w:t>
            </w:r>
          </w:p>
        </w:tc>
      </w:tr>
      <w:tr>
        <w:trPr>
          <w:trHeight w:val="183"/>
        </w:trPr>
        <w:tc>
          <w:tcPr>
            <w:tcW w:w="46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r>
      <w:tr>
        <w:trPr>
          <w:trHeight w:val="263"/>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 (1) (2)</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137,214</w:t>
            </w:r>
          </w:p>
        </w:tc>
      </w:tr>
      <w:tr>
        <w:trPr>
          <w:trHeight w:val="169"/>
        </w:trPr>
        <w:tc>
          <w:tcPr>
            <w:tcW w:w="46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5,395</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(29,982)</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Pledged MSR liability expense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(6,594)</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r>
      <w:tr>
        <w:trPr>
          <w:trHeight w:val="236"/>
        </w:trPr>
        <w:tc>
          <w:tcPr>
            <w:tcW w:w="462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(29,853)</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4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30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10,381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(87,345)</w:t>
            </w:r>
          </w:p>
        </w:tc>
      </w:tr>
      <w:tr>
        <w:trPr>
          <w:trHeight w:val="163"/>
        </w:trPr>
        <w:tc>
          <w:tcPr>
            <w:tcW w:w="4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432"/>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 2019</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Items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Business Segments</w:t>
            </w:r>
          </w:p>
        </w:tc>
      </w:t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20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303,888</w:t>
            </w:r>
          </w:p>
        </w:tc>
      </w:tr>
      <w:tr>
        <w:trPr>
          <w:trHeight w:val="223"/>
        </w:trPr>
        <w:tc>
          <w:tcPr>
            <w:tcW w:w="4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MSR valuation adjustments, net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(108,998)</w:t>
            </w:r>
          </w:p>
        </w:tc>
      </w:tr>
      <w:tr>
        <w:trPr>
          <w:trHeight w:val="223"/>
        </w:trPr>
        <w:tc>
          <w:tcPr>
            <w:tcW w:w="46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r>
      <w:tr>
        <w:trPr>
          <w:trHeight w:val="26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 (1) (2)</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171,107</w:t>
            </w:r>
          </w:p>
        </w:tc>
      </w:tr>
      <w:tr>
        <w:trPr>
          <w:trHeight w:val="263"/>
        </w:trPr>
        <w:tc>
          <w:tcPr>
            <w:tcW w:w="46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4,558</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(26,489)</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Pledged MSR liability expense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(43,956)</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(64,867)</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4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19,860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(41,084)</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240" w:hanging="332"/>
        <w:spacing w:after="0" w:line="25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Compensation and benefits expense in the Corporate Items and Other segment for the three months ended March 31, 2020 and 2019 includes $0.2 million and $18.5 million, respectively, of severance expense attributable to PHH integration-related headcount reductions of primarily U.S.-based employees in 2019, as well as our overall efforts to reduce costs.</w:t>
      </w:r>
    </w:p>
    <w:p>
      <w:pPr>
        <w:spacing w:after="0" w:line="1" w:lineRule="exact"/>
        <w:rPr>
          <w:rFonts w:ascii="Arial" w:cs="Arial" w:eastAsia="Arial" w:hAnsi="Arial"/>
          <w:sz w:val="16"/>
          <w:szCs w:val="16"/>
          <w:color w:val="auto"/>
        </w:rPr>
      </w:pPr>
    </w:p>
    <w:p>
      <w:pPr>
        <w:ind w:left="340" w:right="40" w:hanging="332"/>
        <w:spacing w:after="0" w:line="257"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Included in the Corporate Items and Other segment for the three months ended March 31, 2019, we recorded in Professional services expense a recovery from a service provider of $30.7 million of amounts previously recognized as expense.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Items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March 31, 2020</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6,739,576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9,986,024</w:t>
            </w:r>
          </w:p>
        </w:tc>
      </w:tr>
      <w:tr>
        <w:trPr>
          <w:trHeight w:val="230"/>
        </w:trPr>
        <w:tc>
          <w:tcPr>
            <w:tcW w:w="3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2019</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3,378,515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6,459,367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10,406,199</w:t>
            </w:r>
          </w:p>
        </w:tc>
      </w:tr>
      <w:tr>
        <w:trPr>
          <w:trHeight w:val="230"/>
        </w:trPr>
        <w:tc>
          <w:tcPr>
            <w:tcW w:w="3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March 31, 2019</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3,221,779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5,848,830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9,537,210</w:t>
            </w:r>
          </w:p>
        </w:tc>
      </w:tr>
      <w:tr>
        <w:trPr>
          <w:trHeight w:val="360"/>
        </w:trPr>
        <w:tc>
          <w:tcPr>
            <w:tcW w:w="3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 Items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102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2020</w:t>
            </w:r>
          </w:p>
        </w:tc>
        <w:tc>
          <w:tcPr>
            <w:tcW w:w="10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3,997</w:t>
            </w: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0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1,733</w:t>
            </w: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38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8,551</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0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38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19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w:t>
      </w:r>
    </w:p>
    <w:p>
      <w:pPr>
        <w:sectPr>
          <w:pgSz w:w="11900" w:h="16838" w:orient="portrait"/>
          <w:cols w:equalWidth="0" w:num="1">
            <w:col w:w="11240"/>
          </w:cols>
          <w:pgMar w:left="320" w:top="71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715" w:right="339" w:bottom="1440" w:gutter="0" w:footer="0" w:header="0"/>
          <w:type w:val="continuous"/>
        </w:sectPr>
      </w:pPr>
    </w:p>
    <w:bookmarkStart w:id="50" w:name="page51"/>
    <w:bookmarkEnd w:id="50"/>
    <w:p>
      <w:pPr>
        <w:ind w:right="500"/>
        <w:spacing w:after="0" w:line="277" w:lineRule="auto"/>
        <w:rPr>
          <w:sz w:val="20"/>
          <w:szCs w:val="20"/>
          <w:color w:val="auto"/>
        </w:rPr>
      </w:pPr>
      <w:r>
        <w:rPr>
          <w:rFonts w:ascii="Arial" w:cs="Arial" w:eastAsia="Arial" w:hAnsi="Arial"/>
          <w:sz w:val="18"/>
          <w:szCs w:val="18"/>
          <w:color w:val="auto"/>
        </w:rPr>
        <w:t>Mae, the United States Treasury Department, various investors, non-Agency securitization trustees and others also subject us to periodic reviews and audits.</w:t>
      </w:r>
    </w:p>
    <w:p>
      <w:pPr>
        <w:spacing w:after="0" w:line="6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In addition, the rules and regulations applicable to mortgage servicers and lenders, including relevant agency and investor requirements, are changing rapidly in response to the COVID-19 pandemic. We continue to work diligently to assess and understand the implications of the evolving regulatory environment in which we operate and to meet its requirements.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have in the past incurred, and may in the future incur, costs to comply with the terms of such resolutions, including staffing costs, legal costs and, in certain cases the costs of audits, reviews and third-party firms to monitor our compliance with such resolutions.</w:t>
      </w:r>
    </w:p>
    <w:p>
      <w:pPr>
        <w:spacing w:after="0" w:line="6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and the requirements applicable to our business have been changing especially rapidly in response to the COVID-19 pandemic. In addition, the actions of legislative bodies and regulatory agencies relating to a particular matter or business practice may or may not be coordinated or consistent. As a result, ensuring ongoing compliance with applicable legal and regulatory requirements can be challenging. Over the past decade,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financial condition, liquidity and results of operations.</w:t>
      </w:r>
    </w:p>
    <w:p>
      <w:pPr>
        <w:spacing w:after="0" w:line="63" w:lineRule="exact"/>
        <w:rPr>
          <w:sz w:val="20"/>
          <w:szCs w:val="20"/>
          <w:color w:val="auto"/>
        </w:rPr>
      </w:pPr>
    </w:p>
    <w:p>
      <w:pPr>
        <w:ind w:right="120" w:firstLine="324"/>
        <w:spacing w:after="0" w:line="276" w:lineRule="auto"/>
        <w:rPr>
          <w:sz w:val="20"/>
          <w:szCs w:val="20"/>
          <w:color w:val="auto"/>
        </w:rPr>
      </w:pPr>
      <w:r>
        <w:rPr>
          <w:rFonts w:ascii="Arial" w:cs="Arial" w:eastAsia="Arial" w:hAnsi="Arial"/>
          <w:sz w:val="16"/>
          <w:szCs w:val="16"/>
          <w:color w:val="auto"/>
        </w:rPr>
        <w:t>As further described below and in Note 21 – Contingencies, in recent years Ocwen has entered into a number of significant settlements with federal and state regulators and state attorneys general that have imposed additional requirements on our business. For example, we made various commitments relating to the process of transferring loans off the REALServicing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servicing system and onto the Black Knight Financial Services, Inc. (Black Knight) LoanSphere MSP® servicing system (Black Knight MSP), we have engaged a third-party auditor to perform an analysis with respect to our compliance with certain federal and state laws relating to the escrow of mortgage loan payments, we have revised various aspects of our complaint handling processes and we have extensive review and reporting obligations to various regulatory bodies with respect to various matters, including our financial condition. We devote significant management time and resources to compliance with these additional requirements. These requirements are generally unique to Ocwen and, while certain of our competitors may have entered into regulatory-related settlements of their own, our competitors are generally not subject to either the same specific or the same breadth of additional requirements to which we are subject.</w:t>
      </w:r>
    </w:p>
    <w:p>
      <w:pPr>
        <w:spacing w:after="0" w:line="17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Ocwen has various subsidiaries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665" w:right="339" w:bottom="1440" w:gutter="0" w:footer="0" w:header="0"/>
        </w:sectPr>
      </w:pPr>
    </w:p>
    <w:bookmarkStart w:id="51" w:name="page52"/>
    <w:bookmarkEnd w:id="51"/>
    <w:p>
      <w:pPr>
        <w:jc w:val="both"/>
        <w:ind w:right="200"/>
        <w:spacing w:after="0" w:line="311" w:lineRule="auto"/>
        <w:rPr>
          <w:sz w:val="20"/>
          <w:szCs w:val="20"/>
          <w:color w:val="auto"/>
        </w:rPr>
      </w:pPr>
      <w:r>
        <w:rPr>
          <w:rFonts w:ascii="Arial" w:cs="Arial" w:eastAsia="Arial" w:hAnsi="Arial"/>
          <w:sz w:val="16"/>
          <w:szCs w:val="16"/>
          <w:color w:val="auto"/>
        </w:rPr>
        <w:t>into a consent order,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March 31, 2020.</w:t>
      </w:r>
    </w:p>
    <w:p>
      <w:pPr>
        <w:spacing w:after="0" w:line="4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PMC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We believe we were in compliance with applicable net worth requirements at March 31, 2020. Our non-Agency servicing agreements also contain requirements regarding servicing practices and other matters, and a failure to comply with these requirements could have a material adverse impact on our business.</w:t>
      </w:r>
    </w:p>
    <w:p>
      <w:pPr>
        <w:spacing w:after="0" w:line="7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most restrictive of the various net worth requirements for licensing and seller/servicer obligations referenced above is based on the UPB of assets serviced by PMC. Under the applicable formula, the required minimum net worth was $222.1 million at March 31, 2020. PMC’s net worth was $339.0 million at March 31, 2020.</w:t>
      </w:r>
    </w:p>
    <w:p>
      <w:pPr>
        <w:spacing w:after="0" w:line="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a number of foreign laws and regulations apply to our operations outside of the U.S., including laws and regulations that govern licensing, privacy,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8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i w:val="1"/>
          <w:iCs w:val="1"/>
          <w:color w:val="auto"/>
        </w:rPr>
        <w:t xml:space="preserve">New York Department of Financial Services. </w:t>
      </w:r>
      <w:r>
        <w:rPr>
          <w:rFonts w:ascii="Arial" w:cs="Arial" w:eastAsia="Arial" w:hAnsi="Arial"/>
          <w:sz w:val="16"/>
          <w:szCs w:val="16"/>
          <w:color w:val="auto"/>
        </w:rPr>
        <w:t>In March 2017, we entered into a consent order with the NY DFS (the 2017 NY Consent Order) that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termination of the engagement of a monitor appointed pursuant to an earlier 2014 consent order and for us to address certain concerns raised by the NY DFS that primarily relate to our servicing operations, as well as for us to comply with certain reporting and other obligations. In addition, in connection with the NY DFS’ approval in September 2018 of our acquisition of PHH, we agreed to satisfy certain post-closing requirements, including reporting obligations and record retention and other requirements relating to the transfer of loans collateralized by New York property (New York loans) onto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modified a preexisting restriction on our ability to acquire MSRs such that the restriction applies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system have been successfully migrated to Black Knight MSP and that Ocwen has developed a satisfactory infrastructure to board sizable portfolios of MSRs. We have transferred all loans onto Black Knight MSP and no longer service any loans on the REALServicing system.</w:t>
      </w:r>
    </w:p>
    <w:p>
      <w:pPr>
        <w:spacing w:after="0" w:line="174"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further restricting our business activities. Any such actions could have a material adverse impact on our business, financial condition, liquidity and results of operations.</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California Department of Business Oversight</w:t>
      </w:r>
      <w:r>
        <w:rPr>
          <w:rFonts w:ascii="Arial" w:cs="Arial" w:eastAsia="Arial" w:hAnsi="Arial"/>
          <w:sz w:val="17"/>
          <w:szCs w:val="17"/>
          <w:color w:val="auto"/>
        </w:rPr>
        <w:t>. In January 2015, Ocwen Loan Servicing, LLC (OLS) entered into a consent order (the 2015 CA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Order) with the CA DBO 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believe that we have completed those obligations of the 2017 CA Consent Order that have already come due, and we have so notified the CA DBO.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Still outstanding, however, is confirmation of our completion of $198.0 million in debt forgiveness for California borrowers by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665" w:right="339" w:bottom="1440" w:gutter="0" w:footer="0" w:header="0"/>
        </w:sectPr>
      </w:pPr>
    </w:p>
    <w:bookmarkStart w:id="52" w:name="page53"/>
    <w:bookmarkEnd w:id="52"/>
    <w:p>
      <w:pPr>
        <w:ind w:right="20"/>
        <w:spacing w:after="0" w:line="288" w:lineRule="auto"/>
        <w:rPr>
          <w:sz w:val="20"/>
          <w:szCs w:val="20"/>
          <w:color w:val="auto"/>
        </w:rPr>
      </w:pPr>
      <w:r>
        <w:rPr>
          <w:rFonts w:ascii="Arial" w:cs="Arial" w:eastAsia="Arial" w:hAnsi="Arial"/>
          <w:sz w:val="16"/>
          <w:szCs w:val="16"/>
          <w:color w:val="auto"/>
        </w:rPr>
        <w:t>June 30, 2019. We believe that we fulfilled this requirement during the first quarter of 2019. However, our completion of this requirement is subject to testing by the CA DBO’s third-party administrator who must confirm, among other things, that modified loans have remained current for specified time periods. If we are unable to satisfy this requirement or obtain an extension, the 2017 CA Consent Order obligates us to pay the remaining amount to the CA DBO in cash. Our debt forgiveness activities take place as we modify loans - our loan modifications are designed to be sustainable for homeowners while providing a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 If the CA DBO were to allege that we failed to comply with our obligations under the 2017 CA Consent Order or that we otherwise were in breach of applicable laws, regulations or licensing requirements, the CA DBO could also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20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Advance Obligations</w:t>
      </w:r>
    </w:p>
    <w:p>
      <w:pPr>
        <w:spacing w:after="0" w:line="12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the normal course of business as servicer or master servicer, we are required to advance loan principal and interest payments (P&amp;I), property taxes and insurance premiums (T&amp;I) on behalf of the borrower to the investor of the loan, if delinquent or under a forbearance plan. We also advance legal fees, inspection, maintenance, and preservation costs (Corporate advances) on properties that are in default or have been foreclosed. Our obligations to make these advances are governed by servicing agreements or guides, depending on investors or guarantor.</w:t>
      </w:r>
    </w:p>
    <w:p>
      <w:pPr>
        <w:spacing w:after="0" w:line="63"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For PLS loans, generally, we may stop advancing for P&amp;I once deemed non-recoverable from the net proceeds of the property, although we are generally obligated to continue T&amp;I and Corporate advances until the loan is brought current or until completion of a foreclosure, in which case, we generally recover our advances from the net proceeds of the property or the pool level proceeds, i.e., generally after the completion of the foreclosure.</w:t>
      </w:r>
    </w:p>
    <w:p>
      <w:pPr>
        <w:spacing w:after="0" w:line="4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To the extent there are excess funds in the custodial accounts, we are permitted to net for our P&amp;I remittance. We are also required to advance both T&amp;I and Corporate advances until cure or liquidation.</w:t>
      </w:r>
    </w:p>
    <w:p>
      <w:pPr>
        <w:spacing w:after="0" w:line="7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For GSE loans, we are required to advance P&amp;I until the borrower is 120 days delinquent, and can submit reimbursement claims for certain T&amp;I and Corporate advances after incurring the expense. T&amp;I and Corporate advancing on GSE loans continues until the property is sold.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subservicer, we are required to make P&amp;I, T&amp;I and Corporate advances on behalf of servicers following the servicing agreements or guides.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Servicers are generally required to reimburse us within 30 days of our advancing under the terms of the subservicing agreements.</w:t>
      </w:r>
    </w:p>
    <w:p>
      <w:pPr>
        <w:spacing w:after="0" w:line="10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NRZ is obligated to fund new servicing advances with respect to the MSRs underlying the Rights to MSRs (RMSR), pursuant to the 2017 Agreements and New RMSR Agreements. NRZ has the responsibility to fund advances for loans where they own the MSR, i.e., are the servicer of record. 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See Note 8 — Rights to MSRs and Note 11 – Borrowings for additional information. As of March 31, 2020, the UPB of loans serviced on behalf of NRZ comprised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Ocwen servicer of record (MSR title retained by Ocwen) - Ocwen MSR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17,910,643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NRZ servicer of record (MSR title transferred to NRZ) - Ocwen MSR (1)</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89,811,915</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Ocwen subservicer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6,211,564</w:t>
            </w: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Total NRZ UPB at March 31, 2020</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113,934,122</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MSR sale transactions did not achieve sale accounting treatment.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665" w:right="3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b w:val="1"/>
          <w:bCs w:val="1"/>
          <w:i w:val="1"/>
          <w:iCs w:val="1"/>
          <w:color w:val="auto"/>
        </w:rPr>
        <w:t>COVID-19 Update</w:t>
      </w:r>
    </w:p>
    <w:p>
      <w:pPr>
        <w:spacing w:after="0" w:line="11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On March 27, 2020, the CARES Act was signed into law. The CARES Act allows borrowers with federally backed mortgage loans who are affected by COVID-19 to request temporary loan forbearance. Servicers must provide such forbearance for up to 180 days if requested by the borrower. Borrowers may request additional forbearance period of up to 180 days for FHA and VA guaranteed loans. Although PLS loans are not explicitly covered under the CARES Act, these loans are subject to various requirements and expectations from state Governors, regulators, and Attorneys General to assist borrowers enduring financial hardship due to COVID-19 with forbearance and other requirements. Ocwen provides payment relief to such borrowers in accordance with these requirements and expectations, as well as our servicing agreements. For example, we intend to grant eligible borrowers an initial three months of forbearance and related protection, including suspension of late fees, as well as suspension of foreclosure and eviction activity.</w:t>
      </w:r>
    </w:p>
    <w:p>
      <w:pPr>
        <w:spacing w:after="0" w:line="5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For eligible PLS loans that were not significantly delinquent at the time forbearance was applied to the account, Ocwen intends to administer each three-month forbearance period through a series of one-month forbearance plans each of which advances the due date upon completion and move the resulting missed payment to or near the loan’s maturity as a non-interest bearing balance. As such, Ocwen does not expect to be out of pocket cash for P&amp;I and T&amp;I advances for any more than one month for each of these eligible loans with forbearance protection.</w:t>
      </w:r>
    </w:p>
    <w:p>
      <w:pPr>
        <w:spacing w:after="0" w:line="63"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For Ginnie Mae loans, advance requirements until cure or liquidation are mitigated by the ability to use excess funds in custodial accounts to cover principal and interest advances, though the remaining advances are covered by corporate cash. For loans in forbearance, we will advance P&amp;I while the forbearance plan is active. Reimbursement of such P&amp;I advance is expected after the forbearance period ends, through loan resolution, cure or liquidation.</w:t>
      </w:r>
    </w:p>
    <w:p>
      <w:pPr>
        <w:spacing w:after="0" w:line="14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For GSE loans, the Federal Housing Finance Agency (FHFA) announced on April 21, 2020 that the 120-day P&amp;I servicer advance obligation limit for delinquent loans will apply to loans in forbearance. Accordingly, once a servicer has advanced four months of missed payments on a loan, it will have no further obligation to advance scheduled payments as the loan will be moved into an “Actual/Actual” remittance status. Reimbursement of such P&amp;I advance is expected after the forbearance period ends, through loan resolution, cure or liquidation. Mortgage loans with COVID-19 payment forbearance will be treated as they would in the event of a natural disaster event and will remain in the MBS pools. GSE servicers are required to make T&amp;I and Corporate advances until the property is sold but can submit reimbursement claims for certain T&amp;I and Corporate advances after incurring the expense.</w:t>
      </w:r>
    </w:p>
    <w:p>
      <w:pPr>
        <w:spacing w:after="0" w:line="5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Due to the adverse economic conditions created by the COVID-19 pandemic, we expect the number of forbearance plans to continue to increase in the near term, consistent with the industry trend, and to continue to correlate with unemployment claims. An increase in loans in forbearance would increase our servicing advance obligations. The below table shows the requests for forbearance plans and the estimated obligation to advance monthly P&amp;I:</w:t>
      </w:r>
    </w:p>
    <w:p>
      <w:pPr>
        <w:sectPr>
          <w:pgSz w:w="11900" w:h="16838" w:orient="portrait"/>
          <w:cols w:equalWidth="0" w:num="1">
            <w:col w:w="11240"/>
          </w:cols>
          <w:pgMar w:left="320" w:top="665" w:right="339" w:bottom="1440" w:gutter="0" w:footer="0" w:header="0"/>
        </w:sectPr>
      </w:pPr>
    </w:p>
    <w:p>
      <w:pPr>
        <w:spacing w:after="0" w:line="20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COVID-19 impacted borrowers and monthly P&amp;I advance estimate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3"/>
          </w:tcPr>
          <w:p>
            <w:pPr>
              <w:ind w:left="840"/>
              <w:spacing w:after="0"/>
              <w:rPr>
                <w:sz w:val="20"/>
                <w:szCs w:val="20"/>
                <w:color w:val="auto"/>
              </w:rPr>
            </w:pPr>
            <w:r>
              <w:rPr>
                <w:rFonts w:ascii="Arial" w:cs="Arial" w:eastAsia="Arial" w:hAnsi="Arial"/>
                <w:sz w:val="18"/>
                <w:szCs w:val="18"/>
                <w:b w:val="1"/>
                <w:bCs w:val="1"/>
                <w:color w:val="auto"/>
              </w:rPr>
              <w:t>As of March 31, 2020</w:t>
            </w:r>
          </w:p>
        </w:tc>
        <w:tc>
          <w:tcPr>
            <w:tcW w:w="3240" w:type="dxa"/>
            <w:vAlign w:val="bottom"/>
            <w:gridSpan w:val="2"/>
          </w:tcPr>
          <w:p>
            <w:pPr>
              <w:ind w:left="880"/>
              <w:spacing w:after="0"/>
              <w:rPr>
                <w:sz w:val="20"/>
                <w:szCs w:val="20"/>
                <w:color w:val="auto"/>
              </w:rPr>
            </w:pPr>
            <w:r>
              <w:rPr>
                <w:rFonts w:ascii="Arial" w:cs="Arial" w:eastAsia="Arial" w:hAnsi="Arial"/>
                <w:sz w:val="18"/>
                <w:szCs w:val="18"/>
                <w:b w:val="1"/>
                <w:bCs w:val="1"/>
                <w:color w:val="auto"/>
              </w:rPr>
              <w:t>As of April 30, 2020</w:t>
            </w:r>
          </w:p>
        </w:tc>
      </w:tr>
      <w:tr>
        <w:trPr>
          <w:trHeight w:val="27"/>
        </w:trPr>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164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Estimated Monthly</w:t>
            </w:r>
          </w:p>
        </w:tc>
        <w:tc>
          <w:tcPr>
            <w:tcW w:w="1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Estimated Monthly</w:t>
            </w:r>
          </w:p>
        </w:tc>
      </w:tr>
      <w:tr>
        <w:trPr>
          <w:trHeight w:val="216"/>
        </w:trPr>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P&amp;I Advance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P&amp;I Advance</w:t>
            </w:r>
          </w:p>
        </w:tc>
      </w:tr>
      <w:tr>
        <w:trPr>
          <w:trHeight w:val="216"/>
        </w:trPr>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Forbearance Plans</w:t>
            </w: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Obligation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Forbearance Plans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Obligation</w:t>
            </w:r>
          </w:p>
        </w:tc>
      </w:tr>
      <w:tr>
        <w:trPr>
          <w:trHeight w:val="234"/>
        </w:trPr>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 million)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 million)</w:t>
            </w:r>
          </w:p>
        </w:tc>
      </w:tr>
    </w:tbl>
    <w:p>
      <w:pPr>
        <w:spacing w:after="0" w:line="7" w:lineRule="exact"/>
        <w:rPr>
          <w:sz w:val="20"/>
          <w:szCs w:val="20"/>
          <w:color w:val="auto"/>
        </w:rPr>
      </w:pPr>
    </w:p>
    <w:p>
      <w:pPr>
        <w:sectPr>
          <w:pgSz w:w="11900" w:h="16838" w:orient="portrait"/>
          <w:cols w:equalWidth="0" w:num="2">
            <w:col w:w="4360" w:space="260"/>
            <w:col w:w="6620"/>
          </w:cols>
          <w:pgMar w:left="320" w:top="665"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GSE loans</w:t>
            </w: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Ginnie Mae loans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PLS loans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Servicer</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30,600</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GSE loans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9,400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PLS loans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63,200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NRZ’s responsibility (1)</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72,600</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72.9</w:t>
            </w:r>
          </w:p>
        </w:tc>
      </w:tr>
      <w:tr>
        <w:trPr>
          <w:trHeight w:val="27"/>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Subservicer (2)</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No advance requirements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27,500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114,600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122.0</w:t>
            </w:r>
          </w:p>
        </w:tc>
      </w:tr>
      <w:tr>
        <w:trPr>
          <w:trHeight w:val="20"/>
        </w:trPr>
        <w:tc>
          <w:tcPr>
            <w:tcW w:w="4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220" w:hanging="332"/>
        <w:spacing w:after="0" w:line="261"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Ocwen is obligated to advance under the terms of the 2017 Agreements and New RMSR Agreements, and NRZ is obligated to reimburse Ocwen daily for PLS and weekly for Freddie Mac and Fannie Mae servicing advances. See above, Note 8 — Rights to MSRs and Note 11 – Borrowings for additional information, and below description of NRZ Relationship.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665" w:right="339" w:bottom="1440" w:gutter="0" w:footer="0" w:header="0"/>
          <w:type w:val="continuous"/>
        </w:sectPr>
      </w:pPr>
    </w:p>
    <w:bookmarkStart w:id="54" w:name="page55"/>
    <w:bookmarkEnd w:id="54"/>
    <w:p>
      <w:pPr>
        <w:ind w:left="340" w:right="80" w:hanging="332"/>
        <w:spacing w:after="0" w:line="25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Ocwen is obligated to advance under the terms of subservicing agreements, and subservicing clients (servicers) are generally obligated to reimburse Ocwen within one day to 30 days for P&amp;I advances.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Numbers have been rounded.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$1.6 billion at March 31, 2020. This additional borrowing capacity is available on a scheduled or unscheduled payment basis. We also had short-term commitments to lend $357.2 million and $25.6 million in connection with our forward and reverse mortgage loan IRLCs, respectively, outstanding at March 31, 2020. We finance originated and purchased forward and reverse mortgage loans with repurchase and participation agreements, commonly referred to as warehouse lines.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HMBS Issuer Obligations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w:t>
      </w:r>
    </w:p>
    <w:p>
      <w:pPr>
        <w:spacing w:after="0" w:line="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Three Months Ended March 31, 2020</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Active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Inactive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44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4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2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10,546</w:t>
            </w: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35,693</w:t>
            </w:r>
          </w:p>
        </w:tc>
      </w:tr>
      <w:tr>
        <w:trPr>
          <w:trHeight w:val="243"/>
        </w:trPr>
        <w:tc>
          <w:tcPr>
            <w:tcW w:w="2600" w:type="dxa"/>
            <w:vAlign w:val="bottom"/>
          </w:tcPr>
          <w:p>
            <w:pPr>
              <w:ind w:left="180"/>
              <w:spacing w:after="0"/>
              <w:rPr>
                <w:sz w:val="20"/>
                <w:szCs w:val="20"/>
                <w:color w:val="auto"/>
              </w:rPr>
            </w:pPr>
            <w:r>
              <w:rPr>
                <w:rFonts w:ascii="Arial" w:cs="Arial" w:eastAsia="Arial" w:hAnsi="Arial"/>
                <w:sz w:val="18"/>
                <w:szCs w:val="18"/>
                <w:color w:val="auto"/>
              </w:rPr>
              <w:t>Additions (1)</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10,337</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19,856</w:t>
            </w:r>
          </w:p>
        </w:tc>
      </w:tr>
      <w:tr>
        <w:trPr>
          <w:trHeight w:val="27"/>
        </w:trPr>
        <w:tc>
          <w:tcPr>
            <w:tcW w:w="2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Recoveries, net (2)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(8,597)</w:t>
            </w:r>
          </w:p>
        </w:tc>
      </w:tr>
      <w:tr>
        <w:trPr>
          <w:trHeight w:val="243"/>
        </w:trPr>
        <w:tc>
          <w:tcPr>
            <w:tcW w:w="2600" w:type="dxa"/>
            <w:vAlign w:val="bottom"/>
          </w:tcPr>
          <w:p>
            <w:pPr>
              <w:ind w:left="180"/>
              <w:spacing w:after="0"/>
              <w:rPr>
                <w:sz w:val="20"/>
                <w:szCs w:val="20"/>
                <w:color w:val="auto"/>
              </w:rPr>
            </w:pPr>
            <w:r>
              <w:rPr>
                <w:rFonts w:ascii="Arial" w:cs="Arial" w:eastAsia="Arial" w:hAnsi="Arial"/>
                <w:sz w:val="18"/>
                <w:szCs w:val="18"/>
                <w:color w:val="auto"/>
              </w:rPr>
              <w:t>Transfers</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value</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5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14,960</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31,043</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46,003</w:t>
            </w:r>
          </w:p>
        </w:tc>
      </w:tr>
      <w:tr>
        <w:trPr>
          <w:trHeight w:val="20"/>
        </w:trPr>
        <w:tc>
          <w:tcPr>
            <w:tcW w:w="2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Total repurchases during the three months ended March 31, 2020 includes 89 loans totaling $18.1 million related to MCA repurchases.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Includes amounts received upon assignment of loan to HUD, loan payoff, REO liquidation and claim proceeds less any amounts charged off as unrecoverable.</w:t>
      </w:r>
    </w:p>
    <w:p>
      <w:pPr>
        <w:spacing w:after="0" w:line="21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Active loan repurchases are classified as Receivables as reimbursement from HUD is generally received within 60 days and are initially recorded at fair value. Inactive loan repurchases are classified as Loans held for sale and recorded at fair value. Loans are reclassified to REO in Other assets or Receivables as the loans move through the resolution process and permissible claims are submitted to HUD for reimbursement. Receivables are valued at net realizable value. REO is valued at the estimated value of the underlying property less cost to sell.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 Relationship</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Servicing segment has exposure to concentration risk and client retention risk. As of March 31, 2020, our servicing portfolio included significant client relationships with NRZ which represented 55% and 60% of our servicing portfolio UPB and loan count, respectively. The NRZ servicing portfolio accounts for approximately 72% of all delinquent loans that Ocwen services. The current terms of our agreements with NRZ extend through July 2022 (legacy Ocwen agreements). On February 20, 2020, we received a notice of termination from NRZ with respect to the subservicing agreement between NRZ and PMC, which accounted for 19% of our servicing portfolio UPB at March 31, 2020. Currently, subject to proper notice (generally 180 days’ notice), the payment of termination fees and certain other provisions, NRZ has rights to terminate the legacy Ocwen agreements for convenience. Because of the large percentage of our servicing business that is represented by agreements with</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562" w:right="339" w:bottom="1440" w:gutter="0" w:footer="0" w:header="0"/>
        </w:sectPr>
      </w:pPr>
    </w:p>
    <w:bookmarkStart w:id="55" w:name="page56"/>
    <w:bookmarkEnd w:id="55"/>
    <w:p>
      <w:pPr>
        <w:ind w:right="320"/>
        <w:spacing w:after="0" w:line="277" w:lineRule="auto"/>
        <w:rPr>
          <w:sz w:val="20"/>
          <w:szCs w:val="20"/>
          <w:color w:val="auto"/>
        </w:rPr>
      </w:pPr>
      <w:r>
        <w:rPr>
          <w:rFonts w:ascii="Arial" w:cs="Arial" w:eastAsia="Arial" w:hAnsi="Arial"/>
          <w:sz w:val="18"/>
          <w:szCs w:val="18"/>
          <w:color w:val="auto"/>
        </w:rPr>
        <w:t>NRZ, if NRZ exercised all or a significant portion of these termination rights, we might need to right-size or restructure certain aspects of our servicing business as well as the related corporate support functions.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currently account for the MSR sale agreements with NRZ as secured financings as the transactions did not achieve sale accounting treatment, except for the PMC agreement since February 2020. Accordingly, our balance sheet reflects a $591.7 million MSR asset pledged to NRZ out of a total $1.1 billion MSRs at fair value at March 31, 2020, and a corresponding $591.7 million pledged MSR liability at fair value within Other financing liabilities. Similarly, our unaudited consolidated statement of operations reflects $90.3 million net servicing fee collected on behalf of, and remitted to, NRZ out of a total $211.5 million Servicing and subservicing fees for the three months ended March 31, 2020, and a corresponding $90.3 million expense reported within Pledged MSR liability expense. The net servicing fees collected on behalf of, and remitted to, NRZ did not affect our net earnings. In addition, we recognize amortization income related to lump sum payments we received from NRZ in 2017 and 2018, through April 2020, with an outstanding unamortized balance of $10.0 million at March 31, 2020. The reporting of MSRs and revenue gross versus net in our financial statements is required until sale accounting criteria are met, upon the earliest of the terms of the agreements or any termination notice.</w:t>
      </w:r>
    </w:p>
    <w:p>
      <w:pPr>
        <w:spacing w:after="0" w:line="18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NRZ agreements affect our net earnings through the recognition of subservicing fees we retain, which amounted to $29.3 million for the three months ended March 31, 2020, and ancillary income. If NRZ were to exercise its termination rights, our net earnings would be affected by the loss of such subservicing revenue and a decrease in direct operating expenses for servicing the NRZ portfolio.</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Selected assets and liabilities recorded on our consolidated balance sheets as well as the impacts to our unaudited consolidated statements of operations in connection with our NRZ agreements are disclosed in Note 8 — Rights to MSRs.</w:t>
      </w:r>
    </w:p>
    <w:p>
      <w:pPr>
        <w:spacing w:after="0" w:line="62"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NRZ is obligated to fund new servicing advances with respect to the MSRs underlying the Rights to MSRs, pursuant to the 2017 Agreements and New RMSR Agreements. We are dependent upon NRZ for funding the servicing advance obligations for Rights to MSRs where we are the servicer. As part of our risk management practices, we closely monitor the counterparty exposure arising from the funding obligations of our servicer clients, including NRZ, to ensure timely advance remittance in accordance with contractual requirements. Refer to the Servicer Advance Obligations above.</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21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In addition, we may be a party or potential party to threatened or pending legal proceedings brought by commercial counterparties, including claims by parties to whom we have sold MSRs or other assets, parties on whose behalf we service mortgage loans, and parties who provide ancillary services including property preservation and other post-foreclosure related services.</w:t>
      </w:r>
    </w:p>
    <w:p>
      <w:pPr>
        <w:spacing w:after="0" w:line="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665" w:right="359" w:bottom="1440" w:gutter="0" w:footer="0" w:header="0"/>
        </w:sectPr>
      </w:pPr>
    </w:p>
    <w:bookmarkStart w:id="56" w:name="page57"/>
    <w:bookmarkEnd w:id="56"/>
    <w:p>
      <w:pPr>
        <w:ind w:right="140"/>
        <w:spacing w:after="0" w:line="271" w:lineRule="auto"/>
        <w:rPr>
          <w:sz w:val="20"/>
          <w:szCs w:val="20"/>
          <w:color w:val="auto"/>
        </w:rPr>
      </w:pPr>
      <w:r>
        <w:rPr>
          <w:rFonts w:ascii="Arial" w:cs="Arial" w:eastAsia="Arial" w:hAnsi="Arial"/>
          <w:sz w:val="17"/>
          <w:szCs w:val="17"/>
          <w:color w:val="auto"/>
        </w:rPr>
        <w:t>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8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$33.3 million at March 31, 2020. We cannot currently estimate the amount, if any, of reasonably possible losses above amounts that have been recorded at March 31, 2020.</w:t>
      </w:r>
    </w:p>
    <w:p>
      <w:pPr>
        <w:spacing w:after="0" w:line="5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 xml:space="preserve">In 2014, plaintiffs filed a putative class action against Ocwen in the United States District Court for the Northern District of Alabama, alleging that Ocwen violated the FDCPA by charging borrowers a convenience fee for making certain loan payments. See </w:t>
      </w:r>
      <w:r>
        <w:rPr>
          <w:rFonts w:ascii="Arial" w:cs="Arial" w:eastAsia="Arial" w:hAnsi="Arial"/>
          <w:sz w:val="16"/>
          <w:szCs w:val="16"/>
          <w:i w:val="1"/>
          <w:iCs w:val="1"/>
          <w:color w:val="auto"/>
        </w:rPr>
        <w:t>McWhorter et al. v. Ocwen Loan Servicing,</w:t>
      </w:r>
      <w:r>
        <w:rPr>
          <w:rFonts w:ascii="Arial" w:cs="Arial" w:eastAsia="Arial" w:hAnsi="Arial"/>
          <w:sz w:val="16"/>
          <w:szCs w:val="16"/>
          <w:color w:val="auto"/>
        </w:rPr>
        <w:t xml:space="preserve"> </w:t>
      </w:r>
      <w:r>
        <w:rPr>
          <w:rFonts w:ascii="Arial" w:cs="Arial" w:eastAsia="Arial" w:hAnsi="Arial"/>
          <w:sz w:val="16"/>
          <w:szCs w:val="16"/>
          <w:i w:val="1"/>
          <w:iCs w:val="1"/>
          <w:color w:val="auto"/>
        </w:rPr>
        <w:t>LLC (N.D. Ala.)</w:t>
      </w:r>
      <w:r>
        <w:rPr>
          <w:rFonts w:ascii="Arial" w:cs="Arial" w:eastAsia="Arial" w:hAnsi="Arial"/>
          <w:sz w:val="16"/>
          <w:szCs w:val="16"/>
          <w:color w:val="auto"/>
        </w:rPr>
        <w:t>. The plaintiffs sought statutory damages under the FDCPA, compensatory damages and injunctive relief. We subsequently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in principle to resolve this matter, and in August 2019, the court granted final approval of the class settlement. While we believe we had sound legal and factual defenses, we agreed to this settlement in order to avoid the uncertain outcome of litigation and the additional expense and demands on the time of our senior management that such litigation would involve. Our accrual with respect to this matter is included in the $33.3 million legal and regulatory accrual referenced above. We are also subject to individual lawsuits relating to our FDCPA compliance and putative state law class actions based on state laws similar to the FDCPA. At this time, we cannot estimate the amount, if any, of reasonably possible loss related to these matters.</w:t>
      </w:r>
    </w:p>
    <w:p>
      <w:pPr>
        <w:spacing w:after="0" w:line="1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Ocwen has been named in putative class actions and individual actions related to its compliance with the TCPA. Generally, plaintiffs in these actions allege that Ocwen knowingly and willfully violated the TCPA by using an automated telephone dialing system to call individuals’ cell phones without their consent. In July 2017, Ocwen entered into an agreement in principle to resolve two such putative class actions, which have been consolidated in the United States District Court for the Northern District of Illinois. See </w:t>
      </w:r>
      <w:r>
        <w:rPr>
          <w:rFonts w:ascii="Arial" w:cs="Arial" w:eastAsia="Arial" w:hAnsi="Arial"/>
          <w:sz w:val="17"/>
          <w:szCs w:val="17"/>
          <w:i w:val="1"/>
          <w:iCs w:val="1"/>
          <w:color w:val="auto"/>
        </w:rPr>
        <w:t>Snyder v. Ocwen Loan Servicing, LLC (N.D. Ill.); Beecroft v. Ocwen Loan Servicing, LLC</w:t>
      </w:r>
      <w:r>
        <w:rPr>
          <w:rFonts w:ascii="Arial" w:cs="Arial" w:eastAsia="Arial" w:hAnsi="Arial"/>
          <w:sz w:val="17"/>
          <w:szCs w:val="17"/>
          <w:color w:val="auto"/>
        </w:rPr>
        <w:t xml:space="preserve"> </w:t>
      </w:r>
      <w:r>
        <w:rPr>
          <w:rFonts w:ascii="Arial" w:cs="Arial" w:eastAsia="Arial" w:hAnsi="Arial"/>
          <w:sz w:val="17"/>
          <w:szCs w:val="17"/>
          <w:i w:val="1"/>
          <w:iCs w:val="1"/>
          <w:color w:val="auto"/>
        </w:rPr>
        <w:t>(N.D. Ill.)</w:t>
      </w:r>
      <w:r>
        <w:rPr>
          <w:rFonts w:ascii="Arial" w:cs="Arial" w:eastAsia="Arial" w:hAnsi="Arial"/>
          <w:sz w:val="17"/>
          <w:szCs w:val="17"/>
          <w:color w:val="auto"/>
        </w:rPr>
        <w:t>. In October 2017, the court preliminarily approved the settlement and, thereafter, we paid a settlement amount into an escrow account held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administrator. However, in September 2018, the Court denied the motion for final approval. In November 2018, the parties engaged in mediation to address the issues raised by the Court in its denial order. The parties thereafter reached agreement on a revised settlement. In June 2019, the court entered an order approving the settlement, which provided for the establishment of a settlement fund to be distributed to class members that submit claims for settlement benefits pursuant to a claims administration process. While Ocwen believes that it has sound legal and factual defenses, Ocwen agreed to the settlement in order to avoid the uncertain outcome of litigation and the additional expense and demands on the time of its senior management that such litigation would involve.</w:t>
      </w:r>
    </w:p>
    <w:p>
      <w:pPr>
        <w:spacing w:after="0" w:line="18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Ocwen is also involved in a related TCPA class action that involves claims against trustees of RMBS trusts based on vicarious liability for Ocwen’s alleged non-compliance with the TCPA. The trustees have sought indemnification from Ocwen based on the vicarious liability claims. Additional lawsuits have been and may be filed against us in relation to our TCPA compliance. Our accrual with respect to TCPA matters is included in the $33.3 million legal and regulatory accrual referenced above. At this time, Ocwen is unable to predict the outcome of existing lawsuits or any additional lawsuits that may be filed,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665" w:right="339" w:bottom="1440" w:gutter="0" w:footer="0" w:header="0"/>
        </w:sectPr>
      </w:pPr>
    </w:p>
    <w:bookmarkStart w:id="57" w:name="page58"/>
    <w:bookmarkEnd w:id="57"/>
    <w:p>
      <w:pPr>
        <w:ind w:right="20"/>
        <w:spacing w:after="0" w:line="257" w:lineRule="auto"/>
        <w:rPr>
          <w:sz w:val="20"/>
          <w:szCs w:val="20"/>
          <w:color w:val="auto"/>
        </w:rPr>
      </w:pPr>
      <w:r>
        <w:rPr>
          <w:rFonts w:ascii="Arial" w:cs="Arial" w:eastAsia="Arial" w:hAnsi="Arial"/>
          <w:sz w:val="18"/>
          <w:szCs w:val="18"/>
          <w:color w:val="auto"/>
        </w:rPr>
        <w:t>From time to time we are also subject to indemnification claims from contractual parties on whose behalf we service or subservice loans. We are currently involved in a dispute with a former subservicing client relating to alleged violations of our contractual agreements, including that we did not properly submit mortgage insurance and other claims for reimbursement. We are presently engaged in a dispute resolution process relating to these claims. Ocwen is currently unable to predict the outcome of this dispute or estimate the size of any loss which could result from a potential resolution reached through mediation, following litigation or otherwise.</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17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19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several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35"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6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w:t>
      </w:r>
    </w:p>
    <w:p>
      <w:pPr>
        <w:spacing w:after="0" w:line="2" w:lineRule="exact"/>
        <w:rPr>
          <w:sz w:val="20"/>
          <w:szCs w:val="20"/>
          <w:color w:val="auto"/>
        </w:rPr>
      </w:pPr>
    </w:p>
    <w:p>
      <w:pPr>
        <w:ind w:right="140" w:firstLine="8"/>
        <w:spacing w:after="0" w:line="253"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66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CFPB</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In September 2019, the court issued a ruling on our motion to dismiss, granting it in part and denying it in part. The court granted our motion dismissing the entire complaint without prejudice because the court found that the CFPB engaged in impermissible “shotgun pleading,” holding that the CFPB must amend its complaint to specifically allege and distinguish the facts between all claims. The CFPB filed an amended complaint in October 2019, and we filed our answer and affirmative defenses on November 1, 2019.</w:t>
      </w:r>
    </w:p>
    <w:p>
      <w:pPr>
        <w:spacing w:after="0" w:line="64" w:lineRule="exact"/>
        <w:rPr>
          <w:sz w:val="20"/>
          <w:szCs w:val="20"/>
          <w:color w:val="auto"/>
        </w:rPr>
      </w:pPr>
    </w:p>
    <w:p>
      <w:pPr>
        <w:ind w:right="320" w:firstLine="324"/>
        <w:spacing w:after="0" w:line="290" w:lineRule="auto"/>
        <w:rPr>
          <w:sz w:val="20"/>
          <w:szCs w:val="20"/>
          <w:color w:val="auto"/>
        </w:rPr>
      </w:pPr>
      <w:r>
        <w:rPr>
          <w:rFonts w:ascii="Arial" w:cs="Arial" w:eastAsia="Arial" w:hAnsi="Arial"/>
          <w:sz w:val="16"/>
          <w:szCs w:val="16"/>
          <w:color w:val="auto"/>
        </w:rPr>
        <w:t>Prior to the initiation of legal proceedings, we had been engaged with the CFPB in efforts to resolve the matter and recorded $12.5 million as of December 31, 2016 as a result of these discussions. We are taking all reasonable and prudent actions to resolve the CFPB matter, along with the Florida matter discussed below, in the shortest time frame possible that would result in an acceptable financial outcome for our stakeholders. In this regard, we have increased our legal and regulatory accrual related to the CFPB and Florida matters by $4.4 million in the first quarter of 2020. Our accrual with respect to this matter is included in the $33.3 million legal and regulatory accrual referenced above. Trial in the CFPB matter is currently scheduled for October 2020; trial in the Florida matter has not yet been scheduled.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State Attorneys General and Other Matters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6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Liberty, OFSPL and Ocwen Business Solutions, Inc. (OBS).</w:t>
      </w:r>
    </w:p>
    <w:p>
      <w:pPr>
        <w:spacing w:after="0" w:line="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entered into agreements with all 29 states plus the District of Columbia to resolve these regulatory actions. These agreements generally contained the following key terms (the Multi-State Common Settlement Terms):</w:t>
      </w:r>
    </w:p>
    <w:p>
      <w:pPr>
        <w:spacing w:after="0" w:line="62" w:lineRule="exact"/>
        <w:rPr>
          <w:sz w:val="20"/>
          <w:szCs w:val="20"/>
          <w:color w:val="auto"/>
        </w:rPr>
      </w:pPr>
    </w:p>
    <w:p>
      <w:pPr>
        <w:ind w:left="5540" w:right="5280" w:hanging="5208"/>
        <w:spacing w:after="0" w:line="623" w:lineRule="auto"/>
        <w:tabs>
          <w:tab w:leader="none" w:pos="6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Ocwen would not acquire any new residential MSRs until April 30, 2018. 57</w:t>
      </w:r>
    </w:p>
    <w:p>
      <w:pPr>
        <w:sectPr>
          <w:pgSz w:w="11900" w:h="16838" w:orient="portrait"/>
          <w:cols w:equalWidth="0" w:num="1">
            <w:col w:w="11240"/>
          </w:cols>
          <w:pgMar w:left="320" w:top="665" w:right="339" w:bottom="1440" w:gutter="0" w:footer="0" w:header="0"/>
        </w:sectPr>
      </w:pPr>
    </w:p>
    <w:bookmarkStart w:id="59" w:name="page60"/>
    <w:bookmarkEnd w:id="59"/>
    <w:p>
      <w:pPr>
        <w:ind w:left="660" w:right="140" w:hanging="328"/>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Ocwen would develop a plan of action and milestones regarding its transition from the REALServicing servicing system to an alternate servicing system and, with certain exceptions, would not board any new loans onto the REALServicing system.</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Ocwen chose to merge with or acquire an unaffiliated company or its assets in order to effectuate a transfer of loans from the REALServicing system, Ocwen was required to comply with regulatory notice and waiting period requirements.</w:t>
      </w:r>
    </w:p>
    <w:p>
      <w:pPr>
        <w:ind w:left="660" w:right="8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Ocwen would engage a third-party auditor to perform an analysis with respect to our compliance with certain federal and state laws relating to escrow by testing approximately 9,000 loan files relating to residential real property in various states, and Ocwen would develop corrective action plans for any errors identified by the third-party auditor.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Ocwen would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Ocwen would provide financial condition reporting on a confidential basis as part of each state’s supervisory framework through September 2020.</w:t>
      </w:r>
    </w:p>
    <w:p>
      <w:pPr>
        <w:spacing w:after="0" w:line="2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the following additional terms:</w:t>
      </w:r>
    </w:p>
    <w:p>
      <w:pPr>
        <w:spacing w:after="0" w:line="184" w:lineRule="exact"/>
        <w:rPr>
          <w:sz w:val="20"/>
          <w:szCs w:val="20"/>
          <w:color w:val="auto"/>
        </w:rPr>
      </w:pPr>
    </w:p>
    <w:p>
      <w:pPr>
        <w:ind w:left="66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Ocwen agreed with the Connecticut Department of Banking to pay certain amounts only in the event we fail to comply with certain requirements under our agreement with Connecticut.</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In its agreement with the Maryland Office of the Commissioner of Financial Regulation, Ocwen agreed to complete an independent management assessment and enterprise risk assessment and to a prohibition, with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spacing w:after="0" w:line="2" w:lineRule="exact"/>
        <w:rPr>
          <w:rFonts w:ascii="Arial" w:cs="Arial" w:eastAsia="Arial" w:hAnsi="Arial"/>
          <w:sz w:val="16"/>
          <w:szCs w:val="16"/>
          <w:color w:val="auto"/>
        </w:rPr>
      </w:pPr>
    </w:p>
    <w:p>
      <w:pPr>
        <w:jc w:val="both"/>
        <w:ind w:left="660" w:right="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Ocwen agreed with the Massachusetts Division of Banks to pay $1.0 million to the Commonwealth of Massachusetts Mortgage Education Trust. Ocwen and the Massachusetts regulatory agency also agreed on a schedule pursuant to which we would regain eligibility to acquire residential MSRs on Massachusetts loans (including loans originated by Ocwen) as we met certain thresholds in our transition to a new servicing system. Pursuant to this agreement, all restrictions on Massachusetts MSR acquisitions would be lifted when Ocwen completed the second phase of a three-phase data integrity audit. Having now completed the first and second phases of this audit, Ocwen is no longer bound by any restriction on the volume of MSR acquisitions in Massachusetts.</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Ocwen agreed with the Nebraska Department of Banking and Finance until April 30, 2019, to limit its growth through acquisition from correspondent relationships to no more than ten percent per year for Nebraska loans (based on the total number of loans held at the prior calendar year-end).</w:t>
      </w:r>
    </w:p>
    <w:p>
      <w:pPr>
        <w:spacing w:after="0" w:line="19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Accordingly, we have now resolved all of the administrative actions (but not all of the legal actions, which are described below) taken by state regulators in April 2017 and shortly thereafter.</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taken substantial steps toward fulfilling our commitments under the agreements described above, including completing the transfer of loans to Black Knight MSP, completing pre-transfer and post-transfer data integrity audits as described above, developing and implementing certain enhancements to our consumer complaint process, engaging a third-party auditor who has issued its final report with respect to the escrow review and ongoing reporting and information sharing.</w:t>
      </w:r>
    </w:p>
    <w:p>
      <w:pPr>
        <w:spacing w:after="0" w:line="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In September 2019, the court issued its ruling on our motion to dismiss, granting it in part and denying it in part. The court granted our motion dismissing the entire complaint without prejudice because the court found that the plaintiffs engaged in impermissible “shotgun pleading,” holding that the plaintiffs must amend their complaint to specifically allege and distinguish the facts between all claims. The plaintiffs filed an amended complaint in November 2019. We filed a partial motion to dismiss the amended complaint in December 2019. On April 22, 2020, the court granted our motion and dismissed Count V of the amended complaint with prejudice holding the plaintiff failed to plead an actionable claim under the Florida Deceptive and Unfair Trade Practices Act. We believe we have factual and legal defenses to the remaining allegations raised in this lawsuit and are vigorously defending ourselves. The outcome of this lawsuit, whether through a negotiated settlement, court rulings or otherwise, could potentially involve monetary fines or penalties or additional restrictions on our business and could be materially adverse to our business, reputation, financial condition, liquidity and results of operations. Our accrual with respect to this matter is included in the $33.3 million litigation and regulatory matters accrual referenced above. We cannot currently estimate the amount, if any, of reasonably possible loss above the amount currently accrued.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557" w:right="339" w:bottom="1440" w:gutter="0" w:footer="0" w:header="0"/>
        </w:sectPr>
      </w:pPr>
    </w:p>
    <w:bookmarkStart w:id="60" w:name="page61"/>
    <w:bookmarkEnd w:id="60"/>
    <w:p>
      <w:pPr>
        <w:jc w:val="both"/>
        <w:ind w:firstLine="324"/>
        <w:spacing w:after="0" w:line="271" w:lineRule="auto"/>
        <w:rPr>
          <w:sz w:val="20"/>
          <w:szCs w:val="20"/>
          <w:color w:val="auto"/>
        </w:rPr>
      </w:pPr>
      <w:r>
        <w:rPr>
          <w:rFonts w:ascii="Arial" w:cs="Arial" w:eastAsia="Arial" w:hAnsi="Arial"/>
          <w:sz w:val="17"/>
          <w:szCs w:val="17"/>
          <w:color w:val="auto"/>
        </w:rPr>
        <w:t>Our accrual with respect to the administrative and legal actions initiated in April 2017 is included in the $33.3 million litigation and regulatory matters accrual referenced above. 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which will require some additional remediation measures in connection with which we will incur costs that we expect will be immaterial to our overall financial condition. In addition, it is possible that legal or other actions could be taken against us with respect to such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Certain of the state regulators’ cease and desist orders referenced a confidential supervisory memorandum of understanding (MOU) that we entered into with the Multistate Mortgage Committee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178"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Department of Justice has informed us that it has decided not to take enforcement action related to this matter at this time and has, consequently, closed its investigation.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6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generally contain provisions that require us to indemnify purchasers of related loans or repurchase such loans if:</w:t>
      </w:r>
    </w:p>
    <w:p>
      <w:pPr>
        <w:spacing w:after="0" w:line="7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our lending business, we have exposure to indemnification risks and repurchase requests. In our servicing business, claims alleging that we did not comply with our servicing obligations may require us to repurchase mortgage loans, make whole or otherwise indemnify investors or other parties. If home values were to decrease, our realized losses from loan repurchases and indemnifications may increase as well. As a result, our liability for repurchases may increase beyond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665" w:right="339" w:bottom="1440" w:gutter="0" w:footer="0" w:header="0"/>
        </w:sectPr>
      </w:pPr>
    </w:p>
    <w:bookmarkStart w:id="61" w:name="page62"/>
    <w:bookmarkEnd w:id="61"/>
    <w:p>
      <w:pPr>
        <w:ind w:right="260"/>
        <w:spacing w:after="0" w:line="263" w:lineRule="auto"/>
        <w:rPr>
          <w:sz w:val="20"/>
          <w:szCs w:val="20"/>
          <w:color w:val="auto"/>
        </w:rPr>
      </w:pPr>
      <w:r>
        <w:rPr>
          <w:rFonts w:ascii="Arial" w:cs="Arial" w:eastAsia="Arial" w:hAnsi="Arial"/>
          <w:sz w:val="18"/>
          <w:szCs w:val="18"/>
          <w:color w:val="auto"/>
        </w:rPr>
        <w:t>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7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exposure to origination representation, warranty and indemnification obligations relating to our lending,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 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 adjustments, as necessary, after consideration of our historical losses and other qualitative factors including ongoing dialogue and experience with our counterparties.</w:t>
      </w:r>
    </w:p>
    <w:p>
      <w:pPr>
        <w:spacing w:after="0" w:line="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At March 31, 2020 and March 31, 2019, we had outstanding representation and warranty repurchase demands of $44.7 million UPB (277 loans) and $46.3 million UPB (273 loans), respectively. We review each demand and monitor through resolution, primarily through rescission, loan repurchase or make-whole payment.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liability for representation and warranty obligations and similar indemnification obligations: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 (1)</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50,838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Provision (reversal) for representation and warranty obligations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production reserves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Charge-offs and other (2)</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(1)</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47,079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46,614</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800" w:hanging="332"/>
        <w:spacing w:after="0" w:line="25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spacing w:after="0" w:line="1"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2020</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four mortgage insurers, and expects the ultimate outcome to result in recovery of additional unpaid claims, although we cannot quantify the likely amount at this time.</w:t>
      </w:r>
    </w:p>
    <w:p>
      <w:pPr>
        <w:spacing w:after="0" w:line="16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from time to time, have affirmative indemnification and other claims against parties from whom we acquired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665" w:right="339" w:bottom="1440" w:gutter="0" w:footer="0" w:header="0"/>
        </w:sectPr>
      </w:pPr>
    </w:p>
    <w:bookmarkStart w:id="62" w:name="page63"/>
    <w:bookmarkEnd w:id="62"/>
    <w:p>
      <w:pPr>
        <w:ind w:left="40"/>
        <w:spacing w:after="0"/>
        <w:rPr>
          <w:sz w:val="20"/>
          <w:szCs w:val="20"/>
          <w:color w:val="auto"/>
        </w:rPr>
      </w:pPr>
      <w:r>
        <w:rPr>
          <w:rFonts w:ascii="Arial" w:cs="Arial" w:eastAsia="Arial" w:hAnsi="Arial"/>
          <w:sz w:val="18"/>
          <w:szCs w:val="18"/>
          <w:b w:val="1"/>
          <w:bCs w:val="1"/>
          <w:color w:val="auto"/>
        </w:rPr>
        <w:t>Note 22 –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Update</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March 2020, the WHO categorized COVID-19 as a pandemic and the COVID-19 outbreak was declared a national emergency in the U.S. The COVID-19 pandemic is adversely affecting economic conditions, including an increase in unemployment, and is creating significant uncertainty about the duration and magnitude of the downturn in the economy.</w:t>
      </w:r>
    </w:p>
    <w:p>
      <w:pPr>
        <w:spacing w:after="0" w:line="7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March 27, 2020, the CARES Act was signed into law. The CARES Act allows borrowers with federally backed mortgage loans who are affected by COVID-19 to request temporary loan forbearance for up to 180 days. Borrowers may request additional forbearance period of up to 180 days for FHA and VA guaranteed loans. Although PLS loans are not explicitly covered under the CARES Act, these loans are subject to various requirements and expectations from state Governors, regulators, and Attorneys General to assist borrowers enduring financial hardship due to COVID-19 with forbearance and other requirements. Ocwen provides payment relief to such borrowers in accordance with these requirements and expectations, as well as our servicing agreements. For example, we intend to grant eligible borrowers an initial three months of forbearance and related protection, including suspension of late fees, as well as suspension of foreclosure and eviction activity.</w:t>
      </w:r>
    </w:p>
    <w:p>
      <w:pPr>
        <w:spacing w:after="0" w:line="6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Due to the adverse economic conditions created by the COVID-19 pandemic, the number of loans under a forbearance plan offered by Ocwen to borrowers has significantly increased since March 31, 2020, and is expected to continue to increase in the near term and to continue to correlate with unemployment claims, consistent with the industry trend. The number of forbearance loans we service increased from approximately 27,500 at March 31, 2020 to 114,600 at April 30, 2020, or from 2.0% to 8.5% of our total serviced portfolio. An increase in loans in forbearance directly increases our servicing advance obligations. Refer to Note 20, Servicing Advance Obligations. Any material increase in forbearance and delinquencies could materially and adversely affect our business, financial condition, liquidity and results of operations.</w:t>
      </w:r>
    </w:p>
    <w:p>
      <w:pPr>
        <w:spacing w:after="0" w:line="228" w:lineRule="exact"/>
        <w:rPr>
          <w:sz w:val="20"/>
          <w:szCs w:val="20"/>
          <w:color w:val="auto"/>
        </w:rPr>
      </w:pPr>
    </w:p>
    <w:p>
      <w:pPr>
        <w:ind w:left="980" w:right="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Part II, Item 1A. Risk Factors, as well as those discussed in our other reports and filings with the SEC, including those in our Annual Report on Form 10-K for the year ended December 31, 2019 and any subsequent SEC filings.</w:t>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are a financial services company that services and originates mortgage loans. The majority of our revenues are generated from our residential mortgage servicing business. At March 31, 2020, our residential mortgage servicing portfolio consisted of 1,396,316 loans with a total UPB of $208.8 billion. We service all mortgage loan classes, including conventional, government-insured and non-Agency loans. Our originations business supports the growth of our servicing volume. We originate and purchase conventional and government-insured forward and reverse mortgage loans that we sell or securitize on a servicing retained basis.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877" w:right="37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color w:val="auto"/>
        </w:rPr>
        <w:t>We selectively sourced our MSR originations and acquisitions and our subservicing through diversified channels, as detailed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Amounts in billions</w:t>
            </w:r>
          </w:p>
        </w:tc>
        <w:tc>
          <w:tcPr>
            <w:tcW w:w="16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UPB</w:t>
            </w:r>
          </w:p>
        </w:tc>
        <w:tc>
          <w:tcPr>
            <w:tcW w:w="14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Quarter Ended</w:t>
            </w:r>
          </w:p>
        </w:tc>
      </w:t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servicing originations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Recapture MSR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Correspondent MSR (1)</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Flow purchases MSR</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7"/>
        </w:trPr>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GSE Cash Window MSR</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Reverse mortgage servicing (2)</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0.26</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servicing originations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Bulk MSR purchases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servicing additions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Subservicing additions (3)</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servicing and subservicing UPB additions (2)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right="80" w:hanging="332"/>
        <w:spacing w:after="0" w:line="25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UPB of loans that have been originated or purchased during the respective periods and for which we recognize a new MSR on our consolidated balance sheets upon sale or securitization.</w:t>
      </w:r>
    </w:p>
    <w:p>
      <w:pPr>
        <w:spacing w:after="0" w:line="1"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Reverse mortgage loans are securitized on a servicing retained basis. The loans are recognized on our consolidated balance sheets under GAAP without any separate recognition of MSRs.</w:t>
      </w:r>
    </w:p>
    <w:p>
      <w:pPr>
        <w:ind w:left="340" w:right="80" w:hanging="332"/>
        <w:spacing w:after="0" w:line="257"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Excludes the volume UPB associated with short-term interim subservicing for some clients as a support to their originate-to-sell business, where loans are boarded and de-boarded within the same quarter.</w:t>
      </w:r>
    </w:p>
    <w:p>
      <w:pPr>
        <w:spacing w:after="0" w:line="181"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In our Originations business, we originate or purchase, and sell or securitize forward and reverse mortgage loans that are mostly conventional and government-insured. During the three months ended March 31, 2020, we originated or purchased forward and reverse mortgage loans with a UPB of $710.2 million and $226.0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229"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In March 2020, the WHO categorized COVID-19 as a pandemic and the COVID-19 outbreak was declared a national emergency in the U.S. The efforts to contain the spread of the COVID-19 pandemic are adversely affecting economic conditions, including an increase in unemployment, and are creating significant uncertainties about the duration and magnitude of the economic downturn.</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Ocwen took decisive actions to address the COVID-19 global pandemic. These actions include a prohibition on international travel, non-essential domestic travel, and in-person meetings, as well as increased sanitary protocols in its facilities. Ocwen is following CDC, WHO and local guidelines and its business continuity and crisis management teams and executive leadership are meeting virtually on a daily basis. Ocwen is currently operating through a remote workforce model for approximately 92% of its global workforce. Approximately 2% of its U.S. workforce is working out of its facilities to support activities that cannot be performed remotely. For those jobs that cannot be performed remotely, social distancing and facilities hygiene recommendations are being followed, as well as added disinfection cleaning of facilities that continue to be occupied by its workforce. We believe our ability to maximize deployment of a remote work model offers the best protection for employees and the communities in which they live and provides the best assurance of our continued ability to serve borrowers and investors. We did not incur any significant costs associated with the transition to our remote work model during the three months ended March 31, 2020, except for the investment in laptops and related equipment for our workforce that we capitalized as equipment. We have not changed our operations, financial reporting process, systems, and controls.</w:t>
      </w:r>
    </w:p>
    <w:p>
      <w:pPr>
        <w:spacing w:after="0" w:line="18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disruption created by the measures being taken to drive social distancing may give rise to industry-wide elevated delinquency levels. Ocwen is an experienced special servicer with proven capability to assist borrowers who are facing financial difficulties and generate positive outcomes for mortgage loan investors. We believe we have the necessary operating processes, practices and systems to track large servicer advance balances at a detailed level and drive strong advance recoveries within elevated delinquency portfolios. We believe the current environment may create opportunities to assist borrowers who are facing financial difficulties in retaining their homes while improving cash flow for mortgage loan investors.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66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COVID-19 Pandemic Update - Servicing</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27, 2020, the CARES Act was signed into law. The CARES Act allows borrowers with federally backed mortgage loans who are affected by COVID-19 to request temporary loan forbearance. Servicers must provide such forbearance for up to 180 days if requested by the borrower. Borrowers may request additional forbearance period of up to 180 days for FHA and VA guaranteed loans. During any period of forbearance granted pursuant to the CARES Act, servicers must also provide related protection, including, but not limited to, suspension of late fees, as well as foreclosure and eviction activity. The CARES Act further restricts servicers from pursuing certain foreclosure and eviction activity on all occupied, federally backed mortgage loans until at least May 17, 2020, regardless of whether the borrower has requested assistance.</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Although PLS loans are not explicitly covered under the CARES Act, these loans are subject to various requirements and expectations from state Governors, regulators, and Attorneys General to assist borrowers enduring financial hardship due to COVID-19 with forbearance, moratoria on foreclosure sales and evictions and other requirements, some of which apply regardless of whether the borrower has requested assistance. Ocwen provides payment relief to such borrowers in accordance with these requirements and expectations, as well as our servicing agreements. For example, we intend to grant eligible borrowers an initial three months of forbearance and related protection, including suspension of late fees, as well as suspension of foreclosure and eviction activity.</w:t>
      </w:r>
    </w:p>
    <w:p>
      <w:pPr>
        <w:spacing w:after="0" w:line="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Generally, borrowers will be required to repay their suspended or reduced mortgage payments after the forbearance period ends unless an alternate loss mitigation solution is reached, which we anticipate will include extensions of forbearance, repayment plans, payment deferrals, and loan modifications, depending on the borrower’s situation, account status, and applicable investor guidelines. Before the completion of each period of forbearance, Ocwen will attempt to contact the borrowers to assess their ability to resume making payments and discuss other options which may be available if their hardship persists.</w:t>
      </w:r>
    </w:p>
    <w:p>
      <w:pPr>
        <w:spacing w:after="0" w:line="80" w:lineRule="exact"/>
        <w:rPr>
          <w:sz w:val="20"/>
          <w:szCs w:val="20"/>
          <w:color w:val="auto"/>
        </w:rPr>
      </w:pPr>
    </w:p>
    <w:p>
      <w:pPr>
        <w:ind w:right="140" w:firstLine="324"/>
        <w:spacing w:after="0" w:line="250" w:lineRule="auto"/>
        <w:rPr>
          <w:sz w:val="20"/>
          <w:szCs w:val="20"/>
          <w:color w:val="auto"/>
        </w:rPr>
      </w:pPr>
      <w:r>
        <w:rPr>
          <w:rFonts w:ascii="Arial" w:cs="Arial" w:eastAsia="Arial" w:hAnsi="Arial"/>
          <w:sz w:val="17"/>
          <w:szCs w:val="17"/>
          <w:color w:val="auto"/>
        </w:rPr>
        <w:t>We expect loan forbearance to rise significantly in the near term, in response to the increase in unemployment claims. The unemployment rate increased from 5.1%, for the week ending March 28</w:t>
      </w:r>
      <w:r>
        <w:rPr>
          <w:rFonts w:ascii="Arial" w:cs="Arial" w:eastAsia="Arial" w:hAnsi="Arial"/>
          <w:sz w:val="24"/>
          <w:szCs w:val="24"/>
          <w:color w:val="auto"/>
          <w:vertAlign w:val="superscript"/>
        </w:rPr>
        <w:t>th</w:t>
      </w:r>
      <w:r>
        <w:rPr>
          <w:rFonts w:ascii="Arial" w:cs="Arial" w:eastAsia="Arial" w:hAnsi="Arial"/>
          <w:sz w:val="17"/>
          <w:szCs w:val="17"/>
          <w:color w:val="auto"/>
        </w:rPr>
        <w:t>, to 15.5% for the week ending April 25</w:t>
      </w:r>
      <w:r>
        <w:rPr>
          <w:rFonts w:ascii="Arial" w:cs="Arial" w:eastAsia="Arial" w:hAnsi="Arial"/>
          <w:sz w:val="24"/>
          <w:szCs w:val="24"/>
          <w:color w:val="auto"/>
          <w:vertAlign w:val="superscript"/>
        </w:rPr>
        <w:t>th</w:t>
      </w:r>
      <w:r>
        <w:rPr>
          <w:rFonts w:ascii="Arial" w:cs="Arial" w:eastAsia="Arial" w:hAnsi="Arial"/>
          <w:sz w:val="17"/>
          <w:szCs w:val="17"/>
          <w:color w:val="auto"/>
        </w:rPr>
        <w:t>, an increase of 10.4 percentage points in four weeks, according to the U.S. Department of Labor. We also expect that the recession that is expected by most economic forecasts will result in many of those in forbearance not returning to their jobs and so becoming delinquent at the end of the forbearance period. Given the unprecedented nature of this event, it is difficult to predict the severity and timing of this likely increase in delinquencies and forbearance.</w:t>
      </w:r>
    </w:p>
    <w:p>
      <w:pPr>
        <w:spacing w:after="0" w:line="8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An increase in loans in forbearance or an increase in delinquencies may temporarily reduce our servicing revenue or may delay the timing of revenue recognition. We receive and record servicing fees as income each period. Per the servicing guides, we do not collect any servicing fees on delinquent loans for the GSE and Ginnie Mae MSR loan population. In addition, we may not recognize any servicing fee during the forbearance periods. Conditions will also affect ancillary income timing and may reduce such income. While higher delinquencies tend to increase the assessment of some ancillary income, such as late fees, we will not be assessing late fees on loans in forbearance. The deferral of servicing fee collections due to forbearance is not expected to significantly impact our total cumulative revenue over the life of the loan but will reduce near term revenue and cash flow. The delay in servicing fee collection is expected to be partially offset by lower runoff in our MSR portfolio, as the deferred servicing fees generally remain projected as future cash flows.</w:t>
      </w:r>
    </w:p>
    <w:p>
      <w:pPr>
        <w:spacing w:after="0" w:line="84"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An increase in loans in forbearance, an increase in delinquencies, further declines in market or mortgage rates and other assumptions changes would further decrease the fair value of our MSR portfolio. We reported a $174.1 million loss in MSR valuation adjustments, net in the first quarter of 2020, mostly driven by $52.7 million portfolio runoff and a $156.7 million loss due to the decline in interest rates due to the COVID-19 pandemic (117 basis-point decline in the 10-year treasury swap rate), partially offset by $35.3 million favorable fair value gain from our MSR hedging strategy. The $65.5 million additional loss as compared to the first quarter of 2019 is primarily due to the impact of the additional decline in market interest rates.</w:t>
      </w:r>
    </w:p>
    <w:p>
      <w:pPr>
        <w:spacing w:after="0" w:line="53"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An increase in loans in forbearance or an increase in delinquencies would increase our cost to service and operating expenses. Loans in default typically require more intensive effort to bring them current or manage the foreclosure process. As forbearance periods end, additional efforts may be required to establish repayment plans, loan modifications, extensions of forbearance, payment deferrals, or other loss mitigation solutions. We follow regulatory and investor requirements, including the temporary moratoria on evictions and foreclosure sales and monitor daily our inventory and its trend due to the COVID-19 environment.</w:t>
      </w:r>
    </w:p>
    <w:p>
      <w:pPr>
        <w:spacing w:after="0" w:line="80"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An increase in loans in forbearance or an increase in delinquencies would increase our servicing advances and may increase the related interest expense. Additional fair value losses may be recorded on our MSRs as the projected funding cost of existing and future expected servicing advances is a component of the fair value of MSRs. We do not expect any significant changes to our advances’ allowance for losses, including under the new FASB’s current expected credit loss model (CECL), as advances are generally expected to be fully reimbursed.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665" w:right="359" w:bottom="1440" w:gutter="0" w:footer="0" w:header="0"/>
        </w:sectPr>
      </w:pPr>
    </w:p>
    <w:bookmarkStart w:id="65" w:name="page66"/>
    <w:bookmarkEnd w:id="65"/>
    <w:p>
      <w:pPr>
        <w:ind w:firstLine="324"/>
        <w:spacing w:after="0" w:line="273" w:lineRule="auto"/>
        <w:rPr>
          <w:sz w:val="20"/>
          <w:szCs w:val="20"/>
          <w:color w:val="auto"/>
        </w:rPr>
      </w:pPr>
      <w:r>
        <w:rPr>
          <w:rFonts w:ascii="Arial" w:cs="Arial" w:eastAsia="Arial" w:hAnsi="Arial"/>
          <w:sz w:val="17"/>
          <w:szCs w:val="17"/>
          <w:color w:val="auto"/>
        </w:rPr>
        <w:t>For the quarter ended March 31, 2020, Ocwen provided approximately 27,500 COVID-19 related forbearance plans to its customers. NRZ has the responsibility to advance on approximately 16,800, or 61%, Ocwen has the responsibility to advance on approximately 9,400, or 34%, and no advances are required on approximately 1,300, or 5%, of the loans subject to these forbearance plans. Of the loans subject to these plans for which we are responsible for making advances, our subservicing clients are obligated to reimburse Ocwen within 30 days of Ocwen making an advance on approximately 3,900 of these loans. Ocwen has sole responsibility to advance on approximately 5,500 of these loans. Of this amount, 67% are PLS and 20% are Freddie Mac, where in both cases Ocwen has its own servicing advance financing lines.</w:t>
      </w:r>
    </w:p>
    <w:p>
      <w:pPr>
        <w:spacing w:after="0" w:line="17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For eligible PLS loans that were not significantly delinquent at the time forbearance was applied to the account, Ocwen intends to administer each three-month forbearance period through a series of one-month forbearance plans each of which advances the due date upon completion and move the resulting missed payment to or near the loan’s maturity as a non-interest bearing balance. As such, Ocwen does not expect to be out of pocket cash for P&amp;I and T&amp;I advances for any more than one month for each of these eligible loans with forbearance protection. We have a PLS servicing advance financing line that provides financing at weighted average advance rates of 92% of eligible principal and interest advances. As of March 31, 2020, Ocwen had $59.0 million in remaining committed financing capacity under our PLS servicing advance financing line.</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Ginnie Mae loans, advance requirements are mitigated by the ability to use excess funds in custodial accounts to cover principal and interest advances, though the remaining advances are covered by corporate cash. Ginnie Mae has announced it intends to provide financing to servicers to fund servicer advances through its Pass-Through Assistance Program (PTAP). We are not acting at this time to establish a private Ginnie Mae advance funding facility or planning to access the Ginnie Mae PTAP. We will continue to assess our Ginnie Mae requirements and options going forward and may establish financing later this year.</w:t>
      </w:r>
    </w:p>
    <w:p>
      <w:pPr>
        <w:spacing w:after="0" w:line="188"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For Freddie Mac loans, Ocwen has a servicing advance financing line that provides financing at a 98% advance rate of eligible P&amp;I advances, and an overall weighted average advance rate of 80.5% of all eligible advances. As of March 31, 2020, the Company had $45.0 million in remaining committed financing capacity under this servicing advance financing line.</w:t>
      </w:r>
    </w:p>
    <w:p>
      <w:pPr>
        <w:spacing w:after="0" w:line="18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For Fannie Mae loans, advances are currently funded through corporate cash. On April 21, 2020, the Federal Housing Finance Agency (FHFA) announced that the 120-day P&amp;I servicer advance obligation limit for delinquent loans will apply to loans in forbearance. Accordingly, once a servicer has advanced four months of missed payments on a loan, it will have no further obligation to advance scheduled payments, as the loan will be moved into an “Actual/Actual” remittance status. Reimbursement of such P&amp;I advance is expected after the forbearance period ends, through loan resolution, cure or liquidation. Mortgage loans with COVID-19 payment forbearance will be treated as they would in the event of a natural disaster event and will remain in the MBS pools. GSE servicers are required to make T&amp;I and Corporate advances until the property is sold but can submit reimbursement claims for certain T&amp;I and Corporate advances after incurring the expense. To the extent necessary, Ocwen intends to apply for financing through the Federal Reserve Emergency Funding Programs when such programs are made available to the industry. Ocwen’s ability to utilize these programs will be subject to eligibility requirements applicable to Ocwen and the collateral being financed. The eligibility criteria and the timing of financing availability is not yet known.</w:t>
      </w:r>
    </w:p>
    <w:p>
      <w:pPr>
        <w:spacing w:after="0" w:line="19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As of April 30, 2020, we provided approximately 114,600 COVID-19 related forbearance plans to our customers, or an additional 87,100 forbearance plans since March 31, 2020. The loans under forbearance represented 8.5% and 2.0% of our servicing volume as of April 30, 2020 and March 31, 2020, respectively. Due to the adverse economic conditions created by the COVID-19 pandemic, we expect the number of forbearance plans to continue to increase in the near term, consistent with the industry trend, and to continue to correlate with unemployment claims. An increase in loans in forbearance would increase our servicing advance obligations. The below table shows the requests for forbearance plans and the estimated obligation to advance monthly P&amp;I as of March 31, 2020 and April 30, 2020:</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665" w:right="359" w:bottom="1440" w:gutter="0" w:footer="0" w:header="0"/>
        </w:sectPr>
      </w:pPr>
    </w:p>
    <w:bookmarkStart w:id="66" w:name="page67"/>
    <w:bookmarkEnd w:id="66"/>
    <w:p>
      <w:pPr>
        <w:spacing w:after="0" w:line="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COVID-19 impacted borrowers and monthly P&amp;I advance estimate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3"/>
          </w:tcPr>
          <w:p>
            <w:pPr>
              <w:ind w:left="840"/>
              <w:spacing w:after="0"/>
              <w:rPr>
                <w:sz w:val="20"/>
                <w:szCs w:val="20"/>
                <w:color w:val="auto"/>
              </w:rPr>
            </w:pPr>
            <w:r>
              <w:rPr>
                <w:rFonts w:ascii="Arial" w:cs="Arial" w:eastAsia="Arial" w:hAnsi="Arial"/>
                <w:sz w:val="18"/>
                <w:szCs w:val="18"/>
                <w:b w:val="1"/>
                <w:bCs w:val="1"/>
                <w:color w:val="auto"/>
              </w:rPr>
              <w:t>As of March 31, 2020</w:t>
            </w:r>
          </w:p>
        </w:tc>
        <w:tc>
          <w:tcPr>
            <w:tcW w:w="3240" w:type="dxa"/>
            <w:vAlign w:val="bottom"/>
            <w:gridSpan w:val="2"/>
          </w:tcPr>
          <w:p>
            <w:pPr>
              <w:ind w:left="880"/>
              <w:spacing w:after="0"/>
              <w:rPr>
                <w:sz w:val="20"/>
                <w:szCs w:val="20"/>
                <w:color w:val="auto"/>
              </w:rPr>
            </w:pPr>
            <w:r>
              <w:rPr>
                <w:rFonts w:ascii="Arial" w:cs="Arial" w:eastAsia="Arial" w:hAnsi="Arial"/>
                <w:sz w:val="18"/>
                <w:szCs w:val="18"/>
                <w:b w:val="1"/>
                <w:bCs w:val="1"/>
                <w:color w:val="auto"/>
              </w:rPr>
              <w:t>As of April 30, 2020</w:t>
            </w:r>
          </w:p>
        </w:tc>
      </w:tr>
      <w:tr>
        <w:trPr>
          <w:trHeight w:val="27"/>
        </w:trPr>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164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Estimated Monthly</w:t>
            </w:r>
          </w:p>
        </w:tc>
        <w:tc>
          <w:tcPr>
            <w:tcW w:w="1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Estimated Monthly</w:t>
            </w:r>
          </w:p>
        </w:tc>
      </w:tr>
      <w:tr>
        <w:trPr>
          <w:trHeight w:val="216"/>
        </w:trPr>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P&amp;I Advance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P&amp;I Advance</w:t>
            </w:r>
          </w:p>
        </w:tc>
      </w:tr>
      <w:tr>
        <w:trPr>
          <w:trHeight w:val="216"/>
        </w:trPr>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Forbearance Plans</w:t>
            </w: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Obligation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Forbearance Plans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Obligation</w:t>
            </w:r>
          </w:p>
        </w:tc>
      </w:tr>
      <w:tr>
        <w:trPr>
          <w:trHeight w:val="234"/>
        </w:trPr>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 million)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 million)</w:t>
            </w:r>
          </w:p>
        </w:tc>
      </w:tr>
    </w:tbl>
    <w:p>
      <w:pPr>
        <w:spacing w:after="0" w:line="7" w:lineRule="exact"/>
        <w:rPr>
          <w:sz w:val="20"/>
          <w:szCs w:val="20"/>
          <w:color w:val="auto"/>
        </w:rPr>
      </w:pPr>
    </w:p>
    <w:p>
      <w:pPr>
        <w:sectPr>
          <w:pgSz w:w="11900" w:h="16838" w:orient="portrait"/>
          <w:cols w:equalWidth="0" w:num="2">
            <w:col w:w="4360" w:space="260"/>
            <w:col w:w="6620"/>
          </w:cols>
          <w:pgMar w:left="320" w:top="715" w:right="339" w:bottom="1440" w:gutter="0" w:footer="0" w:header="0"/>
        </w:sectPr>
      </w:pPr>
    </w:p>
    <w:tbl>
      <w:tblPr>
        <w:tblLayout w:type="fixed"/>
        <w:tblInd w:w="0" w:type="dxa"/>
        <w:tblCellMar>
          <w:top w:w="0" w:type="dxa"/>
          <w:left w:w="0" w:type="dxa"/>
          <w:bottom w:w="0" w:type="dxa"/>
          <w:right w:w="0" w:type="dxa"/>
        </w:tblCellMar>
      </w:tblPr>
      <w:tr>
        <w:trPr>
          <w:trHeight w:val="263"/>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GSE loans</w:t>
            </w: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Ginnie Mae loans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PLS loans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Servicer</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30,600</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6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GSE loans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9,400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PLS loans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63,200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NRZ’s responsibility (1)</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72,600</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72.9</w:t>
            </w:r>
          </w:p>
        </w:tc>
      </w:tr>
      <w:tr>
        <w:trPr>
          <w:trHeight w:val="27"/>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Subservicer (2)</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No advance requirements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27,500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114,600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122.0</w:t>
            </w:r>
          </w:p>
        </w:tc>
      </w:tr>
      <w:tr>
        <w:trPr>
          <w:trHeight w:val="20"/>
        </w:trPr>
        <w:tc>
          <w:tcPr>
            <w:tcW w:w="4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320" w:hanging="332"/>
        <w:spacing w:after="0" w:line="272" w:lineRule="auto"/>
        <w:tabs>
          <w:tab w:leader="none" w:pos="3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Ocwen is obligated to advance under the terms of the 2017 Agreements and New RMSR Agreements, and NRZ is obligated to reimburse Ocwen daily for PLS and weekly for Freddie Mac and Fannie Mae servicing advances. See Note 8 — Rights to MSRs and Note 11 – Borrowings for additional information.</w:t>
      </w:r>
    </w:p>
    <w:p>
      <w:pPr>
        <w:spacing w:after="0" w:line="1" w:lineRule="exact"/>
        <w:rPr>
          <w:rFonts w:ascii="Arial" w:cs="Arial" w:eastAsia="Arial" w:hAnsi="Arial"/>
          <w:sz w:val="15"/>
          <w:szCs w:val="15"/>
          <w:color w:val="auto"/>
        </w:rPr>
      </w:pPr>
    </w:p>
    <w:p>
      <w:pPr>
        <w:ind w:left="340" w:right="80" w:hanging="332"/>
        <w:spacing w:after="0" w:line="24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Ocwen is obligated to advance under the terms of subservicing agreements, and subservicing clients (servicers) are generally obligated to reimburse Ocwen within one day to 30 days for P&amp;I advances.</w:t>
      </w: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Numbers have been rounded.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 - Originations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Recent declines in interest rates and the continued execution of our originations strategy have led to an increase in mortgage refinancing activity in our portfolio retention channel. We continue to increase staffing levels to maximize our recapture potential. Lock volume for the first quarter of 2020 was approximately $870 million and funded volume was approximately $196 million.</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Ocwen continues to approach MSR purchases with discipline as it has seen increased volatility in primary and secondary margins as well as the average 30-year mortgage rate. We are bidding conservatively, especially on higher coupon loans, while mortgage spreads are high, and the market is going through price discovery. First quarter 2020 correspondent lock volume was approximately $618 million and funded volume originated through correspondent and all other flow channels was approximately $1.9 billion. In the current environment, there are several factors that could impact Ocwen’s volume and industry-wide volume levels in all channels, including COVID-19 related impacts to the lending ecosystem (e.g., appraiser unwillingness to enter homes; borrower unwillingness to allow appraisers into homes; title agent office closings; and delays in obtaining, and uncertainty relating to the validity of, verifications of borrower employment), volatility of market interest rates, primary and secondary spread volatility, industry capacity constraints, and uncertainty regarding the future value of newly originated MSRs in light of the current wide spread between the 10-year treasury rate and the 30-year conventional fixed rate mortgage rate.</w:t>
      </w:r>
    </w:p>
    <w:p>
      <w:pPr>
        <w:spacing w:after="0" w:line="7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this environment, our current capital allocation priorities are maintaining liquidity to support its operations and funding its flow origination channels. We continue to monitor our liquidity and calibrate our originations activity based on our evolving assessment of the business environment and our liquidity and financial condition. See Liquidity and Capital Resources for additional COVID-19 update.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Initiatives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have established a set of key business initiatives to achieve our objective of returning to profitability in the shortest timeframe possible within an appropriate risk and compliance environment. These include:</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Managing the size of our servicing portfolio through expanding our lending business to grow sustainable channels of MSR replenishment;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Re-engineering our cost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Effectively managing our balance sheet to fund our ongoing business needs and growth;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Fulfilling our regulatory commitments and resolving remaining legacy matters.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715" w:right="339" w:bottom="1440" w:gutter="0" w:footer="0" w:header="0"/>
          <w:type w:val="continuous"/>
        </w:sectPr>
      </w:pPr>
    </w:p>
    <w:bookmarkStart w:id="67" w:name="page68"/>
    <w:bookmarkEnd w:id="67"/>
    <w:p>
      <w:pPr>
        <w:ind w:firstLine="324"/>
        <w:spacing w:after="0" w:line="270" w:lineRule="auto"/>
        <w:rPr>
          <w:sz w:val="20"/>
          <w:szCs w:val="20"/>
          <w:color w:val="auto"/>
        </w:rPr>
      </w:pPr>
      <w:r>
        <w:rPr>
          <w:rFonts w:ascii="Arial" w:cs="Arial" w:eastAsia="Arial" w:hAnsi="Arial"/>
          <w:sz w:val="17"/>
          <w:szCs w:val="17"/>
          <w:color w:val="auto"/>
        </w:rPr>
        <w:t>First, we must expand our Originations business and targeted MSR acquisitions that have appropriate financial return targets to replenish and grow our servicing portfolio, and within the constraints of our liquidity. We expect to continue to focus on acquiring Agency and government-insured MSR portfolios that meet or exceed our minimum targeted investment returns. We also executed on our plans to re-enter the forward lending correspondent channel in the second quarter of 2019 and we continue to pursue a number of other MSR acquisition options, including driving improved recapture rates within our existing servicing portfolio. In addition to our organic growth initiatives in our Originations business, we have been actively engaged in evaluating opportunities to acquire complimentary lending platforms with proven capabilities to generate significant volume through mortgage lending cycles and provide a sustainable MSR source. Our efforts to grow and diversify our sources of servicing volumes also mitigate our client concentration risk. We have exposure to client concentration and retention risk as a result of our relationship with NRZ, which accounted for 55% of the UPB in our servicing portfolio as of March 31, 2020.</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Second, we must re-engineer our cost structure to go beyond eliminating redundant costs through the integration process and establish continuous operational efficiencies and cost improvement as a core strength. Our continuous cost improvement efforts are focused on leveraging our single servicing platform and technology, optimizing strategic sourcing and off-shore utilization, lean process design, automation and other technology-enabled productivity enhancements. Our initiatives are targeted at delivering superior accuracy, cost, speed and customer satisfaction. We believe these steps are necessary in order to simplify our operations and drive stronger financial performance.</w:t>
      </w:r>
    </w:p>
    <w:p>
      <w:pPr>
        <w:spacing w:after="0" w:line="18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Third, we must manage our balance sheet to ensure adequate liquidity, finance our ongoing business needs and provide a solid platform for executing on our other key business initiatives. Regarding the current maturities of our borrowings, as of March 31, 2020 we had approximately $789.0 million of debt outstanding under facilities coming due in the next 12 months. In January 2020, we extended the maturity of our SSTL from December 2020 to May 2022 and we reduced the outstanding balance from $326.1 million to $200.0 million. Portions of our match funded advance facilities and all of our mortgage loan warehouse facilities have 364-day terms consistent with market practice. We have historically renewed these facilities on or before their expiration in the ordinary course of financing our business. We have assessed the potential impact of the COVID-19 pandemic on our financial projections and projected liquidity. We have an agreement in place to upsize and extend through June 2021 our OMART and OFAF advance financing facilities. The OMART VFN capacity will increase from $200.0 million to $500.0 million to accommodate forecasted advancing requirements and the amortization of $185.0 million in term notes in August 2020. The OFAF facility will increase to a total capacity of $70.0 million. In addition, we have executed an agreement to extend our MSR repurchase agreement and warehouse facilities with Barclays. We expect to renew, replace or extend our borrowings to the extent necessary to finance our business on or prior to their respective maturities consistent with our historical experience.</w:t>
      </w:r>
    </w:p>
    <w:p>
      <w:pPr>
        <w:spacing w:after="0" w:line="17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Finally, we must fulfill our regulatory commitments and resolve our remaining legal and regulatory matters on satisfactory terms. 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Our ability to execute on these key business initiatives is not certain and is dependent on the successful execution of several complex actions, including our ability to grow our lending business and acquire MSRs with appropriate financial return targets, our ability to acquire, maintain and grow profitable client relationships, our ability to maintain relationships with the GSEs, Ginnie Mae, FHFA, lenders and regulators, our ability to implement further organizational redesign and cost reduction, as well as the absence of significant unforeseen costs, including regulatory or legal costs, that could negatively impact our return to sustainable profitability, and our ability to extend, renew or replace our debt agreements in the ordinary course of business. Our ability to execute on our key initiatives has been hindered by the recent COVID-19 environment and the impact on our organization depends on the duration of the lockdown and the magnitude of the economic downturn. There can be no assurances that the desired strategic and financial benefits of these actions will be realized.</w:t>
      </w:r>
    </w:p>
    <w:p>
      <w:pPr>
        <w:spacing w:after="0" w:line="16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recent periods, Ocwen has incurred significant losses as a result of declines in the fair value of our MSRs. Further interest rate decreases, prepayment speed increases or changes to other fair value inputs or assumptions could result in further fair value declines and hamper our ability to return to profitability. Starting in September 2019, we have implemented a hedging strategy to partially offset the changes in fair value of our net MSR portfolio. See Item 3. Quantitative and Qualitative Disclosures About Market Risk - MSR Hedging Strategy for further information.</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2019, we completed an assessment of the cost-to-service and the profitability of the NRZ servicing portfolio. Based on this analysis, in the fourth quarter of 2019, we estimate that operating expenses, including direct servicing expenses and overhead allocation, exceeded the net revenue retained for the NRZ servicing portfolio by approximately $10.0 million. As with all estimates, this estimate required the exercise of judgment, including with respect to overhead allocations, and it excludes the benefits of the lump-sum payment amortization. The estimated loss for these subservicing agreements is partially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557" w:right="339" w:bottom="1440" w:gutter="0" w:footer="0" w:header="0"/>
        </w:sectPr>
      </w:pPr>
    </w:p>
    <w:bookmarkStart w:id="68" w:name="page69"/>
    <w:bookmarkEnd w:id="68"/>
    <w:p>
      <w:pPr>
        <w:ind w:right="100"/>
        <w:spacing w:after="0" w:line="255" w:lineRule="auto"/>
        <w:rPr>
          <w:sz w:val="20"/>
          <w:szCs w:val="20"/>
          <w:color w:val="auto"/>
        </w:rPr>
      </w:pPr>
      <w:r>
        <w:rPr>
          <w:rFonts w:ascii="Arial" w:cs="Arial" w:eastAsia="Arial" w:hAnsi="Arial"/>
          <w:sz w:val="18"/>
          <w:szCs w:val="18"/>
          <w:color w:val="auto"/>
        </w:rPr>
        <w:t>driven by the declining revenue as the loan portfolio amortizes down without a corresponding reduction to our servicing cost per loan over time. As performing loans in the NRZ servicing portfolio have run-off, delinquencies have remained high, resulting in a relatively elevated average cost per loan. Because the NRZ portfolio contains a high percentage of delinquent accounts, it has an inherently high level of potential operational and compliance risk and requires a disproportionately high level of operating staff, oversight support infrastructure and overhead which drives the elevated average cost per loan. We actively pursue cost re-engineering initiatives to continue to reduce our cost-to-service and corporate overhead, as well as pursue actions to grow our non-NRZ servicing portfolio.</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February 20, 2020, we received a notice of termination from NRZ with respect to the legacy PMC subservicing agreement. This termination is for convenience (and not for cause). The notice states that the effective date of termination is June 19, 2020 for 25% of the loans under the agreement (not including loans constituting approximately $6.6 billion in UPB that were added by NRZ under the agreement in 2019) and August 18, 2020 for the remainder of the loans under the agreement. The actual servicing transfer date(s) will be determined through discussions with NRZ and other stakeholders such as GSEs. We currently expect the deboarding of these loans in the third and fourth quarters of 2020. In connection with the termination, we estimate that we will receive loan deboarding fees of approximately $6.0 million from NRZ. The portfolio subject to termination accounted for $40.0 billion in UPB, or 19% of our total serviced UPB as of March 31, 2020. Under this agreement, in the fourth quarter of 2019, we estimated that operating expenses, including direct expenses and overhead allocation, exceeded the net revenue retained for this portion of the NRZ servicing portfolio by approximately $3.0 million. At this stage, we do not anticipate significant operational impacts on our servicing business as a result of this termination. The terminated servicing is comprised of Agency loans with relatively low delinquencies that do not pose a high level of operating and compliance risk or require substantial direct and oversight staffing relative to our non-Agency servicing. Nonetheless, we intend to right-size and reduce expenses in our servicing business and the related corporate support functions to the extent possible to align with our smaller portfolio. It is possible that the loan deboarding and other transition activities that we will undertake as a result of the termination may not occur in an orderly or timely manner, which could be disruptive and could result in us incurring additional costs or even in disagreements with NRZ relating to our respective rights and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2019.</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665" w:right="359" w:bottom="1440" w:gutter="0" w:footer="0" w:header="0"/>
        </w:sectPr>
      </w:pPr>
    </w:p>
    <w:bookmarkStart w:id="69" w:name="page70"/>
    <w:bookmarkEnd w:id="69"/>
    <w:p>
      <w:pPr>
        <w:ind w:right="580" w:firstLine="324"/>
        <w:spacing w:after="0" w:line="277" w:lineRule="auto"/>
        <w:rPr>
          <w:sz w:val="20"/>
          <w:szCs w:val="20"/>
          <w:color w:val="auto"/>
        </w:rPr>
      </w:pPr>
      <w:r>
        <w:rPr>
          <w:rFonts w:ascii="Arial" w:cs="Arial" w:eastAsia="Arial" w:hAnsi="Arial"/>
          <w:sz w:val="18"/>
          <w:szCs w:val="18"/>
          <w:color w:val="auto"/>
        </w:rPr>
        <w:t>The following discussion addresses each component of our statement of operations, and further detail related to our servicing, originations and corporate segments is provided in the discussion by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5"/>
              </w:rPr>
              <w:t>Three Months Ended March 31,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 Summary</w:t>
            </w: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211,483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256,616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Reverse mortgage revenue,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32,123</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8,982</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 net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c>
          <w:tcPr>
            <w:tcW w:w="11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37"/>
        </w:trPr>
        <w:tc>
          <w:tcPr>
            <w:tcW w:w="62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253,842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303,888</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23"/>
        </w:trPr>
        <w:tc>
          <w:tcPr>
            <w:tcW w:w="6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b w:val="1"/>
                <w:bCs w:val="1"/>
                <w:color w:val="auto"/>
              </w:rPr>
              <w:t>MSR valuation adjustments,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(174,120)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(108,998)</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60</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6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94,696</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28,698</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w:t>
            </w:r>
          </w:p>
        </w:tc>
        <w:tc>
          <w:tcPr>
            <w:tcW w:w="11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645</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24,435</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16,589</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3,248</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171,107</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63"/>
        </w:trPr>
        <w:tc>
          <w:tcPr>
            <w:tcW w:w="62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4,558</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18</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(26,489)</w:t>
            </w:r>
          </w:p>
        </w:tc>
        <w:tc>
          <w:tcPr>
            <w:tcW w:w="11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Pledged MSR liability expense,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(43,956)</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(85)</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1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37"/>
        </w:trPr>
        <w:tc>
          <w:tcPr>
            <w:tcW w:w="628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(64,867)</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23"/>
        </w:trPr>
        <w:tc>
          <w:tcPr>
            <w:tcW w:w="6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(41,084)</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(46)</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97"/>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(44,494)</w:t>
            </w:r>
          </w:p>
        </w:tc>
        <w:tc>
          <w:tcPr>
            <w:tcW w:w="11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(189)</w:t>
            </w:r>
          </w:p>
        </w:tc>
      </w:tr>
      <w:tr>
        <w:trPr>
          <w:trHeight w:val="217"/>
        </w:trPr>
        <w:tc>
          <w:tcPr>
            <w:tcW w:w="6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Segment income (loss) before income taxes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Originations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19,860</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Items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97"/>
        </w:trPr>
        <w:tc>
          <w:tcPr>
            <w:tcW w:w="62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(87,345)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n/m: not meaningful</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2019</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reported a net loss of $25.5 million in the first quarter of 2020 driven in large part by two partially offsetting effects of the COVID-19 pandemic environment. First, the fair value of our MSRs and related MSR financing liability at fair value decreased by $125.1 million in the first quarter of 2020 due to the unprecedented decline in market interest rates, offset in part by $35.3 million gains of our hedging derivatives. Second, we recognized a $61.9 million income tax benefit in the first quarter of 2020 as the CARES Act allows the carryback of tax net operating losses (NOL) and the associated refund of taxes that we paid in prior years. While many factors impacted our results, as discussed below, the $46.3 million increase in our pre-tax net loss for the first quarter of 2020, as compared to the first quarter of 2019 is also largely explained by the $30.7 million recovery in the first quarter of 2019 of prior professional fees from a service provider.</w:t>
      </w:r>
    </w:p>
    <w:p>
      <w:pPr>
        <w:sectPr>
          <w:pgSz w:w="11900" w:h="16838" w:orient="portrait"/>
          <w:cols w:equalWidth="0" w:num="1">
            <w:col w:w="11180"/>
          </w:cols>
          <w:pgMar w:left="320" w:top="665" w:right="399" w:bottom="1440" w:gutter="0" w:footer="0" w:header="0"/>
        </w:sectPr>
      </w:pP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80"/>
          </w:cols>
          <w:pgMar w:left="320" w:top="665" w:right="399" w:bottom="1440" w:gutter="0" w:footer="0" w:header="0"/>
          <w:type w:val="continuous"/>
        </w:sectPr>
      </w:pPr>
    </w:p>
    <w:bookmarkStart w:id="70" w:name="page71"/>
    <w:bookmarkEnd w:id="70"/>
    <w:p>
      <w:pPr>
        <w:ind w:firstLine="324"/>
        <w:spacing w:after="0" w:line="257" w:lineRule="auto"/>
        <w:rPr>
          <w:sz w:val="20"/>
          <w:szCs w:val="20"/>
          <w:color w:val="auto"/>
        </w:rPr>
      </w:pPr>
      <w:r>
        <w:rPr>
          <w:rFonts w:ascii="Arial" w:cs="Arial" w:eastAsia="Arial" w:hAnsi="Arial"/>
          <w:sz w:val="18"/>
          <w:szCs w:val="18"/>
          <w:color w:val="auto"/>
        </w:rPr>
        <w:t>Total revenue was $253.8 million in the first quarter of 2020, $50.0 million or 16% lower than the first quarter of 2019, mostly due to declines in servicing fee revenue and reverse mortgage revenue. Servicing and subservicing fee revenue decreased $45.1 million, or 18%, as compared to the first quarter of 2019, primarily due to a lower serviced UPB. Reverse mortgage revenue, net decreased $9.3 million, or 29%, as compared to the first quarter of 2019 largely due to the decline in fair value of our reverse mortgage portfolio due to the COVID-19 unfavorable market conditions. See Segment Results of Operations for additional information.</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reported a $174.1 million loss in MSR valuation adjustments, net in the first quarter of 2020, mostly driven by $52.7 million portfolio runoff and a $156.7 million loss due to the decline in interest rates, partially offset by $35.3 million favorable fair value gain from our MSR hedging strategy. The $65.1 million additional loss as compared to the first quarter of 2019 is primarily due to the impact of the decrease in market interest rates due to the COVID-19 pandemic. See Segment Results of Operations - Servicing for additional information.</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Total operating expenses decreased $33.9 million, or 20%, as compared to the first quarter of 2019 and the decrease is the result of multiple, offsetting variances, as discussed below.</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Compensation and benefits expense declined $34.0 million, or 36%, as compared to the first quarter of 2019, primarily due to a 24% decline in average headcount and the recognition in the first quarter of 2019 of $19.2 million of severance and retention costs incurred in connection with our 2019 cost re-engineering plan.</w:t>
      </w:r>
    </w:p>
    <w:p>
      <w:pPr>
        <w:spacing w:after="0" w:line="184"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Servicing and origination expense decreased $8.4 million, or 29%, as compared to the first quarter of 2019, primarily due to a $10.0 million decrease in servicing expenses largely as a result of a reduction in government-insured claim loss provisions and a general decline in servicer-related expenses that was primarily driven by a reduction in our servicing portfolio. See Segment Results of Operations - Servicing for additional information.</w:t>
      </w:r>
    </w:p>
    <w:p>
      <w:pPr>
        <w:spacing w:after="0" w:line="1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Professional services expense increased $22.2 million, or 645%, as compared to the first quarter of 2019, primarily due to the $30.7 million recovery in 2019 of amounts previously recognized as expense from a service provider offset in part by a $6.6 million decline in legal fees largely due to a declines in legal expenses relating to the PHH integration, legal entity reorganization and litigation, partially offset by a $4.4 million increase to our accrual related to the CFPB and Florida matters in the first quarter of 2020.</w:t>
      </w:r>
    </w:p>
    <w:p>
      <w:pPr>
        <w:spacing w:after="0" w:line="18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Technology and communication expense declined $9.2 million, or 38%, as compared to the first quarter of 2019 primarily because we no longer license the REALServicing servicing system from Altisource following our transition to Black Knight MSP in June 2019, a $2.9 million reduction in depreciation expense that is largely the result of a decline in capitalized technology investments, our closure of U.S. facilities in 2019 and the effects of our other cost reduction efforts, which include bringing technology services in-house, and synergy benefits resulting from our PHH integration efforts.</w:t>
      </w:r>
    </w:p>
    <w:p>
      <w:pPr>
        <w:spacing w:after="0" w:line="15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Occupancy and equipment expense decreased $4.6 million, or 28%, as compared to the first quarter of 2019 primarily due to the results of our cost reduction efforts, which include consolidating vendors and closing and consolidating certain facilities, and the effect of the decline in the size of the servicing portfolio on various expenses, particularly mailing services.</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Interest expense increased $3.5 million, or 13%, as compared to the first quarter of 2019, primarily because of $4.7 million interest on the new MSR financing facilities entered into during the third and fourth quarters of 2019, partially offset by a $2.0 million decrease in interest on advance match funded liabilities, consistent with the decline in servicing advances.</w:t>
      </w:r>
    </w:p>
    <w:p>
      <w:pPr>
        <w:spacing w:after="0" w:line="184"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Pledged MSR liability expense decreased $37.4 million, or 85%, as compared to the first quarter of 2019, largely due to a $7.9 million higher 2017/18 lump sum amortization gain and $28.1 million lower net servicing fee remittance to NRZ. These changes were mostly due to a lower UPB serviced and the termination of the PMC servicing agreement by NRZ on February 20, 2020. See Segment Results of Operations - Servicing for additional information.</w:t>
      </w:r>
    </w:p>
    <w:p>
      <w:pPr>
        <w:spacing w:after="0" w:line="14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Although we incurred a pre-tax loss for the three months ended March 31, 2020 of $87.3 million, we recorded an income tax benefit of $61.9 million primarily due to $64.8 million of estimated income tax benefit to be recognized under the CARES Act as a result of modification of the tax rules to allow the carryback of NOLs arising in 2018, 2019 and 2020 tax years to the five prior tax years and the increase to the business interest expense limitation under IRC Section 163(j). We recognized income tax expense, exclusive of the impact of the CARES Act, of $2.9 million due to the mix of earnings among different tax jurisdictions with different statutory tax rates. Our overall effective tax rates for the three months ended March 31, 2020 and 2019 were 71% and (8)%, respectively. Under our transfer pricing agreements, our operations in India and Philippines are compensated on a cost-plus basis for the services they provide, such that even when we have a consolidated pre-tax loss from continuing operations these foreign operations have taxable income, which is subject to statutory tax rates in these jurisdictions that are significantly higher than the U.S. statutory rate of 21%. The $65.3 million change in income tax expense for the three months ended March 31, 2020, compared with the same period in 2019, was primarily due to recognition of the estimated impact of the CARES Act. See Note 16 – Income Taxes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665" w:right="339" w:bottom="1440" w:gutter="0" w:footer="0" w:header="0"/>
        </w:sectPr>
      </w:pPr>
    </w:p>
    <w:bookmarkStart w:id="71" w:name="page72"/>
    <w:bookmarkEnd w:id="7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Financial Condition Summary</w:t>
            </w: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2019</w:t>
            </w:r>
          </w:p>
        </w:tc>
        <w:tc>
          <w:tcPr>
            <w:tcW w:w="26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(164,784)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53,177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1,050,228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(436,167)</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Advances, net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1,024,807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1,056,523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(31,716)</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(29,254)</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6,591,382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6,292,938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298,444</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34,085</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521,555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601,514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(79,959)</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9,986,024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10,406,199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by Segment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2,787,250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3,378,515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(591,265)</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Originations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6,739,576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6,459,367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280,209</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459,198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568,317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(109,119)</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9,986,024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10,406,199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HMBS-related borrowings, at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6,063,435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259,656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Advance match funded liabilities</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625,951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679,109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(53,158)</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liabilities,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(349,546)</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SSTL and other secured borrowings, net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797,615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1,025,791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(228,176)</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875,171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942,173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(67,002)</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9,556,167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9,994,188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(438,021)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429,857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17,846</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r>
      <w:tr>
        <w:trPr>
          <w:trHeight w:val="229"/>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9,986,024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10,406,199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by Segment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2,323,103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2,862,063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(538,960)</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Originations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6,582,507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6,347,159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235,348</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650,557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784,966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(134,409)</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9,556,167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9,994,188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(438,021)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$420.2 million decrease in our balance sheet for the three months ended March 31, 2020 is principally attributable to the $263.7 million derecognition of MSRs and the related financing liability effective with February 20, 2020 termination of the subservicing agreement between NRZ and PMC, $126.1 million of cash used to prepay a portion of the outstanding SSTL balance on January 27, 2020 and the $99.5 million decrease in the Ginnie Mae contingent loan repurchase asset and corresponding liability, offset by continued growth of our reverse mortgage business with an additional $298.4 million loans held for investment and $259.7 million HMBS-related borrowings. Total equity increased $17.8 million due to a $47.0 million adjustment to stockholders’ equity on January 1, 2020 as a result of our election to measure future reverse mortgage draw commitments at fair value in conjunction with the application of the new credit loss accounting standard, offset by our net loss for the three months ended March 31, 2020 and our repurchase of 5.7 million shares of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2" w:name="page73"/>
    <w:bookmarkEnd w:id="72"/>
    <w:p>
      <w:pPr>
        <w:ind w:left="40"/>
        <w:spacing w:after="0"/>
        <w:rPr>
          <w:sz w:val="20"/>
          <w:szCs w:val="20"/>
          <w:color w:val="auto"/>
        </w:rPr>
      </w:pPr>
      <w:r>
        <w:rPr>
          <w:rFonts w:ascii="Arial" w:cs="Arial" w:eastAsia="Arial" w:hAnsi="Arial"/>
          <w:sz w:val="18"/>
          <w:szCs w:val="18"/>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earn contractual monthly servicing fees pursuant to servicing agreements, which are typically payable as a percentage of UPB, as well as ancillary fees, including late fees, modification incentive fees, REO referral commissions, float earnings and Speedpay fees. We also earn fees under both subservicing and special servicing arrangements with banks and other institutions that own the MSRs. Subservicing and special servicing fees are earned either as a percentage of UPB or on a per-loan basis. Per loan fees typically vary based on delinquency status. As of March 31, 2020, we serviced 1.4 million loans with an aggregate UPB of $208.8 billion. The average UPB of loans serviced during the first quarter of 2020 decreased by 18% or $44.8 billion compared to the first quarter of 2019, mostly due to portfolio runoff and servicing transfers.</w:t>
      </w:r>
    </w:p>
    <w:p>
      <w:pPr>
        <w:spacing w:after="0" w:line="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NRZ is our largest servicing client, accounting for 55% and 60% of the UPB and loans in our servicing portfolio as of March 31, 2020, respectively. NRZ servicing fees retained by Ocwen represented approximately 24% and 27% of the total servicing and subservicing fees earned by Ocwen, net of servicing fees remitted to NRZ, for the three months ended March 31, 2020 and 2019, respectively (excluding ancillary income). Consistent with a subservicing relationship, NRZ is responsible for funding the advances we service for NRZ.</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will receive under the renegotiated agreements. These upfront payments received from NRZ were deferred and are recorded within Other income (expense), Pledged MSR liability expense, as they amortize through the remaining term of the original agreements. As of March 31, 2020, the remaining unamortized payment amounted to $10.0 million.</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During 2019, we completed an assessment of the cost-to-service and the profitability of the NRZ servicing portfolio. Based on this analysis, in the fourth quarter of 2019, we estimated that operating expenses, including direct servicing expenses and overhead allocation, exceeded the net revenue retained for the NRZ servicing portfolio by approximately $10.0 million. As with all estimates, this estimate required the exercise of judgment, including with respect to overhead allocations, and it excluded the benefits of the lump-sum payment amortization. The estimated loss for these subservicing agreements is partially driven by the declining revenue as the loan portfolio amortizes down without a corresponding reduction to our servicing cost over time. As performing loans in the NRZ servicing portfolio have run-off, delinquencies have remained high, resulting in a relatively elevated average cost per loan. Because the NRZ portfolio contains a high percentage of delinquent accounts, it has an inherently high level of potential operational and compliance risk and requires a disproportionally high level of operating staff, oversight support infrastructure and overhead which drives the elevated average cost per loan. We pursue cost re-engineering initiatives to continue to reduce our cost-to-service and our corporate overhead, as well as pursue actions to grow our non-NRZ servicing portfolio to offset the losses on the NRZ sub servicing.</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093" w:right="359" w:bottom="1440" w:gutter="0" w:footer="0" w:header="0"/>
        </w:sectPr>
      </w:pPr>
    </w:p>
    <w:bookmarkStart w:id="73" w:name="page74"/>
    <w:bookmarkEnd w:id="73"/>
    <w:p>
      <w:pPr>
        <w:ind w:left="340"/>
        <w:spacing w:after="0"/>
        <w:rPr>
          <w:sz w:val="20"/>
          <w:szCs w:val="20"/>
          <w:color w:val="auto"/>
        </w:rPr>
      </w:pPr>
      <w:r>
        <w:rPr>
          <w:rFonts w:ascii="Arial" w:cs="Arial" w:eastAsia="Arial" w:hAnsi="Arial"/>
          <w:sz w:val="16"/>
          <w:szCs w:val="16"/>
          <w:color w:val="auto"/>
        </w:rPr>
        <w:t>The following table presents subservicing fees retained by Ocwen under the NRZ agreements and the amortization gain (including fair value 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lump-sum payments received in connection with the 2017 Agreements and New RMSR Agreements: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subservicing fees on NRZ agreements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37,407</w:t>
            </w:r>
          </w:p>
        </w:tc>
        <w:tc>
          <w:tcPr>
            <w:tcW w:w="0" w:type="dxa"/>
            <w:vAlign w:val="bottom"/>
          </w:tcPr>
          <w:p>
            <w:pPr>
              <w:spacing w:after="0"/>
              <w:rPr>
                <w:sz w:val="1"/>
                <w:szCs w:val="1"/>
                <w:color w:val="auto"/>
              </w:rPr>
            </w:pPr>
          </w:p>
        </w:tc>
      </w:tr>
      <w:tr>
        <w:trPr>
          <w:trHeight w:val="229"/>
        </w:trPr>
        <w:tc>
          <w:tcPr>
            <w:tcW w:w="7840" w:type="dxa"/>
            <w:vAlign w:val="bottom"/>
          </w:tcPr>
          <w:p>
            <w:pPr>
              <w:ind w:left="40"/>
              <w:spacing w:after="0"/>
              <w:rPr>
                <w:sz w:val="20"/>
                <w:szCs w:val="20"/>
                <w:color w:val="auto"/>
              </w:rPr>
            </w:pPr>
            <w:r>
              <w:rPr>
                <w:rFonts w:ascii="Arial" w:cs="Arial" w:eastAsia="Arial" w:hAnsi="Arial"/>
                <w:sz w:val="18"/>
                <w:szCs w:val="18"/>
                <w:color w:val="auto"/>
                <w:w w:val="95"/>
              </w:rPr>
              <w:t>Amortization gain of the lump-sum cash payments received (including fair value change) recorded as a</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0"/>
              <w:spacing w:after="0"/>
              <w:rPr>
                <w:sz w:val="20"/>
                <w:szCs w:val="20"/>
                <w:color w:val="auto"/>
              </w:rPr>
            </w:pPr>
            <w:r>
              <w:rPr>
                <w:rFonts w:ascii="Arial" w:cs="Arial" w:eastAsia="Arial" w:hAnsi="Arial"/>
                <w:sz w:val="18"/>
                <w:szCs w:val="18"/>
                <w:color w:val="auto"/>
              </w:rPr>
              <w:t>reduction of Pledged MSR liability expense</w:t>
            </w:r>
          </w:p>
        </w:tc>
        <w:tc>
          <w:tcPr>
            <w:tcW w:w="3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24,239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16,340</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Total retained subservicing fees and amortization gain of lump-sum payments (including fair value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53,570</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53,747</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NRZ UPB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118,092,691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128,340,739</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Average annualized retained subservicing fees as a % of NRZ UPB</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MSR portfolio is carried at fair value, with changes in fair value recorded in MSR valuation adjustments, net. The value of our MSRs is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Valuation is also impacted by loan delinquency rates whereby as delinquency rates rise, the value of the servicing portfolio declines.</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For those MSR sale transactions with NRZ that do not achieve sale accounting treatment, we present gross the pledged MSR as an asset and the corresponding liability amount pledged MSR liability on our balance sheet. Similarly, we present the total servicing fees and the fair value changes related to the MSR sale transactions with NRZ within Servicing and subservicing fees, net and MSR valuation adjustment, net. Net servicing fee remittance to NRZ and the fair value changes of the pledged MSR liability are separately presented within Pledged MSR liability expense and are offset by the two corresponding amounts presented in other statement of operations line items. We record both our pledged MSRs with NRZ and the associated MSR liability at fair value, the changes in fair value of the pledged MSR liability were offset by the changes in fair value of the associated MSRs pledged, presented in MSR valuation adjustments, net. Although fair value changes are separately presented in our statement of operations, we are not exposed to any fair value changes of the MSR related to NRZ.</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February 20, 2020, we received a notice of termination from NRZ with respect to the PMC MSR Agreements, which accounted for $40.0 billion loan UPB. The notice states that the effective date of termination is June 19, 2020 with respect to 25% of the Initial Mortgage Loans under the agreement and August 18, 2020 for the remainder of the loans under the agreement. The loans that were added by NRZ under the PMC subservicing agreement in 2019 and amounted to approximately $6.6 billion in UPB are subject to the termination with the stated effective date of August 18, 2020. In connection with the termination, we are entitled to loan deboarding fees from NRZ. This termination is for convenience and not for cause. As the sale accounting criteria were met upon the notice of termination, the MSRs and the Rights to MSRs associated with the $40.0 billion loan UPB were derecognized from our balance sheet on February 20, 2020 without any gain or loss on derecognition. We continue to service these loans until deboarding, and account for them as a subservicing relationship. Accordingly, we recognized subservicing fees associated with the subservicing agreement subsequent to February 20, 2020 and did not report any servicing fees collected on behalf of, and remitted to NRZ, any change in fair value, runoff and settlement in financing liability thereafter.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Servicer Ratings</w:t>
      </w:r>
    </w:p>
    <w:p>
      <w:pPr>
        <w:spacing w:after="0" w:line="11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66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6300" w:type="dxa"/>
            <w:vAlign w:val="bottom"/>
          </w:tcPr>
          <w:p>
            <w:pPr>
              <w:ind w:left="340"/>
              <w:spacing w:after="0"/>
              <w:rPr>
                <w:sz w:val="20"/>
                <w:szCs w:val="20"/>
                <w:color w:val="auto"/>
              </w:rPr>
            </w:pPr>
            <w:r>
              <w:rPr>
                <w:rFonts w:ascii="Arial" w:cs="Arial" w:eastAsia="Arial" w:hAnsi="Arial"/>
                <w:sz w:val="18"/>
                <w:szCs w:val="18"/>
                <w:color w:val="auto"/>
              </w:rPr>
              <w:t>The following table summarizes our key servicer ratings: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86"/>
        </w:trPr>
        <w:tc>
          <w:tcPr>
            <w:tcW w:w="6300" w:type="dxa"/>
            <w:vAlign w:val="bottom"/>
          </w:tcPr>
          <w:p>
            <w:pPr>
              <w:spacing w:after="0"/>
              <w:rPr>
                <w:sz w:val="24"/>
                <w:szCs w:val="24"/>
                <w:color w:val="auto"/>
              </w:rPr>
            </w:pPr>
          </w:p>
        </w:tc>
        <w:tc>
          <w:tcPr>
            <w:tcW w:w="3580" w:type="dxa"/>
            <w:vAlign w:val="bottom"/>
            <w:gridSpan w:val="5"/>
          </w:tcPr>
          <w:p>
            <w:pPr>
              <w:jc w:val="center"/>
              <w:ind w:left="1270"/>
              <w:spacing w:after="0"/>
              <w:rPr>
                <w:sz w:val="20"/>
                <w:szCs w:val="20"/>
                <w:color w:val="auto"/>
              </w:rPr>
            </w:pPr>
            <w:r>
              <w:rPr>
                <w:rFonts w:ascii="Arial" w:cs="Arial" w:eastAsia="Arial" w:hAnsi="Arial"/>
                <w:sz w:val="18"/>
                <w:szCs w:val="18"/>
                <w:b w:val="1"/>
                <w:bCs w:val="1"/>
                <w:color w:val="auto"/>
                <w:w w:val="93"/>
              </w:rPr>
              <w:t>PHH Mortgage Corporation</w:t>
            </w:r>
          </w:p>
        </w:tc>
        <w:tc>
          <w:tcPr>
            <w:tcW w:w="1360" w:type="dxa"/>
            <w:vAlign w:val="bottom"/>
          </w:tcPr>
          <w:p>
            <w:pPr>
              <w:spacing w:after="0"/>
              <w:rPr>
                <w:sz w:val="24"/>
                <w:szCs w:val="24"/>
                <w:color w:val="auto"/>
              </w:rPr>
            </w:pPr>
          </w:p>
        </w:tc>
      </w:tr>
      <w:tr>
        <w:trPr>
          <w:trHeight w:val="27"/>
        </w:trPr>
        <w:tc>
          <w:tcPr>
            <w:tcW w:w="63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Moody’s</w:t>
            </w: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S&amp;P</w:t>
            </w: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63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Prime Servicer</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SQ3</w:t>
            </w:r>
          </w:p>
        </w:tc>
        <w:tc>
          <w:tcPr>
            <w:tcW w:w="188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Average</w:t>
            </w:r>
          </w:p>
        </w:tc>
        <w:tc>
          <w:tcPr>
            <w:tcW w:w="13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4"/>
              </w:rPr>
              <w:t>RPS3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SQ3</w:t>
            </w: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Average</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4"/>
              </w:rPr>
              <w:t>RPS3</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Special Servicer</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SQ3</w:t>
            </w:r>
          </w:p>
        </w:tc>
        <w:tc>
          <w:tcPr>
            <w:tcW w:w="188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Average</w:t>
            </w:r>
          </w:p>
        </w:tc>
        <w:tc>
          <w:tcPr>
            <w:tcW w:w="13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4"/>
              </w:rPr>
              <w:t>RSS3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SQ3</w:t>
            </w: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Average</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4"/>
              </w:rPr>
              <w:t>RPS3</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Home Equity Servicer</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84"/>
              </w:rPr>
              <w:t>RPS3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Residential Alt-A Servicer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4"/>
              </w:rPr>
              <w:t>RPS3</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Servicer</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SQ3</w:t>
            </w:r>
          </w:p>
        </w:tc>
        <w:tc>
          <w:tcPr>
            <w:tcW w:w="188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Average</w:t>
            </w:r>
          </w:p>
        </w:tc>
        <w:tc>
          <w:tcPr>
            <w:tcW w:w="13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5"/>
              </w:rPr>
              <w:t>RMS3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Stable</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0"/>
              </w:rPr>
              <w:t>Negative</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6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August 29, 2019</w:t>
            </w: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December 27, 2019</w:t>
            </w: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1"/>
              </w:rPr>
              <w:t>March 24, 2020</w:t>
            </w:r>
          </w:p>
        </w:tc>
      </w:tr>
    </w:tbl>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March 24, 2020, Fitch placed all U.S RMBS servicer ratings on Negative outlook resulting from a rapidly evolving economic and operating environment due to the sudden impact of the COVID-19 virus.</w:t>
      </w:r>
    </w:p>
    <w:p>
      <w:pPr>
        <w:spacing w:after="0" w:line="18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665" w:right="339" w:bottom="1440" w:gutter="0" w:footer="0" w:header="0"/>
        </w:sectPr>
      </w:pPr>
    </w:p>
    <w:bookmarkStart w:id="75" w:name="page76"/>
    <w:bookmarkEnd w:id="75"/>
    <w:p>
      <w:pPr>
        <w:ind w:right="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 March 31,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2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256,438</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 net</w:t>
            </w:r>
          </w:p>
        </w:tc>
        <w:tc>
          <w:tcPr>
            <w:tcW w:w="2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0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213,555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259,274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MSR valuation adjustments, net</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(174,436)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(108,914)</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40,403</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24,887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11,423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17,793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57,594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40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80,473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156,984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(10,742)</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Pledged MSR liability expense</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1,525</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2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(50,879)</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3"/>
        </w:trPr>
        <w:tc>
          <w:tcPr>
            <w:tcW w:w="40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2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vMerge w:val="continue"/>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4"/>
                <w:szCs w:val="24"/>
                <w:color w:val="auto"/>
              </w:rPr>
            </w:pPr>
          </w:p>
        </w:tc>
        <w:tc>
          <w:tcPr>
            <w:tcW w:w="2720" w:type="dxa"/>
            <w:vAlign w:val="bottom"/>
          </w:tcPr>
          <w:p>
            <w:pPr>
              <w:jc w:val="right"/>
              <w:ind w:right="95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340"/>
              <w:spacing w:after="0"/>
              <w:rPr>
                <w:sz w:val="20"/>
                <w:szCs w:val="20"/>
                <w:color w:val="auto"/>
              </w:rPr>
            </w:pPr>
            <w:r>
              <w:rPr>
                <w:rFonts w:ascii="Arial" w:cs="Arial" w:eastAsia="Arial" w:hAnsi="Arial"/>
                <w:sz w:val="18"/>
                <w:szCs w:val="18"/>
                <w:color w:val="auto"/>
              </w:rPr>
              <w:t>The following tables provide selected operating statistics: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At March 31,</w:t>
            </w:r>
          </w:p>
        </w:tc>
        <w:tc>
          <w:tcPr>
            <w:tcW w:w="380" w:type="dxa"/>
            <w:vAlign w:val="bottom"/>
          </w:tcPr>
          <w:p>
            <w:pPr>
              <w:spacing w:after="0"/>
              <w:rPr>
                <w:sz w:val="24"/>
                <w:szCs w:val="24"/>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 in billions: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Performing loans (2)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239.4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real estate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97"/>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(1)</w:t>
            </w: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251.1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r>
      <w:tr>
        <w:trPr>
          <w:trHeight w:val="217"/>
        </w:trPr>
        <w:tc>
          <w:tcPr>
            <w:tcW w:w="6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Government-insured loans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28.1</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98.5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 portfolio (4)</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NRZ (5)</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r>
      <w:tr>
        <w:trPr>
          <w:trHeight w:val="229"/>
        </w:trPr>
        <w:tc>
          <w:tcPr>
            <w:tcW w:w="6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Number: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Performing loans (2)</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1,326,642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1,475,824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loans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55,905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49,199</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13,769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9,328</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1,396,316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1,534,351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6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Conventional loans (3)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593,213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664,937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193,670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183,757</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Non-Agency loans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609,433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685,657</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97"/>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1,396,316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1,534,351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portfolio</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Subservicing portfolio (4)</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 (5)</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66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8"/>
              </w:rPr>
              <w:t>Three Months Ended March 31,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Average UPB:</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portfolio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52.0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(68)</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 (5)</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128.3</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97"/>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253.6</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Prepayment speed (average CPR)</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Voluntary</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CPR due to principal modification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324"/>
        </w:trPr>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Average number:</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451,832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462,438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 portfolio</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148,794</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NRZ (5)</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874,778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937,414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1,400,110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1,548,646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7"/>
        </w:trPr>
        <w:tc>
          <w:tcPr>
            <w:tcW w:w="6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Residential Servicing and Subservicing Fees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servicing and subservicing fees: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55,080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52,515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6,207</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NRZ</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119,669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155,847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179,939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214,569</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14,598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15,338</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Custodial accounts (float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11,909</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Loan collection fees</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HAMP fees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1,777</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7,356</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210,827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255,211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Non-HAMP</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8,032</w:t>
            </w: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HAMP</w:t>
            </w:r>
          </w:p>
        </w:tc>
        <w:tc>
          <w:tcPr>
            <w:tcW w:w="3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8,325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n/m: not meaningful</w:t>
      </w:r>
    </w:p>
    <w:p>
      <w:pPr>
        <w:spacing w:after="0" w:line="95" w:lineRule="exact"/>
        <w:rPr>
          <w:sz w:val="20"/>
          <w:szCs w:val="20"/>
          <w:color w:val="auto"/>
        </w:rPr>
      </w:pPr>
    </w:p>
    <w:p>
      <w:pPr>
        <w:ind w:left="340" w:right="380" w:hanging="332"/>
        <w:spacing w:after="0" w:line="255"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35,170 and 33,242 reverse mortgage loans, recorded on our balance sheet and classified as loans held for investment, with a UPB of $6.4 billion and $5.7 billion at March 31, 2020 and 2019, respectively.</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40" w:right="20" w:hanging="332"/>
        <w:spacing w:after="0" w:line="24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Conventional loans include 107,352 and 107,954 prime loans with a UPB of $19.6 billion and $18.3 billion at March 31, 2020 and 2019, respectively, which we service or subservice. Prime loans are generally good credit quality loans that meet GSE underwriting standards.</w:t>
      </w:r>
    </w:p>
    <w:p>
      <w:pPr>
        <w:ind w:left="340" w:right="280" w:hanging="332"/>
        <w:spacing w:after="0" w:line="24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Decline in subservicing is due to the termination of a subservicing client relationship consisting of 33,626 loans with a UPB of $21.4 billion effective May 31, 2019 when the loans were released. For the three months ended March 31, 2019, total servicing fee revenue for this client was $1.0 million.</w:t>
      </w: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NRZ.</w:t>
      </w:r>
    </w:p>
    <w:p>
      <w:pPr>
        <w:sectPr>
          <w:pgSz w:w="11900" w:h="16838" w:orient="portrait"/>
          <w:cols w:equalWidth="0" w:num="1">
            <w:col w:w="11240"/>
          </w:cols>
          <w:pgMar w:left="320" w:top="715"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715" w:right="3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ind w:left="52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Foreclosures,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Foreclosures,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Principal and</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Taxes and</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bankruptcy, REO</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Principal and</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Taxes and</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bankruptcy, REO</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Insurance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and other</w:t>
            </w:r>
          </w:p>
        </w:tc>
        <w:tc>
          <w:tcPr>
            <w:tcW w:w="24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Insurance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and other</w:t>
            </w:r>
          </w:p>
        </w:tc>
        <w:tc>
          <w:tcPr>
            <w:tcW w:w="24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Advances by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investor type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Conventional</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Government-insured</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Non-Agency</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4"/>
          </w:tcPr>
          <w:p>
            <w:pPr>
              <w:ind w:left="640"/>
              <w:spacing w:after="0"/>
              <w:rPr>
                <w:sz w:val="20"/>
                <w:szCs w:val="20"/>
                <w:color w:val="auto"/>
              </w:rPr>
            </w:pPr>
            <w:r>
              <w:rPr>
                <w:rFonts w:ascii="Arial" w:cs="Arial" w:eastAsia="Arial" w:hAnsi="Arial"/>
                <w:sz w:val="18"/>
                <w:szCs w:val="18"/>
                <w:b w:val="1"/>
                <w:bCs w:val="1"/>
                <w:color w:val="auto"/>
              </w:rPr>
              <w:t>March 31, 2020</w:t>
            </w:r>
          </w:p>
        </w:tc>
        <w:tc>
          <w:tcPr>
            <w:tcW w:w="140" w:type="dxa"/>
            <w:vAlign w:val="bottom"/>
          </w:tcPr>
          <w:p>
            <w:pPr>
              <w:spacing w:after="0"/>
              <w:rPr>
                <w:sz w:val="20"/>
                <w:szCs w:val="20"/>
                <w:color w:val="auto"/>
              </w:rPr>
            </w:pPr>
          </w:p>
        </w:tc>
        <w:tc>
          <w:tcPr>
            <w:tcW w:w="25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Advances by MSR ownership</w:t>
            </w:r>
          </w:p>
        </w:tc>
        <w:tc>
          <w:tcPr>
            <w:tcW w:w="1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91"/>
              </w:rPr>
              <w:t>Advances ($</w:t>
            </w:r>
          </w:p>
        </w:tc>
        <w:tc>
          <w:tcPr>
            <w:tcW w:w="20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UPB</w:t>
            </w: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89"/>
              </w:rPr>
              <w:t>Advances ($</w:t>
            </w:r>
          </w:p>
        </w:tc>
        <w:tc>
          <w:tcPr>
            <w:tcW w:w="20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UPB</w:t>
            </w:r>
          </w:p>
        </w:tc>
        <w:tc>
          <w:tcPr>
            <w:tcW w:w="0" w:type="dxa"/>
            <w:vAlign w:val="bottom"/>
          </w:tcPr>
          <w:p>
            <w:pPr>
              <w:spacing w:after="0"/>
              <w:rPr>
                <w:sz w:val="1"/>
                <w:szCs w:val="1"/>
                <w:color w:val="auto"/>
              </w:rPr>
            </w:pPr>
          </w:p>
        </w:tc>
      </w:tr>
      <w:tr>
        <w:trPr>
          <w:trHeight w:val="230"/>
        </w:trPr>
        <w:tc>
          <w:tcPr>
            <w:tcW w:w="57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millions)</w:t>
            </w:r>
          </w:p>
        </w:tc>
        <w:tc>
          <w:tcPr>
            <w:tcW w:w="20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 billions) (3)</w:t>
            </w:r>
          </w:p>
        </w:tc>
        <w:tc>
          <w:tcPr>
            <w:tcW w:w="1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millions)</w:t>
            </w:r>
          </w:p>
        </w:tc>
        <w:tc>
          <w:tcPr>
            <w:tcW w:w="2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9"/>
              </w:rPr>
              <w:t>($ billions) (3)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Master Servicer (1)</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Subservicer</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NRZ (2)</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Excludes relationships where we are both master servicer and servicer (included in Servicer).</w:t>
      </w:r>
    </w:p>
    <w:p>
      <w:pPr>
        <w:spacing w:after="0" w:line="19"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w:t>
      </w:r>
    </w:p>
    <w:p>
      <w:pPr>
        <w:spacing w:after="0" w:line="2" w:lineRule="exact"/>
        <w:rPr>
          <w:rFonts w:ascii="Arial" w:cs="Arial" w:eastAsia="Arial" w:hAnsi="Arial"/>
          <w:sz w:val="16"/>
          <w:szCs w:val="16"/>
          <w:color w:val="auto"/>
        </w:rPr>
      </w:pPr>
    </w:p>
    <w:p>
      <w:pPr>
        <w:ind w:left="340" w:right="160" w:hanging="332"/>
        <w:spacing w:after="0" w:line="257"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Excludes reverse mortgage loans reported on our unaudited consolidated balance sheets and classified as loans held for investment. No separate MSRs are recognized in our unaudited consolidated balance sheets.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904" w:right="339" w:bottom="1440" w:gutter="0" w:footer="0" w:header="0"/>
        </w:sectPr>
      </w:pPr>
    </w:p>
    <w:bookmarkStart w:id="79" w:name="page80"/>
    <w:bookmarkEnd w:id="79"/>
    <w:tbl>
      <w:tblPr>
        <w:tblLayout w:type="fixed"/>
        <w:tblInd w:w="6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8"/>
              </w:rPr>
              <w:t>Three Months Ended March 31,</w:t>
            </w:r>
          </w:p>
        </w:tc>
        <w:tc>
          <w:tcPr>
            <w:tcW w:w="124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160"/>
              <w:spacing w:after="0"/>
              <w:rPr>
                <w:sz w:val="20"/>
                <w:szCs w:val="20"/>
                <w:color w:val="auto"/>
              </w:rPr>
            </w:pPr>
            <w:r>
              <w:rPr>
                <w:rFonts w:ascii="Arial" w:cs="Arial" w:eastAsia="Arial" w:hAnsi="Arial"/>
                <w:sz w:val="18"/>
                <w:szCs w:val="18"/>
                <w:color w:val="auto"/>
              </w:rPr>
              <w:t>Average balance of advances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1,035,669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1,147,164</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Advance match funded liabilities</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674,441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717,652</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secured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427,228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93,201</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358</w:t>
            </w:r>
          </w:p>
        </w:tc>
      </w:tr>
      <w:tr>
        <w:trPr>
          <w:trHeight w:val="243"/>
        </w:trPr>
        <w:tc>
          <w:tcPr>
            <w:tcW w:w="6560" w:type="dxa"/>
            <w:vAlign w:val="bottom"/>
          </w:tcPr>
          <w:p>
            <w:pPr>
              <w:ind w:left="160"/>
              <w:spacing w:after="0"/>
              <w:rPr>
                <w:sz w:val="20"/>
                <w:szCs w:val="20"/>
                <w:color w:val="auto"/>
              </w:rPr>
            </w:pPr>
            <w:r>
              <w:rPr>
                <w:rFonts w:ascii="Arial" w:cs="Arial" w:eastAsia="Arial" w:hAnsi="Arial"/>
                <w:sz w:val="18"/>
                <w:szCs w:val="18"/>
                <w:color w:val="auto"/>
              </w:rPr>
              <w:t>Interest expense on borrowings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match funded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7,652</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1,715</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229</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Effective average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Advance match funded liabilities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secured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7.36</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6560" w:type="dxa"/>
            <w:vAlign w:val="bottom"/>
          </w:tcPr>
          <w:p>
            <w:pPr>
              <w:ind w:left="160"/>
              <w:spacing w:after="0"/>
              <w:rPr>
                <w:sz w:val="20"/>
                <w:szCs w:val="20"/>
                <w:color w:val="auto"/>
              </w:rPr>
            </w:pPr>
            <w:r>
              <w:rPr>
                <w:rFonts w:ascii="Arial" w:cs="Arial" w:eastAsia="Arial" w:hAnsi="Arial"/>
                <w:sz w:val="18"/>
                <w:szCs w:val="18"/>
                <w:color w:val="auto"/>
              </w:rPr>
              <w:t>Facility costs included in interest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1,283</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71</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1ML</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r>
      <w:tr>
        <w:trPr>
          <w:trHeight w:val="324"/>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Employment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160"/>
              <w:spacing w:after="0"/>
              <w:rPr>
                <w:sz w:val="20"/>
                <w:szCs w:val="20"/>
                <w:color w:val="auto"/>
              </w:rPr>
            </w:pPr>
            <w:r>
              <w:rPr>
                <w:rFonts w:ascii="Arial" w:cs="Arial" w:eastAsia="Arial" w:hAnsi="Arial"/>
                <w:sz w:val="18"/>
                <w:szCs w:val="18"/>
                <w:color w:val="auto"/>
              </w:rPr>
              <w:t>India and other</w:t>
            </w:r>
          </w:p>
        </w:tc>
        <w:tc>
          <w:tcPr>
            <w:tcW w:w="3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3,675</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656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5,192</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Amount of UPB (</w:t>
            </w:r>
            <w:r>
              <w:rPr>
                <w:rFonts w:ascii="Arial" w:cs="Arial" w:eastAsia="Arial" w:hAnsi="Arial"/>
                <w:sz w:val="18"/>
                <w:szCs w:val="18"/>
                <w:b w:val="1"/>
                <w:bCs w:val="1"/>
                <w:i w:val="1"/>
                <w:iCs w:val="1"/>
                <w:color w:val="auto"/>
              </w:rPr>
              <w:t>in billions)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b w:val="1"/>
                <w:bCs w:val="1"/>
                <w:color w:val="auto"/>
              </w:rPr>
              <w:t>Count</w:t>
            </w:r>
          </w:p>
        </w:tc>
        <w:tc>
          <w:tcPr>
            <w:tcW w:w="11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1,419,943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1,562,238</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Additions (1) (2)</w:t>
            </w:r>
          </w:p>
        </w:tc>
        <w:tc>
          <w:tcPr>
            <w:tcW w:w="10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28,781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16,419</w:t>
            </w: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Servicing transfers (2)</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(3,092)</w:t>
            </w: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Runoff</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208.8</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251.1</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1,396,316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1,534,351</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180" w:hanging="332"/>
        <w:spacing w:after="0" w:line="251"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Additions in the first quarter of 2020 include purchased MSRs on portfolios consisting of 12,584 loans with a UPB of $2.4 million that have not yet transferred to the Black Knight MSP servicing system. These loans are scheduled to transfer onto Black Knight MSP in the second quarter of 2020. Because we have legal title to the MSRs, the UPB and count of the loans are included in our reported servicing portfolio. The seller continues to subservice the loans on an interim basis between the transaction closing date and the servicing transfer date.</w:t>
      </w:r>
    </w:p>
    <w:p>
      <w:pPr>
        <w:jc w:val="both"/>
        <w:ind w:left="340" w:right="60" w:hanging="332"/>
        <w:spacing w:after="0" w:line="251"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the volume UPB associated with short-term interim subservicing for some clients as a support to their originate-to-sell business, where loans are boarded and deboarded within the same quarter. To conform to the current period presentation, 2,011 short-term interim subservicing loans with a UPB of $716.8 million previously reported as additions and servicing transfers for the quarter ended March 31, 2019 are not reflected in the table above.</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key drivers of our servicing segment operating results for the three months ended March 31, 2020, as compared to the same period of 2019, are portfolio runoff and the effects of cost improvements achieved in aligning our servicing operations more appropriately to the size of our servicing portfolio. Until the Black Knight MSP conversion was completed in June 2019, we were maintaining the infrastructure and related costs of two servicing platforms, including certain corporate functions.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2019</w:t>
      </w:r>
    </w:p>
    <w:p>
      <w:pPr>
        <w:spacing w:after="0" w:line="11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Servicing and subservicing fee revenue declined by $44.9 million, or 18%, as compared to the first quarter of 2019 due to portfolio runoff and the termination of the PMC agreement by NRZ on February 20, 2020, offset in part by additional fees earned on MSRs acquired since March 31, 2019. The average UPB of our portfolio declined 18% as compared to the first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715" w:right="339" w:bottom="1440" w:gutter="0" w:footer="0" w:header="0"/>
        </w:sectPr>
      </w:pPr>
    </w:p>
    <w:bookmarkStart w:id="80" w:name="page81"/>
    <w:bookmarkEnd w:id="80"/>
    <w:p>
      <w:pPr>
        <w:spacing w:after="0" w:line="271" w:lineRule="auto"/>
        <w:rPr>
          <w:sz w:val="20"/>
          <w:szCs w:val="20"/>
          <w:color w:val="auto"/>
        </w:rPr>
      </w:pPr>
      <w:r>
        <w:rPr>
          <w:rFonts w:ascii="Arial" w:cs="Arial" w:eastAsia="Arial" w:hAnsi="Arial"/>
          <w:sz w:val="17"/>
          <w:szCs w:val="17"/>
          <w:color w:val="auto"/>
        </w:rPr>
        <w:t>quarter of 2019. The total number of loan modifications was essentially unchanged as compared to the first quarter of 2019. Float income declined by $5.8 million, or 49%, as compared to the first quarter of 2019 mainly due to the combined effect of lower custodial account balances and lower interest rates. Revenue recognized in connection with loan modifications, including servicing fees, late charges and HAMP fees, declined 8% to $10.6 million for the first quarter of 2020 as compared to $11.6 million in the first quarter of 2019. The termination of the PMC servicing agreement by NRZ both reduced the amount of servicing fee collected on behalf of NRZ that is reported as Servicing and subservicing fees and the amount of servicing fee remitted to NRZ that is reported as Pledged MSR liability expense, without any impact on the net servicing fee retained, that is reported as subservicing fee after February 20, 2020. Ocwen will not perform any subservicing of the loans subject to termination and will not earn any subservicing fee after loan deboarding, which is expected in the third and fourth quarter of 2020.</w:t>
      </w:r>
    </w:p>
    <w:p>
      <w:pPr>
        <w:spacing w:after="0" w:line="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reported a $174.4 million loss in MSR valuation adjustments, net in the first quarter of 2020. This decline in MSR fair value is driven by $53.0 million portfolio runoff, a $156.7 million loss due to the decline in interest rates and assumptions, partially offset by a $35.3 million favorable fair value gain from our MSR hedging strategy. The fair value loss reported in MSR valuation adjustments, net, increased $65.5 million, or 60%, as compared to the first quarter of 2019, primarily due to the interest rate impact, with a 117 basis-point decline in the 10-year swap rate in the first quarter of 2020, as compared to the 30 basis-point decline in the first quarter of 2019.</w:t>
      </w:r>
    </w:p>
    <w:p>
      <w:pPr>
        <w:spacing w:after="0" w:line="18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$174.4 million loss reported in MSR valuation adjustments, net is partially offset by a $56.9 million gain reported in our statement of operations relating to the pledged MSR liability. MSRs have been sold under different agreements that did not qualify for sale accounting treatment and, therefore are reported as MSR assets together with an associated liability for the MSR failed-sale secured borrowing at fair value. Because both pledged MSRs and the associated MSR liability are measured at fair value, changes in fair value offset each other, although they are separately presented in our statement of operations, as MSR valuation adjustments, net and Pledged MSR liability expense, respectively. The following table summarizes the fair value change impact on our statement of operations of our total MSRs and the MSRs liability associated with the NRZ failed-sale accounting treatment during the first quarter of 2020: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 and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Change in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Assumption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Runoff</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MSR Hedging</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 valuation adjustments, net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Pledged MSR liability expense - Fair value changes (2)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$0.3 million gain recognized in the Originations segment.</w:t>
      </w:r>
    </w:p>
    <w:p>
      <w:pPr>
        <w:spacing w:after="0" w:line="19" w:lineRule="exact"/>
        <w:rPr>
          <w:rFonts w:ascii="Arial" w:cs="Arial" w:eastAsia="Arial" w:hAnsi="Arial"/>
          <w:sz w:val="16"/>
          <w:szCs w:val="16"/>
          <w:color w:val="auto"/>
        </w:rPr>
      </w:pPr>
    </w:p>
    <w:p>
      <w:pPr>
        <w:ind w:left="340" w:right="460" w:hanging="332"/>
        <w:spacing w:after="0" w:line="257"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changes in fair value, including runoff and settlement, of the NRZ related MSR liability under the Original Rights to MSRs Agreements and PMC MSR Agreements. See Note 8 — Rights to MSRs for further information.</w:t>
      </w:r>
    </w:p>
    <w:p>
      <w:pPr>
        <w:spacing w:after="0" w:line="73" w:lineRule="exact"/>
        <w:rPr>
          <w:sz w:val="20"/>
          <w:szCs w:val="20"/>
          <w:color w:val="auto"/>
        </w:rPr>
      </w:pPr>
    </w:p>
    <w:p>
      <w:pPr>
        <w:ind w:right="460" w:firstLine="243"/>
        <w:spacing w:after="0" w:line="308" w:lineRule="auto"/>
        <w:rPr>
          <w:sz w:val="20"/>
          <w:szCs w:val="20"/>
          <w:color w:val="auto"/>
        </w:rPr>
      </w:pPr>
      <w:r>
        <w:rPr>
          <w:rFonts w:ascii="Arial" w:cs="Arial" w:eastAsia="Arial" w:hAnsi="Arial"/>
          <w:sz w:val="17"/>
          <w:szCs w:val="17"/>
          <w:color w:val="auto"/>
        </w:rPr>
        <w:t>As described in the table above, Ocwen’s MSR portfolio, net of the pledged MSR liability, incurred a fair value loss due to interest rates of $125.1 million in the first quarter of 2020, that was partially offset by a $35.3 million fair value gain due to our MSR hedging strategy.</w:t>
      </w:r>
    </w:p>
    <w:p>
      <w:pPr>
        <w:spacing w:after="0" w:line="146"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Operating expenses decreased $76.5 million, or 49%, as compared to the first quarter of 2019, mostly due to our integration and cost reduction initiatives that favorably and equally impacted our direct cost to service and our corporate overhead cost allocation, as discussed below.</w:t>
      </w:r>
    </w:p>
    <w:p>
      <w:pPr>
        <w:spacing w:after="0" w:line="12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Compensation and benefits expense declined $13.6 million, or 34%, as compared to the first quarter of 2019, due to our efforts to re-engineer our cost structure and align headcount in our servicing operations with the size of our servicing portfolio. Our average total servicing headcount decreased 27% compared to the first quarter of 2019. The decline in compensation and benefits is also due to the change in the composition of our headcount with relatively more offshore, and less U.S. resources. Offshore headcount, whose average compensation cost is relatively lower, increased from 71% to 80% of total headcount, compared to the first quarter of 2019.</w:t>
      </w:r>
    </w:p>
    <w:p>
      <w:pPr>
        <w:spacing w:after="0" w:line="1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Servicing and origination expense declined $10.0 million, or 40%, as compared to the first quarter of 2019, primarily due to a $2.5 million reduction in government-insured claim loss provisions on reinstated or modified loans in line with a decline in the volume of claims, a $2.5 million decrease in provisions for non-recoverable servicing advances and receivables and a general decline in other servicer-related expenses that was primarily driven by a 10% reduction in the average number of loans in our servicing portfolio. Government-insured claim loss provisions are generally offset by changes in the fair value of the corresponding MSRs, which are recorded in MSR valuation adjustments, net.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665" w:right="339" w:bottom="1440" w:gutter="0" w:footer="0" w:header="0"/>
        </w:sectPr>
      </w:pPr>
    </w:p>
    <w:bookmarkStart w:id="81" w:name="page82"/>
    <w:bookmarkEnd w:id="81"/>
    <w:p>
      <w:pPr>
        <w:ind w:firstLine="324"/>
        <w:spacing w:after="0" w:line="277" w:lineRule="auto"/>
        <w:rPr>
          <w:sz w:val="20"/>
          <w:szCs w:val="20"/>
          <w:color w:val="auto"/>
        </w:rPr>
      </w:pPr>
      <w:r>
        <w:rPr>
          <w:rFonts w:ascii="Arial" w:cs="Arial" w:eastAsia="Arial" w:hAnsi="Arial"/>
          <w:sz w:val="18"/>
          <w:szCs w:val="18"/>
          <w:color w:val="auto"/>
        </w:rPr>
        <w:t>Occupancy and equipment expense decreased $3.6 million, or 28%, as compared to the first quarter of 2019, largely because of the effect of the decline in the size of the servicing portfolio on various expenses, particularly mailing services.</w:t>
      </w:r>
    </w:p>
    <w:p>
      <w:pPr>
        <w:spacing w:after="0" w:line="170" w:lineRule="exact"/>
        <w:rPr>
          <w:sz w:val="20"/>
          <w:szCs w:val="20"/>
          <w:color w:val="auto"/>
        </w:rPr>
      </w:pPr>
    </w:p>
    <w:p>
      <w:pPr>
        <w:ind w:right="80" w:firstLine="243"/>
        <w:spacing w:after="0" w:line="263" w:lineRule="auto"/>
        <w:rPr>
          <w:sz w:val="20"/>
          <w:szCs w:val="20"/>
          <w:color w:val="auto"/>
        </w:rPr>
      </w:pPr>
      <w:r>
        <w:rPr>
          <w:rFonts w:ascii="Arial" w:cs="Arial" w:eastAsia="Arial" w:hAnsi="Arial"/>
          <w:sz w:val="18"/>
          <w:szCs w:val="18"/>
          <w:color w:val="auto"/>
        </w:rPr>
        <w:t>Professional services expense declined $6.4 million, or 56%, as compared to the first quarter of 2019, primarily due to a $5.6 million decline in legal fees largely due to declines in legal expenses relating to the PHH integration and litigation and a decline in fees incurred in connection with the conversion of NRZ’s Rights to MSRs to fully-owned MSRs.</w:t>
      </w:r>
    </w:p>
    <w:p>
      <w:pPr>
        <w:spacing w:after="0" w:line="18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Technology and communication expense declined $2.2 million, or 24%, as compared to the first quarter of 2019, primarily because we no longer license the REALServicing servicing system from Altisource following our transition to Black Knight MSP in June 2019.</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Corporate overhead allocations declined $39.8 million, as compared to the first quarter of 2019, primarily due to lower legal fees, technology expenses and compensation and benefits. Refer to the Corporate Items and Other segment discussion.</w:t>
      </w:r>
    </w:p>
    <w:p>
      <w:pPr>
        <w:spacing w:after="0" w:line="170"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Interest expense increased by $2.9 million, or 27%, as compared to the first quarter of 2019, primarily because of the new MSR financing facilities entered into during the third and fourth quarters of 2019, partially offset by a reduction in interest expense relating to servicing advances.</w:t>
      </w:r>
    </w:p>
    <w:p>
      <w:pPr>
        <w:spacing w:after="0" w:line="14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Pledged MSR liability expense decreased $37.3 million, as compared to first quarter of 2019, largely due to a $7.9 million higher 2017/18 lump sum amortization gain and $28.1 million lower net servicing fee remittance to NRZ. These changes were mostly due to a lower UPB serviced and the termination of the PMC servicing agreement by NRZ on February 20, 2020. Pledged MSR liability expense relates to the MSR sale agreements with NRZ that do not achieve sale accounting and are presented on a gross basis in our financial statements. The $6.6 million expense in the first quarter of 2020 primarily includes a $90.3 million net servicing fee remittance to NRZ partially offset by a $24.2 million amortization gain related to the lump-sum cash payments received from NRZ in connection with the 2017 Agreements and New RMSR Agreements in 2017 and 2018, and a $56.9 million fair value gain on the pledged MSR liability. See Note 8 — Rights to MSRs to the Unaudited Consolidated Financial Statements.</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6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2020 vs</w:t>
            </w:r>
          </w:p>
        </w:tc>
      </w:tr>
      <w:tr>
        <w:trPr>
          <w:trHeight w:val="234"/>
        </w:trPr>
        <w:tc>
          <w:tcPr>
            <w:tcW w:w="6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6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servicing fee remittance to NRZ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2017/2018 lump sum amortization (gain)</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6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fair value (gain) loss (b)</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Offset by corresponding amount recorded in Servicing and subservicing fee - See table below.</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Offset by corresponding amount recorded in MSR valuation adjustments, net - See table below.</w:t>
      </w:r>
    </w:p>
    <w:p>
      <w:pPr>
        <w:spacing w:after="0" w:line="20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table below reflects the condensed statement of operations together with the included amounts related to the NRZ pledged MSRs that offset each other (nil impact on net income/loss). Net servicing fee remittance and pledged MSR fair value changes are presented on a gross basis and are offset by corresponding amounts presented in other statement of operations line items. In addition, because we record both our pledged MSRs and the associated pledged MSR liability at fair value, the changes in fair value of the pledged MSR liability were offset by the changes in fair value of the MSRs pledged, presented in MSR valuation adjustments, net. Accordingly, only the $24.2 million lump sum amortization gain and the $2.6 million in “Other” affect our net earnings.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665"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NRZ Pledged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NRZ Pledged</w:t>
            </w:r>
          </w:p>
        </w:tc>
      </w:t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Statement of</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MSR-related</w:t>
            </w:r>
          </w:p>
        </w:tc>
        <w:tc>
          <w:tcPr>
            <w:tcW w:w="2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Statement of</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MSR-related</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Amounts (a)</w:t>
            </w:r>
          </w:p>
        </w:tc>
        <w:tc>
          <w:tcPr>
            <w:tcW w:w="20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Amounts (a)</w:t>
            </w: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MSR valuation adjustments,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included in the specific statement of operations line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originate and purchase conventional and government-insured forward mortgage loans through our forward lending operations. Our forward lending efforts are principally focused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In addition, we re-entered the forward lending correspondent channel in the second quarter of 2019 to drive higher servicing portfolio replenishment. On March 15, 2020, as part of Ocwen's legal entity restructuring, Liberty transferred substantially all of its assets, liabilities, contracts and employees to PMC. We continue to originate and service reverse mortgage loans under the brand name Liberty Reverse Mortgage.</w:t>
      </w:r>
    </w:p>
    <w:p>
      <w:pPr>
        <w:spacing w:after="0" w:line="1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 portion of our servicing portfolio is susceptible to refinance activity during periods of declining interest rates. Our lending activity partially mitigates this risk. Origination volume and related gains are a natural economic hedge, to a certain degree, to the impact of declining MSR values as interest rates decline.</w:t>
      </w:r>
    </w:p>
    <w:p>
      <w:pPr>
        <w:spacing w:after="0" w:line="18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Under the terms of our agreements with NRZ, to the extent we refinanced a loan underlying the MSRs subject to these agreements, we were obligated to transfer such recaptured MSR to NRZ under the terms of a separate subservicing agreement. Effective June 1, 2019, we no longer perform any portfolio recapture on behalf of NRZ.</w:t>
      </w:r>
    </w:p>
    <w:p>
      <w:pPr>
        <w:spacing w:after="0" w:line="7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originate and purchase reverse mortgages through our reverse lending operations under the guidelines of the HECM reverse mortgage insurance program of HUD. Loans originated under this program are generally guaranteed by the FHA, which provides investors with protection against risk of borrower default. In the second half of 2019, we started originating proprietary reverse mortgage loans that are not FHA-guarantee eligible and are sold servicing-released to third parties. We retain the servicing rights to reverse HECM loans securitized through the Ginnie Mae HMBS program. We have originated HECM loans under which the borrowers have additional borrowing capacity of $1.6 billion at March 31, 2020.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draws. For loans purchased or originated after December 31, 2018, we previously elected to fair value future draw commitments. We elected to recognize non-cancellable future draw commitments at fair value for loans purchased or originated before January 1, 2019 in conjunction with the adoption of the new credit loss accounting standard, and recognized a one-time adjustment of $47.0 million to stockholders’ equity on January 1, 2020. Accordingly, as of January 1, 2020, the non-cancellable future draw commitments related to all reverse loans are reported at fair value. See Note 1 - Organization, Business Environment and Basis of Presentation to the Unaudited Consolidated Financial Statements for additional information.</w:t>
      </w:r>
    </w:p>
    <w:p>
      <w:pPr>
        <w:spacing w:after="0" w:line="16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the three months ended March 31, 2020, our Lending business originated or purchased forward and reverse mortgage loans with a UPB of $710.2 million and $226.0 million, respectively. Loans are originated or acquired through three primary channels: correspondent lender relationships, broker relationships (wholesale) and directly with mortgage customers (recapture for forward loans and retail for reverse loans). Loan margins vary by channel, with correspondent typically being the lowest margin and retail the highest.</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After origination, we package and sell the loans in the secondary mortgage market, through GSE and Ginnie Mae securitizations on a servicing retained basis and through whole loan transactions on a servicing released basis. Origination revenues mostly include interest income earned for the period the loans are held by us, gain on sale revenue, which represents the difference between the origination value and the sale value of the loan including its MSR value, and fee income earned at</w:t>
      </w:r>
    </w:p>
    <w:p>
      <w:pPr>
        <w:sectPr>
          <w:pgSz w:w="11900" w:h="16838" w:orient="portrait"/>
          <w:cols w:equalWidth="0" w:num="1">
            <w:col w:w="11240"/>
          </w:cols>
          <w:pgMar w:left="320" w:top="823"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823" w:right="339" w:bottom="1440" w:gutter="0" w:footer="0" w:header="0"/>
          <w:type w:val="continuous"/>
        </w:sectPr>
      </w:pPr>
    </w:p>
    <w:bookmarkStart w:id="83" w:name="page84"/>
    <w:bookmarkEnd w:id="83"/>
    <w:p>
      <w:pPr>
        <w:ind w:right="340"/>
        <w:spacing w:after="0" w:line="277" w:lineRule="auto"/>
        <w:rPr>
          <w:sz w:val="20"/>
          <w:szCs w:val="20"/>
          <w:color w:val="auto"/>
        </w:rPr>
      </w:pPr>
      <w:r>
        <w:rPr>
          <w:rFonts w:ascii="Arial" w:cs="Arial" w:eastAsia="Arial" w:hAnsi="Arial"/>
          <w:sz w:val="18"/>
          <w:szCs w:val="18"/>
          <w:color w:val="auto"/>
        </w:rPr>
        <w:t>origination. As the securitizations of reverse mortgage loans do not achieve sale accounting treatment, reverse mortgage revenues include the fair value changes of the loan from lock date net of the fair value changes of the MBS-related borrowings.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provide customary origination representations and warranties to investors in connection with our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19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an HMBS issuer, we assume certain obligations related to each security issued. In addition to our obligation to fund tails,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real estate owned. State specific foreclosure and REO liquidation timelines have a significant impact on the timing and amount of our recovery. If we are unable to sell the property underlying an inactive reverse loan for an acceptable price within the timeframe established by HUD,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claims and liquidation processes. The significance of future losses associated with appraisal-based claims is dependent upon the volume of inactive loans, condition of foreclosed properties and the general real estate market.</w:t>
      </w:r>
    </w:p>
    <w:p>
      <w:pPr>
        <w:spacing w:after="0" w:line="16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are actively pursuing actions to manage the size of our servicing portfolio through growing our lending channels and MSR acquisitions, including MSR flow purchases, GSE Cash Window and bulk acquisitions, based on our capital availability that are prudent and well-executed with appropriate financial return targets. We closed MSR acquisitions with $2.9 billion UPB during the three months ended March 31, 2020.</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665" w:right="339" w:bottom="1440" w:gutter="0" w:footer="0" w:header="0"/>
        </w:sectPr>
      </w:pPr>
    </w:p>
    <w:bookmarkStart w:id="84" w:name="page85"/>
    <w:bookmarkEnd w:id="84"/>
    <w:p>
      <w:pPr>
        <w:ind w:right="20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our Originations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Periods ended March 31,</w:t>
            </w: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2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7,757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Reverse mortgage revenue, net</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32,123</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revenue, net</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37,647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41,091</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MSR valuation adjustments, net</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12,917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12,442</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and origination</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w:t>
            </w: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overhead allocations</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21,247</w:t>
            </w: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1,549</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2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2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2520" w:type="dxa"/>
            <w:vAlign w:val="bottom"/>
          </w:tcPr>
          <w:p>
            <w:pPr>
              <w:jc w:val="right"/>
              <w:ind w:right="830"/>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85" w:name="page86"/>
    <w:bookmarkEnd w:id="85"/>
    <w:p>
      <w:pPr>
        <w:ind w:left="340"/>
        <w:spacing w:after="0"/>
        <w:rPr>
          <w:sz w:val="20"/>
          <w:szCs w:val="20"/>
          <w:color w:val="auto"/>
        </w:rPr>
      </w:pPr>
      <w:r>
        <w:rPr>
          <w:rFonts w:ascii="Arial" w:cs="Arial" w:eastAsia="Arial" w:hAnsi="Arial"/>
          <w:sz w:val="18"/>
          <w:szCs w:val="18"/>
          <w:color w:val="auto"/>
        </w:rPr>
        <w:t>The following table provides selected operating statistics for our Originations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UPB in millions</w:t>
            </w: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December 31, 2019</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loan funding commitments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357,221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97,625</w:t>
            </w:r>
          </w:p>
        </w:tc>
        <w:tc>
          <w:tcPr>
            <w:tcW w:w="1180" w:type="dxa"/>
            <w:vAlign w:val="bottom"/>
          </w:tcPr>
          <w:p>
            <w:pPr>
              <w:jc w:val="right"/>
              <w:spacing w:after="0"/>
              <w:rPr>
                <w:sz w:val="20"/>
                <w:szCs w:val="20"/>
                <w:color w:val="auto"/>
              </w:rPr>
            </w:pPr>
            <w:r>
              <w:rPr>
                <w:rFonts w:ascii="Arial" w:cs="Arial" w:eastAsia="Arial" w:hAnsi="Arial"/>
                <w:sz w:val="18"/>
                <w:szCs w:val="18"/>
                <w:color w:val="auto"/>
              </w:rPr>
              <w:t>266 %</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204,021</w:t>
            </w:r>
          </w:p>
        </w:tc>
        <w:tc>
          <w:tcPr>
            <w:tcW w:w="106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7"/>
        </w:trPr>
        <w:tc>
          <w:tcPr>
            <w:tcW w:w="4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Reverse loans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20,145</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28,545</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29"/>
        </w:trPr>
        <w:tc>
          <w:tcPr>
            <w:tcW w:w="4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Value (1)</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64,076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47,038</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29"/>
        </w:trPr>
        <w:tc>
          <w:tcPr>
            <w:tcW w:w="4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draw commitment (UPB) (2)</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1,574.6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1,487.6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1,502.2</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r>
      <w:tr>
        <w:trPr>
          <w:trHeight w:val="27"/>
        </w:trPr>
        <w:tc>
          <w:tcPr>
            <w:tcW w:w="4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Periods ended March 31,</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UPB in millions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Loan Production by Channel</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loans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Correspondent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514.3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n/m</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Recapture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211.2</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654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710.2</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211.2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Borders>
              <w:bottom w:val="single" w:sz="8" w:color="CCEEFF"/>
            </w:tcBorders>
          </w:tcPr>
          <w:p>
            <w:pPr>
              <w:spacing w:after="0"/>
              <w:rPr>
                <w:sz w:val="24"/>
                <w:szCs w:val="24"/>
                <w:color w:val="auto"/>
              </w:rPr>
            </w:pPr>
          </w:p>
        </w:tc>
      </w:tr>
      <w:tr>
        <w:trPr>
          <w:trHeight w:val="216"/>
        </w:trPr>
        <w:tc>
          <w:tcPr>
            <w:tcW w:w="6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 HARP production</w:t>
            </w:r>
          </w:p>
        </w:tc>
        <w:tc>
          <w:tcPr>
            <w:tcW w:w="38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Purchase production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 Refinance production</w:t>
            </w: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Reverse loans (3)</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Correspondent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42.3</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654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141.3</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tcPr>
          <w:p>
            <w:pPr>
              <w:spacing w:after="0"/>
              <w:rPr>
                <w:sz w:val="24"/>
                <w:szCs w:val="24"/>
                <w:color w:val="auto"/>
              </w:rPr>
            </w:pPr>
          </w:p>
        </w:tc>
      </w:tr>
      <w:tr>
        <w:trPr>
          <w:trHeight w:val="217"/>
        </w:trPr>
        <w:tc>
          <w:tcPr>
            <w:tcW w:w="6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131</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4" w:lineRule="exact"/>
        <w:rPr>
          <w:sz w:val="20"/>
          <w:szCs w:val="20"/>
          <w:color w:val="auto"/>
        </w:rPr>
      </w:pPr>
    </w:p>
    <w:p>
      <w:pPr>
        <w:ind w:left="340" w:right="60" w:hanging="332"/>
        <w:spacing w:after="0" w:line="250"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Future Value represented the net present value of estimated future cash flows from customer draws of the reverse mortgage loans and projected performance assumptions based on historical experience and industry benchmarks discounted at 12% related to HECM loans originated prior to January 1, 2019. Prior to our adoption of the new credit loss accounting standard on January 1, 2020, we have recognized this Future Value over time as future draws were securitized or sold. Upon the adoption of the accounting standard and our irrevocable fair value election of tails, $47.0 million Future Value has been recognized through stockholders’ equity on January 1, 2020.</w:t>
      </w: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all future draw commitments.</w:t>
      </w:r>
    </w:p>
    <w:p>
      <w:pPr>
        <w:spacing w:after="0" w:line="5" w:lineRule="exact"/>
        <w:rPr>
          <w:rFonts w:ascii="Arial" w:cs="Arial" w:eastAsia="Arial" w:hAnsi="Arial"/>
          <w:sz w:val="16"/>
          <w:szCs w:val="16"/>
          <w:color w:val="auto"/>
        </w:rPr>
      </w:pPr>
    </w:p>
    <w:p>
      <w:pPr>
        <w:ind w:left="340" w:right="160" w:hanging="332"/>
        <w:spacing w:after="0" w:line="257"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New loan production excludes reverse mortgage loan draws by borrowers disbursed subsequent to origination of $78.6 million and $72.8 million for the three months ended March 31, 2020 and 2019, respectively.</w:t>
      </w:r>
    </w:p>
    <w:p>
      <w:pPr>
        <w:spacing w:after="0" w:line="73"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Our Originations segment results for the first quarter of 2020, as compared to the first quarter of 2019, were primarily driven by current market conditions due to the COVID-19 pandemic, our re-entry into the forward lending correspondent channel in the second quarter of 2019 and an increase in our reverse lending production. The decline in the retail production of forward mortgage loans was mostly driven by the end of the recapture program on behalf of NRZ effective June 1, 2019 and the impact of the closure in 2019 of a U.S. facility with origination personnel.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66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Three Months Ended March 31, 2020 versus 2019</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Total revenue decreased $3.4 million, or 8%, as compared to the first quarter of 2019, primarily due to a $9.3 million decline in Reverse mortgage revenue, net, partially offset by a $4.7 million increase in our gain on loans held for sale, net.</w:t>
      </w:r>
    </w:p>
    <w:p>
      <w:pPr>
        <w:spacing w:after="0" w:line="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$9.3 million decrease in Reverse mortgage revenue, net in the first quarter of 2020 as compared to the first quarter of 2019 is primarily due to the COVID-19 market conditions adversely impacting the portfolio fair value as of March 31, 2020. Lower interest rates generally result in favorable net fair value impacts on our HECM reverse mortgage loans and the related HMBS-related borrowings. However, in March 2020, a significant margin compression due to the COVID-19 market conditions more than offset the favorable impact of lower interest rates. The net fair value decline due to pricing conditions also more than offset the favorable impact of our volume growth. We increased our reverse lending volume by $84.7 million, or 60%, as compared to the first quarter of 2019, and generated $2.3 million higher cash realized gain on securitization. We continued to execute on our growth strategy and increased volumes in all channels, including purchases with former customers and increased wallet share with existing customers. Our volume growth exceeds the increase in industry endorsements for the comparable period. According to the HUD HECM Endorsement Summary Report, industry endorsements, or the number of new HECM loans insured by the FHA, increased from 8,224 to 10,218, or 24%, when comparing the three months ended March 31, 2020 and 2019.</w:t>
      </w:r>
    </w:p>
    <w:p>
      <w:pPr>
        <w:spacing w:after="0" w:line="7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Gain on loans held for sale, net increased $4.7 million, or 61%, as compared to the first quarter of 2019, mostly due to the $499.0 million, or 236% increase in total forward loan production, partially offset by a lower average gain on sale margin. The volume increase is predominantly due to the $514.3 million production of the first quarter of 2020 from our correspondent channel that we re-started in the second quarter of 2019. Our pipeline, or lock commitments, significantly increased in the first quarter of 2020 mostly due to refinance opportunities in the market driven by the mortgage rate decrease. The volume increase resulted in a $6.6 million capitalization of originated MSRs (retained on transfers of forward mortgage loans) in the first quarter of 2020 as compared to a $0.8 million capitalization in the first quarter of 2019, despite a decline in the MSR capitalization prices in these periods. The lower average gain on sale margin is mainly due to the increased relative weight of our lower-margin correspondent production.</w:t>
      </w:r>
    </w:p>
    <w:p>
      <w:pPr>
        <w:spacing w:after="0" w:line="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Operating expenses increased $5.7 million, or 27%, as compared to the first quarter of 2019, primarily due to a $2.7 million increase in corporate overhead allocations and increases in our direct expenses. Certain expenses are variable, and as a result, as origination volume increased so did the related expenses. Examples include commissions, recorded in Compensation and benefits expense, and advertising expense, recorded in Other expenses. Total average headcount decreased 18% as compared to the first quarter of 2019, reflecting reductions in staffing levels as part of our PHH integration and cost re-engineering initiative. Compensation expense as compared to the first quarter of 2019 increased by $0.5 million, or 4%, due to higher commissions on higher origination volume and due to an increase in average higher-cost U.S. headcount to 82% of the total from 79% for the three months ended March 31, 2019. The $2.7 million increase in corporate overhead allocations is mostly attributed to the increase in our origination volume and the increase of the relative weight of our average headcount to the consolidated organization, despite a net reduction in our headcount, as compared to the first quarter of 2019. The increase in corporate overhead allocations due to the allocation drivers is partially offset by the effects of our cost re-engineering plan.</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increases in interest income and interest expense as compared to the first quarter of 2019 is primarily the result of the increase in loan production.</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Corporate Items and Other includes revenues and expenses of corporate support services, our reinsurance business CRL, discontinued operations and inactive entities, and our other business activities that are currently individually insignificant, revenues and expenses that are not directly related to other reportable segments, interest income on short-term investments of cash, gain on repurchases of debt, interest expense on corporate debt and foreign currency exchange gains or losses. Interest expense on direct asset-backed financings are recorded in the respective Servicing and Originations segments, while interest expense on the SSTL and the Senior Notes is recorded in Corporate Items and Other and is not allocated. Our cash balances are included in Corporate Items and Other.</w:t>
      </w:r>
    </w:p>
    <w:p>
      <w:pPr>
        <w:spacing w:after="0" w:line="8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As part of our need to return to sustainable profitability as soon as possible, we seek to reduce our corporate support services expenses while complying with our legal and regulatory obligations. We anticipate that our ability to return to sustainable profitability will be significantly impacted by the degree to which we can reduce these costs going forward.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665" w:right="339" w:bottom="1440" w:gutter="0" w:footer="0" w:header="0"/>
        </w:sectPr>
      </w:pPr>
    </w:p>
    <w:bookmarkStart w:id="87" w:name="page88"/>
    <w:bookmarkEnd w:id="87"/>
    <w:p>
      <w:pPr>
        <w:ind w:right="300"/>
        <w:spacing w:after="0" w:line="277" w:lineRule="auto"/>
        <w:rPr>
          <w:sz w:val="20"/>
          <w:szCs w:val="20"/>
          <w:color w:val="auto"/>
        </w:rPr>
      </w:pPr>
      <w:r>
        <w:rPr>
          <w:rFonts w:ascii="Arial" w:cs="Arial" w:eastAsia="Arial" w:hAnsi="Arial"/>
          <w:sz w:val="18"/>
          <w:szCs w:val="18"/>
          <w:color w:val="auto"/>
        </w:rPr>
        <w:t>Corporate Items and Other also includes severance, retention, facility-related and other expenses incurred in 2019 related to our re-engineering plan and have not been allocated to other segments.</w:t>
      </w:r>
    </w:p>
    <w:p>
      <w:pPr>
        <w:spacing w:after="0" w:line="17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CRL, our wholly-owned captive reinsurance subsidiary, provides re-insurance related to coverage on REO properties owned or serviced by us. CRL assumes a quota share of REO insurance coverage written by a third-party insurer under a blanket policy issued to PMC (formerly OLS). The underlying REO policy provides coverage for direct physical loss on commercial and residential properties, subject to certain limitations. Under the terms of the reinsurance agreement, CRL assumes a 40% share of all related losses and loss adjustment expenses incurred by the third-party insurer. The reinsurance agreement excludes properties located in the State of New York and has an expiration date of December 31, 2020, although it may be terminated by either party at any time with thirty days’ advance written notice.</w:t>
      </w:r>
    </w:p>
    <w:p>
      <w:pPr>
        <w:spacing w:after="0" w:line="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Certain expenses incurred by corporate support services that are not directly attributable to a segment are allocated to the Servicing and Originations segments. Beginning in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2019,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plan, and other costs related to operating as a public company.</w:t>
      </w:r>
    </w:p>
    <w:p>
      <w:pPr>
        <w:spacing w:after="0" w:line="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Periods ended March 31,</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Premiums (CRL)</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3,523</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41,851</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19,452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(8,327)</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14,254</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and origination</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Total operating expenses before corporate overhead allocations</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segment</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(57,594)</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Originations segment</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(1,684)</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2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1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1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80" w:type="dxa"/>
            <w:vAlign w:val="bottom"/>
          </w:tcPr>
          <w:p>
            <w:pPr>
              <w:spacing w:after="0"/>
              <w:rPr>
                <w:sz w:val="24"/>
                <w:szCs w:val="24"/>
                <w:color w:val="auto"/>
              </w:rPr>
            </w:pPr>
          </w:p>
        </w:tc>
        <w:tc>
          <w:tcPr>
            <w:tcW w:w="1460" w:type="dxa"/>
            <w:vAlign w:val="bottom"/>
          </w:tcPr>
          <w:p>
            <w:pPr>
              <w:jc w:val="right"/>
              <w:ind w:right="83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Three Months Ended March 31, 2020 versus 2019</w:t>
      </w:r>
    </w:p>
    <w:p>
      <w:pPr>
        <w:spacing w:after="0" w:line="11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CRL premium revenue declined $0.8 million, or 23%, as compared to the first quarter of 2019, primarily due to a 25% decline in the number of covered REO properties in our servicing portfolio.</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Total operating expenses before corporate overhead allocations decreased $0.2 million as compared to the first quarter of 2019 and the decrease is the result of multiple, offsetting variances, as discussed below.</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Compensation and benefits expense declined $20.8 million, or 50%, as compared to the first quarter of 2019, primarily due to $19.2 million severance and retention expenses recognized in the first quarter of 2019 in connection with our PHH integration and cost re-engineering plan. In addition, the expense declined in the first quarter of 2020 compared to the first quarter of 2019 due to a decline in average corporate headcount of 14%.</w:t>
      </w:r>
    </w:p>
    <w:p>
      <w:pPr>
        <w:spacing w:after="0" w:line="14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Professional services expense increased $27.8 million, or 334%, as compared to the first quarter of 2019, primarily due to the $30.7 million recovery in 2019 of amounts previously recognized as expense from a service provider offset in part by a $1.0 million decline in legal fees. The decline in legal fees is largely due to a $5.4 million decline in legal expenses relating to the PHH integration, legal entity reorganization and litigation, partially offset by a $4.4 million increase to our accrual related to the CFPB and Florida matters in the first quarter of 2020.</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Technology and communications expense decreased $7.0 million, or 49%, as compared to the first quarter of 2019 primarily due to a $2.3 million decrease in depreciation expense that is largely the result of a decline in capitalized technology investments and the closure of U.S. facilities in 2019, as well as the effects of a decline in average headcount and our other cost reduction efforts which included bringing technology services in-house, and synergy benefits resulting from our PHH integration efforts.</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Other, net increased $1.6 million, or 214%, as compared to the first quarter of 2019, primarily due to a $1.0 million increase in foreign currency losses related to our operations in India.</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Total expenses, after corporate overhead allocation, increased by $36.9 million, or 518%, as compared to the first quarter of 2019, primarily due to the $30.7 million recovery in 2019 of amounts previously recognized as expense from a service provider, which was not allocated, and the $4.4 million increase to our accrual related to the CFPB and Florida matters in the first quarter of 2020.</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At March 31, 2020, our unrestricted cash position was $263.6 million compared to $428.3 million at December 31, 2019, comprised of $302.2 million available cash and $126.1 million available cash we internally earmarked for the repayment of our SSTL. On January 27, 2020, we prepaid $126.1 million of the outstanding SSTL balance and executed certain amendments to the SSTL agreement to extend the maturity date to May 15, 2022, reduce the contractual quarterly principal payment from $6.4 million to $5.0 million and modify the interest rate. See Note 11 – Borrowings for additional information.</w:t>
      </w:r>
    </w:p>
    <w:p>
      <w:pPr>
        <w:spacing w:after="0" w:line="8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At March 31, 2020, we had maximum borrowing capacity under our advance facilities of $730.0 million. The available borrowing capacity under our advance financing facilities increased by $53.2 million from $50.9 million at December 31, 2019 to $104.0 million at March 31, 2020. The $53.2 million decline in outstanding borrowings drove the increase in available capacity. At March 31, 2020, we had fully funded the amounts that could be funded under the available borrowing capacity based on the amount of eligible collateral that had been pledged to our advance financing facilities.</w:t>
      </w:r>
    </w:p>
    <w:p>
      <w:pPr>
        <w:spacing w:after="0" w:line="6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At March 31, 2020, we had maximum borrowing capacity under our mortgage warehouse facilities and MSR financing facilities of $1.5 billion. Of the borrowing capacity extended on a committed basis, $341.9 million was available at March 31, 2020, with $156.2 million under our mortgage warehouse funding facilities and $185.7 million under our MSR financing facilities, which, in each case, we may utilize to the extent we have sufficient eligible collateral to borrow against and otherwise satisfy the applicable conditions to funding. At March 31, 2020, no additional amounts could be borrowed under the available borrowing capacity based on the amount of eligible collateral that could be pledged. Uncommitted amounts ($669.6 million available at March 31, 2020) can be advanced solely at the discretion of the lender, and there can be no assurance that any uncommitted amounts will be available to us at any particular time. At March 31, 2020, none could be borrowed under the uncommitted borrowing capacity based on the amount of eligible collateral that could be pledged, assuming our lenders were willing to do so.</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typically invest cash in excess of our immediate operating needs in deposit accounts and other liquid assets. A portion of our cash balances are held in our non-U.S. subsidiaries. Should we wish to utilize this cash in the U.S. we would have to repatriate the cash held by our non-U.S. subsidiaries, in compliance with applicable laws and, potentially with tax consequences.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665" w:right="339" w:bottom="1440" w:gutter="0" w:footer="0" w:header="0"/>
        </w:sectPr>
      </w:pPr>
    </w:p>
    <w:bookmarkStart w:id="89" w:name="page90"/>
    <w:bookmarkEnd w:id="89"/>
    <w:p>
      <w:pPr>
        <w:ind w:right="5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flows over various time horizons as a way to anticipate and mitigate liquidity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assessing our liquidity outlook, our primary focus is on available cash on hand, unused available funding and the following six forecast measures:</w:t>
      </w:r>
    </w:p>
    <w:p>
      <w:pPr>
        <w:spacing w:after="0" w:line="24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Financial projections for ongoing net income, excluding the impact of non-cash items, and working capital needs including loan repurchases;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Requirements for amortizing and maturing liabilities compared to sources of cash;</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projected change in advances compared to the projected borrowing capacity to fund such advances under our facilities, including capacity for monthly peak needs;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Projected funding requirements for acquisitions of MSRs and other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payments or recoveries related to legal and regulatory matters, insurance, taxes and MSR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Funding capacity for whole loans and tail draws under our reverse mortgage commitments subject to warehouse eligibility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Outlook</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COVID-19 environment created unprecedented changes in the economy, volatility in the capital markets, and uncertainties in the mortgage industry. In this context, forecasting our liquidity and financial condition is particularly challenging.</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Three critical factors have the most effect on our liquidity management in the current COVID-19 environment: our decrease in revenue collections over the next twelve months, our increased advancing requirements as servicer during each investor remittance period over the next twelve months, and the uncertainties of daily margin calls on our collateralized debt facilities and derivative instruments. In addition, the uncertainties associated with COVID-19 may impact our ability to access new or increase financing facilities.</w:t>
      </w:r>
    </w:p>
    <w:p>
      <w:pPr>
        <w:spacing w:after="0" w:line="18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First, the higher delinquencies, the surge in loans under forbearance plans, and the moratorium on evictions and foreclosure will reduce our cash inflows as we will not collect, or collect less servicing fees or ancillary income, such as late fees, during the forbearance period from borrowers facing financial hardship. In accordance with agency and regulatory requirements, we are offering all eligible borrowers affected by COVID-19, regardless of whether they are explicitly covered by the CARES Act, 90-day forbearance plans, which suspends their obligation to pay monthly installments during the term of the forbearance plan. We also anticipate either extending forbearance or reviewing borrowers for other loss mitigation options, such as repayment plans, payments deferrals, or modifications if their financial hardship persists.</w:t>
      </w:r>
    </w:p>
    <w:p>
      <w:pPr>
        <w:spacing w:after="0" w:line="17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Second, as servicer, we are required to advance to investors the loan P&amp;I installments not collected from borrowers for those delinquent loans, including those on forbearance. In the normal course of business as servicer or master servicer, we are required to advance P&amp;I on behalf of the borrower to the investor of the loan, if delinquent or under a forbearance plan. We also advance T&amp;I and Corporate advances on properties that are in default or have been foreclosed. Our obligations to make these advances are governed by servicing agreements or guides, depending on investors or guarantor:</w:t>
      </w:r>
    </w:p>
    <w:p>
      <w:pPr>
        <w:spacing w:after="0" w:line="157" w:lineRule="exact"/>
        <w:rPr>
          <w:sz w:val="20"/>
          <w:szCs w:val="20"/>
          <w:color w:val="auto"/>
        </w:rPr>
      </w:pPr>
    </w:p>
    <w:p>
      <w:pPr>
        <w:ind w:left="660" w:right="40" w:hanging="328"/>
        <w:spacing w:after="0" w:line="286"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PLS loans, generally, we may stop advancing for P&amp;I if the P&amp;I advance to be made is deemed non-recoverable from the net proceeds of the property, although we are generally obligated to continue T&amp;I and Corporate advances until the loan is brought current or until completion of a foreclosure, in which case, we generally recover our advances from the net proceeds of the property or the pool level proceeds, i.e., generally after liquidation or resolution. We also expect delays in our recoveries due to the moratorium on eviction and foreclosures.</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Ginnie Mae loans, we are required to make advances for the life of the loan without regard to whether we will be able to recover those payments from liquidation proceeds, insurance proceeds, or late payments. We may stop advancing P&amp;I by purchasing loans out of the pool when they are more than 90 days delinquent.</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GSE loans, we are required to advance P&amp;I until the borrower is 120 days delinquent, and can submit reimbursement claims for certain T&amp;I and Corporate advances after incurring the expense. T&amp;I and Corporate advancing on GSE loans continues until the loan is resolved or the property is sold. On April 21, 2020, the FHFA announced that the 120-day P&amp;I servicer advance obligation limit also applies to loans in forbearance.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subservicer, we are required to make T&amp;I and Corporate advances on behalf of servicers following the servicing agreements or guides. We are also required to make P&amp;I advances under the terms of certain subservicing agreements. Servicers are generally required to reimburse us within 30 days of our advancing under the terms of the subservicing agreements.</w:t>
      </w:r>
    </w:p>
    <w:p>
      <w:pPr>
        <w:spacing w:after="0" w:line="1" w:lineRule="exact"/>
        <w:rPr>
          <w:rFonts w:ascii="Arial" w:cs="Arial" w:eastAsia="Arial" w:hAnsi="Arial"/>
          <w:sz w:val="18"/>
          <w:szCs w:val="18"/>
          <w:color w:val="auto"/>
        </w:rPr>
      </w:pPr>
    </w:p>
    <w:p>
      <w:pPr>
        <w:ind w:left="660" w:right="60" w:hanging="328"/>
        <w:spacing w:after="0" w:line="25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NRZ is obligated to fund new servicing advances with respect to the MSRs underlying the Rights to MSRs (RMSR), pursuant to the 2017 Agreements and New RMSR Agreements. 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665" w:right="339" w:bottom="1440" w:gutter="0" w:footer="0" w:header="0"/>
        </w:sectPr>
      </w:pPr>
    </w:p>
    <w:bookmarkStart w:id="90" w:name="page91"/>
    <w:bookmarkEnd w:id="90"/>
    <w:p>
      <w:pPr>
        <w:ind w:left="660" w:right="100"/>
        <w:spacing w:after="0" w:line="273" w:lineRule="auto"/>
        <w:rPr>
          <w:sz w:val="20"/>
          <w:szCs w:val="20"/>
          <w:color w:val="auto"/>
        </w:rPr>
      </w:pPr>
      <w:r>
        <w:rPr>
          <w:rFonts w:ascii="Arial" w:cs="Arial" w:eastAsia="Arial" w:hAnsi="Arial"/>
          <w:sz w:val="17"/>
          <w:szCs w:val="17"/>
          <w:color w:val="auto"/>
        </w:rPr>
        <w:t>servicing advances that they are contractually obligated to purchase pursuant to our agreements with them. As part of our risk management practices, we closely monitor the counterparty exposure arising from the funding obligations of our servicer clients, including NRZ, to ensure timely advance remittance in accordance with contractual requirements. If NRZ were unable to meet its advance financing obligations, we would remain obligated to meet any future advance financing obligations with respect to the loans underlying these Rights to MSRs for which legal title has not transferred, which could materially and adversely affect our liquidity, financial condition and servicing operations. Refer to Note 20 — Commitments , Servicer Advance Obligations for additional information.</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serviced $202.3 billion in UPB of forward residential mortgages, as of March 31, 2020. Under our agreements with NRZ, currently, NRZ reimburses Ocwen daily for PLS and GSE servicing advances on $113.9 billion in UPB as of March 31, 2020. Other subservicing clients have the responsibility to reimburse Ocwen for advances within one week to 30 days after advances have been made on $17.7 billion in UPB as of March 31, 2020. Ocwen has sole advancing responsibility for loans with a $70.7 billion UPB, which is 39% PLS, 24% Freddie Mac, 19% Ginnie Mae and 18% Fannie Mae as of March 31, 2020.</w:t>
      </w:r>
    </w:p>
    <w:p>
      <w:pPr>
        <w:spacing w:after="0" w:line="8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Third, we are generally subject to daily margining requirements under the terms of our MSR financing facilities and daily cash calls for our TBAs and interest rate swap futures. Declines in fair value of our MSRs due to declines in market interest rates, assumption updates or other factors require that we provide additional collateral to our lenders under MSR financing facilities. We have reduced the overall exposure with our MSR macro-hedge strategy, however, the hedge strategy only provides partial coverage estimated at 43% at March 31, 2020. That is, the changes in fair value of our MSRs due to interest rates are partially offset by the changes in fair value of our derivative instruments and natural hedges (e.g., pipeline). Declines in fair value of our derivative instruments require that we provide additional collateral to the clearing counterparties. While our hedge strategy is intended to be cash neutral, the volatility in the current market environment may subject to large cash outflows that may not be predicted.</w:t>
      </w:r>
    </w:p>
    <w:p>
      <w:pPr>
        <w:spacing w:after="0" w:line="166"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We are evaluating the potential impact of COVID-19 under various scenarios. For example, we are evaluating the potential impact of COVID-19 related borrower job losses and reductions in income, as well as other related impacts as we assess the timing and magnitude of potential increases in servicer advance levels and servicing costs based on increased borrower delinquency levels, among other factors that could affect our liquidity and financial condition assessments. We monitor the level of delinquencies, forbearance plans, their expected resolution, and the inventory of foreclosures on hold, on a daily basis. We frequently update the forecast of our advance funding requirements over the next few months based on the most recent loan portfolio delinquency and forbearance information and most recent agency or regulatory guidance affecting borrower payments and our advancing obligations. We have updated our revenue forecast and our overall plan to project our ability to meet our obligations and support our going concern assessment as of the date of issuing our financial statements for the three-month period ended March 31, 2020.</w:t>
      </w:r>
    </w:p>
    <w:p>
      <w:pPr>
        <w:spacing w:after="0" w:line="165"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We are communicating proactively with Fannie Mae, Freddie Mac, Ginnie Mae, and our lenders, including with respect to the potential impact of borrower assistance programs on our business. We are working with mortgage industry trade associations who are working with government officials to inform them of the impact of borrower relief programs on the funding and liquidity needs of the housing finance industry (and in particular, non-bank servicers such as Ocwen) and to assist them in designing appropriate solutions to navigate the challenges of the current environment.</w:t>
      </w:r>
    </w:p>
    <w:p>
      <w:pPr>
        <w:spacing w:after="0" w:line="4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focused on ensuring that we have sufficient liquidity sources to operate through the pandemic as well as after. As such, we are currently working with our lenders to amend and extend our debt facilities. We have an agreement in place to upsize and extend through June 2021 our OMART and OFAF advance financing facilities. The OMART VFN capacity will increase from $200.0 million to $500.0 million to accommodate forecasted advancing requirements and the amortization of $185.0 million in term notes in August 2020. The OFAF facility will increase to a total capacity of $70.0 million. In addition, we have executed an agreement to extend our MSR repurchase agreement and warehouse facilities with Barclays. We are evaluating the appropriateness and ability of adding GNMA advances to existing lines or pursuing a government provided alternative in the event other financing alternatives are not available at commercially reasonable terms.</w:t>
      </w:r>
    </w:p>
    <w:p>
      <w:pPr>
        <w:spacing w:after="0" w:line="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Regarding the current maturities of our borrowings, as of March 31, 2020, we have approximately $789.0 million of debt outstanding that would either come due, begin amortizing or require partial repayment in the next 12 months. This amount is comprised of $20.0 million in contractual repayments of our SSTL, $289.1 million of borrowings under forward and reverse mortgage warehouse facilities, $341.0 million of variable funding and term notes under advance financing facilities that will enter their respective amortization periods, $114.3 million outstanding under our Agency MSR financing facility which will terminate in June 2020 unless renewed or extended and $24.6 million of scheduled principal amortization on the PLS Notes secured by PLS MSRs.</w:t>
      </w:r>
    </w:p>
    <w:p>
      <w:pPr>
        <w:spacing w:after="0" w:line="19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are actively engaged with our lenders and as a result, have successfully completed the following with respect to our current and anticipated financing needs:</w:t>
      </w:r>
    </w:p>
    <w:p>
      <w:pPr>
        <w:spacing w:after="0" w:line="62" w:lineRule="exact"/>
        <w:rPr>
          <w:sz w:val="20"/>
          <w:szCs w:val="20"/>
          <w:color w:val="auto"/>
        </w:rPr>
      </w:pPr>
    </w:p>
    <w:p>
      <w:pPr>
        <w:ind w:left="660" w:right="4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January 22, 2020, we did not renew and let terminate a $50.0 million uncommitted warehouse facility used to fund reverse mortgage loan draws.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557" w:right="359" w:bottom="1440" w:gutter="0" w:footer="0" w:header="0"/>
        </w:sectPr>
      </w:pPr>
    </w:p>
    <w:bookmarkStart w:id="91" w:name="page92"/>
    <w:bookmarkEnd w:id="91"/>
    <w:p>
      <w:pPr>
        <w:ind w:left="660" w:right="180" w:hanging="328"/>
        <w:spacing w:after="0" w:line="255"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January 27, 2020, we executed an amendment to the SSTL agreement which reduced the maximum borrowing capacity to $200.0 million, extended the maturity date to May 15, 2022, reduced the contractual quarterly principal payment from $6.4 million to $5.0 million and modified the interest rate.</w:t>
      </w:r>
    </w:p>
    <w:p>
      <w:pPr>
        <w:spacing w:after="0" w:line="2" w:lineRule="exact"/>
        <w:rPr>
          <w:rFonts w:ascii="Arial" w:cs="Arial" w:eastAsia="Arial" w:hAnsi="Arial"/>
          <w:sz w:val="18"/>
          <w:szCs w:val="18"/>
          <w:color w:val="auto"/>
        </w:rPr>
      </w:pPr>
    </w:p>
    <w:p>
      <w:pPr>
        <w:ind w:left="660" w:right="40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March 12, 2020, we entered into a mortgage loan warehouse agreement to fund reverse mortgage loan draws by borrowers subsequent to origination. Under this agreement, the lender provides financing for up to $100.0 million to PMC on an uncommitted basis. Concurrently, we reduced the maximum borrowing capacity of another reverse mortgage loan warehouse agreement from $100.0 million to $1.0 million in connection with Liberty’s transfer of substantially all of its assets, liabilities, contracts and employees to PMC effective March 15, 2020.</w:t>
      </w:r>
    </w:p>
    <w:p>
      <w:pPr>
        <w:spacing w:after="0" w:line="2"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March 26, 2020, we renewed mortgage loan warehouse agreement with a maximum borrowing capacity of $300.0 million through May 3, 2020, and subsequently extended for an additional 30 days to June 3, 2020 for $150.0 million.</w:t>
      </w:r>
    </w:p>
    <w:p>
      <w:pPr>
        <w:spacing w:after="0" w:line="77"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have considered the impact of financial projections on our liquidity analysis and have evaluated the appropriateness of the key assumptions in our forecast such as revenues, expenses, our assessment of the likely impact of open regulatory and litigation matters, recurring and nonrecurring costs, levels of investment and availability of funding sources. As part of this analysis, we have also assessed the cash requirements to operate our business and service our financial obligations coming due. We have assessed the range of potential impacts of the COVID-19 pandemic on our financial projections and projected liquidity under different scenarios. We have an agreement in place to upsize and extend through June 2021 our OMART and OFAF advance financing facilities. The OMART VFN capacity will increase from $200.0 million to $500.0 million to accommodate forecasted advancing requirements and the amortization of $185.0 million in term notes in August 2020. The OFAF facility will increase to a total capacity of $70.0 million. In addition, we have executed an agreement to extend our MSR repurchase agreement and warehouse facilities with Barclays. We expect to renew, replace or extend our borrowings to the extent necessary to finance our business on or prior to their respective maturities consistent with our historical experience.</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described above, our liquidity forecast requires management to use judgment and estimates and includes factors that may be beyond our control. Our forecast is highly dependent on the duration and magnitude of the downturn. Estimates of the COVID-19 impact by economists and mortgage industry experts vary considerably.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in normal course include:</w:t>
      </w:r>
    </w:p>
    <w:p>
      <w:pPr>
        <w:spacing w:after="0" w:line="11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operating costs and corporate expenses;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Payments for advances in excess of collections;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Investing in our servicing and lending businesses, including MSR and other asset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Originated and repurchased loans, including scheduled and unscheduled equity draws on reverse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margin calls under our MSR financing facilities and derivative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Repayments of borrowings, including under our MSR financing, advance financing and warehouse facilities, and payment of interest expense;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negative working capital and other general corporate cash outflows.</w:t>
      </w:r>
    </w:p>
    <w:p>
      <w:pPr>
        <w:spacing w:after="0" w:line="21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certain percentage amounts of excess cash flow as defined and 100% of the net cash proceeds from certain permitted asset sales, subject to our ability to reinvest such proceeds in our business within 270 days of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in normal course include:</w:t>
      </w:r>
    </w:p>
    <w:p>
      <w:pPr>
        <w:spacing w:after="0" w:line="11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Collections of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 MSR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positive working capital from changes in other assets and liabilities.</w:t>
      </w:r>
    </w:p>
    <w:p>
      <w:pPr>
        <w:spacing w:after="0" w:line="21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servicing advance financing strategy. Revolving variable funding notes issued by our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557" w:right="359" w:bottom="1440" w:gutter="0" w:footer="0" w:header="0"/>
        </w:sectPr>
      </w:pPr>
    </w:p>
    <w:bookmarkStart w:id="92" w:name="page93"/>
    <w:bookmarkEnd w:id="92"/>
    <w:p>
      <w:pPr>
        <w:ind w:right="660"/>
        <w:spacing w:after="0" w:line="277" w:lineRule="auto"/>
        <w:rPr>
          <w:sz w:val="20"/>
          <w:szCs w:val="20"/>
          <w:color w:val="auto"/>
        </w:rPr>
      </w:pPr>
      <w:r>
        <w:rPr>
          <w:rFonts w:ascii="Arial" w:cs="Arial" w:eastAsia="Arial" w:hAnsi="Arial"/>
          <w:sz w:val="18"/>
          <w:szCs w:val="18"/>
          <w:color w:val="auto"/>
        </w:rPr>
        <w:t>advance financing facilities to financial institutions typically a have revolving period of 12 months. Term notes are generally issued to institutional investors with one-, two- or three-year revolving periods.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364-days. The funds are typically repaid using the proceeds from the sale of the loans to the secondary market investors, usually within 30 days.</w:t>
      </w:r>
    </w:p>
    <w:p>
      <w:pPr>
        <w:spacing w:after="0" w:line="16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8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regularly evaluate financing structure options that we believe will most effectively provide the necessary capacity to support out investment plans, address upcoming debt maturities and accommodate our business needs. Our financing structure actions are targeted at optimizing access to debt financing, improving our cost of funds, enhancing financial flexibility, bolstering liquidity and reducing funding risk while maintaining leverage within our risk tolerances. Historical losses have significantly eroded our stockholders’ equity and weakened our financial condition. To the extent we are not successful in achieving our objective of returning to profitability, funding continuing losses will limit our opportunities to grow our business through capital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a secured lien under the SSTL are as follows at March 31,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8"/>
          </w:tcPr>
          <w:p>
            <w:pPr>
              <w:ind w:left="500"/>
              <w:spacing w:after="0"/>
              <w:rPr>
                <w:sz w:val="20"/>
                <w:szCs w:val="20"/>
                <w:color w:val="auto"/>
              </w:rPr>
            </w:pPr>
            <w:r>
              <w:rPr>
                <w:rFonts w:ascii="Arial" w:cs="Arial" w:eastAsia="Arial" w:hAnsi="Arial"/>
                <w:sz w:val="18"/>
                <w:szCs w:val="18"/>
                <w:b w:val="1"/>
                <w:bCs w:val="1"/>
                <w:color w:val="auto"/>
              </w:rPr>
              <w:t>Collateral for Secured Borrowings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8"/>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Advance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Match</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Mortgage Loan</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Funded</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Financing</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Warehouse/MSR</w:t>
            </w: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Sales and 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Facilities</w:t>
            </w: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Commitments</w:t>
            </w:r>
          </w:p>
        </w:tc>
        <w:tc>
          <w:tcPr>
            <w:tcW w:w="2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263,555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263,555</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MSRs (1)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1,050,228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Advances, net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1,024,807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751,020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273,787</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40,935</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6,591,382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6,461,371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32,738</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202,745</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37,430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37,430</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410,718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68,203</w:t>
            </w:r>
          </w:p>
        </w:tc>
      </w:tr>
      <w:tr>
        <w:trPr>
          <w:trHeight w:val="237"/>
        </w:trPr>
        <w:tc>
          <w:tcPr>
            <w:tcW w:w="30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9,986,024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761,858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7,053,076</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804,175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448,026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919,906</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3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HMBS - related borrowings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6,323,091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Other financing liabilities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623,049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613,070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9,979</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match funded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Other secured borrowings, net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797,615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607,001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190,614</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311,290</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875,171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410,718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464,453</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9,556,167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6,936,161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410,718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976,336</w:t>
            </w:r>
          </w:p>
        </w:tc>
      </w:tr>
      <w:tr>
        <w:trPr>
          <w:trHeight w:val="223"/>
        </w:trPr>
        <w:tc>
          <w:tcPr>
            <w:tcW w:w="30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spacing w:after="0"/>
              <w:rPr>
                <w:sz w:val="19"/>
                <w:szCs w:val="19"/>
                <w:color w:val="auto"/>
              </w:rPr>
            </w:pPr>
          </w:p>
        </w:tc>
      </w:tr>
      <w:tr>
        <w:trPr>
          <w:trHeight w:val="25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429,857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665" w:right="35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20"/>
          </w:cols>
          <w:pgMar w:left="320" w:top="665" w:right="359" w:bottom="1440" w:gutter="0" w:footer="0" w:header="0"/>
          <w:type w:val="continuous"/>
        </w:sectPr>
      </w:pPr>
    </w:p>
    <w:bookmarkStart w:id="93" w:name="page94"/>
    <w:bookmarkEnd w:id="93"/>
    <w:p>
      <w:pPr>
        <w:ind w:left="340" w:right="280" w:hanging="332"/>
        <w:spacing w:after="0" w:line="310" w:lineRule="auto"/>
        <w:tabs>
          <w:tab w:leader="none" w:pos="3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Certain MSR cohorts with a net negative fair value of $1.2 million that would be presented as Other are excluded from the eligible collateral of the facilities and are comprised of $23.3 million of negative fair value related to RMBS and $22.1 million of positive fair value related to private EBO and PLS MSRs.</w:t>
      </w:r>
    </w:p>
    <w:p>
      <w:pPr>
        <w:spacing w:after="0" w:line="14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Note 11 – Borrowings for information on assets held as collateral related to secured borrowings, committed under sale or other contractual obligations and which may be subject to a secured lien under the SSTL.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8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 Given the current market conditions created by the COVID-19 pandemic, there are no assurances we will be able to maintain compliance with our covenants.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company’s debt obligations. Lower ratings generally result in higher borrowing costs and reduced access to capital markets. The following table summarizes the current ratings and outlook for PMC by the respective nationally recognized rating agencies. A credit rating is not a recommendation to buy, sell or hold securities and may be subject to revision or withdrawal at any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ind w:left="1360"/>
              <w:spacing w:after="0"/>
              <w:rPr>
                <w:sz w:val="20"/>
                <w:szCs w:val="20"/>
                <w:color w:val="auto"/>
              </w:rPr>
            </w:pPr>
            <w:r>
              <w:rPr>
                <w:rFonts w:ascii="Arial" w:cs="Arial" w:eastAsia="Arial" w:hAnsi="Arial"/>
                <w:sz w:val="18"/>
                <w:szCs w:val="18"/>
                <w:b w:val="1"/>
                <w:bCs w:val="1"/>
                <w:color w:val="auto"/>
              </w:rPr>
              <w:t>Rating Agency</w:t>
            </w:r>
          </w:p>
        </w:tc>
        <w:tc>
          <w:tcPr>
            <w:tcW w:w="2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Long-term Corporate Rating</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2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Caa1</w:t>
            </w:r>
          </w:p>
        </w:tc>
        <w:tc>
          <w:tcPr>
            <w:tcW w:w="2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Negative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11, 2019</w:t>
            </w:r>
          </w:p>
        </w:tc>
      </w:tr>
      <w:tr>
        <w:trPr>
          <w:trHeight w:val="22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CreditWatch with negative</w:t>
            </w:r>
          </w:p>
        </w:tc>
        <w:tc>
          <w:tcPr>
            <w:tcW w:w="2340" w:type="dxa"/>
            <w:vAlign w:val="bottom"/>
          </w:tcPr>
          <w:p>
            <w:pPr>
              <w:spacing w:after="0"/>
              <w:rPr>
                <w:sz w:val="19"/>
                <w:szCs w:val="19"/>
                <w:color w:val="auto"/>
              </w:rPr>
            </w:pPr>
          </w:p>
        </w:tc>
      </w:tr>
      <w:tr>
        <w:trPr>
          <w:trHeight w:val="23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 –</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implications</w:t>
            </w:r>
          </w:p>
        </w:tc>
        <w:tc>
          <w:tcPr>
            <w:tcW w:w="2340" w:type="dxa"/>
            <w:vAlign w:val="bottom"/>
          </w:tcPr>
          <w:p>
            <w:pPr>
              <w:jc w:val="center"/>
              <w:spacing w:after="0"/>
              <w:rPr>
                <w:sz w:val="20"/>
                <w:szCs w:val="20"/>
                <w:color w:val="auto"/>
              </w:rPr>
            </w:pPr>
            <w:r>
              <w:rPr>
                <w:rFonts w:ascii="Arial" w:cs="Arial" w:eastAsia="Arial" w:hAnsi="Arial"/>
                <w:sz w:val="18"/>
                <w:szCs w:val="18"/>
                <w:color w:val="auto"/>
                <w:w w:val="95"/>
              </w:rPr>
              <w:t>April 13, 2020</w:t>
            </w:r>
          </w:p>
        </w:tc>
      </w:tr>
    </w:tbl>
    <w:p>
      <w:pPr>
        <w:spacing w:after="0" w:line="12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On April 13, 2020 S&amp;P placed the ratings outlook of Ocwen on CreditWatch with negative implications due to the uncertain economic impact of COVID-19 on liquidity. It is possible that additional actions by credit rating agencies could have a material adverse impact on our liquidity and funding position, including materially changing the terms on which we may be able to borrow money.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In addition, margin calls required under our MSR financing facilities or derivative instruments create volatility in our operating cash flows. We classify proceeds from the sale of servicing advances, including advances sold in connection with the sale of MSRs, as investing activity. We classify changes in HECM loans held for investment as investing activity and changes in the related HMBS borrowings as financing activity.</w:t>
      </w:r>
    </w:p>
    <w:p>
      <w:pPr>
        <w:spacing w:after="0" w:line="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NRZ agreements have a significant impact on our consolidated statements of cash flows. Because the lump-sum payments we received in connection with our 2017 Agreements and New RMSR Agreements are recorded as secured financings, additions to, and reductions in, the balance of those secured financings are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616" w:right="339" w:bottom="1440" w:gutter="0" w:footer="0" w:header="0"/>
        </w:sectPr>
      </w:pPr>
    </w:p>
    <w:bookmarkStart w:id="94" w:name="page95"/>
    <w:bookmarkEnd w:id="94"/>
    <w:p>
      <w:pPr>
        <w:jc w:val="both"/>
        <w:ind w:right="300"/>
        <w:spacing w:after="0" w:line="263" w:lineRule="auto"/>
        <w:rPr>
          <w:sz w:val="20"/>
          <w:szCs w:val="20"/>
          <w:color w:val="auto"/>
        </w:rPr>
      </w:pPr>
      <w:r>
        <w:rPr>
          <w:rFonts w:ascii="Arial" w:cs="Arial" w:eastAsia="Arial" w:hAnsi="Arial"/>
          <w:sz w:val="18"/>
          <w:szCs w:val="18"/>
          <w:color w:val="auto"/>
        </w:rPr>
        <w:t>impact on our consolidated cash balance. Net cash provided by operating activities for the three months ended March 31, 2020 and 2019 includes $25.1 million and $23.3 million, respectively, of such cash flows and they were offset by corresponding amounts in net cash used in financing activities in the same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2020</w:t>
      </w:r>
    </w:p>
    <w:p>
      <w:pPr>
        <w:spacing w:after="0" w:line="117"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Our operating activities provided $171.0 million of cash including $121.1 million net collections of servicing and ancillary income, $29.4 million of net collections of servicing advances, and net cash received on loans held for sale of $11.7 million for the three months ended March 31, 2020.</w:t>
      </w:r>
    </w:p>
    <w:p>
      <w:pPr>
        <w:spacing w:after="0" w:line="3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investing activities used $147.3 million of cash. The primary uses of cash in our investing activities include net cash outflows in connection with our HECM reverse mortgages of $119.8 million. Cash outflows also include $29.8 million to purchase MSRs.</w:t>
      </w:r>
    </w:p>
    <w:p>
      <w:pPr>
        <w:spacing w:after="0" w:line="6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Our financing activities used $199.3 million of cash. Cash outflows include repayments of $126.1 million on the SSTL, $53.2 million of net repayments on advance match funded liabilities, a $97.2 million decrease in borrowings under our mortgage warehouse and MSR financing facilities, and $50.4 million of net payments on the financing liabilities related to MSRs pledged. In addition, we also paid $7.3 million of debt issuance costs related to our SSTL facility amendment and repurchased 5.7 million shares of our common stock for $4.6 million. Cash inflows include $312.2 million received in connection with our reverse mortgage securitizations, which are accounted for as secured financings, less repayments on the related financing liability of $172.4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2019</w:t>
      </w:r>
    </w:p>
    <w:p>
      <w:pPr>
        <w:spacing w:after="0" w:line="11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operating activities provided $100.7 million of cash largely due to $91.1 million of net collections of servicing advances. Net cash received on loans held for sale during the three months ended March 31, 2019 was $1.1 million.</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investing activities used $151.3 million of cash. The primary uses of cash in our investing activities include net cash outflows in connection with our HECM reverse mortgages of $104.6 million. Cash outflows also include $48.6 million to purchase MSRs.</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financing activities used $19.8 million of cash. Cash outflows include $128.9 million of net repayments on advance match funded liabilities as a result of advance recoveries and $50.1 million of net payments on the financing liabilities related to MSRs pledged. In addition, we reduced borrowings under our mortgage loan warehouse facilities by $57.7 million. Cash inflows include $210.6 million received in connection with our reverse mortgage securitizations, which are accounted for as secured financings, less repayments on the related financing liability of $102.4 million. We increased borrowings under the SSTL through the issuance of an additional term loan of $120.0 million (before a discount of $0.9 million), less the $6.4 million first quarter repayment.</w:t>
      </w: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certain contractual obligations which require us to make future cash payments. At March 31, 2020, such contractual obligations were primarily comprised of secured and unsecured borrowings, interest payments, leases and commitments to originate or purchase loans, including equity draws on reverse mortgages. There were no material changes to the table of specified contractual obligations contained in our Annual Report on Form 10-K during the three months ended March 31, 2020, other than changes related to our secured borrowings.</w:t>
      </w:r>
    </w:p>
    <w:p>
      <w:pPr>
        <w:spacing w:after="0" w:line="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three months ended March 31, 2020, we executed an amendment to the SSTL agreement which reduced the maximum borrowing capacity to $200.0 million, extended the maturity date to May 15, 2022, reduced the contractual quarterly principal payment from $6.4 million to $5.0 million and modified the interest rate. See Note 11 – Borrowings to the Unaudited Consolidated Financial Statements and “Liquidity and Capital Resources - Outlook” for additional information.</w:t>
      </w:r>
    </w:p>
    <w:p>
      <w:pPr>
        <w:spacing w:after="0" w:line="7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addition to the contractual obligations described above, our obligations to make future cash payments include our commitments related to off-balance-sheet and other arrangements, which are excluded from the table of specified contractual obligations contained in our Annual Report on Form 10-K, including but not limited to servicing advance obligations, margin calls associated with our asset-backed financing facilities and margin calls associated with our derivative instruments. See Note 20 — Commitments to the Unaudited Consolidated Financial Statements for additional information.</w:t>
      </w:r>
    </w:p>
    <w:p>
      <w:pPr>
        <w:spacing w:after="0" w:line="4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forecasting with respect to our ability to satisfy our contractual obligations, including but not limited to our servicing advance obligations, requires management to use judgment and estimates and includes factors that may be beyond our control. Additionally, our business has been undergoing substantial change and the current conditions created by the COVID-19 pandemic resulted in significant volatility in the financial markets and uncertainties in the duration and magnitude of the economic downturn, as well as uncertainties related to the government and other programs to assist mortgage borrowers, which have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w:t>
      </w:r>
    </w:p>
    <w:p>
      <w:pPr>
        <w:spacing w:after="0" w:line="7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w:t>
      </w:r>
    </w:p>
    <w:p>
      <w:pPr>
        <w:sectPr>
          <w:pgSz w:w="11900" w:h="16838" w:orient="portrait"/>
          <w:cols w:equalWidth="0" w:num="1">
            <w:col w:w="11240"/>
          </w:cols>
          <w:pgMar w:left="320" w:top="665" w:right="339" w:bottom="264"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665" w:right="339" w:bottom="264" w:gutter="0" w:footer="0" w:header="0"/>
          <w:type w:val="continuous"/>
        </w:sectPr>
      </w:pPr>
    </w:p>
    <w:bookmarkStart w:id="95" w:name="page96"/>
    <w:bookmarkEnd w:id="95"/>
    <w:p>
      <w:pPr>
        <w:ind w:right="820"/>
        <w:spacing w:after="0" w:line="277" w:lineRule="auto"/>
        <w:rPr>
          <w:sz w:val="20"/>
          <w:szCs w:val="20"/>
          <w:color w:val="auto"/>
        </w:rPr>
      </w:pPr>
      <w:r>
        <w:rPr>
          <w:rFonts w:ascii="Arial" w:cs="Arial" w:eastAsia="Arial" w:hAnsi="Arial"/>
          <w:sz w:val="18"/>
          <w:szCs w:val="18"/>
          <w:color w:val="auto"/>
        </w:rPr>
        <w:t>conditions. See Note 3 – Securitizations and Variable Interest Entities, Note 12 – Other Liabilities and Note 21 – Contingencies to the Unaudited Consolidated Financial Statements for additional information.</w:t>
      </w:r>
    </w:p>
    <w:p>
      <w:pPr>
        <w:spacing w:after="0" w:line="6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i w:val="1"/>
          <w:iCs w:val="1"/>
          <w:color w:val="auto"/>
        </w:rPr>
        <w:t xml:space="preserve">Unfunded Lending Commitments. </w:t>
      </w:r>
      <w:r>
        <w:rPr>
          <w:rFonts w:ascii="Arial" w:cs="Arial" w:eastAsia="Arial" w:hAnsi="Arial"/>
          <w:sz w:val="18"/>
          <w:szCs w:val="18"/>
          <w:color w:val="auto"/>
        </w:rPr>
        <w:t>We have originated floating-rate reverse mortgage loans under which the borrowers have additional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$1.6 billion at March 31, 2020. This additional borrowing capacity is available on a scheduled or unscheduled payment basis. See Note 20 — Commitments to the Unaudited Consolidated Financial Statements for additional information.</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 xml:space="preserve">HMBS Issuer Obligations. </w:t>
      </w:r>
      <w:r>
        <w:rPr>
          <w:rFonts w:ascii="Arial" w:cs="Arial" w:eastAsia="Arial" w:hAnsi="Arial"/>
          <w:sz w:val="17"/>
          <w:szCs w:val="17"/>
          <w:color w:val="auto"/>
        </w:rPr>
        <w:t>As an HMBS issuer, we assume certain obligations related to each security issued. The most significant obligation is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See Note 20 — Commitments to the Unaudited Consolidated Financial Statements for additional information.</w:t>
      </w:r>
    </w:p>
    <w:p>
      <w:pPr>
        <w:spacing w:after="0" w:line="17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i w:val="1"/>
          <w:iCs w:val="1"/>
          <w:color w:val="auto"/>
        </w:rPr>
        <w:t>Involvement with VIEs</w:t>
      </w:r>
      <w:r>
        <w:rPr>
          <w:rFonts w:ascii="Arial" w:cs="Arial" w:eastAsia="Arial" w:hAnsi="Arial"/>
          <w:sz w:val="16"/>
          <w:szCs w:val="16"/>
          <w:color w:val="auto"/>
        </w:rPr>
        <w:t>. We use SPEs and VIEs for a variety of purposes but principally in the financing of our servicing advances, in the securitization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mortgage loans and in the financing of our MSRs. We include VIEs in our consolidated financial statements if we determine we are the primary beneficiary. See Note 3 – Securitizations and Variable Interest Entities to the Unaudited Consolidated Financial Statements for additional information.</w:t>
      </w:r>
    </w:p>
    <w:p>
      <w:pPr>
        <w:spacing w:after="0" w:line="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risk. The notional amounts of our derivative contracts do not reflect our exposure to credit loss. Generally, our derivative instruments require daily margin calls. See Note 14 – Derivative Financial Instruments and Hedging Activities to the Unaudited Consolidated Financial Statements for additional information.</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 Form 10-K for the year ended December 31, 2019 in Note 1 to the Consolidated Financial Statements and in Management’s Discussion and Analysis of Financial Condition and Results of Operations under “Critical Accounting Policies and Estimates.”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use fair value measurements to record fair value adjustments to certain instruments in our statement of operations and to determine fair value disclosures. Refer to Note 4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665" w:right="339" w:bottom="1440" w:gutter="0" w:footer="0" w:header="0"/>
        </w:sectPr>
      </w:pPr>
    </w:p>
    <w:bookmarkStart w:id="96" w:name="page97"/>
    <w:bookmarkEnd w:id="96"/>
    <w:p>
      <w:pPr>
        <w:ind w:left="340"/>
        <w:spacing w:after="0"/>
        <w:rPr>
          <w:sz w:val="20"/>
          <w:szCs w:val="20"/>
          <w:color w:val="auto"/>
        </w:rPr>
      </w:pPr>
      <w:r>
        <w:rPr>
          <w:rFonts w:ascii="Arial" w:cs="Arial" w:eastAsia="Arial" w:hAnsi="Arial"/>
          <w:sz w:val="16"/>
          <w:szCs w:val="16"/>
          <w:color w:val="auto"/>
        </w:rPr>
        <w:t>The following table summarizes assets and liabilities measured at fair value on a recurring and nonrecurring basis and the amounts measured using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2019</w:t>
            </w:r>
          </w:p>
        </w:tc>
      </w:tr>
      <w:tr>
        <w:trPr>
          <w:trHeight w:val="27"/>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246,015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275,269</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6,568,821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6,269,596</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investment - Restricted for securitization investors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22,561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23,342</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MSRs</w:t>
            </w: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1,050,228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1,486,395</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6,007</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2,075</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441</w:t>
            </w:r>
          </w:p>
        </w:tc>
      </w:tr>
      <w:tr>
        <w:trPr>
          <w:trHeight w:val="297"/>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7,904,247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8,063,125</w:t>
            </w:r>
          </w:p>
        </w:tc>
      </w:tr>
      <w:tr>
        <w:trPr>
          <w:trHeight w:val="237"/>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total assets</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HMBS-related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6,323,091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6,063,435</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Financing liability - MSRs pledged</w:t>
            </w: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601,684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950,593</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liability - Owed to securitization investors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21,365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22,002</w:t>
            </w:r>
          </w:p>
        </w:tc>
      </w:tr>
      <w:tr>
        <w:trPr>
          <w:trHeight w:val="237"/>
        </w:trPr>
        <w:tc>
          <w:tcPr>
            <w:tcW w:w="7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6,946,140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7,036,030</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97"/>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Liabilities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6,947,639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7,036,130</w:t>
            </w:r>
          </w:p>
        </w:tc>
      </w:tr>
      <w:tr>
        <w:trPr>
          <w:trHeight w:val="237"/>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303"/>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7,721,763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7,847,925</w:t>
            </w:r>
          </w:p>
        </w:tc>
      </w:tr>
      <w:tr>
        <w:trPr>
          <w:trHeight w:val="237"/>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03"/>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6,946,140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7,036,030</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Assets at fair value using Level 3 inputs decreased during the three months ended March 31, 2020 primarily due to the derecognition of the MSR related to the PMC servicing agreement terminated by NRZ and a decline in the fair value of MSRs, offset in part by reverse mortgage originations. Liabilities at fair value using Level 3 inputs remained mostly flat due to the increase of reverse mortgage securitizations, which we account for as secured financings, partially offset by the derecognition of the pledged MSR financing liability related to PMC servicing agreement terminated by NRZ, which we accounted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 In addition, we have no net fair value exposure to the MSR pledged to NRZ and the related pledged MSR financing liability, both reported at fair value.</w:t>
      </w:r>
    </w:p>
    <w:p>
      <w:pPr>
        <w:spacing w:after="0" w:line="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MSRs</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MSRs are assets that represent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elect to account for MSRs using either the amortization method or the fair value measurement method. Effective January 1, 2018, we elected fair value accounting for our MSRs previously accounted for using the amortization method, which included Agency MSRs and government-insured MSRs. Effective with this election, our entire portfolio of MSRs is accounted for using the fair value measurement method. This irrevocable election applies to all subsequently acquired or originated servicing assets and liabilities that have characteristics consistent with each of these classes.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665" w:right="339" w:bottom="1440" w:gutter="0" w:footer="0" w:header="0"/>
        </w:sectPr>
      </w:pPr>
    </w:p>
    <w:bookmarkStart w:id="97" w:name="page98"/>
    <w:bookmarkEnd w:id="97"/>
    <w:p>
      <w:pPr>
        <w:ind w:right="4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7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evaluate the reasonableness of our third-party experts’ assumptions using historical experience adjusted for prevailing market conditions. The following table provides the range of key assumptions and weighted average (expressed as a percentage of UPB) by class projected for the five-year period beginning March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Conventional</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Government-Insured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Non-Agency</w:t>
            </w:r>
          </w:p>
        </w:tc>
      </w:tr>
      <w:tr>
        <w:trPr>
          <w:trHeight w:val="27"/>
        </w:trPr>
        <w:tc>
          <w:tcPr>
            <w:tcW w:w="59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speed</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Range</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13.7% to 25.3%</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13.2% to 25.8%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9.1% to 13.7%</w:t>
            </w:r>
          </w:p>
        </w:tc>
      </w:tr>
      <w:tr>
        <w:trPr>
          <w:trHeight w:val="27"/>
        </w:trPr>
        <w:tc>
          <w:tcPr>
            <w:tcW w:w="5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Range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1.3% to 3.1%</w:t>
            </w: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7.1% to 17.8%</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24.1% to 28.4%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1.8%</w:t>
            </w:r>
          </w:p>
        </w:tc>
        <w:tc>
          <w:tcPr>
            <w:tcW w:w="1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10.3%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27.2%</w:t>
            </w:r>
          </w:p>
        </w:tc>
      </w:tr>
      <w:tr>
        <w:trPr>
          <w:trHeight w:val="27"/>
        </w:trPr>
        <w:tc>
          <w:tcPr>
            <w:tcW w:w="5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to service</w:t>
            </w:r>
          </w:p>
        </w:tc>
        <w:tc>
          <w:tcPr>
            <w:tcW w:w="1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Range</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$66 to $72</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$84 to $139</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$241 to $276</w:t>
            </w:r>
          </w:p>
        </w:tc>
      </w:tr>
      <w:tr>
        <w:trPr>
          <w:trHeight w:val="27"/>
        </w:trPr>
        <w:tc>
          <w:tcPr>
            <w:tcW w:w="5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9.0%</w:t>
            </w:r>
          </w:p>
        </w:tc>
        <w:tc>
          <w:tcPr>
            <w:tcW w:w="14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10.2%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11.3%</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jc w:val="both"/>
        <w:ind w:left="660" w:right="440" w:hanging="328"/>
        <w:spacing w:after="0" w:line="287"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portfolio runoff, higher compensating interest payments and lower overall servicing fees, partially offset by a lower overall cost of servicing, increased float earnings on higher float balances and lower interest expense on lower servicing advance balances.</w:t>
      </w:r>
    </w:p>
    <w:p>
      <w:pPr>
        <w:spacing w:after="0" w:line="2" w:lineRule="exact"/>
        <w:rPr>
          <w:rFonts w:ascii="Arial" w:cs="Arial" w:eastAsia="Arial" w:hAnsi="Arial"/>
          <w:sz w:val="16"/>
          <w:szCs w:val="16"/>
          <w:color w:val="auto"/>
        </w:rPr>
      </w:pPr>
    </w:p>
    <w:p>
      <w:pPr>
        <w:ind w:left="660" w:right="56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18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As a result of the market volatility and uncertainties due to the COVID-19 outbreak, management exercised significant judgment in determining and updating the key assumptions that market participants would use when pricing the MSR based on the known or knowable information as of March 31, 2020. While discount rates remain vastly unchanged at March 31, 2020 compared with December 31, 2019, the spread to the risk-free rate significantly increased, as a result of a significant decline in the different interest rate benchmarks, reflective of the heightened uncertainties in the market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Servicing Advances and Receivables</w:t>
      </w:r>
    </w:p>
    <w:p>
      <w:pPr>
        <w:spacing w:after="0" w:line="229" w:lineRule="exact"/>
        <w:rPr>
          <w:sz w:val="20"/>
          <w:szCs w:val="20"/>
          <w:color w:val="auto"/>
        </w:rPr>
      </w:pPr>
    </w:p>
    <w:p>
      <w:pPr>
        <w:jc w:val="both"/>
        <w:ind w:right="440" w:firstLine="324"/>
        <w:spacing w:after="0" w:line="259" w:lineRule="auto"/>
        <w:rPr>
          <w:sz w:val="20"/>
          <w:szCs w:val="20"/>
          <w:color w:val="auto"/>
        </w:rPr>
      </w:pPr>
      <w:r>
        <w:rPr>
          <w:rFonts w:ascii="Arial" w:cs="Arial" w:eastAsia="Arial" w:hAnsi="Arial"/>
          <w:sz w:val="18"/>
          <w:szCs w:val="18"/>
          <w:color w:val="auto"/>
        </w:rPr>
        <w:t>Advances are generally fully reimbursed. However, servicing advances may include claimable (with investors) but non-recoverable expenses, for example due to servicer error, such as lack of reasonable documentation as to the type and amount of advances. We record an allowance for losses on servicing advances as a charge to earnings to the extent we believe that a portion of advances are uncollectible under the provisions of each servicing contract taking into consideration, among other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665" w:right="339" w:bottom="1440" w:gutter="0" w:footer="0" w:header="0"/>
        </w:sectPr>
      </w:pPr>
    </w:p>
    <w:bookmarkStart w:id="98" w:name="page99"/>
    <w:bookmarkEnd w:id="98"/>
    <w:p>
      <w:pPr>
        <w:spacing w:after="0" w:line="296" w:lineRule="auto"/>
        <w:rPr>
          <w:sz w:val="20"/>
          <w:szCs w:val="20"/>
          <w:color w:val="auto"/>
        </w:rPr>
      </w:pPr>
      <w:r>
        <w:rPr>
          <w:rFonts w:ascii="Arial" w:cs="Arial" w:eastAsia="Arial" w:hAnsi="Arial"/>
          <w:sz w:val="16"/>
          <w:szCs w:val="16"/>
          <w:color w:val="auto"/>
        </w:rPr>
        <w:t>factors, our historical collection rates, probability of default, cure or modification, length of delinquency and the amount of the advance. We continually assess collectability using proprietary cash flow projection models that incorporated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March 31, 2020, the allowance for losses on servicing advances was $7.4 million, which represents 0.7% of advances.</w:t>
      </w:r>
    </w:p>
    <w:p>
      <w:pPr>
        <w:spacing w:after="0" w:line="16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record an allowance for losses on receivables in our Servicing business related to defaulted FHA or VA insured loans repurchased from Ginnie Mae guaranteed securitizations (government-insured loan claims). This allowance represents management’s estimate of incurred losses and is maintained at a level that management considers adequate based upon continuing assessments of collectability, current trends, and historical loss experience. At</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March 31, 2020, the allowance for losses on receivables related to government-insured claims was $58.1 million, which represents 48% of the total balance of government-insured claims receivables.</w:t>
      </w:r>
    </w:p>
    <w:p>
      <w:pPr>
        <w:spacing w:after="0" w:line="18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adopted ASU 2016-13, Financial Instruments - Credit Losses: Measurement of Credit Losses on Financial Instruments, as amended, on January 1, 2020. The ASU requires the 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w:t>
      </w:r>
    </w:p>
    <w:p>
      <w:pPr>
        <w:spacing w:after="0" w:line="166"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applied the guidance at the adoption date with a cumulative-effect adjustment to the opening balance of retained earnings on January 1, 2020. As permitted by this standard, we made an irrevocable fair value election for certain financial instruments within the scope of the standard. The transition adjustment related to financial instruments for which we are not electing the fair value option did not result in any significant adjustment to the opening balance of retained earnings. Our measurement of lifetime expected credit losses is based on relevant information about past events, including historical experience, current conditions, and reasonable and supportable forecasts that affect collectability.</w:t>
      </w:r>
    </w:p>
    <w:p>
      <w:pPr>
        <w:spacing w:after="0" w:line="17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Determining an allowance for losses involves degrees of judgment and assumptions that, given similar information at any given point, may result in a different but reasonable estimate.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3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For the three-year periods ended December 31, 2019 and 2018, the USVI filing jurisdiction was in a material cumulative loss position. The U.S. jurisdiction was also in a three-year cumulative loss position as of December 31, 2019 and 2018.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result of these evaluations, we recognized a full valuation allowance of $199.5 million and $46.3 million on our U.S. deferred tax assets at December 31, 2019 and 2018, respectively, and a full valuation allowance of $0.4 million and $21.3 million on our USVI deferred tax assets at December 31, 2019 and 2018,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665" w:right="339" w:bottom="1440" w:gutter="0" w:footer="0" w:header="0"/>
        </w:sectPr>
      </w:pPr>
    </w:p>
    <w:bookmarkStart w:id="99" w:name="page100"/>
    <w:bookmarkEnd w:id="99"/>
    <w:p>
      <w:pPr>
        <w:ind w:right="40"/>
        <w:spacing w:after="0" w:line="277" w:lineRule="auto"/>
        <w:rPr>
          <w:sz w:val="20"/>
          <w:szCs w:val="20"/>
          <w:color w:val="auto"/>
        </w:rPr>
      </w:pPr>
      <w:r>
        <w:rPr>
          <w:rFonts w:ascii="Arial" w:cs="Arial" w:eastAsia="Arial" w:hAnsi="Arial"/>
          <w:sz w:val="18"/>
          <w:szCs w:val="18"/>
          <w:color w:val="auto"/>
        </w:rPr>
        <w:t>which the release is recorded. However, the exact timing and amount of the valuation allowance release are subject to change based on the profitability that we achieve.</w:t>
      </w:r>
    </w:p>
    <w:p>
      <w:pPr>
        <w:spacing w:after="0" w:line="143"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6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have evaluated whether we experienced an ownership change under these provisions, and determined that an ownership change did occur in January 2015 and in December 2017 in the U.S. jurisdiction, which also results in an ownership change under Section 382 in the USVI jurisdiction. In addition, a Section 382 ownership change occurred at PHH when Ocwen acquired the stock of PHH in October 2018. PHH was a loss corporation as defined under Section 382 at the date of the acquisition. PHH also had an existing Section 382 ownership change on March 31, 2018. For certain states, an additional Section 382 ownership change occurred on August 9, 2017. These Section 382 ownership changes may limit our ability to fully utilize NOLs, tax credit carryforwards, deductions and/or certain built-in losses that existed as of each respective ownership change date in the various jurisdictions</w:t>
      </w:r>
    </w:p>
    <w:p>
      <w:pPr>
        <w:spacing w:after="0" w:line="16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Due to the Section 382 and 383 limitations and the maximum carryforward period for our NOLs and tax credits, we will be unable to fully recognize certain deferred tax assets. Accordingly, as of December 31, 2018, we had reduced our gross deferred tax asset related to our U.S. federal and USVI NOLs by $160.9 million, our foreign tax credit deferred tax asset by $29.5 million and corresponding valuation allowance by $55.7 million. The realization of all or a portion of our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 Our inability to utilize our pre-ownership change NOL carryforwards, Section 163(j) disallowed interest carryforwards, any future recognized built-in losses or deductions, and tax credit carryforwards could have an adverse effect on our financial condition, results of operations and cash flows. Finally, any future changes in our ownership or sale of our stock could further limit the use of our NOLs and tax credits in the future.</w:t>
      </w:r>
    </w:p>
    <w:p>
      <w:pPr>
        <w:spacing w:after="0" w:line="19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part of our Section 382 evaluation and consistent with the rules provided within Section 382, Ocwen relies strictly on the existence or absence, as well as the information contained in certain publicly available documents (</w:t>
      </w:r>
      <w:r>
        <w:rPr>
          <w:rFonts w:ascii="Arial" w:cs="Arial" w:eastAsia="Arial" w:hAnsi="Arial"/>
          <w:sz w:val="16"/>
          <w:szCs w:val="16"/>
          <w:i w:val="1"/>
          <w:iCs w:val="1"/>
          <w:color w:val="auto"/>
        </w:rPr>
        <w:t>e.g.</w:t>
      </w:r>
      <w:r>
        <w:rPr>
          <w:rFonts w:ascii="Arial" w:cs="Arial" w:eastAsia="Arial" w:hAnsi="Arial"/>
          <w:sz w:val="16"/>
          <w:szCs w:val="16"/>
          <w:color w:val="auto"/>
        </w:rPr>
        <w:t>, Schedule 13D, Schedule 13G or other documents filed with the SEC) to identify shareholders that own a 5-percent or greater interest in Ocwen 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 is received, Section 382 requires the inclusion of such actual knowledge, even if such inclusion is detrimental to the conclusion reached.</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 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10-Q, Ocwen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638" w:right="339" w:bottom="1440" w:gutter="0" w:footer="0" w:header="0"/>
        </w:sectPr>
      </w:pPr>
    </w:p>
    <w:bookmarkStart w:id="100" w:name="page101"/>
    <w:bookmarkEnd w:id="100"/>
    <w:p>
      <w:pPr>
        <w:ind w:right="60"/>
        <w:spacing w:after="0" w:line="277" w:lineRule="auto"/>
        <w:rPr>
          <w:sz w:val="20"/>
          <w:szCs w:val="20"/>
          <w:color w:val="auto"/>
        </w:rPr>
      </w:pPr>
      <w:r>
        <w:rPr>
          <w:rFonts w:ascii="Arial" w:cs="Arial" w:eastAsia="Arial" w:hAnsi="Arial"/>
          <w:sz w:val="18"/>
          <w:szCs w:val="18"/>
          <w:color w:val="auto"/>
        </w:rPr>
        <w:t>has not received all requested responses from selected shareholders, and will continue to consider such shareholders as economic owners of Ocwen’s stock until actual knowledge is otherwise received.</w:t>
      </w:r>
    </w:p>
    <w:p>
      <w:pPr>
        <w:spacing w:after="0" w:line="6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Ocwen is continuing to monitor the ownership in its stock to evaluate information that will become available later in 2019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As of March 31, 2020, we have recorded a liability for representation and warranty obligations, and similar indemnification obligations of $47.1 million. See Note 21 – Contingencies for additional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 xml:space="preserve">In accordance with ASC 205-40,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49" w:lineRule="exact"/>
        <w:rPr>
          <w:sz w:val="20"/>
          <w:szCs w:val="20"/>
          <w:color w:val="auto"/>
        </w:rPr>
      </w:pPr>
    </w:p>
    <w:p>
      <w:pPr>
        <w:ind w:left="660" w:right="440" w:hanging="328"/>
        <w:spacing w:after="0" w:line="25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hanging="328"/>
        <w:spacing w:after="0" w:line="25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 or legal proceedings, adverse counterparty actions or rating agency decisions, and our client concentration).</w:t>
      </w:r>
    </w:p>
    <w:p>
      <w:pPr>
        <w:spacing w:after="0" w:line="85"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Our evaluation of whether it is probable that we will be unable to meet our obligations as they become due within one year after the date that our financial statements are issued involves a degree of judgment, including about matters that are, to different degrees, uncertain.</w:t>
      </w:r>
    </w:p>
    <w:p>
      <w:pPr>
        <w:spacing w:after="0" w:line="38"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200" w:hanging="328"/>
        <w:spacing w:after="0" w:line="26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665" w:right="359" w:bottom="1440" w:gutter="0" w:footer="0" w:header="0"/>
        </w:sectPr>
      </w:pPr>
    </w:p>
    <w:bookmarkStart w:id="101" w:name="page102"/>
    <w:bookmarkEnd w:id="101"/>
    <w:p>
      <w:pPr>
        <w:ind w:right="40"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6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March 2020, the WHO categorized COVID-19 as a pandemic and the COVID-19 outbreak was declared a national emergency in the U.S. The COVID-19 pandemic is adversely affecting economic conditions, including an increase in unemployment, and is creating significant uncertainty about the duration and magnitude of the downturn in the economy.</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Based on our evaluation, we have determined that there are no conditions that are known or reasonably knowable that raise substantial doubt about our ability to continue as a going concern within one year after the date that our Unaudited Consolidated Financial Statements for the three months ended March 31, 2020 are issued.</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adopted the new current expected credit loss guidance (ASU 2016-13, as amended) on January 1, 2020 by applying the guidance at the adoption date with a cumulative-effect adjustment to the opening balance of retained earnings in the period of adoption. The transition adjustment resulted in an adjustment to the opening balance of retained earnings of $47.0 million and we increased our loans held for investment by $47.0 million, representing the recognition of the fair value of certain non-cancellable draw commitments (tails) associated with our reverse mortgage loans. See Note 1 – Organization, Business Environment and Basis of Presentation to the Unaudited Consolidated Financial Statements for additional information.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adoption of the standards listed below on January 1, 2020 did not have a material impact on our unaudited consolidated financial statements:</w:t>
      </w:r>
    </w:p>
    <w:p>
      <w:pPr>
        <w:spacing w:after="0" w:line="46" w:lineRule="exact"/>
        <w:rPr>
          <w:sz w:val="20"/>
          <w:szCs w:val="20"/>
          <w:color w:val="auto"/>
        </w:rPr>
      </w:pPr>
    </w:p>
    <w:p>
      <w:pPr>
        <w:ind w:left="660" w:right="460" w:hanging="328"/>
        <w:spacing w:after="0" w:line="250"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Intangibles - Goodwill and Other - Internal-Use Software: Customer’s Accounting for Implementation Costs Incurred in a Cloud Computing Arrangement That Is a Service Contract (ASU 2018-15)</w:t>
      </w: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Fair Value Measurement: Disclosure Framework - Changes to the Disclosure Requirements for Fair Value Measurement (ASU 2018-13)</w:t>
      </w:r>
    </w:p>
    <w:p>
      <w:pPr>
        <w:spacing w:after="0" w:line="114"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See Note 1 - Organization, Business Environment and Basis of Presentation to the Unaudited Consolidated Financial Statements for information related to recently issued accounting pronouncements and the expected impact on our consolidated financial statements.</w:t>
      </w:r>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principal market risk exposure is the impact of interest rate changes on our mortgage-related assets and commitments, including MSRs, loans held for sale, loans held for investment and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7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rate-sensitive liabilities mature or re-price at different speeds, or on different bases, than interest-earning assets.</w:t>
      </w:r>
    </w:p>
    <w:p>
      <w:pPr>
        <w:spacing w:after="0" w:line="7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Our management-level Market Risk Committee establishes and maintains policies that govern our hedging program, including such factors as market volatility, duration and interest rate sensitivity measures, targeted hedge ratios, the hedge instruments that we are permitted to use in our hedging activities and the counterparties with whom we are permitted to enter into hedging transactions and our liquidity risk profile. See Note 14 – Derivative Financial Instruments and Hedging Activities to the Unaudited Consolidated Financial Statements for additional information regarding our use of derivatives.</w:t>
      </w:r>
    </w:p>
    <w:p>
      <w:pPr>
        <w:spacing w:after="0" w:line="15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market risk exposure may also be affected by the phase-out of LIBOR, expected to occur by the end of 2021. Many of our debt facilities incorporate LIBOR. These facilities either mature prior to the end of 2021 or have terms in place that provide for an alternative to LIBOR upon its phase-out. As we renew or replace these debt facilities, we will need to work with our counterparties to incorporate alternative benchmarks. There is presently substantial uncertainty relating to the process and timeline for developing LIBOR alternatives, how widely any given alternative will be adopted by parties in the financial markets, and the extent to which alternative benchmarks may be subject to volatility or present risks and challenges that LIBOR does not. Consequently, it is difficult to predict what effect, if any, the phase-out of LIBOR and the use of alternative benchmarks may have on our business or on the overall financial markets. If LIBOR alternatives re-allocate risk among parties in a way that is disadvantageous to market participants such as Ocwen, or if uncertainty relating to the LIBOR phase-out disrupts financial markets, it could have a material adverse effect on our financial position, results of operations, and liquidity.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66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MSR Hedging Strategy</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 Beginning in September 2019, management implemented a hedging strategy to partially offset the changes in fair value of our net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is targeted at mitigating the residual exposure, which we refer to as our net MSR portfolio exposure. We define our net MSR portfolio exposure as follows:</w:t>
      </w:r>
    </w:p>
    <w:p>
      <w:pPr>
        <w:spacing w:after="0" w:line="8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8 — Rights to MSRs),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the unsecuritized reverse mortgage loans and tails classified as held-for-investment,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lock commitments (pipeline).</w:t>
      </w:r>
    </w:p>
    <w:p>
      <w:pPr>
        <w:spacing w:after="0" w:line="21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determine and monitor daily the hedge coverage based on the duration and interest rate sensitivity measures of our net MSR portfolio exposure, considering market and liquidity conditions. During the first quarter of 2020, our hedging strategy provided for a partial coverage of our net MSR portfolio exposure of approximately 43%. The changes in fair value of our hedging instruments may not fully offset the changes in fair value of our net MSR portfolio exposure attributable to interest rate changes due to the partial hedge coverage and other factors.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following table illustrates the composition of our net MSR portfolio exposure at March 31, 2020 with the associated interest rate sensitivity for a hypothetical, instantaneous decrease in interest rate of 25 basis points assuming a parallel shift in interest rate yield curves (refer to the description below under Sensitivity Analysis). The amounts based on market risk sensitive measures are hypothetical and presented for illustrative purposes only. Changes in fair value cannot be extrapolated because the relationship to the change in fair value may not be linear.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Hypothetical change in</w:t>
            </w:r>
          </w:p>
        </w:tc>
      </w:tr>
      <w:tr>
        <w:trPr>
          <w:trHeight w:val="216"/>
        </w:trPr>
        <w:tc>
          <w:tcPr>
            <w:tcW w:w="68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 at March 31,</w:t>
            </w: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fair value due to 25 bps</w:t>
            </w:r>
          </w:p>
        </w:tc>
      </w:tr>
      <w:tr>
        <w:trPr>
          <w:trHeight w:val="234"/>
        </w:trPr>
        <w:tc>
          <w:tcPr>
            <w:tcW w:w="68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rate decrease</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3"/>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Agency MSR - interest rate sensitive (1)</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318"/>
        </w:trPr>
        <w:tc>
          <w:tcPr>
            <w:tcW w:w="6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value of securitized HECM loans, net of HMBS-related borrowing</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Loans held for investment - Unsecuritized HECM loans and tails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Pipeline IRLCs</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hedges (sum of the above)</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Hypothetical 30% offset by hedging instruments (2)</w:t>
            </w: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hedge position (3) (4)</w:t>
            </w: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23"/>
        </w:trPr>
        <w:tc>
          <w:tcPr>
            <w:tcW w:w="68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spacing w:after="0"/>
              <w:rPr>
                <w:sz w:val="19"/>
                <w:szCs w:val="19"/>
                <w:color w:val="auto"/>
              </w:rPr>
            </w:pPr>
          </w:p>
        </w:tc>
      </w:tr>
      <w:tr>
        <w:trPr>
          <w:trHeight w:val="257"/>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Hypothetical residual exposure to changes in interest rates</w:t>
            </w: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6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right="280" w:hanging="332"/>
        <w:spacing w:after="0" w:line="255"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 a result of the termination of the PMC MSR Agreement, the MSRs and the related MSR financing liability related to Agency MSR were derecognized from our balance sheet on February 20, 2020.</w:t>
      </w:r>
    </w:p>
    <w:p>
      <w:pPr>
        <w:spacing w:after="0" w:line="1" w:lineRule="exact"/>
        <w:rPr>
          <w:rFonts w:ascii="Arial" w:cs="Arial" w:eastAsia="Arial" w:hAnsi="Arial"/>
          <w:sz w:val="16"/>
          <w:szCs w:val="16"/>
          <w:color w:val="auto"/>
        </w:rPr>
      </w:pPr>
    </w:p>
    <w:p>
      <w:pPr>
        <w:ind w:left="340" w:right="440" w:hanging="332"/>
        <w:spacing w:after="0" w:line="24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Hypothetical 30% offset is calculated in the above table as a percentage of the net MSR exposure, that is, the Agency MSR less natural hedges, i.e., pipeline and economic MSR of reverse mortgage loans.</w:t>
      </w:r>
    </w:p>
    <w:p>
      <w:pPr>
        <w:ind w:left="340" w:right="200" w:hanging="332"/>
        <w:spacing w:after="0" w:line="24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Total hedge position is defined as the sum of the fair value changes of hedging derivatives and the fair value changes of natural hedges due to interest rate risks, i.e., pipeline and economic MSR of reverse mortgage loans.</w:t>
      </w:r>
    </w:p>
    <w:p>
      <w:pPr>
        <w:ind w:left="340" w:right="320" w:hanging="332"/>
        <w:spacing w:after="0" w:line="257"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define our hedge coverage ratio as the total hedge position (derivatives and natural hedges) as a percentage of the Agency MSR exposure, or 48% in the above table.</w:t>
      </w:r>
    </w:p>
    <w:p>
      <w:pPr>
        <w:spacing w:after="0" w:line="18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w:t>
      </w:r>
    </w:p>
    <w:p>
      <w:pPr>
        <w:spacing w:after="0" w:line="18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TBAs and Interest rate swap futures are subject to margin requirements. Ocwen may be required to post or may be entitled to receive cash collateral with its counterparties, based on daily value changes of the instruments. Changes in market</w:t>
      </w:r>
    </w:p>
    <w:p>
      <w:pPr>
        <w:sectPr>
          <w:pgSz w:w="11900" w:h="16838" w:orient="portrait"/>
          <w:cols w:equalWidth="0" w:num="1">
            <w:col w:w="11180"/>
          </w:cols>
          <w:pgMar w:left="320" w:top="661" w:right="399" w:bottom="1440" w:gutter="0" w:footer="0" w:header="0"/>
        </w:sect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80"/>
          </w:cols>
          <w:pgMar w:left="320" w:top="661" w:right="399" w:bottom="1440" w:gutter="0" w:footer="0" w:header="0"/>
          <w:type w:val="continuous"/>
        </w:sectPr>
      </w:pPr>
    </w:p>
    <w:bookmarkStart w:id="103" w:name="page104"/>
    <w:bookmarkEnd w:id="103"/>
    <w:p>
      <w:pPr>
        <w:ind w:right="320"/>
        <w:spacing w:after="0" w:line="277" w:lineRule="auto"/>
        <w:rPr>
          <w:sz w:val="20"/>
          <w:szCs w:val="20"/>
          <w:color w:val="auto"/>
        </w:rPr>
      </w:pPr>
      <w:r>
        <w:rPr>
          <w:rFonts w:ascii="Arial" w:cs="Arial" w:eastAsia="Arial" w:hAnsi="Arial"/>
          <w:sz w:val="18"/>
          <w:szCs w:val="18"/>
          <w:color w:val="auto"/>
        </w:rPr>
        <w:t>factors, including interest rates, and our credit rating could require us to post additional cash collateral and could have a material adverse impact on our financial condition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 and MSR Financing Liabilities</w:t>
      </w:r>
    </w:p>
    <w:p>
      <w:pPr>
        <w:spacing w:after="0" w:line="229"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Our entire portfolio of MSRs is accounted for using the fair value measurement method. MSRs are subject to interest rate risk as the mortgage loans underlying the MSRs permit borrowers to prepay their loans. The fair value of MSRs generally decreases in periods where interest rates are declining, as prepayments increase, and generally increases in periods where interest rates are increasing, as prepayments decrease.</w:t>
      </w:r>
    </w:p>
    <w:p>
      <w:pPr>
        <w:spacing w:after="0" w:line="5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While the majority of our non-Agency MSRs have been sold to NRZ, these transactions did not qualify as sales and are accounted for as secured financings.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a component of interest expense in our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Loans Held for Investment and IRLCs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our Originations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variable-rate loan commitments. This interest rate exposure had historically been economically hedged with freestanding derivatives, including forward sales of agency TBAs and forward mortgage-backed securities (Forward MBS). Beginning in September 2019, this exposure is not individually hedged, but rather used as an offset to our MSR exposure and managed as part of our MSR hedging strategy described above.</w:t>
      </w:r>
    </w:p>
    <w:p>
      <w:pPr>
        <w:spacing w:after="0" w:line="7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elected fair value accounting for newly repurchased loans from securitization trusts or investors after January 1, 2020. We may repurchase loans that have been modified, to facilitate loss reduction strategies, or as otherwise obligated as a Ginnie Mae servicer.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and HMBS-related Borrowings</w:t>
      </w:r>
    </w:p>
    <w:p>
      <w:pPr>
        <w:spacing w:after="0" w:line="135" w:lineRule="exact"/>
        <w:rPr>
          <w:sz w:val="20"/>
          <w:szCs w:val="20"/>
          <w:color w:val="auto"/>
        </w:rPr>
      </w:pPr>
    </w:p>
    <w:p>
      <w:pPr>
        <w:ind w:right="300" w:firstLine="324"/>
        <w:spacing w:after="0" w:line="270" w:lineRule="auto"/>
        <w:rPr>
          <w:sz w:val="20"/>
          <w:szCs w:val="20"/>
          <w:color w:val="auto"/>
        </w:rPr>
      </w:pPr>
      <w:r>
        <w:rPr>
          <w:rFonts w:ascii="Arial" w:cs="Arial" w:eastAsia="Arial" w:hAnsi="Arial"/>
          <w:sz w:val="18"/>
          <w:szCs w:val="18"/>
          <w:color w:val="auto"/>
        </w:rPr>
        <w:t>We elected fair value accounting for the entire reverse mortgage HECM loans, which are held for investment, together with the HMBS-related borrowings. We also elected fair value accounting for non-cancellable draw commitments (tails) of our HECM loans. The fair value of our HECM loan portfolio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9"/>
          <w:szCs w:val="19"/>
          <w:color w:val="auto"/>
        </w:rPr>
        <w:t>.</w:t>
      </w:r>
    </w:p>
    <w:p>
      <w:pPr>
        <w:spacing w:after="0" w:line="6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Both reverse assets (reverse pipeline and HMSR) act as a partial hedge for our forward MSR value sensitivity. Due to this characteristic, beginning in September 2019, this exposure is used as an offset to our MSR exposure and managed as part of our MSR hedging strategy described above.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Match Funded Liabilities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320" w:top="665"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Interest Rate-Sensitive Financial Instruments</w:t>
      </w:r>
    </w:p>
    <w:p>
      <w:pPr>
        <w:spacing w:after="0" w:line="121"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4 – Fair Value to the Unaudited Consolidated Financial Statements for additional information regarding fair value of financial instruments.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5"/>
          </w:tcPr>
          <w:p>
            <w:pPr>
              <w:ind w:left="660"/>
              <w:spacing w:after="0"/>
              <w:rPr>
                <w:sz w:val="20"/>
                <w:szCs w:val="20"/>
                <w:color w:val="auto"/>
              </w:rPr>
            </w:pPr>
            <w:r>
              <w:rPr>
                <w:rFonts w:ascii="Arial" w:cs="Arial" w:eastAsia="Arial" w:hAnsi="Arial"/>
                <w:sz w:val="18"/>
                <w:szCs w:val="18"/>
                <w:b w:val="1"/>
                <w:bCs w:val="1"/>
                <w:color w:val="auto"/>
              </w:rPr>
              <w:t>March 31, 2020</w:t>
            </w:r>
          </w:p>
        </w:tc>
        <w:tc>
          <w:tcPr>
            <w:tcW w:w="260" w:type="dxa"/>
            <w:vAlign w:val="bottom"/>
          </w:tcPr>
          <w:p>
            <w:pPr>
              <w:spacing w:after="0"/>
              <w:rPr>
                <w:sz w:val="20"/>
                <w:szCs w:val="20"/>
                <w:color w:val="auto"/>
              </w:rPr>
            </w:pPr>
          </w:p>
        </w:tc>
        <w:tc>
          <w:tcPr>
            <w:tcW w:w="27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(1)</w:t>
            </w: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Fair Value (1)</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262,143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262,143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433,224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433,224</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sale,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208,752</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(2)</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66,517</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6,568,821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6,568,821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6,269,596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6,269,596</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Debt service accounts and time deposits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23,666</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rate-sensitive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7,093,218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7,093,218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7,001,755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7,001,755</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Advance match funded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625,951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631,247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679,109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679,507</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HMBS-related borrowings,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6,063,435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6,063,435</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SSTL and other secured borrowings (3) (4)</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807,001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758,115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1,030,306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1,010,789</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notes (4)</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270,022</w:t>
            </w:r>
          </w:p>
        </w:tc>
      </w:tr>
      <w:tr>
        <w:trPr>
          <w:trHeight w:val="250"/>
        </w:trPr>
        <w:tc>
          <w:tcPr>
            <w:tcW w:w="508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8,069,095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7,965,734</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8,085,902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8,023,753</w:t>
            </w:r>
          </w:p>
        </w:tc>
      </w:tr>
      <w:tr>
        <w:trPr>
          <w:trHeight w:val="122"/>
        </w:trPr>
        <w:tc>
          <w:tcPr>
            <w:tcW w:w="50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6"/>
          </w:tcPr>
          <w:p>
            <w:pPr>
              <w:ind w:left="660"/>
              <w:spacing w:after="0"/>
              <w:rPr>
                <w:sz w:val="20"/>
                <w:szCs w:val="20"/>
                <w:color w:val="auto"/>
              </w:rPr>
            </w:pPr>
            <w:r>
              <w:rPr>
                <w:rFonts w:ascii="Arial" w:cs="Arial" w:eastAsia="Arial" w:hAnsi="Arial"/>
                <w:sz w:val="18"/>
                <w:szCs w:val="18"/>
                <w:b w:val="1"/>
                <w:bCs w:val="1"/>
                <w:color w:val="auto"/>
              </w:rPr>
              <w:t>March 31, 2020</w:t>
            </w:r>
          </w:p>
        </w:tc>
        <w:tc>
          <w:tcPr>
            <w:tcW w:w="27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6"/>
              </w:rPr>
              <w:t>Fair</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w:t>
            </w:r>
          </w:p>
        </w:tc>
      </w:tr>
      <w:tr>
        <w:trPr>
          <w:trHeight w:val="234"/>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320" w:type="dxa"/>
            <w:vAlign w:val="bottom"/>
          </w:tcPr>
          <w:p>
            <w:pPr>
              <w:spacing w:after="0"/>
              <w:rPr>
                <w:sz w:val="20"/>
                <w:szCs w:val="20"/>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3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caps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IRLCs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382,773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232,566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4,878</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Forward trades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Interest rate swap futures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TBA / Forward MBS trades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r>
      <w:tr>
        <w:trPr>
          <w:trHeight w:val="257"/>
        </w:trPr>
        <w:tc>
          <w:tcPr>
            <w:tcW w:w="508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5,907</w:t>
            </w: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See Note 4 – Fair Value to the Unaudited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5"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Balances are exclusive of any related discount or unamortized debt issuance costs.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66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Loans Held for Investment and Related Derivatives</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following table summarizes the estimated change in the fair value of our MSRs, HECM loans held for investment and loans held for sale that we have elected to carry at fair value as well as any related derivatives at March 31, 2020, given hypothetical instantaneous parallel shifts in the yield curve. We used March 31, 2020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value of securitized HECM loans, net of HMBS-related borrowing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Loans held for investment - Unsecuritized HECM loans and tails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TBA / Forward MBS trades / Interest rate swap futures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91"/>
        </w:trPr>
        <w:tc>
          <w:tcPr>
            <w:tcW w:w="79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MSRs (2)</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91"/>
        </w:trPr>
        <w:tc>
          <w:tcPr>
            <w:tcW w:w="79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left="340" w:right="100" w:hanging="332"/>
        <w:spacing w:after="0" w:line="252"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Pledged MSR liability expense.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Forward mortgage loans only.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440" w:firstLine="324"/>
        <w:spacing w:after="0" w:line="342" w:lineRule="auto"/>
        <w:rPr>
          <w:sz w:val="20"/>
          <w:szCs w:val="20"/>
          <w:color w:val="auto"/>
        </w:rPr>
      </w:pPr>
      <w:r>
        <w:rPr>
          <w:rFonts w:ascii="Arial" w:cs="Arial" w:eastAsia="Arial" w:hAnsi="Arial"/>
          <w:sz w:val="16"/>
          <w:szCs w:val="16"/>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Based on March 31, 2020 balances, if interest rates were to increase by 1% on our variable-rate debt and interest earning cash and float balances, we estimate a net positive impact of approximately $11.8 million resulting from an increase of $22.0 million in annual interest income and an increase of $10.2 million in annual interest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Prices</w:t>
      </w:r>
    </w:p>
    <w:p>
      <w:pPr>
        <w:spacing w:after="0" w:line="22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March 31, 2020.</w:t>
      </w:r>
    </w:p>
    <w:p>
      <w:pPr>
        <w:spacing w:after="0" w:line="7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Based on such evaluation, management concluded that our disclosure controls and procedures as of March 31, 2020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w:t>
      </w:r>
    </w:p>
    <w:p>
      <w:pPr>
        <w:sectPr>
          <w:pgSz w:w="11900" w:h="16838" w:orient="portrait"/>
          <w:cols w:equalWidth="0" w:num="1">
            <w:col w:w="11240"/>
          </w:cols>
          <w:pgMar w:left="320" w:top="661"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0"/>
          </w:cols>
          <w:pgMar w:left="320" w:top="661" w:right="339" w:bottom="1440" w:gutter="0" w:footer="0" w:header="0"/>
          <w:type w:val="continuous"/>
        </w:sectPr>
      </w:pPr>
    </w:p>
    <w:bookmarkStart w:id="106" w:name="page107"/>
    <w:bookmarkEnd w:id="106"/>
    <w:p>
      <w:pPr>
        <w:spacing w:after="0" w:line="263" w:lineRule="auto"/>
        <w:rPr>
          <w:sz w:val="20"/>
          <w:szCs w:val="20"/>
          <w:color w:val="auto"/>
        </w:rPr>
      </w:pPr>
      <w:r>
        <w:rPr>
          <w:rFonts w:ascii="Arial" w:cs="Arial" w:eastAsia="Arial" w:hAnsi="Arial"/>
          <w:sz w:val="18"/>
          <w:szCs w:val="18"/>
          <w:color w:val="auto"/>
        </w:rPr>
        <w:t>Securities Exchange Act of 1934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7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fiscal quarter ended March 31, 2020 that have materially affected, or are reasonably likely to materially affect, our internal control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See Note 19 – Regulatory Requirements and Note 21 – Contingencies to the Unaudited Consolidated Financial Statements. That information is incorporated into this item by reference.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 investment in our common stock involves significant risk. We describe the most significant risks that management believes affect or could affect us under Part I of our Annual Report on Form 10-K for the year ended December 31, 2019.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to the risks described in our Annual Report on Form 10-K for the year ended December 31, 2019, you should consider the following:</w:t>
      </w:r>
    </w:p>
    <w:p>
      <w:pPr>
        <w:spacing w:after="0" w:line="1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The COVID-19 pandemic and related efforts to mitigate the pandemic have impacted our business, and the extent to which the COVID-19 pandemic and measures taken to contain its spread ultimately impact our business will depend on future developments, which are highly uncertain and are difficult to predict.</w:t>
      </w:r>
    </w:p>
    <w:p>
      <w:pPr>
        <w:spacing w:after="0" w:line="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March 2020, the WHO categorized COVID-19 as a pandemic and the COVID-19 outbreak was declared a national emergency in the U.S. The COVID-19 pandemic is adversely affecting economic conditions, including an increase in unemployment, and is creating significant uncertainty about the duration and magnitude of the downturn in the economy. In response, on March 27, 2020, the CARES Act was signed into law, allowing borrowers affected by COVID-19 to request temporary loan forbearance for federally backed mortgage loans. In addition, multiple forbearance programs, moratoria of foreclosure and eviction and other requirements to assist borrowers enduring financial hardship due to COVID-19 are being issued by states, agencies and regulators. These measures could stay in place for an extended period of time. If we are unable to comply with, or face allegations that we are in breach of, applicable laws, regulations or other requirements, we may face regulatory action, including fines, penalties, and restrictions on our business. In addition, we could face litigation and reputational damage.</w:t>
      </w:r>
    </w:p>
    <w:p>
      <w:pPr>
        <w:spacing w:after="0" w:line="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Notwithstanding the relief provided by the CARES Act, we expect delinquencies and forbearance loans to rise in the near term. Delinquent loans and forbearance loans reduce our servicing fee revenue and are more costly to service. An increase in loans in forbearance, an increase in delinquencies, further declines in market or mortgage rates and other assumptions changes would also further decrease the fair value of our MSR portfolio. We reported a $174.1 million loss in MSR valuation adjustments, net in the first quarter of 2020, mostly driven by a $156.7 million loss due to the decline in interest rates due to the COVID-19 pandemic (117 basis-point decline in the 10-year treasury swap rate). In addition, as servicer, we are required to advance unpaid principal and interest to investors and to make advances for unpaid taxes and insurance and other costs to the extent that we determine that such amounts are recoverable. An increase in loans in forbearance or an increase in delinquencies would increase our servicing advances and may increase the related interest expense. Such an increase could also adversely affect our liquidity and our ability to fund servicing advances or finance our business. We are currently negotiating extensions and increases to advance facility commitments with our lenders.</w:t>
      </w:r>
    </w:p>
    <w:p>
      <w:pPr>
        <w:spacing w:after="0" w:line="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Depending on the severity and longevity of the COVID-19 pandemic, the related efforts taken to reduce its spread, and the possibility of a resurgence of the COVID-19 pandemic, we could recognize a significant adverse impact to our liquidity position. As of March 31, 2020 we had approximately $789.0 million of debt outstanding under facilities coming due in the next 12 months. Portions of our match funded advance facilities and all of our mortgage loan warehouse facilities have 364-day terms consistent with market practice. We have historically renewed these facilities on or before their expiration in the ordinary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665" w:right="339" w:bottom="1440" w:gutter="0" w:footer="0" w:header="0"/>
        </w:sectPr>
      </w:pPr>
    </w:p>
    <w:bookmarkStart w:id="107" w:name="page108"/>
    <w:bookmarkEnd w:id="107"/>
    <w:p>
      <w:pPr>
        <w:spacing w:after="0" w:line="290" w:lineRule="auto"/>
        <w:rPr>
          <w:sz w:val="20"/>
          <w:szCs w:val="20"/>
          <w:color w:val="auto"/>
        </w:rPr>
      </w:pPr>
      <w:r>
        <w:rPr>
          <w:rFonts w:ascii="Arial" w:cs="Arial" w:eastAsia="Arial" w:hAnsi="Arial"/>
          <w:sz w:val="16"/>
          <w:szCs w:val="16"/>
          <w:color w:val="auto"/>
        </w:rPr>
        <w:t>course of financing our business. As a result of COVID-19, we may be required to raise additional capital to finance our advance obligations as a servicer and to support our operations during this economic downturn. There is no guarantee that debt financings will be available in the future, or that such financing will be available on terms consistent with our historical agreements or expectations. Further, on April 13, 2020, S&amp;P placed the ratings outlook of Ocwen on CreditWatch with negative implications due to the uncertain economic impact of COVID-19 on liquidity. If our credit ratings are downgraded, or general market conditions were to ascribe higher risk to our rating levels, our industry, or us, our access to capital and the cost of any debt financing will be further negatively impacted. In addition, the terms of future debt agreements could include more restrictive covenants, or require incremental collateral, which may further restrict our business operations or be unavailable due to our covenant restrictions then in effect. See Item 2. Management’s Discussion and Analysis of Financial Condition and Results of Operations--Liquidity and Capital Resources--COVID-19 Update and Outlook.</w:t>
      </w:r>
    </w:p>
    <w:p>
      <w:pPr>
        <w:spacing w:after="0" w:line="16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also experienced in the first quarter of 2020, and may continue to experience, losses in the valuation of our MSRs, loans or other instruments. Further, our operations may be impacted by reduced employee availability due to illness, voluntary or government mandated social distancing and travel restrictions, as well as our transition to secured remote work arrangements for approximately 92% of our employees. Remote working arrangements could impact employees’ productivity, and brings increased risks from potentially less secure and less private work environments. In addition, increased reliance on remote connections and conferencing technology may increase stress on the systems and processes we rely on to conduct our business, including the programs in place to prevent, detect and respond to cybersecurity incidents.</w:t>
      </w:r>
    </w:p>
    <w:p>
      <w:pPr>
        <w:spacing w:after="0" w:line="178"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These factors may remain prevalent for a significant period of time and may continue to adversely affect our business, results of operations and financial condition even after the COVID-19 pandemic has subsided. As noted in Item 2. Management’s Discussion and Analysis of Financial Condition and Results of Operations, our ability to execute on our key initiatives has been hindered by the recent COVID-19 environment. These factors may also reduce the capacity of vendors, government agencies, and other third parties on whom we are dependent to conduct our operations. In addition, if a resurgence of the COVID-19 virus occurs after the initial outbreak subsides, these factors will be exacerbated.</w:t>
      </w:r>
    </w:p>
    <w:p>
      <w:pPr>
        <w:spacing w:after="0" w:line="17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As this situation is ongoing and the duration and severity of the COVID-19 pandemic is uncertain at this time, it is difficult to forecast the eventual long-term impacts on our future operating results or financial condition. We expect the COVID-19 pandemic will negatively impact our financial results, including having a larger impact on our results of operations for the second quarter and remainder of this year than has been reflected in our first quarter results for 2020. The extent to which the coronavirus pandemic and measures taken to contain its spread ultimately impact our business will depend on future developments, which are highly uncertain and are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and the rules and regulations to which we are subject have been changing and increasing rapidly in response to the COVID-19 pandemic. If we fail to operate our business in compliance with both existing and future regulations, our business, reputation, financial condition or results of operations could be materially and adversely affected.</w:t>
      </w:r>
    </w:p>
    <w:p>
      <w:pPr>
        <w:spacing w:after="0" w:line="1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CFPB, HUD, the SEC and various state agencies that license and conduct examinations of our servicing and lending activities. In addition, we must comply with the requirements of the GSEs (and their conservator, the FHFA), Ginnie Mae, and the United States Treasury Department. These regulations and requirements have been changing rapidly as these entities have responded to the COVID-19 pandemic. On March 27, 2020, the CARES Act was signed into law, allowing borrowers affected by COVID-19 to request temporary loan forbearance for federally backed mortgage loans. Multiple forbearance programs, moratoria of foreclosure and eviction and other requirements to assist borrowers enduring financial hardship due to COVID-19 are being issued by states, agencies and regulators. These requirements vary across jurisdiction, may conflict in some circumstances, and can be complex to interpret and implement. If we are unable to comply with, or face allegations that we are in breach of, applicable laws, regulations or other requirements, we may face regulatory action, including fines, penalties, and restrictions on our business. In addition, we could face litigation and reputational damage. Any of these risks could have a material adverse impact on our business, financial condition, liquidity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Financing Our Business, Liquidity and Net Worth and the Economy</w:t>
      </w:r>
    </w:p>
    <w:p>
      <w:pPr>
        <w:spacing w:after="0" w:line="1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Because we remain obligated to continue making servicing advances for delinquent loans and loans which are the subject of forbearance plans, in the event of a surge in delinquencies and loans entering forbearance, our advance obligations could exceed our available liquidity sources, which would adversely affect our financial condition and results of operations.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CARES Act enacted in response to the COVID-19 pandemic allows borrowers affected by COVID-19 to request temporary loan forbearance for federally-backed mortgage loans. In addition, multiple states, agencies and regulators have issued forbearance programs, moratoria of foreclosure and/or eviction and other requirements to assist borrowers enduring financial hardship. In accordance with agency and regulatory requirements, we are offering all eligible borrowers affected by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665" w:right="339" w:bottom="1440" w:gutter="0" w:footer="0" w:header="0"/>
        </w:sectPr>
      </w:pPr>
    </w:p>
    <w:bookmarkStart w:id="108" w:name="page109"/>
    <w:bookmarkEnd w:id="108"/>
    <w:p>
      <w:pPr>
        <w:ind w:right="20"/>
        <w:spacing w:after="0" w:line="254" w:lineRule="auto"/>
        <w:rPr>
          <w:sz w:val="20"/>
          <w:szCs w:val="20"/>
          <w:color w:val="auto"/>
        </w:rPr>
      </w:pPr>
      <w:r>
        <w:rPr>
          <w:rFonts w:ascii="Arial" w:cs="Arial" w:eastAsia="Arial" w:hAnsi="Arial"/>
          <w:sz w:val="18"/>
          <w:szCs w:val="18"/>
          <w:color w:val="auto"/>
        </w:rPr>
        <w:t>COVID-19, regardless of whether they are explicitly covered by the CARES Act, a 90-day forbearance plan, which suspends the obligation to pay monthly installments during the term of the forbearance plan. Borrowers will not be required to repay their suspended mortgage payments until after the forbearance period ends and we will not charge late fees or proceed with foreclosure activity during the term of the forbearance period. At the conclusion of the initial 90-day forbearance period, depending on the borrower’s individual situation and applicable regulatory and investor guidelines, we anticipate either extending forbearance or reviewing borrowers for other loss mitigation options, such as repayment plans, payment deferrals, or modifications if their financial hardship persists. The elevated delinquency rate, the surge in loans under forbearance plans, and the moratorium on evictions and foreclosure will reduce our cash inflows as we will not collect, or collect less, servicing fees or ancillary income, such as late fees, from borrowers facing financial hardship.</w:t>
      </w:r>
    </w:p>
    <w:p>
      <w:pPr>
        <w:spacing w:after="0" w:line="19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servicer, we are required to advance to investors the principal and interest installments not collected from borrowers for those delinquent loans, including those on forbearance. In the normal course of business as servicer or master servicer, we are required to advance P&amp;I and T&amp;I on behalf of the borrower to the investor of the loan, if delinquent or under a forbearance plan. We also advance Corporate advances on properties that are in default or have been foreclosed. Our obligations to make these advances are governed by servicing agreements or guides, depending on the investors or guarantor, and vary with respect to the type of advances we are required to make, the circumstances under which we may stop advancing, and the method and timeframe for recovering amounts owed to us. See Item 2. Management’s Discussion and Analysis of Financial Condition and Results of Operations - Liquidity and Capital Resources, and Note 20 — Commitments.</w:t>
      </w:r>
    </w:p>
    <w:p>
      <w:pPr>
        <w:spacing w:after="0" w:line="17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believe, based on current estimates, that we can continue to meet our servicing advance needs by utilizing our existing servicing advance financing facilities and other liquidity sources. However, due to the considerable uncertainty in the current environment relating to the impact of the COVID-19 pandemic, including with respect to the response of the U.S. government, state governments, the GSEs, Ginnie Mae and regulators, and the potential for ongoing disruption in the financial markets and in commercial activity generally, forecasting our liquidity and financial condition is particularly challenging and we cannot assure you that our liquidity resources will continue to be sufficient to meet our servicing advance obligations. If we become unable to comply with our servicing obligations, or if our contractual counterparties dispute our interpretation of our servicing obligations, it could cause us to actually or allegedly default under our servicing agreements, which could potentially cause cross-defaults under our debt financing agreements, and have a material adverse effect on our operating results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 and Other Risks Related to our Business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Our shift to remote work arrangements may increase our risks of cybersecurity breaches or system failures, which may interrupt or delay our ability to provide services to our customers, expose our business and our customers to harm and otherwise adversely affect our operations.</w:t>
      </w:r>
    </w:p>
    <w:p>
      <w:pPr>
        <w:spacing w:after="0" w:line="12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Ocwen is currently operating through a secured remote workforce model for approximately 92% of our global workforce, which we believe offers the best protection for our employees and the communities in which they live and provides the best assurance of our continued ability to serve borrowers and investors. However, the shift to “work from home” arrangements brings increased risks from potentially less secure and less private work environments. In addition, increased reliance on remote connections and conferencing technology may increase stress on the systems and processes we rely on to conduct our business, including the programs in place to prevent, detect and respond to cybersecurity incidents. Disruptions and failures of our systems or those of our vendors may interrupt or delay our ability to provide services to our customers, expose us to remedial costs and reputational damage, and otherwise adversely affect our operations. If any of the foregoing were to occur, it could have a material adverse effect on our results of operations, financial condition and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regain compliance with NYSE continued listing standards, our common stock could be delisted, which could have significant adverse effects on our operations, liquidity, and the trading market for our common stock.</w:t>
      </w:r>
    </w:p>
    <w:p>
      <w:pPr>
        <w:spacing w:after="0" w:line="89" w:lineRule="exact"/>
        <w:rPr>
          <w:sz w:val="20"/>
          <w:szCs w:val="20"/>
          <w:color w:val="auto"/>
        </w:rPr>
      </w:pPr>
    </w:p>
    <w:p>
      <w:pPr>
        <w:ind w:right="40" w:firstLine="324"/>
        <w:spacing w:after="0" w:line="344" w:lineRule="auto"/>
        <w:rPr>
          <w:sz w:val="20"/>
          <w:szCs w:val="20"/>
          <w:color w:val="auto"/>
        </w:rPr>
      </w:pPr>
      <w:r>
        <w:rPr>
          <w:rFonts w:ascii="Arial" w:cs="Arial" w:eastAsia="Arial" w:hAnsi="Arial"/>
          <w:sz w:val="16"/>
          <w:szCs w:val="16"/>
          <w:color w:val="auto"/>
        </w:rPr>
        <w:t>As previously disclosed, we were notified on April 8, 2020 by the NYSE that we were non-compliant with the NYSE’s continued listing standards because the average closing price of our common stock over the 30 trading-day period ending April 7, 2020 was less than $1.00. If we are not able to regain compliance with the NYSE’s share price standards, which generally require that on the last trading day of any calendar month during a six month cure period, our common stock has a closing share price of at least $1.00 and an average closing share price of at least $1.00 over the 30 trading-day period ending on the last trading day of that month, we will be delisted from the NYSE. On April 21, 2020, the NYSE announced that, due to market-wide declines brought about by the extraordinary circumstances of the COVID-19 pandemic, it would toll until July 1, 2020 the running of cure periods for companies not in compliance with the minimum share price standard. As a result, the remainder of Ocwen’s cure period will be tolled until July 1, 2020 and we must regain compliance with the NYSE’s share price standard by December 17, 2020. The likelihood and nature of any further NYSE relief remain uncertain at this time. If we are unable to achieve an increase in our stock price and our common stock is subsequently delisted, we would experience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665" w:right="339" w:bottom="1440" w:gutter="0" w:footer="0" w:header="0"/>
        </w:sectPr>
      </w:pPr>
    </w:p>
    <w:bookmarkStart w:id="109" w:name="page110"/>
    <w:bookmarkEnd w:id="109"/>
    <w:p>
      <w:pPr>
        <w:ind w:right="320"/>
        <w:spacing w:after="0" w:line="342" w:lineRule="auto"/>
        <w:rPr>
          <w:sz w:val="20"/>
          <w:szCs w:val="20"/>
          <w:color w:val="auto"/>
        </w:rPr>
      </w:pPr>
      <w:r>
        <w:rPr>
          <w:rFonts w:ascii="Arial" w:cs="Arial" w:eastAsia="Arial" w:hAnsi="Arial"/>
          <w:sz w:val="16"/>
          <w:szCs w:val="16"/>
          <w:color w:val="auto"/>
        </w:rPr>
        <w:t>significant negative impacts, including but not limited to, impairment of our ability to obtain debt or equity financing to support our operations, and our shareholders could experience significant negative impacts, including but not limited to, decreased trading volume and liquidity of our common stock.</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implement a reverse split of our common stock, it may not result in the benefits we anticipate, and could adversely affect our market capitalization and the liquidity of our common stock.</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Board of Directors is considering implementing a reverse stock split in a ratio of between one-for-five and one-for-25 and is seeking advisory approval of such a reverse split at our Annual Meeting of shareholders planned for May 27, 2020. If the Board implements such a reverse split, it could potentially increase our stock price and help us regain compliance with NYSE listing standards, but such an outcome is by no means guaranteed. The market price of our common stock is based on a number of factors which may be unrelated to the number of shares outstanding. These factors may include our performance, general economic and market conditions and other factors, many of which are beyond our control. The market price per share may not rise in inverse proportion to the reduction in the number of shares outstanding before the reverse stock split, and any increase in share price may not be maintained. Accordingly, the total market capitalization of our common stock after implementing a reverse stock split may be lower than the total market capitalization before the reverse stock split. Further, there can be no assurance that implementing a reverse stock split would result in a per-share market price that will attract institutional investors or investment funds or that such share price will satisfy the investing guidelines of institutional investors or investment funds. In addition, the reduced number of shares issued and outstanding after implementation of a reverse stock split could adversely affect the liquidity of our common stock by reducing the number of shares available for trading.</w:t>
      </w: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29"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On February 3, 2020, Ocwen’s Board of Directors authorized a share repurchase program for an aggregate amount of up to $5.0 million of Ocwen’s issued and outstanding shares of common stock. Repurchases may be made in open market transactions at prevailing market prices. The timing and execution of any related share repurchases is subject to market conditions, among other factors. Unless we amend the share repurchase program or repurchase the full $5.0 million amount by an earlier date, the share repurchase program will continue through February 3, 2021. No assurances can be given as to the amount of shares, if any, that we may repurchase in any given period.</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first quarter of 2020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3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97"/>
              </w:rPr>
              <w:t>Total 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8"/>
                <w:szCs w:val="18"/>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that may yet be purchased</w:t>
            </w:r>
          </w:p>
        </w:tc>
      </w:tr>
      <w:tr>
        <w:trPr>
          <w:trHeight w:val="234"/>
        </w:trPr>
        <w:tc>
          <w:tcPr>
            <w:tcW w:w="3260" w:type="dxa"/>
            <w:vAlign w:val="bottom"/>
          </w:tcPr>
          <w:p>
            <w:pPr>
              <w:ind w:left="1380"/>
              <w:spacing w:after="0"/>
              <w:rPr>
                <w:sz w:val="20"/>
                <w:szCs w:val="20"/>
                <w:color w:val="auto"/>
              </w:rPr>
            </w:pPr>
            <w:r>
              <w:rPr>
                <w:rFonts w:ascii="Arial" w:cs="Arial" w:eastAsia="Arial" w:hAnsi="Arial"/>
                <w:sz w:val="18"/>
                <w:szCs w:val="18"/>
                <w:b w:val="1"/>
                <w:bCs w:val="1"/>
                <w:color w:val="auto"/>
              </w:rPr>
              <w:t>Period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0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paid per share (1)</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repurchase program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under the repurchase program</w:t>
            </w:r>
          </w:p>
        </w:tc>
      </w:tr>
      <w:tr>
        <w:trPr>
          <w:trHeight w:val="27"/>
        </w:trPr>
        <w:tc>
          <w:tcPr>
            <w:tcW w:w="3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8"/>
              </w:rPr>
              <w:t>5.0 million</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February 1 - February 29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ind w:left="1700"/>
              <w:spacing w:after="0"/>
              <w:rPr>
                <w:sz w:val="20"/>
                <w:szCs w:val="20"/>
                <w:color w:val="auto"/>
              </w:rPr>
            </w:pPr>
            <w:r>
              <w:rPr>
                <w:rFonts w:ascii="Arial" w:cs="Arial" w:eastAsia="Arial" w:hAnsi="Arial"/>
                <w:sz w:val="18"/>
                <w:szCs w:val="18"/>
                <w:color w:val="auto"/>
                <w:w w:val="98"/>
              </w:rPr>
              <w:t>5.0 million</w:t>
            </w:r>
          </w:p>
        </w:tc>
      </w:tr>
      <w:tr>
        <w:trPr>
          <w:trHeight w:val="27"/>
        </w:trPr>
        <w:tc>
          <w:tcPr>
            <w:tcW w:w="3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5,662,257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0.7933</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5,662,257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8"/>
              </w:rPr>
              <w:t>0.5 million</w:t>
            </w:r>
          </w:p>
        </w:tc>
      </w:tr>
      <w:tr>
        <w:trPr>
          <w:trHeight w:val="257"/>
        </w:trPr>
        <w:tc>
          <w:tcPr>
            <w:tcW w:w="3260" w:type="dxa"/>
            <w:vAlign w:val="bottom"/>
          </w:tcPr>
          <w:p>
            <w:pPr>
              <w:ind w:left="28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5,662,257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0.7933</w:t>
            </w:r>
          </w:p>
        </w:tc>
        <w:tc>
          <w:tcPr>
            <w:tcW w:w="1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5,662,257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0"/>
        </w:trPr>
        <w:tc>
          <w:tcPr>
            <w:tcW w:w="3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Price paid per share does not reflect payment of commissions totaling $0.1 million.</w:t>
      </w:r>
    </w:p>
    <w:p>
      <w:pPr>
        <w:spacing w:after="0" w:line="2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37"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680" w:type="dxa"/>
            <w:vAlign w:val="bottom"/>
          </w:tcPr>
          <w:p>
            <w:pPr>
              <w:spacing w:after="0"/>
              <w:rPr>
                <w:rFonts w:ascii="Arial" w:cs="Arial" w:eastAsia="Arial" w:hAnsi="Arial"/>
                <w:sz w:val="18"/>
                <w:szCs w:val="18"/>
                <w:color w:val="auto"/>
              </w:rPr>
            </w:pPr>
            <w:hyperlink r:id="rId44">
              <w:r>
                <w:rPr>
                  <w:rFonts w:ascii="Arial" w:cs="Arial" w:eastAsia="Arial" w:hAnsi="Arial"/>
                  <w:sz w:val="18"/>
                  <w:szCs w:val="18"/>
                  <w:color w:val="auto"/>
                </w:rPr>
                <w:t>3.1</w:t>
              </w:r>
            </w:hyperlink>
          </w:p>
        </w:tc>
        <w:tc>
          <w:tcPr>
            <w:tcW w:w="9520" w:type="dxa"/>
            <w:vAlign w:val="bottom"/>
          </w:tcPr>
          <w:p>
            <w:pPr>
              <w:ind w:left="280"/>
              <w:spacing w:after="0"/>
              <w:rPr>
                <w:rFonts w:ascii="Arial" w:cs="Arial" w:eastAsia="Arial" w:hAnsi="Arial"/>
                <w:sz w:val="18"/>
                <w:szCs w:val="18"/>
                <w:color w:val="auto"/>
              </w:rPr>
            </w:pPr>
            <w:hyperlink r:id="rId44">
              <w:r>
                <w:rPr>
                  <w:rFonts w:ascii="Arial" w:cs="Arial" w:eastAsia="Arial" w:hAnsi="Arial"/>
                  <w:sz w:val="18"/>
                  <w:szCs w:val="18"/>
                  <w:color w:val="auto"/>
                </w:rPr>
                <w:t>Amended and Restated Articles of Incorporation, as amended (1)</w:t>
              </w:r>
            </w:hyperlink>
          </w:p>
        </w:tc>
      </w:tr>
      <w:tr>
        <w:trPr>
          <w:trHeight w:val="270"/>
        </w:trPr>
        <w:tc>
          <w:tcPr>
            <w:tcW w:w="680" w:type="dxa"/>
            <w:vAlign w:val="bottom"/>
          </w:tcPr>
          <w:p>
            <w:pPr>
              <w:spacing w:after="0"/>
              <w:rPr>
                <w:rFonts w:ascii="Arial" w:cs="Arial" w:eastAsia="Arial" w:hAnsi="Arial"/>
                <w:sz w:val="18"/>
                <w:szCs w:val="18"/>
                <w:color w:val="auto"/>
              </w:rPr>
            </w:pPr>
            <w:hyperlink r:id="rId45">
              <w:r>
                <w:rPr>
                  <w:rFonts w:ascii="Arial" w:cs="Arial" w:eastAsia="Arial" w:hAnsi="Arial"/>
                  <w:sz w:val="18"/>
                  <w:szCs w:val="18"/>
                  <w:color w:val="auto"/>
                </w:rPr>
                <w:t>3.2</w:t>
              </w:r>
            </w:hyperlink>
          </w:p>
        </w:tc>
        <w:tc>
          <w:tcPr>
            <w:tcW w:w="9520" w:type="dxa"/>
            <w:vAlign w:val="bottom"/>
          </w:tcPr>
          <w:p>
            <w:pPr>
              <w:ind w:left="280"/>
              <w:spacing w:after="0"/>
              <w:rPr>
                <w:rFonts w:ascii="Arial" w:cs="Arial" w:eastAsia="Arial" w:hAnsi="Arial"/>
                <w:sz w:val="18"/>
                <w:szCs w:val="18"/>
                <w:color w:val="auto"/>
              </w:rPr>
            </w:pPr>
            <w:hyperlink r:id="rId45">
              <w:r>
                <w:rPr>
                  <w:rFonts w:ascii="Arial" w:cs="Arial" w:eastAsia="Arial" w:hAnsi="Arial"/>
                  <w:sz w:val="18"/>
                  <w:szCs w:val="18"/>
                  <w:color w:val="auto"/>
                </w:rPr>
                <w:t>Amended and Restated Bylaws of Ocwen Financial Corporation (2)</w:t>
              </w:r>
            </w:hyperlink>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9520" w:type="dxa"/>
            <w:vAlign w:val="bottom"/>
          </w:tcPr>
          <w:p>
            <w:pPr>
              <w:ind w:left="280"/>
              <w:spacing w:after="0"/>
              <w:rPr>
                <w:sz w:val="20"/>
                <w:szCs w:val="20"/>
                <w:color w:val="auto"/>
              </w:rPr>
            </w:pPr>
            <w:r>
              <w:rPr>
                <w:rFonts w:ascii="Arial" w:cs="Arial" w:eastAsia="Arial" w:hAnsi="Arial"/>
                <w:sz w:val="18"/>
                <w:szCs w:val="18"/>
                <w:color w:val="auto"/>
                <w:w w:val="95"/>
              </w:rPr>
              <w:t>The Company agrees to furnish to the Securities and Exchange Commission upon request a copy of each instrument with</w:t>
            </w:r>
          </w:p>
        </w:tc>
      </w:tr>
      <w:tr>
        <w:trPr>
          <w:trHeight w:val="216"/>
        </w:trPr>
        <w:tc>
          <w:tcPr>
            <w:tcW w:w="680" w:type="dxa"/>
            <w:vAlign w:val="bottom"/>
          </w:tcPr>
          <w:p>
            <w:pPr>
              <w:spacing w:after="0"/>
              <w:rPr>
                <w:sz w:val="18"/>
                <w:szCs w:val="18"/>
                <w:color w:val="auto"/>
              </w:rPr>
            </w:pPr>
          </w:p>
        </w:tc>
        <w:tc>
          <w:tcPr>
            <w:tcW w:w="9520" w:type="dxa"/>
            <w:vAlign w:val="bottom"/>
          </w:tcPr>
          <w:p>
            <w:pPr>
              <w:ind w:left="280"/>
              <w:spacing w:after="0"/>
              <w:rPr>
                <w:sz w:val="20"/>
                <w:szCs w:val="20"/>
                <w:color w:val="auto"/>
              </w:rPr>
            </w:pPr>
            <w:r>
              <w:rPr>
                <w:rFonts w:ascii="Arial" w:cs="Arial" w:eastAsia="Arial" w:hAnsi="Arial"/>
                <w:sz w:val="18"/>
                <w:szCs w:val="18"/>
                <w:color w:val="auto"/>
                <w:w w:val="90"/>
              </w:rPr>
              <w:t>respect to the issuance of long-term debt of the Company and its subsidiaries, the authorized principal amount of which does not</w:t>
            </w:r>
          </w:p>
        </w:tc>
      </w:tr>
      <w:tr>
        <w:trPr>
          <w:trHeight w:val="230"/>
        </w:trPr>
        <w:tc>
          <w:tcPr>
            <w:tcW w:w="680" w:type="dxa"/>
            <w:vAlign w:val="bottom"/>
          </w:tcPr>
          <w:p>
            <w:pPr>
              <w:spacing w:after="0"/>
              <w:rPr>
                <w:sz w:val="20"/>
                <w:szCs w:val="20"/>
                <w:color w:val="auto"/>
              </w:rPr>
            </w:pPr>
          </w:p>
        </w:tc>
        <w:tc>
          <w:tcPr>
            <w:tcW w:w="9520" w:type="dxa"/>
            <w:vAlign w:val="bottom"/>
          </w:tcPr>
          <w:p>
            <w:pPr>
              <w:ind w:left="280"/>
              <w:spacing w:after="0"/>
              <w:rPr>
                <w:sz w:val="20"/>
                <w:szCs w:val="20"/>
                <w:color w:val="auto"/>
              </w:rPr>
            </w:pPr>
            <w:r>
              <w:rPr>
                <w:rFonts w:ascii="Arial" w:cs="Arial" w:eastAsia="Arial" w:hAnsi="Arial"/>
                <w:sz w:val="18"/>
                <w:szCs w:val="18"/>
                <w:color w:val="auto"/>
              </w:rPr>
              <w:t>exceed 10% of the consolidated assets of the Company and its subsidiaries.</w:t>
            </w:r>
          </w:p>
        </w:tc>
      </w:tr>
      <w:tr>
        <w:trPr>
          <w:trHeight w:val="256"/>
        </w:trPr>
        <w:tc>
          <w:tcPr>
            <w:tcW w:w="680" w:type="dxa"/>
            <w:vAlign w:val="bottom"/>
          </w:tcPr>
          <w:p>
            <w:pPr>
              <w:spacing w:after="0"/>
              <w:rPr>
                <w:rFonts w:ascii="Arial" w:cs="Arial" w:eastAsia="Arial" w:hAnsi="Arial"/>
                <w:sz w:val="18"/>
                <w:szCs w:val="18"/>
                <w:color w:val="auto"/>
              </w:rPr>
            </w:pPr>
            <w:hyperlink r:id="rId46">
              <w:r>
                <w:rPr>
                  <w:rFonts w:ascii="Arial" w:cs="Arial" w:eastAsia="Arial" w:hAnsi="Arial"/>
                  <w:sz w:val="18"/>
                  <w:szCs w:val="18"/>
                  <w:color w:val="auto"/>
                </w:rPr>
                <w:t>10.1†</w:t>
              </w:r>
            </w:hyperlink>
          </w:p>
        </w:tc>
        <w:tc>
          <w:tcPr>
            <w:tcW w:w="9520" w:type="dxa"/>
            <w:vAlign w:val="bottom"/>
          </w:tcPr>
          <w:p>
            <w:pPr>
              <w:ind w:left="280"/>
              <w:spacing w:after="0"/>
              <w:rPr>
                <w:rFonts w:ascii="Arial" w:cs="Arial" w:eastAsia="Arial" w:hAnsi="Arial"/>
                <w:sz w:val="18"/>
                <w:szCs w:val="18"/>
                <w:color w:val="auto"/>
                <w:w w:val="90"/>
              </w:rPr>
            </w:pPr>
            <w:hyperlink r:id="rId46">
              <w:r>
                <w:rPr>
                  <w:rFonts w:ascii="Arial" w:cs="Arial" w:eastAsia="Arial" w:hAnsi="Arial"/>
                  <w:sz w:val="18"/>
                  <w:szCs w:val="18"/>
                  <w:color w:val="auto"/>
                  <w:w w:val="90"/>
                </w:rPr>
                <w:t>Joinder and Second Amendment Agreement, dated as of January 27, 2020, to the Amended and Restated Senior Secured Term</w:t>
              </w:r>
            </w:hyperlink>
          </w:p>
        </w:tc>
      </w:tr>
      <w:tr>
        <w:trPr>
          <w:trHeight w:val="230"/>
        </w:trPr>
        <w:tc>
          <w:tcPr>
            <w:tcW w:w="680" w:type="dxa"/>
            <w:vAlign w:val="bottom"/>
          </w:tcPr>
          <w:p>
            <w:pPr>
              <w:spacing w:after="0"/>
              <w:rPr>
                <w:sz w:val="20"/>
                <w:szCs w:val="20"/>
                <w:color w:val="auto"/>
              </w:rPr>
            </w:pPr>
          </w:p>
        </w:tc>
        <w:tc>
          <w:tcPr>
            <w:tcW w:w="9520" w:type="dxa"/>
            <w:vAlign w:val="bottom"/>
          </w:tcPr>
          <w:p>
            <w:pPr>
              <w:ind w:left="280"/>
              <w:spacing w:after="0"/>
              <w:rPr>
                <w:rFonts w:ascii="Arial" w:cs="Arial" w:eastAsia="Arial" w:hAnsi="Arial"/>
                <w:sz w:val="18"/>
                <w:szCs w:val="18"/>
                <w:color w:val="auto"/>
              </w:rPr>
            </w:pPr>
            <w:hyperlink r:id="rId46">
              <w:r>
                <w:rPr>
                  <w:rFonts w:ascii="Arial" w:cs="Arial" w:eastAsia="Arial" w:hAnsi="Arial"/>
                  <w:sz w:val="18"/>
                  <w:szCs w:val="18"/>
                  <w:color w:val="auto"/>
                </w:rPr>
                <w:t>Loan Facility Agreement (3)</w:t>
              </w:r>
            </w:hyperlink>
          </w:p>
        </w:tc>
      </w:tr>
      <w:tr>
        <w:trPr>
          <w:trHeight w:val="256"/>
        </w:trPr>
        <w:tc>
          <w:tcPr>
            <w:tcW w:w="68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10.2</w:t>
              </w:r>
            </w:hyperlink>
          </w:p>
        </w:tc>
        <w:tc>
          <w:tcPr>
            <w:tcW w:w="9520" w:type="dxa"/>
            <w:vAlign w:val="bottom"/>
          </w:tcPr>
          <w:p>
            <w:pPr>
              <w:ind w:left="280"/>
              <w:spacing w:after="0"/>
              <w:rPr>
                <w:rFonts w:ascii="Arial" w:cs="Arial" w:eastAsia="Arial" w:hAnsi="Arial"/>
                <w:sz w:val="18"/>
                <w:szCs w:val="18"/>
                <w:color w:val="auto"/>
                <w:w w:val="96"/>
              </w:rPr>
            </w:pPr>
            <w:hyperlink w:anchor="page113">
              <w:r>
                <w:rPr>
                  <w:rFonts w:ascii="Arial" w:cs="Arial" w:eastAsia="Arial" w:hAnsi="Arial"/>
                  <w:sz w:val="18"/>
                  <w:szCs w:val="18"/>
                  <w:color w:val="auto"/>
                  <w:w w:val="96"/>
                </w:rPr>
                <w:t>Amendment No. 2, dated as of March 11, 2020, to Agreement for the Purchase and Sale of Servicing Rights, dated as of</w:t>
              </w:r>
            </w:hyperlink>
          </w:p>
        </w:tc>
      </w:tr>
      <w:tr>
        <w:trPr>
          <w:trHeight w:val="230"/>
        </w:trPr>
        <w:tc>
          <w:tcPr>
            <w:tcW w:w="680" w:type="dxa"/>
            <w:vAlign w:val="bottom"/>
          </w:tcPr>
          <w:p>
            <w:pPr>
              <w:spacing w:after="0"/>
              <w:rPr>
                <w:sz w:val="20"/>
                <w:szCs w:val="20"/>
                <w:color w:val="auto"/>
              </w:rPr>
            </w:pPr>
          </w:p>
        </w:tc>
        <w:tc>
          <w:tcPr>
            <w:tcW w:w="9520" w:type="dxa"/>
            <w:vAlign w:val="bottom"/>
          </w:tcPr>
          <w:p>
            <w:pPr>
              <w:ind w:left="280"/>
              <w:spacing w:after="0"/>
              <w:rPr>
                <w:rFonts w:ascii="Arial" w:cs="Arial" w:eastAsia="Arial" w:hAnsi="Arial"/>
                <w:sz w:val="18"/>
                <w:szCs w:val="18"/>
                <w:color w:val="auto"/>
              </w:rPr>
            </w:pPr>
            <w:hyperlink w:anchor="page113">
              <w:r>
                <w:rPr>
                  <w:rFonts w:ascii="Arial" w:cs="Arial" w:eastAsia="Arial" w:hAnsi="Arial"/>
                  <w:sz w:val="18"/>
                  <w:szCs w:val="18"/>
                  <w:color w:val="auto"/>
                </w:rPr>
                <w:t>December 28, 2016, between New Residential Mortgage LLC and PHH Mortgage Corporation (filed herewith)</w:t>
              </w:r>
            </w:hyperlink>
          </w:p>
        </w:tc>
      </w:tr>
      <w:tr>
        <w:trPr>
          <w:trHeight w:val="270"/>
        </w:trPr>
        <w:tc>
          <w:tcPr>
            <w:tcW w:w="680" w:type="dxa"/>
            <w:vAlign w:val="bottom"/>
          </w:tcPr>
          <w:p>
            <w:pPr>
              <w:spacing w:after="0"/>
              <w:rPr>
                <w:rFonts w:ascii="Arial" w:cs="Arial" w:eastAsia="Arial" w:hAnsi="Arial"/>
                <w:sz w:val="18"/>
                <w:szCs w:val="18"/>
                <w:color w:val="auto"/>
              </w:rPr>
            </w:pPr>
            <w:hyperlink w:anchor="page115">
              <w:r>
                <w:rPr>
                  <w:rFonts w:ascii="Arial" w:cs="Arial" w:eastAsia="Arial" w:hAnsi="Arial"/>
                  <w:sz w:val="18"/>
                  <w:szCs w:val="18"/>
                  <w:color w:val="auto"/>
                </w:rPr>
                <w:t>10.3*</w:t>
              </w:r>
            </w:hyperlink>
          </w:p>
        </w:tc>
        <w:tc>
          <w:tcPr>
            <w:tcW w:w="9520" w:type="dxa"/>
            <w:vAlign w:val="bottom"/>
          </w:tcPr>
          <w:p>
            <w:pPr>
              <w:ind w:left="280"/>
              <w:spacing w:after="0"/>
              <w:rPr>
                <w:rFonts w:ascii="Arial" w:cs="Arial" w:eastAsia="Arial" w:hAnsi="Arial"/>
                <w:sz w:val="18"/>
                <w:szCs w:val="18"/>
                <w:color w:val="auto"/>
              </w:rPr>
            </w:pPr>
            <w:hyperlink w:anchor="page115">
              <w:r>
                <w:rPr>
                  <w:rFonts w:ascii="Arial" w:cs="Arial" w:eastAsia="Arial" w:hAnsi="Arial"/>
                  <w:sz w:val="18"/>
                  <w:szCs w:val="18"/>
                  <w:color w:val="auto"/>
                </w:rPr>
                <w:t>Form of 2020 Annual Time-Based Cash Award Agreement (filed herewith)</w:t>
              </w:r>
            </w:hyperlink>
          </w:p>
        </w:tc>
      </w:tr>
      <w:tr>
        <w:trPr>
          <w:trHeight w:val="729"/>
        </w:trPr>
        <w:tc>
          <w:tcPr>
            <w:tcW w:w="680" w:type="dxa"/>
            <w:vAlign w:val="bottom"/>
          </w:tcPr>
          <w:p>
            <w:pPr>
              <w:spacing w:after="0"/>
              <w:rPr>
                <w:sz w:val="24"/>
                <w:szCs w:val="24"/>
                <w:color w:val="auto"/>
              </w:rPr>
            </w:pPr>
          </w:p>
        </w:tc>
        <w:tc>
          <w:tcPr>
            <w:tcW w:w="9520" w:type="dxa"/>
            <w:vAlign w:val="bottom"/>
          </w:tcPr>
          <w:p>
            <w:pPr>
              <w:ind w:left="3800"/>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1240"/>
          </w:cols>
          <w:pgMar w:left="320" w:top="557" w:right="339" w:bottom="1440" w:gutter="0" w:footer="0" w:header="0"/>
        </w:sectPr>
      </w:pPr>
    </w:p>
    <w:bookmarkStart w:id="110" w:name="page111"/>
    <w:bookmarkEnd w:id="110"/>
    <w:p>
      <w:pPr>
        <w:spacing w:after="0" w:line="1" w:lineRule="exact"/>
        <w:rPr>
          <w:sz w:val="20"/>
          <w:szCs w:val="20"/>
          <w:color w:val="auto"/>
        </w:rPr>
      </w:pPr>
    </w:p>
    <w:tbl>
      <w:tblPr>
        <w:tblLayout w:type="fixed"/>
        <w:tblInd w:w="832" w:type="dxa"/>
        <w:tblCellMar>
          <w:top w:w="0" w:type="dxa"/>
          <w:left w:w="0" w:type="dxa"/>
          <w:bottom w:w="0" w:type="dxa"/>
          <w:right w:w="0" w:type="dxa"/>
        </w:tblCellMar>
      </w:tblPr>
      <w:tr>
        <w:trPr>
          <w:trHeight w:val="230"/>
        </w:trPr>
        <w:tc>
          <w:tcPr>
            <w:tcW w:w="880" w:type="dxa"/>
            <w:vAlign w:val="bottom"/>
          </w:tcPr>
          <w:p>
            <w:pPr>
              <w:ind w:left="160"/>
              <w:spacing w:after="0"/>
              <w:rPr>
                <w:rFonts w:ascii="Arial" w:cs="Arial" w:eastAsia="Arial" w:hAnsi="Arial"/>
                <w:sz w:val="18"/>
                <w:szCs w:val="18"/>
                <w:color w:val="auto"/>
              </w:rPr>
            </w:pPr>
            <w:hyperlink w:anchor="page123">
              <w:r>
                <w:rPr>
                  <w:rFonts w:ascii="Arial" w:cs="Arial" w:eastAsia="Arial" w:hAnsi="Arial"/>
                  <w:sz w:val="18"/>
                  <w:szCs w:val="18"/>
                  <w:color w:val="auto"/>
                </w:rPr>
                <w:t>10.4*</w:t>
              </w:r>
            </w:hyperlink>
          </w:p>
        </w:tc>
        <w:tc>
          <w:tcPr>
            <w:tcW w:w="9200" w:type="dxa"/>
            <w:vAlign w:val="bottom"/>
          </w:tcPr>
          <w:p>
            <w:pPr>
              <w:ind w:left="240"/>
              <w:spacing w:after="0"/>
              <w:rPr>
                <w:rFonts w:ascii="Arial" w:cs="Arial" w:eastAsia="Arial" w:hAnsi="Arial"/>
                <w:sz w:val="18"/>
                <w:szCs w:val="18"/>
                <w:color w:val="auto"/>
              </w:rPr>
            </w:pPr>
            <w:hyperlink w:anchor="page123">
              <w:r>
                <w:rPr>
                  <w:rFonts w:ascii="Arial" w:cs="Arial" w:eastAsia="Arial" w:hAnsi="Arial"/>
                  <w:sz w:val="18"/>
                  <w:szCs w:val="18"/>
                  <w:color w:val="auto"/>
                </w:rPr>
                <w:t>Form of 2020 Annual Performance-Based Cash Award Agreement (filed herewith)</w:t>
              </w:r>
            </w:hyperlink>
          </w:p>
        </w:tc>
      </w:tr>
      <w:tr>
        <w:trPr>
          <w:trHeight w:val="270"/>
        </w:trPr>
        <w:tc>
          <w:tcPr>
            <w:tcW w:w="880" w:type="dxa"/>
            <w:vAlign w:val="bottom"/>
          </w:tcPr>
          <w:p>
            <w:pPr>
              <w:ind w:left="160"/>
              <w:spacing w:after="0"/>
              <w:rPr>
                <w:rFonts w:ascii="Arial" w:cs="Arial" w:eastAsia="Arial" w:hAnsi="Arial"/>
                <w:sz w:val="18"/>
                <w:szCs w:val="18"/>
                <w:color w:val="auto"/>
              </w:rPr>
            </w:pPr>
            <w:hyperlink w:anchor="page135">
              <w:r>
                <w:rPr>
                  <w:rFonts w:ascii="Arial" w:cs="Arial" w:eastAsia="Arial" w:hAnsi="Arial"/>
                  <w:sz w:val="18"/>
                  <w:szCs w:val="18"/>
                  <w:color w:val="auto"/>
                </w:rPr>
                <w:t>31.1</w:t>
              </w:r>
            </w:hyperlink>
          </w:p>
        </w:tc>
        <w:tc>
          <w:tcPr>
            <w:tcW w:w="9200" w:type="dxa"/>
            <w:vAlign w:val="bottom"/>
          </w:tcPr>
          <w:p>
            <w:pPr>
              <w:ind w:left="240"/>
              <w:spacing w:after="0"/>
              <w:rPr>
                <w:rFonts w:ascii="Arial" w:cs="Arial" w:eastAsia="Arial" w:hAnsi="Arial"/>
                <w:sz w:val="18"/>
                <w:szCs w:val="18"/>
                <w:color w:val="auto"/>
                <w:w w:val="94"/>
              </w:rPr>
            </w:pPr>
            <w:hyperlink w:anchor="page135">
              <w:r>
                <w:rPr>
                  <w:rFonts w:ascii="Arial" w:cs="Arial" w:eastAsia="Arial" w:hAnsi="Arial"/>
                  <w:sz w:val="18"/>
                  <w:szCs w:val="18"/>
                  <w:color w:val="auto"/>
                  <w:w w:val="94"/>
                </w:rPr>
                <w:t>Certification of the principal executive officer pursuant to Section 302 of the Sarbanes-Oxley Act of 2002 (filed herewith)</w:t>
              </w:r>
            </w:hyperlink>
          </w:p>
        </w:tc>
      </w:tr>
      <w:tr>
        <w:trPr>
          <w:trHeight w:val="270"/>
        </w:trPr>
        <w:tc>
          <w:tcPr>
            <w:tcW w:w="880" w:type="dxa"/>
            <w:vAlign w:val="bottom"/>
          </w:tcPr>
          <w:p>
            <w:pPr>
              <w:ind w:left="160"/>
              <w:spacing w:after="0"/>
              <w:rPr>
                <w:rFonts w:ascii="Arial" w:cs="Arial" w:eastAsia="Arial" w:hAnsi="Arial"/>
                <w:sz w:val="18"/>
                <w:szCs w:val="18"/>
                <w:color w:val="auto"/>
              </w:rPr>
            </w:pPr>
            <w:hyperlink w:anchor="page136">
              <w:r>
                <w:rPr>
                  <w:rFonts w:ascii="Arial" w:cs="Arial" w:eastAsia="Arial" w:hAnsi="Arial"/>
                  <w:sz w:val="18"/>
                  <w:szCs w:val="18"/>
                  <w:color w:val="auto"/>
                </w:rPr>
                <w:t>31.2</w:t>
              </w:r>
            </w:hyperlink>
          </w:p>
        </w:tc>
        <w:tc>
          <w:tcPr>
            <w:tcW w:w="9200" w:type="dxa"/>
            <w:vAlign w:val="bottom"/>
          </w:tcPr>
          <w:p>
            <w:pPr>
              <w:ind w:left="240"/>
              <w:spacing w:after="0"/>
              <w:rPr>
                <w:rFonts w:ascii="Arial" w:cs="Arial" w:eastAsia="Arial" w:hAnsi="Arial"/>
                <w:sz w:val="18"/>
                <w:szCs w:val="18"/>
                <w:color w:val="auto"/>
                <w:w w:val="95"/>
              </w:rPr>
            </w:pPr>
            <w:hyperlink w:anchor="page136">
              <w:r>
                <w:rPr>
                  <w:rFonts w:ascii="Arial" w:cs="Arial" w:eastAsia="Arial" w:hAnsi="Arial"/>
                  <w:sz w:val="18"/>
                  <w:szCs w:val="18"/>
                  <w:color w:val="auto"/>
                  <w:w w:val="95"/>
                </w:rPr>
                <w:t>Certification of the principal financial officer pursuant to Section 302 of the Sarbanes-Oxley Act of 2002 (filed herewith)</w:t>
              </w:r>
            </w:hyperlink>
          </w:p>
        </w:tc>
      </w:tr>
      <w:tr>
        <w:trPr>
          <w:trHeight w:val="256"/>
        </w:trPr>
        <w:tc>
          <w:tcPr>
            <w:tcW w:w="880" w:type="dxa"/>
            <w:vAlign w:val="bottom"/>
          </w:tcPr>
          <w:p>
            <w:pPr>
              <w:ind w:left="160"/>
              <w:spacing w:after="0"/>
              <w:rPr>
                <w:rFonts w:ascii="Arial" w:cs="Arial" w:eastAsia="Arial" w:hAnsi="Arial"/>
                <w:sz w:val="18"/>
                <w:szCs w:val="18"/>
                <w:color w:val="auto"/>
              </w:rPr>
            </w:pPr>
            <w:hyperlink w:anchor="page137">
              <w:r>
                <w:rPr>
                  <w:rFonts w:ascii="Arial" w:cs="Arial" w:eastAsia="Arial" w:hAnsi="Arial"/>
                  <w:sz w:val="18"/>
                  <w:szCs w:val="18"/>
                  <w:color w:val="auto"/>
                </w:rPr>
                <w:t>32.1</w:t>
              </w:r>
            </w:hyperlink>
          </w:p>
        </w:tc>
        <w:tc>
          <w:tcPr>
            <w:tcW w:w="9200" w:type="dxa"/>
            <w:vAlign w:val="bottom"/>
          </w:tcPr>
          <w:p>
            <w:pPr>
              <w:ind w:left="240"/>
              <w:spacing w:after="0"/>
              <w:rPr>
                <w:rFonts w:ascii="Arial" w:cs="Arial" w:eastAsia="Arial" w:hAnsi="Arial"/>
                <w:sz w:val="18"/>
                <w:szCs w:val="18"/>
                <w:color w:val="auto"/>
                <w:w w:val="90"/>
              </w:rPr>
            </w:pPr>
            <w:hyperlink w:anchor="page137">
              <w:r>
                <w:rPr>
                  <w:rFonts w:ascii="Arial" w:cs="Arial" w:eastAsia="Arial" w:hAnsi="Arial"/>
                  <w:sz w:val="18"/>
                  <w:szCs w:val="18"/>
                  <w:color w:val="auto"/>
                  <w:w w:val="90"/>
                </w:rPr>
                <w:t>Certification of the principal executive officer pursuant to 18 U.S.C. Section 1350, as adopted pursuant to Section 906 of the</w:t>
              </w:r>
            </w:hyperlink>
          </w:p>
        </w:tc>
      </w:tr>
      <w:tr>
        <w:trPr>
          <w:trHeight w:val="230"/>
        </w:trPr>
        <w:tc>
          <w:tcPr>
            <w:tcW w:w="880" w:type="dxa"/>
            <w:vAlign w:val="bottom"/>
          </w:tcPr>
          <w:p>
            <w:pPr>
              <w:spacing w:after="0"/>
              <w:rPr>
                <w:sz w:val="20"/>
                <w:szCs w:val="20"/>
                <w:color w:val="auto"/>
              </w:rPr>
            </w:pPr>
          </w:p>
        </w:tc>
        <w:tc>
          <w:tcPr>
            <w:tcW w:w="9200" w:type="dxa"/>
            <w:vAlign w:val="bottom"/>
          </w:tcPr>
          <w:p>
            <w:pPr>
              <w:ind w:left="240"/>
              <w:spacing w:after="0"/>
              <w:rPr>
                <w:rFonts w:ascii="Arial" w:cs="Arial" w:eastAsia="Arial" w:hAnsi="Arial"/>
                <w:sz w:val="18"/>
                <w:szCs w:val="18"/>
                <w:color w:val="auto"/>
              </w:rPr>
            </w:pPr>
            <w:hyperlink w:anchor="page137">
              <w:r>
                <w:rPr>
                  <w:rFonts w:ascii="Arial" w:cs="Arial" w:eastAsia="Arial" w:hAnsi="Arial"/>
                  <w:sz w:val="18"/>
                  <w:szCs w:val="18"/>
                  <w:color w:val="auto"/>
                </w:rPr>
                <w:t>Sarbanes-Oxley Act of 2002 (furnished herewith)</w:t>
              </w:r>
            </w:hyperlink>
          </w:p>
        </w:tc>
      </w:tr>
      <w:tr>
        <w:trPr>
          <w:trHeight w:val="256"/>
        </w:trPr>
        <w:tc>
          <w:tcPr>
            <w:tcW w:w="880" w:type="dxa"/>
            <w:vAlign w:val="bottom"/>
          </w:tcPr>
          <w:p>
            <w:pPr>
              <w:ind w:left="160"/>
              <w:spacing w:after="0"/>
              <w:rPr>
                <w:rFonts w:ascii="Arial" w:cs="Arial" w:eastAsia="Arial" w:hAnsi="Arial"/>
                <w:sz w:val="18"/>
                <w:szCs w:val="18"/>
                <w:color w:val="auto"/>
              </w:rPr>
            </w:pPr>
            <w:hyperlink w:anchor="page138">
              <w:r>
                <w:rPr>
                  <w:rFonts w:ascii="Arial" w:cs="Arial" w:eastAsia="Arial" w:hAnsi="Arial"/>
                  <w:sz w:val="18"/>
                  <w:szCs w:val="18"/>
                  <w:color w:val="auto"/>
                </w:rPr>
                <w:t>32.2</w:t>
              </w:r>
            </w:hyperlink>
          </w:p>
        </w:tc>
        <w:tc>
          <w:tcPr>
            <w:tcW w:w="9200" w:type="dxa"/>
            <w:vAlign w:val="bottom"/>
          </w:tcPr>
          <w:p>
            <w:pPr>
              <w:ind w:left="240"/>
              <w:spacing w:after="0"/>
              <w:rPr>
                <w:rFonts w:ascii="Arial" w:cs="Arial" w:eastAsia="Arial" w:hAnsi="Arial"/>
                <w:sz w:val="18"/>
                <w:szCs w:val="18"/>
                <w:color w:val="auto"/>
                <w:w w:val="91"/>
              </w:rPr>
            </w:pPr>
            <w:hyperlink w:anchor="page138">
              <w:r>
                <w:rPr>
                  <w:rFonts w:ascii="Arial" w:cs="Arial" w:eastAsia="Arial" w:hAnsi="Arial"/>
                  <w:sz w:val="18"/>
                  <w:szCs w:val="18"/>
                  <w:color w:val="auto"/>
                  <w:w w:val="91"/>
                </w:rPr>
                <w:t>Certification of the principal financial officer pursuant to 18 U.S.C. Section 1350, as adopted pursuant to Section 906 of the</w:t>
              </w:r>
            </w:hyperlink>
          </w:p>
        </w:tc>
      </w:tr>
      <w:tr>
        <w:trPr>
          <w:trHeight w:val="230"/>
        </w:trPr>
        <w:tc>
          <w:tcPr>
            <w:tcW w:w="880" w:type="dxa"/>
            <w:vAlign w:val="bottom"/>
          </w:tcPr>
          <w:p>
            <w:pPr>
              <w:spacing w:after="0"/>
              <w:rPr>
                <w:sz w:val="20"/>
                <w:szCs w:val="20"/>
                <w:color w:val="auto"/>
              </w:rPr>
            </w:pPr>
          </w:p>
        </w:tc>
        <w:tc>
          <w:tcPr>
            <w:tcW w:w="9200" w:type="dxa"/>
            <w:vAlign w:val="bottom"/>
          </w:tcPr>
          <w:p>
            <w:pPr>
              <w:ind w:left="240"/>
              <w:spacing w:after="0"/>
              <w:rPr>
                <w:rFonts w:ascii="Arial" w:cs="Arial" w:eastAsia="Arial" w:hAnsi="Arial"/>
                <w:sz w:val="18"/>
                <w:szCs w:val="18"/>
                <w:color w:val="auto"/>
              </w:rPr>
            </w:pPr>
            <w:hyperlink w:anchor="page138">
              <w:r>
                <w:rPr>
                  <w:rFonts w:ascii="Arial" w:cs="Arial" w:eastAsia="Arial" w:hAnsi="Arial"/>
                  <w:sz w:val="18"/>
                  <w:szCs w:val="18"/>
                  <w:color w:val="auto"/>
                </w:rPr>
                <w:t>Sarbanes-Oxley Act of 2002 (furnished herewith)</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9200" w:type="dxa"/>
            <w:vAlign w:val="bottom"/>
          </w:tcPr>
          <w:p>
            <w:pPr>
              <w:ind w:left="24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92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92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92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92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92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2" w:hanging="332"/>
        <w:spacing w:after="0"/>
        <w:tabs>
          <w:tab w:leader="none" w:pos="3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332" w:right="240" w:hanging="332"/>
        <w:spacing w:after="0" w:line="277" w:lineRule="auto"/>
        <w:tabs>
          <w:tab w:leader="none" w:pos="3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schedules and exhibits have been omitted in accordance with Item 601(a)(5) of Regulation S-K. A copy of any referenced schedules will be furnished supplementally to the SEC upon request.</w:t>
      </w:r>
    </w:p>
    <w:p>
      <w:pPr>
        <w:spacing w:after="0" w:line="8" w:lineRule="exact"/>
        <w:rPr>
          <w:sz w:val="20"/>
          <w:szCs w:val="20"/>
          <w:color w:val="auto"/>
        </w:rPr>
      </w:pPr>
    </w:p>
    <w:p>
      <w:pPr>
        <w:ind w:left="332" w:hanging="332"/>
        <w:spacing w:after="0"/>
        <w:tabs>
          <w:tab w:leader="none" w:pos="33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to the Registrant’s Form 10-Q for the quarter ended June 30, 2017 filed on August 3, 2017.</w:t>
      </w:r>
    </w:p>
    <w:p>
      <w:pPr>
        <w:spacing w:after="0" w:line="46" w:lineRule="exact"/>
        <w:rPr>
          <w:rFonts w:ascii="Arial" w:cs="Arial" w:eastAsia="Arial" w:hAnsi="Arial"/>
          <w:sz w:val="16"/>
          <w:szCs w:val="16"/>
          <w:color w:val="auto"/>
        </w:rPr>
      </w:pPr>
    </w:p>
    <w:p>
      <w:pPr>
        <w:ind w:left="332" w:hanging="332"/>
        <w:spacing w:after="0"/>
        <w:tabs>
          <w:tab w:leader="none" w:pos="3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25, 2019.</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January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92"/>
          </w:cols>
          <w:pgMar w:left="328" w:top="773" w:right="379" w:bottom="1440" w:gutter="0" w:footer="0" w:header="0"/>
        </w:sectPr>
      </w:pPr>
    </w:p>
    <w:bookmarkStart w:id="111" w:name="page112"/>
    <w:bookmarkEnd w:id="11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715" w:right="49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color w:val="auto"/>
        </w:rPr>
        <w:t>Exhibit 10.2</w:t>
      </w:r>
    </w:p>
    <w:p>
      <w:pPr>
        <w:spacing w:after="0" w:line="22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AMENDMENT NO. 2 TO AGREEMENT FOR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PURCHASE AND SALE OF</w:t>
      </w:r>
    </w:p>
    <w:p>
      <w:pPr>
        <w:spacing w:after="0" w:line="1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SERVICING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This AMENDMENT NO. 2 TO THE AGREEMENT FOR THE PURCHASE AND SALE OF SERVICING RIGHTS (this “</w:t>
      </w:r>
      <w:r>
        <w:rPr>
          <w:rFonts w:ascii="Arial" w:cs="Arial" w:eastAsia="Arial" w:hAnsi="Arial"/>
          <w:sz w:val="22"/>
          <w:szCs w:val="22"/>
          <w:u w:val="single" w:color="auto"/>
          <w:color w:val="auto"/>
        </w:rPr>
        <w:t>Amendment No. 2</w:t>
      </w:r>
      <w:r>
        <w:rPr>
          <w:rFonts w:ascii="Arial" w:cs="Arial" w:eastAsia="Arial" w:hAnsi="Arial"/>
          <w:sz w:val="22"/>
          <w:szCs w:val="22"/>
          <w:color w:val="auto"/>
        </w:rPr>
        <w:t>”), dated as of March 11, 2020 by and between New Residential Mortgage LLC, as Purchaser (the “</w:t>
      </w:r>
      <w:r>
        <w:rPr>
          <w:rFonts w:ascii="Arial" w:cs="Arial" w:eastAsia="Arial" w:hAnsi="Arial"/>
          <w:sz w:val="22"/>
          <w:szCs w:val="22"/>
          <w:u w:val="single" w:color="auto"/>
          <w:color w:val="auto"/>
        </w:rPr>
        <w:t>Purchaser</w:t>
      </w:r>
      <w:r>
        <w:rPr>
          <w:rFonts w:ascii="Arial" w:cs="Arial" w:eastAsia="Arial" w:hAnsi="Arial"/>
          <w:sz w:val="22"/>
          <w:szCs w:val="22"/>
          <w:color w:val="auto"/>
        </w:rPr>
        <w:t>”), PHH Mortgage Corporation, as Seller (the “</w:t>
      </w:r>
      <w:r>
        <w:rPr>
          <w:rFonts w:ascii="Arial" w:cs="Arial" w:eastAsia="Arial" w:hAnsi="Arial"/>
          <w:sz w:val="22"/>
          <w:szCs w:val="22"/>
          <w:u w:val="single" w:color="auto"/>
          <w:color w:val="auto"/>
        </w:rPr>
        <w:t>Seller</w:t>
      </w:r>
      <w:r>
        <w:rPr>
          <w:rFonts w:ascii="Arial" w:cs="Arial" w:eastAsia="Arial" w:hAnsi="Arial"/>
          <w:sz w:val="22"/>
          <w:szCs w:val="22"/>
          <w:color w:val="auto"/>
        </w:rPr>
        <w:t>”), and, solely for purposes of Sections 6.1, 6.9 and 6.15 and Articles I, X and XI of the Agreement (as defined below), PHH Corporation, as Seller Parent (the “</w:t>
      </w:r>
      <w:r>
        <w:rPr>
          <w:rFonts w:ascii="Arial" w:cs="Arial" w:eastAsia="Arial" w:hAnsi="Arial"/>
          <w:sz w:val="22"/>
          <w:szCs w:val="22"/>
          <w:u w:val="single" w:color="auto"/>
          <w:color w:val="auto"/>
        </w:rPr>
        <w:t>Seller Parent</w:t>
      </w:r>
      <w:r>
        <w:rPr>
          <w:rFonts w:ascii="Arial" w:cs="Arial" w:eastAsia="Arial" w:hAnsi="Arial"/>
          <w:sz w:val="22"/>
          <w:szCs w:val="22"/>
          <w:color w:val="auto"/>
        </w:rPr>
        <w:t>” and together with Seller and Purchaser,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RECITALS</w:t>
      </w:r>
    </w:p>
    <w:p>
      <w:pPr>
        <w:spacing w:after="0" w:line="166" w:lineRule="exact"/>
        <w:rPr>
          <w:sz w:val="20"/>
          <w:szCs w:val="20"/>
          <w:color w:val="auto"/>
        </w:rPr>
      </w:pPr>
    </w:p>
    <w:p>
      <w:pPr>
        <w:jc w:val="both"/>
        <w:ind w:firstLine="4212"/>
        <w:spacing w:after="0" w:line="262" w:lineRule="auto"/>
        <w:rPr>
          <w:sz w:val="20"/>
          <w:szCs w:val="20"/>
          <w:color w:val="auto"/>
        </w:rPr>
      </w:pPr>
      <w:r>
        <w:rPr>
          <w:rFonts w:ascii="Arial" w:cs="Arial" w:eastAsia="Arial" w:hAnsi="Arial"/>
          <w:sz w:val="22"/>
          <w:szCs w:val="22"/>
          <w:color w:val="auto"/>
        </w:rPr>
        <w:t>WHEREAS, the Parties previously entered into that certain Agreement for the Purchase and Sale of Servicing Rights, dated as of December 28, 2016 (as amended, the “</w:t>
      </w:r>
      <w:r>
        <w:rPr>
          <w:rFonts w:ascii="Arial" w:cs="Arial" w:eastAsia="Arial" w:hAnsi="Arial"/>
          <w:sz w:val="22"/>
          <w:szCs w:val="22"/>
          <w:u w:val="single" w:color="auto"/>
          <w:color w:val="auto"/>
        </w:rPr>
        <w:t>Agreement</w:t>
      </w:r>
      <w:r>
        <w:rPr>
          <w:rFonts w:ascii="Arial" w:cs="Arial" w:eastAsia="Arial" w:hAnsi="Arial"/>
          <w:sz w:val="22"/>
          <w:szCs w:val="22"/>
          <w:color w:val="auto"/>
        </w:rPr>
        <w:t>”) whereby from time to time the Seller has sold, transferred and assigned and the Purchaser has purchased and assumed all right, title and interest in and to certain Servicing Rights (the “</w:t>
      </w:r>
      <w:r>
        <w:rPr>
          <w:rFonts w:ascii="Arial" w:cs="Arial" w:eastAsia="Arial" w:hAnsi="Arial"/>
          <w:sz w:val="22"/>
          <w:szCs w:val="22"/>
          <w:u w:val="single" w:color="auto"/>
          <w:color w:val="auto"/>
        </w:rPr>
        <w:t>Previous Servicing Rights Sales</w:t>
      </w:r>
      <w:r>
        <w:rPr>
          <w:rFonts w:ascii="Arial" w:cs="Arial" w:eastAsia="Arial" w:hAnsi="Arial"/>
          <w:sz w:val="22"/>
          <w:szCs w:val="22"/>
          <w:color w:val="auto"/>
        </w:rPr>
        <w:t>”);</w:t>
      </w:r>
    </w:p>
    <w:p>
      <w:pPr>
        <w:spacing w:after="0" w:line="1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the Purchaser, as the Servicing Rights Owner, and the Seller, as the Subservicer, previously entered into that certain Amended and Restated Flow Mortgage Loan Subservicing Agreement dated as of March 29, 2019 (the “</w:t>
      </w:r>
      <w:r>
        <w:rPr>
          <w:rFonts w:ascii="Arial" w:cs="Arial" w:eastAsia="Arial" w:hAnsi="Arial"/>
          <w:sz w:val="22"/>
          <w:szCs w:val="22"/>
          <w:u w:val="single" w:color="auto"/>
          <w:color w:val="auto"/>
        </w:rPr>
        <w:t>Subservicing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pursuant to which the related Servicing Rights sold by Seller to Purchaser under the Agreement were and are subserviced by the Seller;</w:t>
      </w:r>
    </w:p>
    <w:p>
      <w:pPr>
        <w:spacing w:after="0" w:line="110"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WHEREAS, pursuant to the terms of the Agreement, the consummation of the sale of any Servicing Rights as of any Sale Date was made conditioned on the satisfaction of certain Conditions Precedent Provisions set forth in Articles VII and VIII therein; and the receipt of certain consents required by the Consent Conditions set forth in Sections 7.3 and 8.3 therein;</w:t>
      </w:r>
    </w:p>
    <w:p>
      <w:pPr>
        <w:spacing w:after="0" w:line="52"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WHEREAS, with respect to each Closing which has occurred on each Sale Date from the date of the Agreement through and including the date hereof, all such Conditions Precedent Provisions and Consent Conditions have been satisfied;</w:t>
      </w:r>
    </w:p>
    <w:p>
      <w:pPr>
        <w:spacing w:after="0" w:line="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WHEREAS, the Parties have agreed that no further sales of Servicing Rights shall occur under the Agreement and wish to document such agreement as set forth herein; and</w:t>
      </w:r>
    </w:p>
    <w:p>
      <w:pPr>
        <w:spacing w:after="0" w:line="93" w:lineRule="exact"/>
        <w:rPr>
          <w:sz w:val="20"/>
          <w:szCs w:val="20"/>
          <w:color w:val="auto"/>
        </w:rPr>
      </w:pPr>
    </w:p>
    <w:p>
      <w:pPr>
        <w:jc w:val="both"/>
        <w:ind w:firstLine="4212"/>
        <w:spacing w:after="0" w:line="276" w:lineRule="auto"/>
        <w:rPr>
          <w:sz w:val="20"/>
          <w:szCs w:val="20"/>
          <w:color w:val="auto"/>
        </w:rPr>
      </w:pPr>
      <w:r>
        <w:rPr>
          <w:rFonts w:ascii="Arial" w:cs="Arial" w:eastAsia="Arial" w:hAnsi="Arial"/>
          <w:sz w:val="22"/>
          <w:szCs w:val="22"/>
          <w:color w:val="auto"/>
        </w:rPr>
        <w:t>WHEREAS, the Parties have agreed that any capitalized terms used herein shall have the meanings ascribed to them in the Agreement.</w:t>
      </w:r>
    </w:p>
    <w:p>
      <w:pPr>
        <w:spacing w:after="0" w:line="93" w:lineRule="exact"/>
        <w:rPr>
          <w:sz w:val="20"/>
          <w:szCs w:val="20"/>
          <w:color w:val="auto"/>
        </w:rPr>
      </w:pPr>
    </w:p>
    <w:p>
      <w:pPr>
        <w:ind w:firstLine="4212"/>
        <w:spacing w:after="0" w:line="276"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hereby agree as follows:</w:t>
      </w:r>
    </w:p>
    <w:p>
      <w:pPr>
        <w:spacing w:after="0" w:line="93" w:lineRule="exact"/>
        <w:rPr>
          <w:sz w:val="20"/>
          <w:szCs w:val="20"/>
          <w:color w:val="auto"/>
        </w:rPr>
      </w:pPr>
    </w:p>
    <w:p>
      <w:pPr>
        <w:ind w:left="660" w:hanging="328"/>
        <w:spacing w:after="0" w:line="276"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Amendment to Article II</w:t>
      </w:r>
      <w:r>
        <w:rPr>
          <w:rFonts w:ascii="Arial" w:cs="Arial" w:eastAsia="Arial" w:hAnsi="Arial"/>
          <w:sz w:val="22"/>
          <w:szCs w:val="22"/>
          <w:color w:val="auto"/>
        </w:rPr>
        <w:t>. Article II of the Agreement is hereby amended to add a new Section 2.4 as set forth immediately below:</w:t>
      </w:r>
    </w:p>
    <w:p>
      <w:pPr>
        <w:spacing w:after="0" w:line="200" w:lineRule="exact"/>
        <w:rPr>
          <w:sz w:val="20"/>
          <w:szCs w:val="20"/>
          <w:color w:val="auto"/>
        </w:rPr>
      </w:pPr>
    </w:p>
    <w:p>
      <w:pPr>
        <w:spacing w:after="0" w:line="258" w:lineRule="exact"/>
        <w:rPr>
          <w:sz w:val="20"/>
          <w:szCs w:val="20"/>
          <w:color w:val="auto"/>
        </w:rPr>
      </w:pPr>
    </w:p>
    <w:p>
      <w:pPr>
        <w:jc w:val="both"/>
        <w:ind w:left="1300"/>
        <w:spacing w:after="0" w:line="308"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No Further Sales</w:t>
      </w:r>
      <w:r>
        <w:rPr>
          <w:rFonts w:ascii="Arial" w:cs="Arial" w:eastAsia="Arial" w:hAnsi="Arial"/>
          <w:sz w:val="19"/>
          <w:szCs w:val="19"/>
          <w:color w:val="auto"/>
        </w:rPr>
        <w:t>. Beginning on and after July 1, 2019, the parties agree that no further Servicing Rights owned by Seller shall be sold to Purchaser pursuant to this Agreement and Purchaser shall in no event be deemed to have any right, title or interest with respect to the Servicing Rights currently owned by Seller and not previously sold to Purchaser under the terms set forth herein and no such unsold Servicing Rights shall be subject to the terms of this Agreement. With respect to any Servicing Right previously sold hereunder by Seller to Purchaser, the terms of this Agreement shall survive in accordance with the terms set forth herein.”</w:t>
      </w:r>
    </w:p>
    <w:p>
      <w:pPr>
        <w:spacing w:after="0" w:line="208" w:lineRule="exact"/>
        <w:rPr>
          <w:sz w:val="20"/>
          <w:szCs w:val="20"/>
          <w:color w:val="auto"/>
        </w:rPr>
      </w:pPr>
    </w:p>
    <w:p>
      <w:pPr>
        <w:ind w:left="660" w:firstLine="4208"/>
        <w:spacing w:after="0" w:line="276" w:lineRule="auto"/>
        <w:tabs>
          <w:tab w:leader="none" w:pos="5218"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Deletion of Section 6.9</w:t>
      </w:r>
      <w:r>
        <w:rPr>
          <w:rFonts w:ascii="Arial" w:cs="Arial" w:eastAsia="Arial" w:hAnsi="Arial"/>
          <w:sz w:val="22"/>
          <w:szCs w:val="22"/>
          <w:color w:val="auto"/>
        </w:rPr>
        <w:t>. For purposes of this Amendment No. 2, Section 6.9 of the Agreement is hereby deleted in its entirety.</w:t>
      </w:r>
    </w:p>
    <w:p>
      <w:pPr>
        <w:spacing w:after="0" w:line="228" w:lineRule="exact"/>
        <w:rPr>
          <w:rFonts w:ascii="Arial" w:cs="Arial" w:eastAsia="Arial" w:hAnsi="Arial"/>
          <w:sz w:val="22"/>
          <w:szCs w:val="22"/>
          <w:color w:val="auto"/>
        </w:rPr>
      </w:pPr>
    </w:p>
    <w:p>
      <w:pPr>
        <w:jc w:val="both"/>
        <w:ind w:left="660" w:hanging="328"/>
        <w:spacing w:after="0" w:line="273" w:lineRule="auto"/>
        <w:tabs>
          <w:tab w:leader="none" w:pos="66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No Termination; Continued Subservicing</w:t>
      </w:r>
      <w:r>
        <w:rPr>
          <w:rFonts w:ascii="Arial" w:cs="Arial" w:eastAsia="Arial" w:hAnsi="Arial"/>
          <w:sz w:val="21"/>
          <w:szCs w:val="21"/>
          <w:color w:val="auto"/>
        </w:rPr>
        <w:t>. The Parties hereby agree and acknowledge that the terms of this Amendment No. 2, including without limitation the terms of new Section 2.4 set forth above, shall not be deemed to create or trigger a termination of the Agreement as contemplated by Article X of the Agreement. With respect to the Previous Servicing Rights Sales, all such Mortgage Loans subject to Previous Servicing Rights Sales shall continue to be serviced by the Subservicer in accordance with the Subservicing Agreement and the Parties acknowledge and agree that in connection therewith all Condition Precedent Provisions have been satisfied and Seller shall have no further obligation to obtain any consents including without limitation any Required Consents or pay any new Required Consent Fees incurred on or after the date hereof.</w:t>
      </w:r>
    </w:p>
    <w:p>
      <w:pPr>
        <w:sectPr>
          <w:pgSz w:w="11900" w:h="16838" w:orient="portrait"/>
          <w:cols w:equalWidth="0" w:num="1">
            <w:col w:w="11240"/>
          </w:cols>
          <w:pgMar w:left="320" w:top="121" w:right="339" w:bottom="26" w:gutter="0" w:footer="0" w:header="0"/>
        </w:sectPr>
      </w:pPr>
    </w:p>
    <w:bookmarkStart w:id="113" w:name="page114"/>
    <w:bookmarkEnd w:id="113"/>
    <w:p>
      <w:pPr>
        <w:jc w:val="both"/>
        <w:ind w:left="660" w:hanging="328"/>
        <w:spacing w:after="0" w:line="261"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Limited Effect</w:t>
      </w:r>
      <w:r>
        <w:rPr>
          <w:rFonts w:ascii="Arial" w:cs="Arial" w:eastAsia="Arial" w:hAnsi="Arial"/>
          <w:sz w:val="22"/>
          <w:szCs w:val="22"/>
          <w:color w:val="auto"/>
        </w:rPr>
        <w:t>. Except as amended hereby, the Agreement shall continue in full force and effect in accordance with its terms. Reference to this Amendment No. 2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244" w:lineRule="exact"/>
        <w:rPr>
          <w:rFonts w:ascii="Arial" w:cs="Arial" w:eastAsia="Arial" w:hAnsi="Arial"/>
          <w:sz w:val="22"/>
          <w:szCs w:val="22"/>
          <w:color w:val="auto"/>
        </w:rPr>
      </w:pPr>
    </w:p>
    <w:p>
      <w:pPr>
        <w:jc w:val="both"/>
        <w:ind w:left="660" w:hanging="328"/>
        <w:spacing w:after="0" w:line="262"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No. 2 may be executed by each of the parties hereto on any number of separate counterparts, each of which shall be an original and all of which taken together shall constitute one and the same instrument. Signatures of the Parties transmitted by facsimile or .pdf shall be deemed to have the same effectiveness as if they are original signatures for all purposes.</w:t>
      </w:r>
    </w:p>
    <w:p>
      <w:pPr>
        <w:spacing w:after="0" w:line="245" w:lineRule="exact"/>
        <w:rPr>
          <w:rFonts w:ascii="Arial" w:cs="Arial" w:eastAsia="Arial" w:hAnsi="Arial"/>
          <w:sz w:val="22"/>
          <w:szCs w:val="22"/>
          <w:color w:val="auto"/>
        </w:rPr>
      </w:pPr>
    </w:p>
    <w:p>
      <w:pPr>
        <w:ind w:left="660" w:hanging="328"/>
        <w:spacing w:after="0" w:line="276"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Any terms capitalized but not otherwise defined herein shall have the respective meanings set forth in the Agreement.</w:t>
      </w:r>
    </w:p>
    <w:p>
      <w:pPr>
        <w:spacing w:after="0" w:line="228" w:lineRule="exact"/>
        <w:rPr>
          <w:rFonts w:ascii="Arial" w:cs="Arial" w:eastAsia="Arial" w:hAnsi="Arial"/>
          <w:sz w:val="22"/>
          <w:szCs w:val="22"/>
          <w:color w:val="auto"/>
        </w:rPr>
      </w:pPr>
    </w:p>
    <w:p>
      <w:pPr>
        <w:jc w:val="both"/>
        <w:ind w:left="660" w:hanging="328"/>
        <w:spacing w:after="0" w:line="257"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No. 2 shall be construed in accordance with the laws of the State of New York and the obligations, rights, and remedies of the parties hereunder shall be determined in accordance with such laws without regard to conflict of laws doctrine applied in such state (other than Section 5-1401 and/or 5-1402 of the New York General Obligations Law which shall govern).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212"/>
        <w:spacing w:after="0" w:line="266" w:lineRule="auto"/>
        <w:rPr>
          <w:sz w:val="20"/>
          <w:szCs w:val="20"/>
          <w:color w:val="auto"/>
        </w:rPr>
      </w:pPr>
      <w:r>
        <w:rPr>
          <w:rFonts w:ascii="Arial" w:cs="Arial" w:eastAsia="Arial" w:hAnsi="Arial"/>
          <w:sz w:val="22"/>
          <w:szCs w:val="22"/>
          <w:color w:val="auto"/>
        </w:rPr>
        <w:t>IN WITNESS WHEREOF, each of the undersigned Parties to this Amendment No. 2 has caused this Amendment No. 2 to be duly executed in its name by one of its duly authorized officers on the date first set forth above.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RESIDENTIAL MORTGAGE LLC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Nick Santoro</w:t>
      </w:r>
      <w:r>
        <w:rPr>
          <w:rFonts w:ascii="Arial" w:cs="Arial" w:eastAsia="Arial" w:hAnsi="Arial"/>
          <w:sz w:val="22"/>
          <w:szCs w:val="22"/>
          <w:color w:val="auto"/>
        </w:rPr>
        <w:t>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Nicola Santoro, Jr.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 and Chief Operating Officer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PHH MORTGAGE CORPORATION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__/s/ John V. Britti_______________________________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John V. Britti</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 Chief Investment Officer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Solely for purposes of Sections 6.1, 6.9 and 6.15 and Articles I, X and XI:</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PHH CORPORATION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John V. Britti</w:t>
      </w:r>
      <w:r>
        <w:rPr>
          <w:rFonts w:ascii="Arial" w:cs="Arial" w:eastAsia="Arial" w:hAnsi="Arial"/>
          <w:sz w:val="22"/>
          <w:szCs w:val="22"/>
          <w:color w:val="auto"/>
        </w:rPr>
        <w:t>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John V. Britti</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Chief Executive Officer</w:t>
      </w:r>
    </w:p>
    <w:p>
      <w:pPr>
        <w:sectPr>
          <w:pgSz w:w="11900" w:h="16838" w:orient="portrait"/>
          <w:cols w:equalWidth="0" w:num="1">
            <w:col w:w="11240"/>
          </w:cols>
          <w:pgMar w:left="320" w:top="13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32" w:right="3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20"/>
          <w:szCs w:val="20"/>
          <w:color w:val="auto"/>
        </w:rPr>
        <w:t>Exhibit 10.3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CASH-SETTLED STOCK UNIT AWARD AGREEMENT</w:t>
      </w:r>
    </w:p>
    <w:p>
      <w:pPr>
        <w:spacing w:after="0" w:line="200" w:lineRule="exact"/>
        <w:rPr>
          <w:sz w:val="20"/>
          <w:szCs w:val="20"/>
          <w:color w:val="auto"/>
        </w:r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THIS CASH-SETTLED STOCK UNIT AWARD AGREEMENT </w:t>
      </w:r>
      <w:r>
        <w:rPr>
          <w:rFonts w:ascii="Arial" w:cs="Arial" w:eastAsia="Arial" w:hAnsi="Arial"/>
          <w:sz w:val="20"/>
          <w:szCs w:val="20"/>
          <w:color w:val="auto"/>
        </w:rPr>
        <w:t>(this “Agreement”) is made as of March 30, 2020 (the “Award Date”)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Ocwen Financial Corporation, a Florida corporation (the “Corporation”), and </w:t>
      </w:r>
      <w:r>
        <w:rPr>
          <w:rFonts w:ascii="Arial" w:cs="Arial" w:eastAsia="Arial" w:hAnsi="Arial"/>
          <w:sz w:val="20"/>
          <w:szCs w:val="20"/>
          <w:b w:val="1"/>
          <w:bCs w:val="1"/>
          <w:color w:val="auto"/>
        </w:rPr>
        <w:t>[participant name]</w:t>
      </w:r>
      <w:r>
        <w:rPr>
          <w:rFonts w:ascii="Arial" w:cs="Arial" w:eastAsia="Arial" w:hAnsi="Arial"/>
          <w:sz w:val="20"/>
          <w:szCs w:val="20"/>
          <w:color w:val="auto"/>
        </w:rPr>
        <w:t>, an employee of the Corporation or of a Subsidiary (the “Participant”).</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Corporation desires, by granting to the Participant an award of cash-settled stock units pursuant to the Corporation’s 2017</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Incentive Plan (the “2017 Plan”), to further the objectives of the 2017 Plan;</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and for other good and valuable consideration,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intending to be legally bound hereby, the parties hereto have agreed, and do hereby agree, as follows:</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tab/>
        <w:t>STOCK UNIT GRANT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Corporation hereby grants to the Participant, pursuant to and subject to the 2017 Plan, an aggregate of </w:t>
      </w:r>
      <w:r>
        <w:rPr>
          <w:rFonts w:ascii="Arial" w:cs="Arial" w:eastAsia="Arial" w:hAnsi="Arial"/>
          <w:sz w:val="18"/>
          <w:szCs w:val="18"/>
          <w:b w:val="1"/>
          <w:bCs w:val="1"/>
          <w:color w:val="auto"/>
        </w:rPr>
        <w:t>[number of units]</w:t>
      </w:r>
      <w:r>
        <w:rPr>
          <w:rFonts w:ascii="Arial" w:cs="Arial" w:eastAsia="Arial" w:hAnsi="Arial"/>
          <w:sz w:val="18"/>
          <w:szCs w:val="18"/>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17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VESTING OF STOCK UNITS</w:t>
      </w:r>
    </w:p>
    <w:p>
      <w:pPr>
        <w:spacing w:after="0" w:line="235"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Generally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following provisions of this Paragraph 2 and Paragraph 4, one-third of the total number of Stock Units subject to the award will vest on each of the first, second, and third anniversaries of the Award Date (each, a “Vesting Date”, and with the Vesting Dates subject to adjustment as set forth in Paragraph 2 hereof).</w:t>
      </w:r>
    </w:p>
    <w:p>
      <w:pPr>
        <w:spacing w:after="0" w:line="19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Retirement or Termination by the Corporation Without Cause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third anniversary of the Award Date, the unvested portion of the Award that remains outstanding and is scheduled to vest on the next Vesting Date following the date of the termination of the Participant’s employment (the “Separation Date”) shall immediately vest on a pro-rata basis in proportion to the percentage of the corresponding vesting period the Participant was employed by the Corporation or one of its Subsidiaries prior to such termination of the Participant’s employment, provided that the Participant satisfies the release requirement set forth in the following sentence. As a condition of any such vesting, the Participant shall, not later than 21 days after the Separation Date (or such longer period as may be required under applicable law for the Participant to</w:t>
      </w:r>
    </w:p>
    <w:p>
      <w:pPr>
        <w:spacing w:after="0" w:line="16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1</w:t>
      </w:r>
      <w:r>
        <w:rPr>
          <w:rFonts w:ascii="Arial" w:cs="Arial" w:eastAsia="Arial" w:hAnsi="Arial"/>
          <w:sz w:val="14"/>
          <w:szCs w:val="14"/>
          <w:color w:val="auto"/>
        </w:rPr>
        <w:t xml:space="preserve"> of 8</w:t>
      </w:r>
    </w:p>
    <w:p>
      <w:pPr>
        <w:sectPr>
          <w:pgSz w:w="11900" w:h="16838" w:orient="portrait"/>
          <w:cols w:equalWidth="0" w:num="1">
            <w:col w:w="11240"/>
          </w:cols>
          <w:pgMar w:left="320" w:top="121" w:right="33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0"/>
          <w:szCs w:val="20"/>
          <w:color w:val="auto"/>
        </w:rPr>
        <w:t>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as set forth above mid-way between the 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19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Death or Disability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If the Participant’s employment with the Corporation or any of its Subsidiaries is terminated by reason of the Participant’s death or Disability on or before the third anniversary of the Award Date, the unvested portion of the Award that remains outstanding and is scheduled to vest on the next Vesting Date following the Separation Date shall immediately vest on a pro-rata basis in proportion to the percentage of the corresponding vesting period the Participant was employed by the Corporation or one of its Subsidiaries prior to such termination of the Participant’s employment.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w:t>
      </w:r>
    </w:p>
    <w:p>
      <w:pPr>
        <w:spacing w:after="0" w:line="16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2</w:t>
      </w:r>
      <w:r>
        <w:rPr>
          <w:rFonts w:ascii="Arial" w:cs="Arial" w:eastAsia="Arial" w:hAnsi="Arial"/>
          <w:sz w:val="14"/>
          <w:szCs w:val="14"/>
          <w:color w:val="auto"/>
        </w:rPr>
        <w:t xml:space="preserve"> of 8</w:t>
      </w:r>
    </w:p>
    <w:p>
      <w:pPr>
        <w:sectPr>
          <w:pgSz w:w="11900" w:h="16838" w:orient="portrait"/>
          <w:cols w:equalWidth="0" w:num="1">
            <w:col w:w="11240"/>
          </w:cols>
          <w:pgMar w:left="320" w:top="339" w:right="339" w:bottom="1440" w:gutter="0" w:footer="0" w:header="0"/>
        </w:sectPr>
      </w:pPr>
    </w:p>
    <w:bookmarkStart w:id="116" w:name="page117"/>
    <w:bookmarkEnd w:id="116"/>
    <w:p>
      <w:pPr>
        <w:jc w:val="both"/>
        <w:spacing w:after="0" w:line="243" w:lineRule="auto"/>
        <w:rPr>
          <w:sz w:val="20"/>
          <w:szCs w:val="20"/>
          <w:color w:val="auto"/>
        </w:rPr>
      </w:pPr>
      <w:r>
        <w:rPr>
          <w:rFonts w:ascii="Arial" w:cs="Arial" w:eastAsia="Arial" w:hAnsi="Arial"/>
          <w:sz w:val="20"/>
          <w:szCs w:val="20"/>
          <w:color w:val="auto"/>
        </w:rPr>
        <w:t>first Vesting Date and the second Vesting Date, the Participant would vest in one-half of the number of Stock Units subject to the Award corresponding to the second Vesting Date (i.e., one-half of one-third of the number of Stock Units subject to the Award), and any remaining unvested portion of the Award would terminate and be cancelled.) 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206"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Change of Control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a 409A Change of Control occurs, the Award, to the extent then outstanding and unvested, shall remain outstanding and eligible to vest on the Vesting Dates that are scheduled to occur after the date of such 409A Change of Control.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expressly otherwise provided in this Paragraph 2, the Participant’s continued employment at each applicable Vesting Date following the 409A Change of Control shall be a condition to the vesting of the applicable installment of the Award and the rights and benefits under this Agreement.</w:t>
      </w:r>
    </w:p>
    <w:p>
      <w:pPr>
        <w:spacing w:after="0" w:line="199"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Post Change of Control Termination by the Corporation Without Cause or Resignation for Good Reason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following a 409A Change of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w:t>
      </w:r>
    </w:p>
    <w:p>
      <w:pPr>
        <w:spacing w:after="0" w:line="200" w:lineRule="exact"/>
        <w:rPr>
          <w:sz w:val="20"/>
          <w:szCs w:val="20"/>
          <w:color w:val="auto"/>
        </w:rPr>
      </w:pPr>
    </w:p>
    <w:p>
      <w:pPr>
        <w:spacing w:after="0" w:line="21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3</w:t>
      </w:r>
      <w:r>
        <w:rPr>
          <w:rFonts w:ascii="Arial" w:cs="Arial" w:eastAsia="Arial" w:hAnsi="Arial"/>
          <w:sz w:val="14"/>
          <w:szCs w:val="14"/>
          <w:color w:val="auto"/>
        </w:rPr>
        <w:t xml:space="preserve"> of 8</w:t>
      </w:r>
    </w:p>
    <w:p>
      <w:pPr>
        <w:sectPr>
          <w:pgSz w:w="11900" w:h="16838" w:orient="portrait"/>
          <w:cols w:equalWidth="0" w:num="1">
            <w:col w:w="11240"/>
          </w:cols>
          <w:pgMar w:left="320" w:top="339" w:right="339" w:bottom="1440" w:gutter="0" w:footer="0" w:header="0"/>
        </w:sectPr>
      </w:pPr>
    </w:p>
    <w:bookmarkStart w:id="117" w:name="page118"/>
    <w:bookmarkEnd w:id="117"/>
    <w:p>
      <w:pPr>
        <w:jc w:val="both"/>
        <w:spacing w:after="0" w:line="242" w:lineRule="auto"/>
        <w:rPr>
          <w:sz w:val="20"/>
          <w:szCs w:val="20"/>
          <w:color w:val="auto"/>
        </w:rPr>
      </w:pPr>
      <w:r>
        <w:rPr>
          <w:rFonts w:ascii="Arial" w:cs="Arial" w:eastAsia="Arial" w:hAnsi="Arial"/>
          <w:sz w:val="20"/>
          <w:szCs w:val="20"/>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08"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Continued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Except as expressly otherwise provided in this Paragraph 2, continued employment through each applicable Vesting Date is a condition to the vesting of the applicable installment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19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tab/>
        <w:t>DIVIDEND AND VOTING RIGHTS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Participant shall have no rights as a stockholder of the Corporation, no dividend rights, and no voting rights with respect to the Stock Units.</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TERMINATION OF AWARD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Paragraph 2 or this Paragraph 4),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tab/>
        <w:t>CONDITIONS UPON RETIREMENT</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w:t>
      </w:r>
    </w:p>
    <w:p>
      <w:pPr>
        <w:spacing w:after="0" w:line="15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4</w:t>
      </w:r>
      <w:r>
        <w:rPr>
          <w:rFonts w:ascii="Arial" w:cs="Arial" w:eastAsia="Arial" w:hAnsi="Arial"/>
          <w:sz w:val="14"/>
          <w:szCs w:val="14"/>
          <w:color w:val="auto"/>
        </w:rPr>
        <w:t xml:space="preserve"> of 8</w:t>
      </w:r>
    </w:p>
    <w:p>
      <w:pPr>
        <w:sectPr>
          <w:pgSz w:w="11900" w:h="16838" w:orient="portrait"/>
          <w:cols w:equalWidth="0" w:num="1">
            <w:col w:w="11240"/>
          </w:cols>
          <w:pgMar w:left="320" w:top="339" w:right="339" w:bottom="1440" w:gutter="0" w:footer="0" w:header="0"/>
        </w:sectPr>
      </w:pPr>
    </w:p>
    <w:bookmarkStart w:id="118" w:name="page119"/>
    <w:bookmarkEnd w:id="118"/>
    <w:p>
      <w:pPr>
        <w:jc w:val="both"/>
        <w:spacing w:after="0" w:line="257" w:lineRule="auto"/>
        <w:rPr>
          <w:sz w:val="20"/>
          <w:szCs w:val="20"/>
          <w:color w:val="auto"/>
        </w:rPr>
      </w:pPr>
      <w:r>
        <w:rPr>
          <w:rFonts w:ascii="Arial" w:cs="Arial" w:eastAsia="Arial" w:hAnsi="Arial"/>
          <w:sz w:val="19"/>
          <w:szCs w:val="19"/>
          <w:color w:val="auto"/>
        </w:rPr>
        <w:t>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9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tab/>
        <w:t>NO EMPLOYMENT COMMITMENT</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tab/>
        <w:t>TIMING AND MANNER OF PAYMENT OF STOCK UNITS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or as soon as administratively practical following each Vesting Date as provided in Paragraph 2 hereof (and in all events not later than 60 days after the Vesting Date), the Corporation shall deliver to the Participant a cash payment (subject to any withholding for taxes pursuant to Paragraph 8) equal to the number of Stock Units that vested on such Vesting Date multiplied by the applicable Payment Value. The “Payment Value” as of a particular Vesting Date is the sum of: (a) the closing price (in regular trading) for a share of Common Stock on the principal stock exchange on which the Common Stock is then listed or admitted to trade (the “Exchange”) for that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which the applicable ex-dividend date(s) are after the Award Date and on or before that Vesting Date; provided, however, that if the Corporation’s Common Stock is not listed or admitted to trade on any national securities exchange on such Vesting Date, the Payment Value with respect to such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w:t>
      </w:r>
    </w:p>
    <w:p>
      <w:pPr>
        <w:spacing w:after="0" w:line="18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5</w:t>
      </w:r>
      <w:r>
        <w:rPr>
          <w:rFonts w:ascii="Arial" w:cs="Arial" w:eastAsia="Arial" w:hAnsi="Arial"/>
          <w:sz w:val="14"/>
          <w:szCs w:val="14"/>
          <w:color w:val="auto"/>
        </w:rPr>
        <w:t xml:space="preserve"> of 8</w:t>
      </w:r>
    </w:p>
    <w:p>
      <w:pPr>
        <w:sectPr>
          <w:pgSz w:w="11900" w:h="16838" w:orient="portrait"/>
          <w:cols w:equalWidth="0" w:num="1">
            <w:col w:w="11240"/>
          </w:cols>
          <w:pgMar w:left="320" w:top="339" w:right="339" w:bottom="1440" w:gutter="0" w:footer="0" w:header="0"/>
        </w:sectPr>
      </w:pPr>
    </w:p>
    <w:bookmarkStart w:id="119" w:name="page120"/>
    <w:bookmarkEnd w:id="119"/>
    <w:p>
      <w:pPr>
        <w:jc w:val="both"/>
        <w:spacing w:after="0" w:line="272" w:lineRule="auto"/>
        <w:rPr>
          <w:sz w:val="20"/>
          <w:szCs w:val="20"/>
          <w:color w:val="auto"/>
        </w:rPr>
      </w:pPr>
      <w:r>
        <w:rPr>
          <w:rFonts w:ascii="Arial" w:cs="Arial" w:eastAsia="Arial" w:hAnsi="Arial"/>
          <w:sz w:val="18"/>
          <w:szCs w:val="18"/>
          <w:color w:val="auto"/>
        </w:rPr>
        <w:t>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timing of payment of any Stock Units may not be changed by the Corporation (including pursuant to any provision of the Plan), except as would satisfy Treasury Regulation Section 1.409A-3(j)(4).</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TAX WITHHOLDING</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9"/>
          <w:szCs w:val="19"/>
          <w:b w:val="1"/>
          <w:bCs w:val="1"/>
          <w:color w:val="auto"/>
        </w:rPr>
        <w:t>ADJUSTMENT UPON SPECIFIED EVENTS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9"/>
          <w:szCs w:val="19"/>
          <w:b w:val="1"/>
          <w:bCs w:val="1"/>
          <w:color w:val="auto"/>
        </w:rPr>
        <w:t>NON-TRANSFERABILITY OF THE AWARD</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8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tab/>
        <w:t>AMENDMENT</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193"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6</w:t>
      </w:r>
      <w:r>
        <w:rPr>
          <w:rFonts w:ascii="Arial" w:cs="Arial" w:eastAsia="Arial" w:hAnsi="Arial"/>
          <w:sz w:val="14"/>
          <w:szCs w:val="14"/>
          <w:color w:val="auto"/>
        </w:rPr>
        <w:t xml:space="preserve"> of 8</w:t>
      </w:r>
    </w:p>
    <w:p>
      <w:pPr>
        <w:sectPr>
          <w:pgSz w:w="11900" w:h="16838" w:orient="portrait"/>
          <w:cols w:equalWidth="0" w:num="1">
            <w:col w:w="11240"/>
          </w:cols>
          <w:pgMar w:left="320" w:top="339" w:right="339" w:bottom="1440" w:gutter="0" w:footer="0" w:header="0"/>
        </w:sectPr>
      </w:pPr>
    </w:p>
    <w:bookmarkStart w:id="120" w:name="page121"/>
    <w:bookmarkEnd w:id="120"/>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CONSTRUCTION</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ENTIRE AGREEMENT</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HEADINGS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headings of the paragraphs of this Agreement are inserted for convenience only and shall not be deemed a part hereof.</w:t>
      </w: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tab/>
        <w:t>CLAWBACK POLICY</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SECTION 409A</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OCWEN FINANCIAL CORPORATION</w:t>
      </w:r>
    </w:p>
    <w:p>
      <w:pPr>
        <w:spacing w:after="0" w:line="200" w:lineRule="exact"/>
        <w:rPr>
          <w:sz w:val="20"/>
          <w:szCs w:val="20"/>
          <w:color w:val="auto"/>
        </w:rPr>
      </w:pPr>
    </w:p>
    <w:p>
      <w:pPr>
        <w:spacing w:after="0" w:line="26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___________________________________</w:t>
      </w:r>
    </w:p>
    <w:p>
      <w:pPr>
        <w:spacing w:after="0" w:line="200" w:lineRule="exact"/>
        <w:rPr>
          <w:sz w:val="20"/>
          <w:szCs w:val="20"/>
          <w:color w:val="auto"/>
        </w:rPr>
      </w:pPr>
    </w:p>
    <w:p>
      <w:pPr>
        <w:spacing w:after="0" w:line="25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4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7</w:t>
      </w:r>
      <w:r>
        <w:rPr>
          <w:rFonts w:ascii="Arial" w:cs="Arial" w:eastAsia="Arial" w:hAnsi="Arial"/>
          <w:sz w:val="14"/>
          <w:szCs w:val="14"/>
          <w:color w:val="auto"/>
        </w:rPr>
        <w:t xml:space="preserve"> of 8</w:t>
      </w:r>
    </w:p>
    <w:p>
      <w:pPr>
        <w:sectPr>
          <w:pgSz w:w="11900" w:h="16838" w:orient="portrait"/>
          <w:cols w:equalWidth="0" w:num="1">
            <w:col w:w="11240"/>
          </w:cols>
          <w:pgMar w:left="320" w:top="562" w:right="339" w:bottom="1440" w:gutter="0" w:footer="0" w:header="0"/>
        </w:sectPr>
      </w:pPr>
    </w:p>
    <w:bookmarkStart w:id="121" w:name="page122"/>
    <w:bookmarkEnd w:id="121"/>
    <w:p>
      <w:pPr>
        <w:ind w:left="3420"/>
        <w:spacing w:after="0"/>
        <w:rPr>
          <w:sz w:val="20"/>
          <w:szCs w:val="20"/>
          <w:color w:val="auto"/>
        </w:rPr>
      </w:pPr>
      <w:r>
        <w:rPr>
          <w:rFonts w:ascii="Arial" w:cs="Arial" w:eastAsia="Arial" w:hAnsi="Arial"/>
          <w:sz w:val="20"/>
          <w:szCs w:val="20"/>
          <w:color w:val="auto"/>
        </w:rPr>
        <w:t>By: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105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8</w:t>
      </w:r>
      <w:r>
        <w:rPr>
          <w:rFonts w:ascii="Arial" w:cs="Arial" w:eastAsia="Arial" w:hAnsi="Arial"/>
          <w:sz w:val="14"/>
          <w:szCs w:val="14"/>
          <w:color w:val="auto"/>
        </w:rPr>
        <w:t xml:space="preserve"> of 8</w:t>
      </w:r>
    </w:p>
    <w:p>
      <w:pPr>
        <w:sectPr>
          <w:pgSz w:w="11900" w:h="16838" w:orient="portrait"/>
          <w:cols w:equalWidth="0" w:num="1">
            <w:col w:w="9019"/>
          </w:cols>
          <w:pgMar w:left="1440" w:top="568"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color w:val="auto"/>
        </w:rPr>
        <w:t>Exhibit 10.4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CASH-SETTLED PERFORMANCE STOCK UNIT AWARD AGREEMENT</w:t>
      </w:r>
    </w:p>
    <w:p>
      <w:pPr>
        <w:spacing w:after="0" w:line="200" w:lineRule="exact"/>
        <w:rPr>
          <w:sz w:val="20"/>
          <w:szCs w:val="20"/>
          <w:color w:val="auto"/>
        </w:rPr>
      </w:pPr>
    </w:p>
    <w:p>
      <w:pPr>
        <w:spacing w:after="0" w:line="259"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THIS CASH-SETTLED PERFORMANCE STOCK UNIT AWARD AGREEMENT </w:t>
      </w:r>
      <w:r>
        <w:rPr>
          <w:rFonts w:ascii="Arial" w:cs="Arial" w:eastAsia="Arial" w:hAnsi="Arial"/>
          <w:sz w:val="20"/>
          <w:szCs w:val="20"/>
          <w:color w:val="auto"/>
        </w:rPr>
        <w:t>(this “Agreement”) is made as of March 30, 2020</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“Award Date”) between Ocwen Financial Corporation, a Florida corporation (the “Corporation”), and </w:t>
      </w:r>
      <w:r>
        <w:rPr>
          <w:rFonts w:ascii="Arial" w:cs="Arial" w:eastAsia="Arial" w:hAnsi="Arial"/>
          <w:sz w:val="20"/>
          <w:szCs w:val="20"/>
          <w:b w:val="1"/>
          <w:bCs w:val="1"/>
          <w:color w:val="auto"/>
        </w:rPr>
        <w:t>[participant name]</w:t>
      </w:r>
      <w:r>
        <w:rPr>
          <w:rFonts w:ascii="Arial" w:cs="Arial" w:eastAsia="Arial" w:hAnsi="Arial"/>
          <w:sz w:val="20"/>
          <w:szCs w:val="20"/>
          <w:color w:val="auto"/>
        </w:rPr>
        <w:t>, an employee of the Corporation or of a Subsidiary (the “Participant”).</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Corporation desires, by granting to the Participant an award of cash-settled stock units pursuant to the Corporation’s 2017</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Incentive Plan (the “2017 Plan”), to further the objectives of the 2017 Plan;</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hereinafter set forth and for other good and valuable consideration,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intending to be legally bound hereby, the parties hereto have agreed, and do hereby agree, as follows:</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tab/>
        <w:t>STOCK UNIT GRANT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Corporation hereby grants to the Participant, pursuant to and subject to the 2017 Plan, an aggregate “target” of </w:t>
      </w:r>
      <w:r>
        <w:rPr>
          <w:rFonts w:ascii="Arial" w:cs="Arial" w:eastAsia="Arial" w:hAnsi="Arial"/>
          <w:sz w:val="18"/>
          <w:szCs w:val="18"/>
          <w:b w:val="1"/>
          <w:bCs w:val="1"/>
          <w:color w:val="auto"/>
        </w:rPr>
        <w:t>[number of units]</w:t>
      </w:r>
      <w:r>
        <w:rPr>
          <w:rFonts w:ascii="Arial" w:cs="Arial" w:eastAsia="Arial" w:hAnsi="Arial"/>
          <w:sz w:val="18"/>
          <w:szCs w:val="18"/>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17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VESTING OF STOCK UNITS</w:t>
      </w:r>
    </w:p>
    <w:p>
      <w:pPr>
        <w:spacing w:after="0" w:line="235"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Generally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Subject to the following provisions of this Paragraph 2 and Paragraph 4, the extent to which the Stock Units become vested and payable will be determined in accordance with the performance-based vesting conditions as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hereto, incorporated herein by this reference. The “Vesting Date” applicable to the Stock Units is the third anniversary of the Award Date, subject to adjustment as set forth in Paragraph 2 hereof.</w:t>
      </w:r>
    </w:p>
    <w:p>
      <w:pPr>
        <w:spacing w:after="0" w:line="205"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Retirement or Termination by the Corporation Without Cause</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If the Participant’s employment with the Corporation or any of its Subsidiaries terminates by reason of the Participant’s (i) Retirement or (ii) termination by the Participant’s employer without Cause (other than following a 409A Change of Control (as defined below)) at any time on or before the Vesting Date, the Award shall remain outstanding and eligible to vest as though no such termination of the Participant’s employment had occurred. In such circumstances, if the performance-based vesting conditions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are satisfied as of the Vesting Date, the Award shall vest as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provided that (i) the number of Stock Units eligible to vest shall be reduced on a pro-rata basis in proportion to the percentage of the three-year period between the Award Date and the Vesting Date that the Participant was employed by the Corporation or one of its Subsidiaries prior to such termination of the Participant’s employment; (ii) the</w:t>
      </w:r>
    </w:p>
    <w:p>
      <w:pPr>
        <w:spacing w:after="0" w:line="166"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1</w:t>
      </w:r>
      <w:r>
        <w:rPr>
          <w:rFonts w:ascii="Arial" w:cs="Arial" w:eastAsia="Arial" w:hAnsi="Arial"/>
          <w:sz w:val="14"/>
          <w:szCs w:val="14"/>
          <w:color w:val="auto"/>
        </w:rPr>
        <w:t xml:space="preserve"> of 12</w:t>
      </w:r>
    </w:p>
    <w:p>
      <w:pPr>
        <w:sectPr>
          <w:pgSz w:w="11900" w:h="16838" w:orient="portrait"/>
          <w:cols w:equalWidth="0" w:num="1">
            <w:col w:w="11240"/>
          </w:cols>
          <w:pgMar w:left="320" w:top="121" w:right="339" w:bottom="1440" w:gutter="0" w:footer="0" w:header="0"/>
        </w:sectPr>
      </w:pPr>
    </w:p>
    <w:bookmarkStart w:id="123" w:name="page124"/>
    <w:bookmarkEnd w:id="123"/>
    <w:p>
      <w:pPr>
        <w:jc w:val="both"/>
        <w:spacing w:after="0" w:line="257" w:lineRule="auto"/>
        <w:rPr>
          <w:sz w:val="20"/>
          <w:szCs w:val="20"/>
          <w:color w:val="auto"/>
        </w:rPr>
      </w:pPr>
      <w:r>
        <w:rPr>
          <w:rFonts w:ascii="Arial" w:cs="Arial" w:eastAsia="Arial" w:hAnsi="Arial"/>
          <w:sz w:val="19"/>
          <w:szCs w:val="19"/>
          <w:color w:val="auto"/>
        </w:rPr>
        <w:t>Participant satisfies the release requirement set forth in the following sentence, and (iii) the Participant complies with the conditions set forth in Paragraph 5 hereof through the Vesting Date.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Any such Stock Units that vest after the Participant’s Retirement or termination by the Participant’s employer without Cause shall be paid in accordance with Paragraph 7 hereof.</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Stock Units subject to the Award remain subject to forfeiture should the applicable performance conditions as provided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not be met as of the Vesting Date.</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19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Death or Disability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If the Participant’s employment with the Corporation or any of its Subsidiaries is terminated at any time prior to the Vesting Date by reason of the Participant’s death or if the Participant incurs a Disability while employed by the Corporation or one of its Subsidiaries, the Award shall immediately vest on a pro-rata basis in proportion to the percentage of the three-year period between the Award Date and the Vesting Date that the Participant was employed by the Corporation or one of its Subsidiaries prior to such termination of the Participant’s employment. In such circumstances, the performance-based vesting conditions shall be deemed to have been achieved at “Target”, as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(including as to any otherwise-completed Measurement Period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as of the date of such death or Disability. Such Stock Units shall be paid in accordance with Paragraph 7 hereof, provided that for the purposes of such payment the Vesting Date as to such Stock Units shall be deemed to be the date of the Participant’s death or Disability</w:t>
      </w:r>
    </w:p>
    <w:p>
      <w:pPr>
        <w:spacing w:after="0" w:line="16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2</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24" w:name="page125"/>
    <w:bookmarkEnd w:id="124"/>
    <w:p>
      <w:pPr>
        <w:jc w:val="both"/>
        <w:spacing w:after="0" w:line="256" w:lineRule="auto"/>
        <w:rPr>
          <w:sz w:val="20"/>
          <w:szCs w:val="20"/>
          <w:color w:val="auto"/>
        </w:rPr>
      </w:pPr>
      <w:r>
        <w:rPr>
          <w:rFonts w:ascii="Arial" w:cs="Arial" w:eastAsia="Arial" w:hAnsi="Arial"/>
          <w:sz w:val="19"/>
          <w:szCs w:val="19"/>
          <w:color w:val="auto"/>
        </w:rPr>
        <w:t>and payment shall be made not later than 60 days after the date of the Participant’s death or Disability. Any remaining unvested portion of the Award after giving effect to such acceleration shall terminate and be cancelled as of the date of the Participant’s death or Disability (For clarity, if the Participant’s employment with the Corporation or any of its Subsidiaries terminated by reason of the Participant’s death, or if the Participant incurred a Disability while employed by the Corporation or one of its Subsidiaries, mid-way between the first anniversary of the Award Date and the second anniversary of the Award Date, the Participant would vest in one-half of the “target” number of Stock Units subject to the Award, and any remaining unvested portion of the Award would terminate and be cancelled.) For purposes of this Agreement, “Disability” shall mean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Change of Control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If a 409A Change of Control occurs on or before the Vesting Date, the Award shall remain outstanding and eligible to vest on the Vesting Date, provided that the performance-based vesting conditions shall be deemed to have been achieved at “Target” as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(including as to any otherwise-completed Measurement Period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(that is, following the 409A Change of Control, the Award will be subject to only time-based vesting based on the Participant’s continued employment, and not a performance-based measure). Such Stock Units shall be paid in accordance with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Except as expressly otherwise provided in this Paragraph 2, the Participant’s continued employment on the Vesting Date shall be a condition to the vesting of the Award and the rights and benefits under this Agreement.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If the Participant’s employment terminated in the circumstances set forth in Paragraph 2.B prior to the 409A Change of Control and the conditions to vesting pursuant to Paragraph 2.B are satisfied, the performance-based vesting condition shall be deemed to have been achieved at “Target” as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as of the Vesting Date (including as to any otherwise-completed Measurement Period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and such Stock Units shall be paid in accordance with Paragraph 7.</w:t>
      </w:r>
    </w:p>
    <w:p>
      <w:pPr>
        <w:spacing w:after="0" w:line="205"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Post Change of Control Termination by the Corporation Without Cause or Resignation for Good Reason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following a 409A Change of Control and on or before the Vesting Date, (i) the Corporation (or Subsidiary that employs the Participant, as the case may be) terminates the Participant’s employment for any reason other than Cause or (ii) the Participant resigns employment with the Corporation (or Subsidiary that employs</w:t>
      </w:r>
    </w:p>
    <w:p>
      <w:pPr>
        <w:spacing w:after="0" w:line="18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3</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25" w:name="page126"/>
    <w:bookmarkEnd w:id="125"/>
    <w:p>
      <w:pPr>
        <w:jc w:val="both"/>
        <w:spacing w:after="0" w:line="271" w:lineRule="auto"/>
        <w:rPr>
          <w:sz w:val="20"/>
          <w:szCs w:val="20"/>
          <w:color w:val="auto"/>
        </w:rPr>
      </w:pPr>
      <w:r>
        <w:rPr>
          <w:rFonts w:ascii="Arial" w:cs="Arial" w:eastAsia="Arial" w:hAnsi="Arial"/>
          <w:sz w:val="18"/>
          <w:szCs w:val="18"/>
          <w:color w:val="auto"/>
        </w:rPr>
        <w:t xml:space="preserve">the Participant, as the case may be) for Good Reason, the Stock Units subject to the Award shall vest as of the date of such termination of the Participant’s employment with the Corporation and its Subsidiaries (the Participant’s “Separation Date”), with the performance-based vesting conditions deemed to have been achieved at “Target” as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(including as to any otherwise-completed Measurement Period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 to the Corporation, and such release shall not have been revoked by the Participant pursuant to any revocation rights afforded by applicable law. If this Paragraph 2.E applies, payment of the Stock Units that vest shall be made in accordance with Paragraph 7, except that if the Separation Date occurs within two years following the 409A Change of Control the Vesting Date shall be deemed to be the Separation Date as to such Stock Units and such Stock Units shall be paid within 60 days following the Separation Date.</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the purposes of this Agreement, “Good Reason” means, a (1) a material reduction by the Corporation in Participant’s base salary; (2) a material diminution in Participant’s position; or (3) a relocation of Participant’s location of employment by more than 50 miles from the office where Participant is located as of the Award Date; provided, however, that any such condition or conditions, as applicable, shall not constitute grounds for a termination for Good Reason unless both (x) the Participant provides written notice to the Corporation of the condition(s) claimed to constitute grounds for Good Reason within 60 days of the initial existence of such condition(s), and (y) the Corporation or Subsidiary (as the case may be) fails to remedy such condition(s) within 30 days after receiving such written notice thereof; and provided, further, that in all events the termination of the Participant’s employment shall not constitute a termination for Good Reason unless such termination occurs not more than 180 days following the initial existence of the condition claimed to constitute grounds for Good Reason.</w:t>
      </w:r>
    </w:p>
    <w:p>
      <w:pPr>
        <w:spacing w:after="0" w:line="208"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Continued Employment</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tab/>
        <w:t>DIVIDEND AND VOTING RIGHTS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Participant shall have no rights as a stockholder of the Corporation, no dividend rights, and no voting rights with respect to the Stock Units.</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TERMINATION OF AWARD</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on or before the Vesting Date,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w:t>
      </w:r>
    </w:p>
    <w:p>
      <w:pPr>
        <w:spacing w:after="0" w:line="18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4</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26" w:name="page127"/>
    <w:bookmarkEnd w:id="126"/>
    <w:p>
      <w:pPr>
        <w:jc w:val="both"/>
        <w:spacing w:after="0" w:line="244" w:lineRule="auto"/>
        <w:rPr>
          <w:sz w:val="20"/>
          <w:szCs w:val="20"/>
          <w:color w:val="auto"/>
        </w:rPr>
      </w:pPr>
      <w:r>
        <w:rPr>
          <w:rFonts w:ascii="Arial" w:cs="Arial" w:eastAsia="Arial" w:hAnsi="Arial"/>
          <w:sz w:val="20"/>
          <w:szCs w:val="20"/>
          <w:color w:val="auto"/>
        </w:rPr>
        <w:t>provided for in Paragraph 2 above in the circumstances is not satisfied), the Award shall terminate and be cancelled as of the last day of the Participant’s employment with the Corporation or such Subsidiary. If the Award is terminated hereunder (including, without limitation, pursuant to Appendix A, Paragraph 2 or this Paragraph 4), the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tab/>
        <w:t>CONDITIONS UPON RETIREMENT</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tab/>
        <w:t>NO EMPLOYMENT COMMITMENT</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tab/>
        <w:t>TIMING AND MANNER OF PAYMENT OF STOCK UNITS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On or as soon as administratively practical following the Vesting Date as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other applicable date determined pursuant to Paragraph 2 hereof), and in all events not later than 74 days after the Vesting Date (or such other period as may be provided for in Paragraph 2), the Corporation shall deliver to the Participant a cash payment (subject to any withholding for taxes pursuant to Paragraph 8) equal to the number of Stock Units that vested on the Vesting Date multiplied by the Payment Value. The “Payment Value” as of the Vesting Date is the sum of: (a) the closing price (in regular trading) for a share of Common Stock on the principal stock exchange on which the Common Stock is then listed or admitted to trade (the “Exchange”) on the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which the applicable ex-dividend date(s) are after the Award Date and on or before the Vesting Date; provided, however, that if the Corporation’s Common Stock is not listed or admitted to trade on any national securities exchange on the Vesting Date,</w:t>
      </w:r>
    </w:p>
    <w:p>
      <w:pPr>
        <w:spacing w:after="0" w:line="172"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5</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27" w:name="page128"/>
    <w:bookmarkEnd w:id="127"/>
    <w:p>
      <w:pPr>
        <w:jc w:val="both"/>
        <w:spacing w:after="0" w:line="274" w:lineRule="auto"/>
        <w:rPr>
          <w:sz w:val="20"/>
          <w:szCs w:val="20"/>
          <w:color w:val="auto"/>
        </w:rPr>
      </w:pPr>
      <w:r>
        <w:rPr>
          <w:rFonts w:ascii="Arial" w:cs="Arial" w:eastAsia="Arial" w:hAnsi="Arial"/>
          <w:sz w:val="18"/>
          <w:szCs w:val="18"/>
          <w:color w:val="auto"/>
        </w:rPr>
        <w:t>the Payment Value with respect to the Vesting Date shall be either (i) if a 409A Change of Control has occurred on or prior to the Vesting Date and the Corporation’s Common Stock has ceased to be so listed or admitted to trade in connection with such 409A Change of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409A Change of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Appendix A, Paragraph 2 or Paragraph 4.</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18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timing of payment of any Stock Units may not be changed by the Corporation (including pursuant to any provision of the Plan), except as would satisfy Treasury Regulation Section 1.409A-3(j)(4).</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TAX WITHHOLDING</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9"/>
          <w:szCs w:val="19"/>
          <w:b w:val="1"/>
          <w:bCs w:val="1"/>
          <w:color w:val="auto"/>
        </w:rPr>
        <w:t>ADJUSTMENT UPON SPECIFIED EVENTS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9"/>
          <w:szCs w:val="19"/>
          <w:b w:val="1"/>
          <w:bCs w:val="1"/>
          <w:color w:val="auto"/>
        </w:rPr>
        <w:t>NON-TRANSFERABILITY OF THE AWARD</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Award shall not be transferable otherwise than by will or by the applicable laws of descent and distribution. More particularly (but without limiting the generality of the foregoing), the Award may not be assigned,</w:t>
      </w:r>
    </w:p>
    <w:p>
      <w:pPr>
        <w:spacing w:after="0" w:line="175"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6</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28" w:name="page129"/>
    <w:bookmarkEnd w:id="128"/>
    <w:p>
      <w:pPr>
        <w:jc w:val="both"/>
        <w:spacing w:after="0" w:line="246" w:lineRule="auto"/>
        <w:rPr>
          <w:sz w:val="20"/>
          <w:szCs w:val="20"/>
          <w:color w:val="auto"/>
        </w:rPr>
      </w:pPr>
      <w:r>
        <w:rPr>
          <w:rFonts w:ascii="Arial" w:cs="Arial" w:eastAsia="Arial" w:hAnsi="Arial"/>
          <w:sz w:val="20"/>
          <w:szCs w:val="20"/>
          <w:color w:val="auto"/>
        </w:rPr>
        <w:t>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tab/>
        <w:t>AMENDMENT</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CONSTRUCTION</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ENTIRE AGREEMENT</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HEADINGS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headings of the paragraphs of this Agreement are inserted for convenience only and shall not be deemed a part hereof.</w:t>
      </w: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tab/>
        <w:t>CLAWBACK POLICY</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SECTION 409A</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w:t>
      </w:r>
    </w:p>
    <w:p>
      <w:pPr>
        <w:spacing w:after="0" w:line="18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7</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29" w:name="page130"/>
    <w:bookmarkEnd w:id="129"/>
    <w:p>
      <w:pPr>
        <w:spacing w:after="0" w:line="260" w:lineRule="auto"/>
        <w:rPr>
          <w:sz w:val="20"/>
          <w:szCs w:val="20"/>
          <w:color w:val="auto"/>
        </w:rPr>
      </w:pPr>
      <w:r>
        <w:rPr>
          <w:rFonts w:ascii="Arial" w:cs="Arial" w:eastAsia="Arial" w:hAnsi="Arial"/>
          <w:sz w:val="20"/>
          <w:szCs w:val="20"/>
          <w:color w:val="auto"/>
        </w:rPr>
        <w:t>of any such additional tax, penalty or interest under Code Section 409A yet preserve (to the nearest extent reasonably possible) the intended benefit payable to the Participant.</w:t>
      </w:r>
    </w:p>
    <w:p>
      <w:pPr>
        <w:spacing w:after="0" w:line="200" w:lineRule="exact"/>
        <w:rPr>
          <w:sz w:val="20"/>
          <w:szCs w:val="20"/>
          <w:color w:val="auto"/>
        </w:rPr>
      </w:pPr>
    </w:p>
    <w:p>
      <w:pPr>
        <w:spacing w:after="0" w:line="20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8</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OCWEN FINANCIAL CORPORATION</w:t>
      </w:r>
    </w:p>
    <w:p>
      <w:pPr>
        <w:spacing w:after="0" w:line="200" w:lineRule="exact"/>
        <w:rPr>
          <w:sz w:val="20"/>
          <w:szCs w:val="20"/>
          <w:color w:val="auto"/>
        </w:rPr>
      </w:pPr>
    </w:p>
    <w:p>
      <w:pPr>
        <w:spacing w:after="0" w:line="26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___________________________________</w:t>
      </w:r>
    </w:p>
    <w:p>
      <w:pPr>
        <w:spacing w:after="0" w:line="200" w:lineRule="exact"/>
        <w:rPr>
          <w:sz w:val="20"/>
          <w:szCs w:val="20"/>
          <w:color w:val="auto"/>
        </w:rPr>
      </w:pPr>
    </w:p>
    <w:p>
      <w:pPr>
        <w:spacing w:after="0" w:line="253"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6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979"/>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9</w:t>
      </w:r>
      <w:r>
        <w:rPr>
          <w:rFonts w:ascii="Arial" w:cs="Arial" w:eastAsia="Arial" w:hAnsi="Arial"/>
          <w:sz w:val="14"/>
          <w:szCs w:val="14"/>
          <w:color w:val="auto"/>
        </w:rPr>
        <w:t xml:space="preserve"> of 12</w:t>
      </w:r>
    </w:p>
    <w:p>
      <w:pPr>
        <w:sectPr>
          <w:pgSz w:w="11900" w:h="16838" w:orient="portrait"/>
          <w:cols w:equalWidth="0" w:num="1">
            <w:col w:w="10139"/>
          </w:cols>
          <w:pgMar w:left="320" w:top="784"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REQUIREMENTS</w:t>
      </w:r>
    </w:p>
    <w:p>
      <w:pPr>
        <w:spacing w:after="0" w:line="235"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The Stock Units subject to the Award will be eligible to vest in a single installment on the Vesting Date based on the Corporation’s achievement of certain performance goals as determined below and subject to the continued service requirements set forth in this Agreement.</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Stock Units that will be available to vest on the Vesting Date shall be determined based on the following four measurement periods (each, a “Measurement Period”), with the percentage of the “target” number of Stock Units allocated to each such Measurement Period as set forth in the chart below:</w:t>
      </w:r>
    </w:p>
    <w:p>
      <w:pPr>
        <w:spacing w:after="0" w:line="331" w:lineRule="exact"/>
        <w:rPr>
          <w:sz w:val="20"/>
          <w:szCs w:val="20"/>
          <w:color w:val="auto"/>
        </w:rPr>
      </w:pPr>
    </w:p>
    <w:tbl>
      <w:tblPr>
        <w:tblLayout w:type="fixed"/>
        <w:tblInd w:w="1210" w:type="dxa"/>
        <w:tblCellMar>
          <w:top w:w="0" w:type="dxa"/>
          <w:left w:w="0" w:type="dxa"/>
          <w:bottom w:w="0" w:type="dxa"/>
          <w:right w:w="0" w:type="dxa"/>
        </w:tblCellMar>
      </w:tblPr>
      <w:tr>
        <w:trPr>
          <w:trHeight w:val="247"/>
        </w:trPr>
        <w:tc>
          <w:tcPr>
            <w:tcW w:w="24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Measurement Period</w:t>
            </w:r>
          </w:p>
        </w:tc>
        <w:tc>
          <w:tcPr>
            <w:tcW w:w="2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8"/>
              </w:rPr>
              <w:t>Period Dates</w:t>
            </w:r>
          </w:p>
        </w:tc>
        <w:tc>
          <w:tcPr>
            <w:tcW w:w="20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6"/>
              </w:rPr>
              <w:t>Percentage of Stock</w:t>
            </w:r>
          </w:p>
        </w:tc>
      </w:tr>
      <w:tr>
        <w:trPr>
          <w:trHeight w:val="256"/>
        </w:trPr>
        <w:tc>
          <w:tcPr>
            <w:tcW w:w="2480" w:type="dxa"/>
            <w:vAlign w:val="bottom"/>
            <w:tcBorders>
              <w:left w:val="single" w:sz="8" w:color="00000A"/>
              <w:right w:val="single" w:sz="8" w:color="00000A"/>
            </w:tcBorders>
          </w:tcPr>
          <w:p>
            <w:pPr>
              <w:spacing w:after="0"/>
              <w:rPr>
                <w:sz w:val="22"/>
                <w:szCs w:val="22"/>
                <w:color w:val="auto"/>
              </w:rPr>
            </w:pPr>
          </w:p>
        </w:tc>
        <w:tc>
          <w:tcPr>
            <w:tcW w:w="2700" w:type="dxa"/>
            <w:vAlign w:val="bottom"/>
            <w:tcBorders>
              <w:right w:val="single" w:sz="8" w:color="00000A"/>
            </w:tcBorders>
          </w:tcPr>
          <w:p>
            <w:pPr>
              <w:spacing w:after="0"/>
              <w:rPr>
                <w:sz w:val="22"/>
                <w:szCs w:val="22"/>
                <w:color w:val="auto"/>
              </w:rPr>
            </w:pPr>
          </w:p>
        </w:tc>
        <w:tc>
          <w:tcPr>
            <w:tcW w:w="2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Units Allocated</w:t>
            </w:r>
          </w:p>
        </w:tc>
      </w:tr>
      <w:tr>
        <w:trPr>
          <w:trHeight w:val="23"/>
        </w:trPr>
        <w:tc>
          <w:tcPr>
            <w:tcW w:w="2480" w:type="dxa"/>
            <w:vAlign w:val="bottom"/>
            <w:tcBorders>
              <w:left w:val="single" w:sz="8" w:color="00000A"/>
              <w:bottom w:val="single" w:sz="8" w:color="00000A"/>
              <w:right w:val="single" w:sz="8" w:color="00000A"/>
            </w:tcBorders>
          </w:tcPr>
          <w:p>
            <w:pPr>
              <w:spacing w:after="0"/>
              <w:rPr>
                <w:sz w:val="2"/>
                <w:szCs w:val="2"/>
                <w:color w:val="auto"/>
              </w:rPr>
            </w:pPr>
          </w:p>
        </w:tc>
        <w:tc>
          <w:tcPr>
            <w:tcW w:w="270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r>
      <w:tr>
        <w:trPr>
          <w:trHeight w:val="233"/>
        </w:trPr>
        <w:tc>
          <w:tcPr>
            <w:tcW w:w="2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First Measurement Period</w:t>
            </w: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March 30, 2020 through March</w:t>
            </w:r>
          </w:p>
        </w:tc>
        <w:tc>
          <w:tcPr>
            <w:tcW w:w="2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15%</w:t>
            </w:r>
          </w:p>
        </w:tc>
      </w:tr>
      <w:tr>
        <w:trPr>
          <w:trHeight w:val="250"/>
        </w:trPr>
        <w:tc>
          <w:tcPr>
            <w:tcW w:w="2480" w:type="dxa"/>
            <w:vAlign w:val="bottom"/>
            <w:tcBorders>
              <w:left w:val="single" w:sz="8" w:color="00000A"/>
              <w:right w:val="single" w:sz="8" w:color="00000A"/>
            </w:tcBorders>
          </w:tcPr>
          <w:p>
            <w:pPr>
              <w:spacing w:after="0"/>
              <w:rPr>
                <w:sz w:val="21"/>
                <w:szCs w:val="21"/>
                <w:color w:val="auto"/>
              </w:rPr>
            </w:pP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30, 2021</w:t>
            </w:r>
          </w:p>
        </w:tc>
        <w:tc>
          <w:tcPr>
            <w:tcW w:w="2000" w:type="dxa"/>
            <w:vAlign w:val="bottom"/>
            <w:tcBorders>
              <w:right w:val="single" w:sz="8" w:color="00000A"/>
            </w:tcBorders>
          </w:tcPr>
          <w:p>
            <w:pPr>
              <w:spacing w:after="0"/>
              <w:rPr>
                <w:sz w:val="21"/>
                <w:szCs w:val="21"/>
                <w:color w:val="auto"/>
              </w:rPr>
            </w:pPr>
          </w:p>
        </w:tc>
      </w:tr>
      <w:tr>
        <w:trPr>
          <w:trHeight w:val="23"/>
        </w:trPr>
        <w:tc>
          <w:tcPr>
            <w:tcW w:w="2480" w:type="dxa"/>
            <w:vAlign w:val="bottom"/>
            <w:tcBorders>
              <w:left w:val="single" w:sz="8" w:color="00000A"/>
              <w:bottom w:val="single" w:sz="8" w:color="00000A"/>
              <w:right w:val="single" w:sz="8" w:color="00000A"/>
            </w:tcBorders>
          </w:tcPr>
          <w:p>
            <w:pPr>
              <w:spacing w:after="0"/>
              <w:rPr>
                <w:sz w:val="2"/>
                <w:szCs w:val="2"/>
                <w:color w:val="auto"/>
              </w:rPr>
            </w:pPr>
          </w:p>
        </w:tc>
        <w:tc>
          <w:tcPr>
            <w:tcW w:w="270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r>
      <w:tr>
        <w:trPr>
          <w:trHeight w:val="233"/>
        </w:trPr>
        <w:tc>
          <w:tcPr>
            <w:tcW w:w="2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Second Measurement Period</w:t>
            </w: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March 30, 2021 through March</w:t>
            </w:r>
          </w:p>
        </w:tc>
        <w:tc>
          <w:tcPr>
            <w:tcW w:w="2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15%</w:t>
            </w:r>
          </w:p>
        </w:tc>
      </w:tr>
      <w:tr>
        <w:trPr>
          <w:trHeight w:val="250"/>
        </w:trPr>
        <w:tc>
          <w:tcPr>
            <w:tcW w:w="2480" w:type="dxa"/>
            <w:vAlign w:val="bottom"/>
            <w:tcBorders>
              <w:left w:val="single" w:sz="8" w:color="00000A"/>
              <w:right w:val="single" w:sz="8" w:color="00000A"/>
            </w:tcBorders>
          </w:tcPr>
          <w:p>
            <w:pPr>
              <w:spacing w:after="0"/>
              <w:rPr>
                <w:sz w:val="21"/>
                <w:szCs w:val="21"/>
                <w:color w:val="auto"/>
              </w:rPr>
            </w:pP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30, 2022</w:t>
            </w:r>
          </w:p>
        </w:tc>
        <w:tc>
          <w:tcPr>
            <w:tcW w:w="2000" w:type="dxa"/>
            <w:vAlign w:val="bottom"/>
            <w:tcBorders>
              <w:right w:val="single" w:sz="8" w:color="00000A"/>
            </w:tcBorders>
          </w:tcPr>
          <w:p>
            <w:pPr>
              <w:spacing w:after="0"/>
              <w:rPr>
                <w:sz w:val="21"/>
                <w:szCs w:val="21"/>
                <w:color w:val="auto"/>
              </w:rPr>
            </w:pPr>
          </w:p>
        </w:tc>
      </w:tr>
      <w:tr>
        <w:trPr>
          <w:trHeight w:val="23"/>
        </w:trPr>
        <w:tc>
          <w:tcPr>
            <w:tcW w:w="2480" w:type="dxa"/>
            <w:vAlign w:val="bottom"/>
            <w:tcBorders>
              <w:left w:val="single" w:sz="8" w:color="00000A"/>
              <w:bottom w:val="single" w:sz="8" w:color="00000A"/>
              <w:right w:val="single" w:sz="8" w:color="00000A"/>
            </w:tcBorders>
          </w:tcPr>
          <w:p>
            <w:pPr>
              <w:spacing w:after="0"/>
              <w:rPr>
                <w:sz w:val="2"/>
                <w:szCs w:val="2"/>
                <w:color w:val="auto"/>
              </w:rPr>
            </w:pPr>
          </w:p>
        </w:tc>
        <w:tc>
          <w:tcPr>
            <w:tcW w:w="270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r>
      <w:tr>
        <w:trPr>
          <w:trHeight w:val="233"/>
        </w:trPr>
        <w:tc>
          <w:tcPr>
            <w:tcW w:w="2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Third Measurement Period</w:t>
            </w: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March 30, 2022 through March</w:t>
            </w:r>
          </w:p>
        </w:tc>
        <w:tc>
          <w:tcPr>
            <w:tcW w:w="2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15%</w:t>
            </w:r>
          </w:p>
        </w:tc>
      </w:tr>
      <w:tr>
        <w:trPr>
          <w:trHeight w:val="250"/>
        </w:trPr>
        <w:tc>
          <w:tcPr>
            <w:tcW w:w="2480" w:type="dxa"/>
            <w:vAlign w:val="bottom"/>
            <w:tcBorders>
              <w:left w:val="single" w:sz="8" w:color="00000A"/>
              <w:right w:val="single" w:sz="8" w:color="00000A"/>
            </w:tcBorders>
          </w:tcPr>
          <w:p>
            <w:pPr>
              <w:spacing w:after="0"/>
              <w:rPr>
                <w:sz w:val="21"/>
                <w:szCs w:val="21"/>
                <w:color w:val="auto"/>
              </w:rPr>
            </w:pP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30, 2023</w:t>
            </w:r>
          </w:p>
        </w:tc>
        <w:tc>
          <w:tcPr>
            <w:tcW w:w="2000" w:type="dxa"/>
            <w:vAlign w:val="bottom"/>
            <w:tcBorders>
              <w:right w:val="single" w:sz="8" w:color="00000A"/>
            </w:tcBorders>
          </w:tcPr>
          <w:p>
            <w:pPr>
              <w:spacing w:after="0"/>
              <w:rPr>
                <w:sz w:val="21"/>
                <w:szCs w:val="21"/>
                <w:color w:val="auto"/>
              </w:rPr>
            </w:pPr>
          </w:p>
        </w:tc>
      </w:tr>
      <w:tr>
        <w:trPr>
          <w:trHeight w:val="23"/>
        </w:trPr>
        <w:tc>
          <w:tcPr>
            <w:tcW w:w="2480" w:type="dxa"/>
            <w:vAlign w:val="bottom"/>
            <w:tcBorders>
              <w:left w:val="single" w:sz="8" w:color="00000A"/>
              <w:bottom w:val="single" w:sz="8" w:color="00000A"/>
              <w:right w:val="single" w:sz="8" w:color="00000A"/>
            </w:tcBorders>
          </w:tcPr>
          <w:p>
            <w:pPr>
              <w:spacing w:after="0"/>
              <w:rPr>
                <w:sz w:val="2"/>
                <w:szCs w:val="2"/>
                <w:color w:val="auto"/>
              </w:rPr>
            </w:pPr>
          </w:p>
        </w:tc>
        <w:tc>
          <w:tcPr>
            <w:tcW w:w="270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r>
      <w:tr>
        <w:trPr>
          <w:trHeight w:val="233"/>
        </w:trPr>
        <w:tc>
          <w:tcPr>
            <w:tcW w:w="24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Fourth Measurement Period</w:t>
            </w: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March 30, 2020 through March</w:t>
            </w:r>
          </w:p>
        </w:tc>
        <w:tc>
          <w:tcPr>
            <w:tcW w:w="2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55%</w:t>
            </w:r>
          </w:p>
        </w:tc>
      </w:tr>
      <w:tr>
        <w:trPr>
          <w:trHeight w:val="250"/>
        </w:trPr>
        <w:tc>
          <w:tcPr>
            <w:tcW w:w="2480" w:type="dxa"/>
            <w:vAlign w:val="bottom"/>
            <w:tcBorders>
              <w:left w:val="single" w:sz="8" w:color="00000A"/>
              <w:right w:val="single" w:sz="8" w:color="00000A"/>
            </w:tcBorders>
          </w:tcPr>
          <w:p>
            <w:pPr>
              <w:spacing w:after="0"/>
              <w:rPr>
                <w:sz w:val="21"/>
                <w:szCs w:val="21"/>
                <w:color w:val="auto"/>
              </w:rPr>
            </w:pPr>
          </w:p>
        </w:tc>
        <w:tc>
          <w:tcPr>
            <w:tcW w:w="2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30, 2023</w:t>
            </w:r>
          </w:p>
        </w:tc>
        <w:tc>
          <w:tcPr>
            <w:tcW w:w="2000" w:type="dxa"/>
            <w:vAlign w:val="bottom"/>
            <w:tcBorders>
              <w:right w:val="single" w:sz="8" w:color="00000A"/>
            </w:tcBorders>
          </w:tcPr>
          <w:p>
            <w:pPr>
              <w:spacing w:after="0"/>
              <w:rPr>
                <w:sz w:val="21"/>
                <w:szCs w:val="21"/>
                <w:color w:val="auto"/>
              </w:rPr>
            </w:pPr>
          </w:p>
        </w:tc>
      </w:tr>
      <w:tr>
        <w:trPr>
          <w:trHeight w:val="23"/>
        </w:trPr>
        <w:tc>
          <w:tcPr>
            <w:tcW w:w="2480" w:type="dxa"/>
            <w:vAlign w:val="bottom"/>
            <w:tcBorders>
              <w:left w:val="single" w:sz="8" w:color="00000A"/>
              <w:bottom w:val="single" w:sz="8" w:color="00000A"/>
              <w:right w:val="single" w:sz="8" w:color="00000A"/>
            </w:tcBorders>
          </w:tcPr>
          <w:p>
            <w:pPr>
              <w:spacing w:after="0"/>
              <w:rPr>
                <w:sz w:val="2"/>
                <w:szCs w:val="2"/>
                <w:color w:val="auto"/>
              </w:rPr>
            </w:pPr>
          </w:p>
        </w:tc>
        <w:tc>
          <w:tcPr>
            <w:tcW w:w="270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each Measurement Period, the target number of Stock Units subject to the Award that will be allocated to that Measurement Period will be determined by multiplying the total target number of Stock Units subject to the Award by the percentage of Stock Units allocated to that Measurement Period (as shown above) (“Allocated Stock Units”).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Stock Units for a particular Measurement Period that will be eligible to vest will be determined by multiplying the Allocated Stock Units for that Measurement Period by the percentage of Stock Units vesting based on the Relative TSR (as defined below) achieved by the Corporation for that Measurement Period as follows:</w:t>
      </w:r>
    </w:p>
    <w:p>
      <w:pPr>
        <w:spacing w:after="0" w:line="331" w:lineRule="exact"/>
        <w:rPr>
          <w:sz w:val="20"/>
          <w:szCs w:val="20"/>
          <w:color w:val="auto"/>
        </w:rPr>
      </w:pPr>
    </w:p>
    <w:tbl>
      <w:tblPr>
        <w:tblLayout w:type="fixed"/>
        <w:tblInd w:w="1210" w:type="dxa"/>
        <w:tblCellMar>
          <w:top w:w="0" w:type="dxa"/>
          <w:left w:w="0" w:type="dxa"/>
          <w:bottom w:w="0" w:type="dxa"/>
          <w:right w:w="0" w:type="dxa"/>
        </w:tblCellMar>
      </w:tblPr>
      <w:tr>
        <w:trPr>
          <w:trHeight w:val="247"/>
        </w:trPr>
        <w:tc>
          <w:tcPr>
            <w:tcW w:w="24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0"/>
              </w:rPr>
              <w:t>Relative TSR Achieved for</w:t>
            </w:r>
          </w:p>
        </w:tc>
        <w:tc>
          <w:tcPr>
            <w:tcW w:w="23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Performance Level</w:t>
            </w:r>
          </w:p>
        </w:tc>
        <w:tc>
          <w:tcPr>
            <w:tcW w:w="2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6"/>
              </w:rPr>
              <w:t>Percentage of Allocated</w:t>
            </w:r>
          </w:p>
        </w:tc>
      </w:tr>
      <w:tr>
        <w:trPr>
          <w:trHeight w:val="256"/>
        </w:trPr>
        <w:tc>
          <w:tcPr>
            <w:tcW w:w="24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0"/>
              </w:rPr>
              <w:t>the Measurement Period</w:t>
            </w:r>
          </w:p>
        </w:tc>
        <w:tc>
          <w:tcPr>
            <w:tcW w:w="2340" w:type="dxa"/>
            <w:vAlign w:val="bottom"/>
            <w:tcBorders>
              <w:right w:val="single" w:sz="8" w:color="00000A"/>
            </w:tcBorders>
          </w:tcPr>
          <w:p>
            <w:pPr>
              <w:spacing w:after="0"/>
              <w:rPr>
                <w:sz w:val="22"/>
                <w:szCs w:val="22"/>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8"/>
              </w:rPr>
              <w:t>Stock Units Vesting</w:t>
            </w:r>
          </w:p>
        </w:tc>
      </w:tr>
      <w:tr>
        <w:trPr>
          <w:trHeight w:val="23"/>
        </w:trPr>
        <w:tc>
          <w:tcPr>
            <w:tcW w:w="2460" w:type="dxa"/>
            <w:vAlign w:val="bottom"/>
            <w:tcBorders>
              <w:left w:val="single" w:sz="8" w:color="00000A"/>
              <w:bottom w:val="single" w:sz="8" w:color="00000A"/>
              <w:right w:val="single" w:sz="8" w:color="00000A"/>
            </w:tcBorders>
          </w:tcPr>
          <w:p>
            <w:pPr>
              <w:spacing w:after="0"/>
              <w:rPr>
                <w:sz w:val="2"/>
                <w:szCs w:val="2"/>
                <w:color w:val="auto"/>
              </w:rPr>
            </w:pPr>
          </w:p>
        </w:tc>
        <w:tc>
          <w:tcPr>
            <w:tcW w:w="2340" w:type="dxa"/>
            <w:vAlign w:val="bottom"/>
            <w:tcBorders>
              <w:bottom w:val="single" w:sz="8" w:color="00000A"/>
              <w:right w:val="single" w:sz="8" w:color="00000A"/>
            </w:tcBorders>
          </w:tcPr>
          <w:p>
            <w:pPr>
              <w:spacing w:after="0"/>
              <w:rPr>
                <w:sz w:val="2"/>
                <w:szCs w:val="2"/>
                <w:color w:val="auto"/>
              </w:rPr>
            </w:pPr>
          </w:p>
        </w:tc>
        <w:tc>
          <w:tcPr>
            <w:tcW w:w="2360" w:type="dxa"/>
            <w:vAlign w:val="bottom"/>
            <w:tcBorders>
              <w:bottom w:val="single" w:sz="8" w:color="00000A"/>
              <w:right w:val="single" w:sz="8" w:color="00000A"/>
            </w:tcBorders>
          </w:tcPr>
          <w:p>
            <w:pPr>
              <w:spacing w:after="0"/>
              <w:rPr>
                <w:sz w:val="2"/>
                <w:szCs w:val="2"/>
                <w:color w:val="auto"/>
              </w:rPr>
            </w:pPr>
          </w:p>
        </w:tc>
      </w:tr>
      <w:tr>
        <w:trPr>
          <w:trHeight w:val="277"/>
        </w:trPr>
        <w:tc>
          <w:tcPr>
            <w:tcW w:w="246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7"/>
              </w:rPr>
              <w:t>&lt;25</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2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Below Threshold</w:t>
            </w:r>
          </w:p>
        </w:tc>
        <w:tc>
          <w:tcPr>
            <w:tcW w:w="2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0%</w:t>
            </w:r>
          </w:p>
        </w:tc>
      </w:tr>
      <w:tr>
        <w:trPr>
          <w:trHeight w:val="277"/>
        </w:trPr>
        <w:tc>
          <w:tcPr>
            <w:tcW w:w="246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8"/>
              </w:rPr>
              <w:t>25</w:t>
            </w:r>
            <w:r>
              <w:rPr>
                <w:rFonts w:ascii="Arial" w:cs="Arial" w:eastAsia="Arial" w:hAnsi="Arial"/>
                <w:sz w:val="25"/>
                <w:szCs w:val="25"/>
                <w:color w:val="auto"/>
                <w:w w:val="88"/>
                <w:vertAlign w:val="superscript"/>
              </w:rPr>
              <w:t>th</w:t>
            </w:r>
            <w:r>
              <w:rPr>
                <w:rFonts w:ascii="Arial" w:cs="Arial" w:eastAsia="Arial" w:hAnsi="Arial"/>
                <w:sz w:val="20"/>
                <w:szCs w:val="20"/>
                <w:color w:val="auto"/>
                <w:w w:val="88"/>
              </w:rPr>
              <w:t xml:space="preserve"> percentile</w:t>
            </w:r>
          </w:p>
        </w:tc>
        <w:tc>
          <w:tcPr>
            <w:tcW w:w="2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Threshold</w:t>
            </w:r>
          </w:p>
        </w:tc>
        <w:tc>
          <w:tcPr>
            <w:tcW w:w="2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50%</w:t>
            </w:r>
          </w:p>
        </w:tc>
      </w:tr>
      <w:tr>
        <w:trPr>
          <w:trHeight w:val="277"/>
        </w:trPr>
        <w:tc>
          <w:tcPr>
            <w:tcW w:w="246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8"/>
              </w:rPr>
              <w:t>50</w:t>
            </w:r>
            <w:r>
              <w:rPr>
                <w:rFonts w:ascii="Arial" w:cs="Arial" w:eastAsia="Arial" w:hAnsi="Arial"/>
                <w:sz w:val="25"/>
                <w:szCs w:val="25"/>
                <w:color w:val="auto"/>
                <w:w w:val="88"/>
                <w:vertAlign w:val="superscript"/>
              </w:rPr>
              <w:t>th</w:t>
            </w:r>
            <w:r>
              <w:rPr>
                <w:rFonts w:ascii="Arial" w:cs="Arial" w:eastAsia="Arial" w:hAnsi="Arial"/>
                <w:sz w:val="20"/>
                <w:szCs w:val="20"/>
                <w:color w:val="auto"/>
                <w:w w:val="88"/>
              </w:rPr>
              <w:t xml:space="preserve"> percentile</w:t>
            </w:r>
          </w:p>
        </w:tc>
        <w:tc>
          <w:tcPr>
            <w:tcW w:w="2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6"/>
              </w:rPr>
              <w:t>Target</w:t>
            </w:r>
          </w:p>
        </w:tc>
        <w:tc>
          <w:tcPr>
            <w:tcW w:w="2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100%</w:t>
            </w:r>
          </w:p>
        </w:tc>
      </w:tr>
      <w:tr>
        <w:trPr>
          <w:trHeight w:val="277"/>
        </w:trPr>
        <w:tc>
          <w:tcPr>
            <w:tcW w:w="2460" w:type="dxa"/>
            <w:vAlign w:val="bottom"/>
            <w:tcBorders>
              <w:left w:val="single" w:sz="8" w:color="00000A"/>
              <w:bottom w:val="single" w:sz="8" w:color="00000A"/>
              <w:right w:val="single" w:sz="8" w:color="00000A"/>
            </w:tcBorders>
          </w:tcPr>
          <w:p>
            <w:pPr>
              <w:jc w:val="center"/>
              <w:spacing w:after="0" w:line="277" w:lineRule="exact"/>
              <w:rPr>
                <w:sz w:val="20"/>
                <w:szCs w:val="20"/>
                <w:color w:val="auto"/>
              </w:rPr>
            </w:pPr>
            <w:r>
              <w:rPr>
                <w:rFonts w:ascii="Arial" w:cs="Arial" w:eastAsia="Arial" w:hAnsi="Arial"/>
                <w:sz w:val="20"/>
                <w:szCs w:val="20"/>
                <w:color w:val="auto"/>
                <w:w w:val="87"/>
              </w:rPr>
              <w:t>100</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23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Maximum</w:t>
            </w:r>
          </w:p>
        </w:tc>
        <w:tc>
          <w:tcPr>
            <w:tcW w:w="2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Provided that the level of Relative TSR achieved for a Measurement Period is at least “Threshold,” the percentage of the Allocated Stock Units for that Measurement Period that will be eligible to vest for a Relative TSR for that Measurement Period achieved between the levels set forth in the table above will be determined based on straight-line interpolation between points (for clarity, if the Relative TSR achieved for the</w:t>
      </w:r>
    </w:p>
    <w:p>
      <w:pPr>
        <w:spacing w:after="0" w:line="18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10</w:t>
      </w:r>
      <w:r>
        <w:rPr>
          <w:rFonts w:ascii="Arial" w:cs="Arial" w:eastAsia="Arial" w:hAnsi="Arial"/>
          <w:sz w:val="14"/>
          <w:szCs w:val="14"/>
          <w:color w:val="auto"/>
        </w:rPr>
        <w:t xml:space="preserve"> of 12</w:t>
      </w:r>
    </w:p>
    <w:p>
      <w:pPr>
        <w:sectPr>
          <w:pgSz w:w="11900" w:h="16838" w:orient="portrait"/>
          <w:cols w:equalWidth="0" w:num="1">
            <w:col w:w="11240"/>
          </w:cols>
          <w:pgMar w:left="320" w:top="778" w:right="339" w:bottom="1440" w:gutter="0" w:footer="0" w:header="0"/>
        </w:sectPr>
      </w:pPr>
    </w:p>
    <w:bookmarkStart w:id="132" w:name="page133"/>
    <w:bookmarkEnd w:id="132"/>
    <w:p>
      <w:pPr>
        <w:jc w:val="both"/>
        <w:spacing w:after="0" w:line="222" w:lineRule="auto"/>
        <w:rPr>
          <w:sz w:val="20"/>
          <w:szCs w:val="20"/>
          <w:color w:val="auto"/>
        </w:rPr>
      </w:pPr>
      <w:r>
        <w:rPr>
          <w:rFonts w:ascii="Arial" w:cs="Arial" w:eastAsia="Arial" w:hAnsi="Arial"/>
          <w:sz w:val="20"/>
          <w:szCs w:val="20"/>
          <w:color w:val="auto"/>
        </w:rPr>
        <w:t>Measurement Period was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the percentage of the Allocated Stock Units for that Measurement Period that will be eligible to vest would be 120%). In no event will the vesting percentage exceed 200% for any Measurement Period.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For purposes of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Appendix A</w:t>
      </w:r>
      <w:r>
        <w:rPr>
          <w:rFonts w:ascii="Arial" w:cs="Arial" w:eastAsia="Arial" w:hAnsi="Arial"/>
          <w:sz w:val="20"/>
          <w:szCs w:val="20"/>
          <w:color w:val="auto"/>
        </w:rPr>
        <w:t>, the following definitions shall apply: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 xml:space="preserve">“Absolute Total Shareholder Return” </w:t>
      </w:r>
      <w:r>
        <w:rPr>
          <w:rFonts w:ascii="Arial" w:cs="Arial" w:eastAsia="Arial" w:hAnsi="Arial"/>
          <w:sz w:val="19"/>
          <w:szCs w:val="19"/>
          <w:color w:val="auto"/>
        </w:rPr>
        <w:t>(or “Absolute TSR”) means, as to the applicable company for the applicable Measurement Period,</w:t>
      </w:r>
      <w:r>
        <w:rPr>
          <w:rFonts w:ascii="Arial" w:cs="Arial" w:eastAsia="Arial" w:hAnsi="Arial"/>
          <w:sz w:val="19"/>
          <w:szCs w:val="19"/>
          <w:b w:val="1"/>
          <w:bCs w:val="1"/>
          <w:color w:val="auto"/>
        </w:rPr>
        <w:t xml:space="preserve"> </w:t>
      </w:r>
      <w:r>
        <w:rPr>
          <w:rFonts w:ascii="Arial" w:cs="Arial" w:eastAsia="Arial" w:hAnsi="Arial"/>
          <w:sz w:val="19"/>
          <w:szCs w:val="19"/>
          <w:color w:val="auto"/>
        </w:rPr>
        <w:t>the cumulative (non-compounded) total return (expressed as a percentage) of an investment in the company’s common stock for the Measurement Period, determined using the Beginning Stock Price to value the company’s common stock at the start of the Measurement Period and the Ending Stock Price to value the company’s common stock at the end of the Measurement Period. For purposes of such determination, the Ending Price (or one or more of the Closing Stock Prices used to determine the Ending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Measurement Period and the Beginning Price (or one or more of the Closing Stock Prices used to determine the Beginning Price, as the Administrator may determine) shall be equitably and proportionately adjusted by the Administrator to the extent (if any) determined necessary by the Administrator to preserve the intended incentives of the award and mitigate the impact of any stock split, stock dividend or reverse stock split occurring during the thirty (30) consecutive trading day period used to determine the Beginning Stock Price.</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“Beginning Stock Price” </w:t>
      </w:r>
      <w:r>
        <w:rPr>
          <w:rFonts w:ascii="Arial" w:cs="Arial" w:eastAsia="Arial" w:hAnsi="Arial"/>
          <w:sz w:val="20"/>
          <w:szCs w:val="20"/>
          <w:color w:val="auto"/>
        </w:rPr>
        <w:t>as to a Measurement Period means the average of the Closing Stock Prices for the applicable company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thirty (30) consecutive trading days ending with the first trading day of the Measurement Period.</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“Closing Stock Price” </w:t>
      </w:r>
      <w:r>
        <w:rPr>
          <w:rFonts w:ascii="Arial" w:cs="Arial" w:eastAsia="Arial" w:hAnsi="Arial"/>
          <w:sz w:val="18"/>
          <w:szCs w:val="18"/>
          <w:color w:val="auto"/>
        </w:rPr>
        <w:t>means, as of any calendar day as to the applicable company for the applicable Measurement Period, the sum of (a)</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price (in regular trading) for a share of the company’s common stock on the principal stock exchange on which the company’s common stock is then listed or admitted to trade (the “Exchange”) for the date in question or, if no sales of the company’s common stock were reported on the Exchange on that date, the closing price (in regular trading) for a share of the company’s common stock on the Exchange for the next preceding day on which sales of the company’s common stock were reported on the Exchange, plus (b) (as of any date after the Award Date) the amount of cash dividends paid by the company on a share of its common stock as to which the applicable ex-dividend date(s) are after the Award Date and on or before the particular calendar day in question. If the applicable company’s common stock is no longer listed or admitted to trade on a national securities exchange as of any particular date, the Closing Stock Price for that date as to that company shall be the value as reasonably determined by the Administrator for purposes of the award in the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“Compensation Peer Group” </w:t>
      </w:r>
      <w:r>
        <w:rPr>
          <w:rFonts w:ascii="Arial" w:cs="Arial" w:eastAsia="Arial" w:hAnsi="Arial"/>
          <w:sz w:val="20"/>
          <w:szCs w:val="20"/>
          <w:color w:val="auto"/>
        </w:rPr>
        <w:t>means the following companies:</w:t>
      </w:r>
    </w:p>
    <w:p>
      <w:pPr>
        <w:spacing w:after="0" w:line="21"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Associated Banc-Corp</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BankUnited, Inc.</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Black Knight Financial Services, Inc.</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CenterState Bank Corporation</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CoreLogic, Inc.</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Flagstar Bancorp, Inc.</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Jack Henry &amp; Associates, Inc.</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LendingTree, Inc.</w:t>
      </w: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MGIC Investment Corporation</w:t>
      </w:r>
    </w:p>
    <w:p>
      <w:pPr>
        <w:spacing w:after="0" w:line="198"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11</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33" w:name="page134"/>
    <w:bookmarkEnd w:id="133"/>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Mr. Cooper Group Inc.</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Navient Corporation</w:t>
      </w: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PennyMac Financial Services, Inc.</w:t>
      </w: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People's United Financial, Inc.</w:t>
      </w: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Radian Group Inc.</w:t>
      </w: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Signature Bank</w:t>
      </w: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Sterling Bancorp</w:t>
      </w: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Synovus Financial Corp.</w:t>
      </w: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Walker &amp; Dunlop, Inc.</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 measure relative performance, the Compensation Peer Group will consist of (1) companies that are in the Compensation Peer Group and are publicly-traded for the entire Measurement Period and (2) companies that are initially in the Compensation Peer Group and cease to be publicly-traded during the Measurement Period because of insolvency (with the Absolute TSRs of such companies being deemed equal to the lowest Absolute TSR of companies that are in the Compensation Peer Group for the entire period). Companies that are initially included in the Compensation Peer Group but that cease to be publicly-traded during the Measurement Period because they are acquired or for other reasons will not be included in assessing relative performance and shall be deemed to be excluded from the Compensation Peer Group.</w:t>
      </w:r>
    </w:p>
    <w:p>
      <w:pPr>
        <w:spacing w:after="0" w:line="172"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“Ending Stock Price” </w:t>
      </w:r>
      <w:r>
        <w:rPr>
          <w:rFonts w:ascii="Arial" w:cs="Arial" w:eastAsia="Arial" w:hAnsi="Arial"/>
          <w:sz w:val="20"/>
          <w:szCs w:val="20"/>
          <w:color w:val="auto"/>
        </w:rPr>
        <w:t>means, as to a particular Measurement Period, the average of the Closing Stock Prices for the applicable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thirty (30) consecutive trading days ending with the last trading day of the Measurement Period.</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 xml:space="preserve">“Relative Total Shareholder Return” </w:t>
      </w:r>
      <w:r>
        <w:rPr>
          <w:rFonts w:ascii="Arial" w:cs="Arial" w:eastAsia="Arial" w:hAnsi="Arial"/>
          <w:sz w:val="19"/>
          <w:szCs w:val="19"/>
          <w:color w:val="auto"/>
        </w:rPr>
        <w:t>(or “</w:t>
      </w:r>
      <w:r>
        <w:rPr>
          <w:rFonts w:ascii="Arial" w:cs="Arial" w:eastAsia="Arial" w:hAnsi="Arial"/>
          <w:sz w:val="19"/>
          <w:szCs w:val="19"/>
          <w:b w:val="1"/>
          <w:bCs w:val="1"/>
          <w:color w:val="auto"/>
        </w:rPr>
        <w:t>Relative TSR</w:t>
      </w:r>
      <w:r>
        <w:rPr>
          <w:rFonts w:ascii="Arial" w:cs="Arial" w:eastAsia="Arial" w:hAnsi="Arial"/>
          <w:sz w:val="19"/>
          <w:szCs w:val="19"/>
          <w:color w:val="auto"/>
        </w:rPr>
        <w:t>”) means the Corporation’s Absolute TSR ranked relative to the Absolute TSR</w:t>
      </w:r>
      <w:r>
        <w:rPr>
          <w:rFonts w:ascii="Arial" w:cs="Arial" w:eastAsia="Arial" w:hAnsi="Arial"/>
          <w:sz w:val="19"/>
          <w:szCs w:val="19"/>
          <w:b w:val="1"/>
          <w:bCs w:val="1"/>
          <w:color w:val="auto"/>
        </w:rPr>
        <w:t xml:space="preserve"> </w:t>
      </w:r>
      <w:r>
        <w:rPr>
          <w:rFonts w:ascii="Arial" w:cs="Arial" w:eastAsia="Arial" w:hAnsi="Arial"/>
          <w:sz w:val="19"/>
          <w:szCs w:val="19"/>
          <w:color w:val="auto"/>
        </w:rPr>
        <w:t>values of companies in its Compensation Peer Group (as defined above), expressed as a percentile where the highest Absolute TSR achieved by the Corporation or other company in the Compensation Peer Group is the 100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 and the lowest Absolute TSR achieved by the Corporation or other company in the Compensation Peer Group is the 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u w:val="single" w:color="auto"/>
          <w:color w:val="auto"/>
        </w:rPr>
        <w:t>Determination</w:t>
      </w:r>
      <w:r>
        <w:rPr>
          <w:rFonts w:ascii="Arial" w:cs="Arial" w:eastAsia="Arial" w:hAnsi="Arial"/>
          <w:sz w:val="19"/>
          <w:szCs w:val="19"/>
          <w:color w:val="auto"/>
        </w:rPr>
        <w:t>. Following the end of each Measurement Period, the Administrator shall make a determination as to the Corporation’s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achievement of the performance-based vesting requirements set forth in this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as to that Measurement Period. Any portion of the Allocated Stock Units subject to the Award for a particular Measurement Period that are outstanding at the end of that Measurement Period and are not eligible to vest in accordance with this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based on the Corporation’s performance for that Measurement Period shall terminate as of the last day of that Measurement Period (except as provided in Paragraph 2 of the Agreement). In all events, the Administrator’s determination of the Corporation’s performance during each Measurement Period, and the number of Stock Units eligible to vest, pursuant to this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shall be final and binding.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7F7F7F"/>
        </w:rPr>
        <w:t>12</w:t>
      </w:r>
      <w:r>
        <w:rPr>
          <w:rFonts w:ascii="Arial" w:cs="Arial" w:eastAsia="Arial" w:hAnsi="Arial"/>
          <w:sz w:val="14"/>
          <w:szCs w:val="14"/>
          <w:color w:val="auto"/>
        </w:rPr>
        <w:t xml:space="preserve"> of 12</w:t>
      </w:r>
    </w:p>
    <w:p>
      <w:pPr>
        <w:sectPr>
          <w:pgSz w:w="11900" w:h="16838" w:orient="portrait"/>
          <w:cols w:equalWidth="0" w:num="1">
            <w:col w:w="11240"/>
          </w:cols>
          <w:pgMar w:left="320" w:top="339"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140" w:hanging="325"/>
        <w:spacing w:after="0" w:line="263"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900" w:hanging="325"/>
        <w:spacing w:after="0" w:line="263"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321"/>
        <w:spacing w:after="0" w:line="263" w:lineRule="auto"/>
        <w:tabs>
          <w:tab w:leader="none" w:pos="1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321"/>
        <w:spacing w:after="0" w:line="342" w:lineRule="auto"/>
        <w:tabs>
          <w:tab w:leader="none" w:pos="12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321"/>
        <w:spacing w:after="0" w:line="342" w:lineRule="auto"/>
        <w:tabs>
          <w:tab w:leader="none" w:pos="12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321"/>
        <w:spacing w:after="0" w:line="258" w:lineRule="auto"/>
        <w:tabs>
          <w:tab w:leader="none" w:pos="1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Glen A. Messina, President and Chief Executive Officer</w:t>
      </w:r>
    </w:p>
    <w:p>
      <w:pPr>
        <w:sectPr>
          <w:pgSz w:w="11900" w:h="16838" w:orient="portrait"/>
          <w:cols w:equalWidth="0" w:num="1">
            <w:col w:w="11240"/>
          </w:cols>
          <w:pgMar w:left="320" w:top="83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certify that:</w:t>
      </w:r>
    </w:p>
    <w:p>
      <w:pPr>
        <w:spacing w:after="0" w:line="225"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140" w:hanging="325"/>
        <w:spacing w:after="0" w:line="263"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900" w:hanging="325"/>
        <w:spacing w:after="0" w:line="263"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321"/>
        <w:spacing w:after="0" w:line="263"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321"/>
        <w:spacing w:after="0" w:line="342" w:lineRule="auto"/>
        <w:tabs>
          <w:tab w:leader="none" w:pos="12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321"/>
        <w:spacing w:after="0" w:line="342" w:lineRule="auto"/>
        <w:tabs>
          <w:tab w:leader="none" w:pos="12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321"/>
        <w:spacing w:after="0" w:line="277"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June C. Campbell, Executive Vice President and Chief Financial</w:t>
      </w:r>
    </w:p>
    <w:p>
      <w:pPr>
        <w:spacing w:after="0" w:line="3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3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5" w:lineRule="exact"/>
        <w:rPr>
          <w:sz w:val="20"/>
          <w:szCs w:val="20"/>
          <w:color w:val="auto"/>
        </w:rPr>
      </w:pPr>
    </w:p>
    <w:p>
      <w:pPr>
        <w:ind w:left="500" w:hanging="411"/>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20" w:hanging="324"/>
        <w:spacing w:after="0" w:line="263"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2020 (the periodic report) containing financial statements fully complies with the requirements of Section 13(a) or 15(d), as applicable, of the Securities Exchange Act of 1934 (15 U.S.C. 78m or 78o(d)); and</w:t>
      </w:r>
    </w:p>
    <w:p>
      <w:pPr>
        <w:spacing w:after="0" w:line="183"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Glen A. Messina</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8, 2020</w:t>
            </w:r>
          </w:p>
        </w:tc>
      </w:tr>
    </w:tbl>
    <w:p>
      <w:pPr>
        <w:sectPr>
          <w:pgSz w:w="11900" w:h="16838" w:orient="portrait"/>
          <w:cols w:equalWidth="0" w:num="1">
            <w:col w:w="11240"/>
          </w:cols>
          <w:pgMar w:left="320" w:top="83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state and attest that:</w:t>
      </w:r>
    </w:p>
    <w:p>
      <w:pPr>
        <w:spacing w:after="0" w:line="225" w:lineRule="exact"/>
        <w:rPr>
          <w:sz w:val="20"/>
          <w:szCs w:val="20"/>
          <w:color w:val="auto"/>
        </w:rPr>
      </w:pPr>
    </w:p>
    <w:p>
      <w:pPr>
        <w:ind w:left="500" w:hanging="411"/>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20" w:hanging="324"/>
        <w:spacing w:after="0" w:line="263"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2020 (the periodic report) containing financial statements fully complies with the requirements of Section 13(a) or 15(d), as applicable, of the Securities Exchange Act of 1934 (15 U.S.C. 78m or 78o(d)); and</w:t>
      </w:r>
    </w:p>
    <w:p>
      <w:pPr>
        <w:spacing w:after="0" w:line="183"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880" w:type="dxa"/>
            <w:vAlign w:val="bottom"/>
          </w:tcPr>
          <w:p>
            <w:pPr>
              <w:ind w:left="40"/>
              <w:spacing w:after="0"/>
              <w:rPr>
                <w:sz w:val="20"/>
                <w:szCs w:val="20"/>
                <w:color w:val="auto"/>
              </w:rPr>
            </w:pPr>
            <w:r>
              <w:rPr>
                <w:rFonts w:ascii="Arial" w:cs="Arial" w:eastAsia="Arial" w:hAnsi="Arial"/>
                <w:sz w:val="18"/>
                <w:szCs w:val="18"/>
                <w:color w:val="auto"/>
              </w:rPr>
              <w:t>/s/ June C. Campbell</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8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880" w:type="dxa"/>
            <w:vAlign w:val="bottom"/>
          </w:tcPr>
          <w:p>
            <w:pPr>
              <w:ind w:left="40"/>
              <w:spacing w:after="0"/>
              <w:rPr>
                <w:sz w:val="20"/>
                <w:szCs w:val="20"/>
                <w:color w:val="auto"/>
              </w:rPr>
            </w:pPr>
            <w:r>
              <w:rPr>
                <w:rFonts w:ascii="Arial" w:cs="Arial" w:eastAsia="Arial" w:hAnsi="Arial"/>
                <w:sz w:val="18"/>
                <w:szCs w:val="18"/>
                <w:color w:val="auto"/>
              </w:rPr>
              <w:t>May 8, 2020</w:t>
            </w:r>
          </w:p>
        </w:tc>
      </w:tr>
    </w:tbl>
    <w:p>
      <w:pPr>
        <w:spacing w:after="0" w:line="1" w:lineRule="exact"/>
        <w:rPr>
          <w:sz w:val="20"/>
          <w:szCs w:val="20"/>
          <w:color w:val="auto"/>
        </w:rPr>
      </w:pP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x"/>
      <w:numFmt w:val="bullet"/>
      <w:start w:val="1"/>
    </w:lvl>
  </w:abstractNum>
  <w:abstractNum w:abstractNumId="1">
    <w:nsid w:val="2A487CB0"/>
    <w:multiLevelType w:val="hybridMultilevel"/>
    <w:lvl w:ilvl="0">
      <w:lvlJc w:val="left"/>
      <w:lvlText w:val="o"/>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lowerLetter"/>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decimal"/>
      <w:start w:val="3"/>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lowerRoman"/>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4"/>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3"/>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2"/>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lowerRoman"/>
      <w:start w:val="3"/>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1"/>
    </w:lvl>
    <w:lvl w:ilvl="1">
      <w:lvlJc w:val="left"/>
      <w:lvlText w:val="(%2)"/>
      <w:numFmt w:val="lowerLetter"/>
      <w:start w:val="2"/>
    </w:lvl>
  </w:abstractNum>
  <w:abstractNum w:abstractNumId="72">
    <w:nsid w:val="8F2B15E"/>
    <w:multiLevelType w:val="hybridMultilevel"/>
    <w:lvl w:ilvl="0">
      <w:lvlJc w:val="left"/>
      <w:lvlText w:val="%1."/>
      <w:numFmt w:val="decimal"/>
      <w:start w:val="2"/>
    </w:lvl>
    <w:lvl w:ilvl="1">
      <w:lvlJc w:val="left"/>
      <w:lvlText w:val="%2"/>
      <w:numFmt w:val="lowerLetter"/>
      <w:start w:val="1"/>
    </w:lvl>
  </w:abstractNum>
  <w:abstractNum w:abstractNumId="73">
    <w:nsid w:val="1A32234B"/>
    <w:multiLevelType w:val="hybridMultilevel"/>
    <w:lvl w:ilvl="0">
      <w:lvlJc w:val="left"/>
      <w:lvlText w:val="%1."/>
      <w:numFmt w:val="decimal"/>
      <w:start w:val="3"/>
    </w:lvl>
  </w:abstractNum>
  <w:abstractNum w:abstractNumId="74">
    <w:nsid w:val="3B0FD379"/>
    <w:multiLevelType w:val="hybridMultilevel"/>
    <w:lvl w:ilvl="0">
      <w:lvlJc w:val="left"/>
      <w:lvlText w:val="%1."/>
      <w:numFmt w:val="upperLetter"/>
      <w:start w:val="5"/>
    </w:lvl>
  </w:abstractNum>
  <w:abstractNum w:abstractNumId="75">
    <w:nsid w:val="68EB2F63"/>
    <w:multiLevelType w:val="hybridMultilevel"/>
    <w:lvl w:ilvl="0">
      <w:lvlJc w:val="left"/>
      <w:lvlText w:val="%1."/>
      <w:numFmt w:val="upperLetter"/>
      <w:start w:val="6"/>
    </w:lvl>
  </w:abstractNum>
  <w:abstractNum w:abstractNumId="76">
    <w:nsid w:val="4962813B"/>
    <w:multiLevelType w:val="hybridMultilevel"/>
    <w:lvl w:ilvl="0">
      <w:lvlJc w:val="left"/>
      <w:lvlText w:val="%1."/>
      <w:numFmt w:val="upperLetter"/>
      <w:start w:val="5"/>
    </w:lvl>
  </w:abstractNum>
  <w:abstractNum w:abstractNumId="77">
    <w:nsid w:val="60B6DF70"/>
    <w:multiLevelType w:val="hybridMultilevel"/>
    <w:lvl w:ilvl="0">
      <w:lvlJc w:val="left"/>
      <w:lvlText w:val="%1."/>
      <w:numFmt w:val="upperLetter"/>
      <w:start w:val="6"/>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
      <w:numFmt w:val="bullet"/>
      <w:start w:val="1"/>
    </w:lvl>
  </w:abstractNum>
  <w:abstractNum w:abstractNumId="83">
    <w:nsid w:val="100F59D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4" Type="http://schemas.openxmlformats.org/officeDocument/2006/relationships/hyperlink" Target="http://www.sec.gov/Archives/edgar/data/873860/000162828017008009/a20170630ex31.htm" TargetMode="External"/><Relationship Id="rId45" Type="http://schemas.openxmlformats.org/officeDocument/2006/relationships/hyperlink" Target="http://www.sec.gov/Archives/edgar/data/873860/000149315219002478/ex3-1.htm" TargetMode="External"/><Relationship Id="rId46" Type="http://schemas.openxmlformats.org/officeDocument/2006/relationships/hyperlink" Target="http://www.sec.gov/Archives/edgar/data/873860/00014931522000117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2020-05-08T15:52:30Z</dcterms:created>
  <dcterms:modified xsi:type="dcterms:W3CDTF">2020-05-08T15:52:30Z</dcterms:modified>
</cp:coreProperties>
</file>